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kern w:val="0"/>
          <w:sz w:val="44"/>
          <w:szCs w:val="44"/>
        </w:rPr>
        <w:t>东莞市支持企业参与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揭榜挂帅、行业规范及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产品推广工作奖励清单（消费品工业领域）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Calibri" w:hAnsi="Calibri" w:eastAsia="宋体" w:cs="Times New Roman"/>
          <w:szCs w:val="21"/>
        </w:rPr>
      </w:pPr>
    </w:p>
    <w:tbl>
      <w:tblPr>
        <w:tblStyle w:val="2"/>
        <w:tblW w:w="8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7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7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7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高性能生物反应器创新任务入围揭榜单位名单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7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2025年度中国消费名品名单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7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生物制造中试能力建设平台名单（第一批）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7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生物制造标志性产品名单（第一批）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7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2024、2025年老年用品产品推广目录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7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人工智能在生物制造领域典型应用案例（第一批）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7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数字三品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应用场景典型案例名单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7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符合《粘胶纤维行业规范条件（2024版）》企业名单（第一批）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7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符合《电动自行车行业规范条件》企业名单（第一批）（第二批）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7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符合《印染行业规范条件（2023版）》企业名单（第一批）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7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符合《循环再利用化学纤维（涤纶）行业规范条件》企业名单（第一批）（第二批）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7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符合《铅蓄电池行业规范条件（2015年本）》的企业名单（第九批）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备注：上述称号（认定）名单以国家工业和信息化部发布的为准。</w:t>
      </w: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A4"/>
    <w:rsid w:val="002F63A4"/>
    <w:rsid w:val="00BD1BB6"/>
    <w:rsid w:val="09480DB9"/>
    <w:rsid w:val="4DD62DF6"/>
    <w:rsid w:val="6775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63</Words>
  <Characters>361</Characters>
  <Lines>3</Lines>
  <Paragraphs>1</Paragraphs>
  <TotalTime>4</TotalTime>
  <ScaleCrop>false</ScaleCrop>
  <LinksUpToDate>false</LinksUpToDate>
  <CharactersWithSpaces>423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2026-05-09T08:50:00Z</dcterms:created>
  <dc:creator>方俊平</dc:creator>
  <cp:lastModifiedBy>黎颖瑶</cp:lastModifiedBy>
  <dcterms:modified xsi:type="dcterms:W3CDTF">2026-05-13T04:02:25Z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CFACAA1695F54D78BCA511A8930B57EA</vt:lpwstr>
  </property>
</Properties>
</file>