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348A5">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both"/>
        <w:textAlignment w:val="auto"/>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附件</w:t>
      </w:r>
      <w:r>
        <w:rPr>
          <w:rFonts w:hint="default" w:ascii="Times New Roman" w:hAnsi="Times New Roman" w:eastAsia="黑体" w:cs="Times New Roman"/>
          <w:kern w:val="2"/>
          <w:sz w:val="32"/>
          <w:szCs w:val="32"/>
          <w:highlight w:val="none"/>
          <w:lang w:val="en-US" w:eastAsia="zh-CN" w:bidi="ar"/>
        </w:rPr>
        <w:t>5</w:t>
      </w:r>
    </w:p>
    <w:p w14:paraId="4CBAC139">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center"/>
        <w:textAlignment w:val="auto"/>
        <w:outlineLvl w:val="0"/>
        <w:rPr>
          <w:rFonts w:eastAsia="方正小标宋简体"/>
          <w:sz w:val="42"/>
          <w:szCs w:val="42"/>
          <w:highlight w:val="none"/>
          <w:lang w:val="en-US"/>
        </w:rPr>
      </w:pPr>
    </w:p>
    <w:p w14:paraId="5BDD1575">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center"/>
        <w:textAlignment w:val="auto"/>
        <w:outlineLvl w:val="0"/>
        <w:rPr>
          <w:rFonts w:eastAsia="方正小标宋简体"/>
          <w:sz w:val="42"/>
          <w:szCs w:val="42"/>
          <w:highlight w:val="none"/>
          <w:lang w:val="en-US"/>
        </w:rPr>
      </w:pPr>
      <w:r>
        <w:rPr>
          <w:rFonts w:hint="eastAsia" w:ascii="Times New Roman" w:hAnsi="方正小标宋简体" w:eastAsia="方正小标宋简体" w:cs="方正小标宋简体"/>
          <w:kern w:val="2"/>
          <w:sz w:val="42"/>
          <w:szCs w:val="42"/>
          <w:highlight w:val="none"/>
          <w:lang w:val="en-US" w:eastAsia="zh-CN" w:bidi="ar"/>
        </w:rPr>
        <w:t>东莞市半导体及集成电路企业锻造</w:t>
      </w:r>
    </w:p>
    <w:p w14:paraId="694597FE">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center"/>
        <w:textAlignment w:val="auto"/>
        <w:outlineLvl w:val="0"/>
        <w:rPr>
          <w:rFonts w:eastAsia="方正小标宋简体"/>
          <w:sz w:val="42"/>
          <w:szCs w:val="42"/>
          <w:highlight w:val="none"/>
          <w:lang w:val="en-US"/>
        </w:rPr>
      </w:pPr>
      <w:r>
        <w:rPr>
          <w:rFonts w:hint="eastAsia" w:ascii="Times New Roman" w:hAnsi="方正小标宋简体" w:eastAsia="方正小标宋简体" w:cs="方正小标宋简体"/>
          <w:kern w:val="2"/>
          <w:sz w:val="42"/>
          <w:szCs w:val="42"/>
          <w:highlight w:val="none"/>
          <w:lang w:val="en-US" w:eastAsia="zh-CN" w:bidi="ar"/>
        </w:rPr>
        <w:t>技能人才专项资金申报指南</w:t>
      </w:r>
    </w:p>
    <w:p w14:paraId="33B421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right="0" w:firstLine="420" w:firstLineChars="200"/>
        <w:jc w:val="both"/>
        <w:textAlignment w:val="auto"/>
        <w:rPr>
          <w:rFonts w:eastAsia="宋体"/>
          <w:sz w:val="21"/>
          <w:szCs w:val="20"/>
          <w:highlight w:val="none"/>
          <w:lang w:val="en-US"/>
        </w:rPr>
      </w:pPr>
    </w:p>
    <w:p w14:paraId="4A9ED2CC">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根据《东莞市促进半导体及集成电路产业集聚区发展若干政策》（东发改〔</w:t>
      </w:r>
      <w:r>
        <w:rPr>
          <w:rFonts w:hint="default" w:ascii="Times New Roman" w:hAnsi="Times New Roman" w:eastAsia="仿宋_GB2312" w:cs="Times New Roman"/>
          <w:kern w:val="2"/>
          <w:sz w:val="32"/>
          <w:szCs w:val="32"/>
          <w:highlight w:val="none"/>
          <w:lang w:val="en-US" w:eastAsia="zh-CN" w:bidi="ar"/>
        </w:rPr>
        <w:t>2023</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225</w:t>
      </w:r>
      <w:r>
        <w:rPr>
          <w:rFonts w:hint="eastAsia" w:ascii="Times New Roman" w:hAnsi="Times New Roman" w:eastAsia="仿宋_GB2312" w:cs="仿宋_GB2312"/>
          <w:kern w:val="2"/>
          <w:sz w:val="32"/>
          <w:szCs w:val="32"/>
          <w:highlight w:val="none"/>
          <w:lang w:val="en-US" w:eastAsia="zh-CN" w:bidi="ar"/>
        </w:rPr>
        <w:t>号）第四章第（十五）条、《东莞市半导体及集成电路产业发展专项资金管理办法》，制定本申报指南。</w:t>
      </w:r>
    </w:p>
    <w:p w14:paraId="4627B59E">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一、申报对象</w:t>
      </w:r>
    </w:p>
    <w:p w14:paraId="78441D8B">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在东莞市半导体及集成电路产业集聚区内实际开展经营活动，具有独立承担民事责任能力的经营主体。</w:t>
      </w:r>
    </w:p>
    <w:p w14:paraId="51B25A38">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二、申报条件</w:t>
      </w:r>
    </w:p>
    <w:p w14:paraId="52793E4B">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20" w:firstLineChars="200"/>
        <w:jc w:val="left"/>
        <w:rPr>
          <w:strike/>
          <w:dstrike w:val="0"/>
          <w:szCs w:val="32"/>
          <w:highlight w:val="none"/>
          <w:lang w:val="en-US" w:bidi="ar"/>
        </w:rPr>
      </w:pPr>
      <w:r>
        <w:rPr>
          <w:rFonts w:hint="eastAsia" w:ascii="Times New Roman" w:hAnsi="Times New Roman" w:eastAsia="仿宋_GB2312" w:cs="仿宋_GB2312"/>
          <w:color w:val="000000"/>
          <w:kern w:val="0"/>
          <w:sz w:val="31"/>
          <w:szCs w:val="31"/>
          <w:highlight w:val="none"/>
          <w:lang w:val="en-US" w:eastAsia="zh-CN" w:bidi="ar"/>
        </w:rPr>
        <w:t>（一）主要经营业务须为半导体及集成电路制造、封装测试和研发生产化合物半导体、装备及材料。申报单位集成电路产品或服务销售（营业）收入占收入总额的比例不低于</w:t>
      </w:r>
      <w:r>
        <w:rPr>
          <w:rFonts w:hint="default" w:ascii="Times New Roman" w:hAnsi="Times New Roman" w:eastAsia="仿宋_GB2312" w:cs="Times New Roman"/>
          <w:color w:val="000000"/>
          <w:kern w:val="0"/>
          <w:sz w:val="31"/>
          <w:szCs w:val="31"/>
          <w:highlight w:val="none"/>
          <w:lang w:val="en-US" w:eastAsia="zh-CN" w:bidi="ar"/>
        </w:rPr>
        <w:t>50%</w:t>
      </w:r>
      <w:r>
        <w:rPr>
          <w:rFonts w:hint="eastAsia" w:ascii="Times New Roman" w:hAnsi="Times New Roman" w:eastAsia="仿宋_GB2312" w:cs="仿宋_GB2312"/>
          <w:color w:val="000000"/>
          <w:kern w:val="0"/>
          <w:sz w:val="31"/>
          <w:szCs w:val="31"/>
          <w:highlight w:val="none"/>
          <w:lang w:val="en-US" w:eastAsia="zh-CN" w:bidi="ar"/>
        </w:rPr>
        <w:t>；具有保证产品生产的手段和能力，具有与集成电路生产相适应的经营场所、软硬件设施等基本条件。</w:t>
      </w:r>
    </w:p>
    <w:p w14:paraId="0CFC06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（二）申报单位注册成立已满至少一个完整会计年度。</w:t>
      </w:r>
    </w:p>
    <w:p w14:paraId="7E913B75">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snapToGrid w:val="0"/>
          <w:color w:val="000000"/>
          <w:kern w:val="2"/>
          <w:sz w:val="32"/>
          <w:szCs w:val="32"/>
          <w:highlight w:val="none"/>
          <w:lang w:val="en-US" w:eastAsia="zh-CN" w:bidi="ar"/>
        </w:rPr>
        <w:t>（三）</w:t>
      </w:r>
      <w:r>
        <w:rPr>
          <w:rFonts w:hint="eastAsia" w:ascii="Times New Roman" w:hAnsi="Times New Roman" w:eastAsia="仿宋_GB2312" w:cs="仿宋_GB2312"/>
          <w:kern w:val="2"/>
          <w:sz w:val="32"/>
          <w:szCs w:val="32"/>
          <w:highlight w:val="none"/>
          <w:lang w:val="en-US" w:eastAsia="zh-CN" w:bidi="ar"/>
        </w:rPr>
        <w:t>申报单位未获得同类型市级财政资金支持，未违反国家、省、市联合惩戒政策和制度规定，未被列为失信联合惩戒对象。</w:t>
      </w:r>
    </w:p>
    <w:p w14:paraId="592384AD">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宋体"/>
          <w:sz w:val="21"/>
          <w:szCs w:val="24"/>
          <w:highlight w:val="none"/>
          <w:lang w:val="en-US"/>
        </w:rPr>
      </w:pPr>
      <w:r>
        <w:rPr>
          <w:rFonts w:hint="eastAsia" w:ascii="Times New Roman" w:hAnsi="Times New Roman" w:eastAsia="黑体" w:cs="黑体"/>
          <w:kern w:val="2"/>
          <w:sz w:val="32"/>
          <w:szCs w:val="32"/>
          <w:highlight w:val="none"/>
          <w:lang w:val="en-US" w:eastAsia="zh-CN" w:bidi="ar"/>
        </w:rPr>
        <w:t>三、资助标准</w:t>
      </w:r>
      <w:bookmarkStart w:id="0" w:name="_GoBack"/>
      <w:bookmarkEnd w:id="0"/>
    </w:p>
    <w:p w14:paraId="459472B7">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color w:val="000000"/>
          <w:szCs w:val="20"/>
          <w:highlight w:val="none"/>
          <w:lang w:val="en-US"/>
        </w:rPr>
      </w:pPr>
      <w:r>
        <w:rPr>
          <w:rFonts w:hint="eastAsia" w:ascii="Times New Roman" w:hAnsi="Times New Roman" w:eastAsia="仿宋_GB2312" w:cs="仿宋_GB2312"/>
          <w:color w:val="000000"/>
          <w:kern w:val="2"/>
          <w:sz w:val="32"/>
          <w:szCs w:val="20"/>
          <w:highlight w:val="none"/>
          <w:lang w:val="en-US" w:eastAsia="zh-CN" w:bidi="ar"/>
        </w:rPr>
        <w:t>（一）对在</w:t>
      </w:r>
      <w:r>
        <w:rPr>
          <w:rFonts w:hint="eastAsia" w:ascii="Times New Roman" w:hAnsi="Times New Roman" w:eastAsia="仿宋_GB2312" w:cs="仿宋_GB2312"/>
          <w:kern w:val="2"/>
          <w:sz w:val="32"/>
          <w:szCs w:val="32"/>
          <w:highlight w:val="none"/>
          <w:lang w:val="en-US" w:eastAsia="zh-CN" w:bidi="ar"/>
        </w:rPr>
        <w:t>半导体及</w:t>
      </w:r>
      <w:r>
        <w:rPr>
          <w:rFonts w:hint="eastAsia" w:ascii="Times New Roman" w:hAnsi="Times New Roman" w:eastAsia="仿宋_GB2312" w:cs="仿宋_GB2312"/>
          <w:color w:val="000000"/>
          <w:kern w:val="2"/>
          <w:sz w:val="32"/>
          <w:szCs w:val="20"/>
          <w:highlight w:val="none"/>
          <w:lang w:val="en-US" w:eastAsia="zh-CN" w:bidi="ar"/>
        </w:rPr>
        <w:t>集成电路生产制造中从事一线操作及维护的人员，由申报单位自主选拔技术能手，给予每人每年最高</w:t>
      </w:r>
      <w:r>
        <w:rPr>
          <w:rFonts w:hint="default" w:ascii="Times New Roman" w:hAnsi="Times New Roman" w:eastAsia="仿宋_GB2312" w:cs="Times New Roman"/>
          <w:color w:val="000000"/>
          <w:kern w:val="2"/>
          <w:sz w:val="32"/>
          <w:szCs w:val="20"/>
          <w:highlight w:val="none"/>
          <w:lang w:val="en-US" w:eastAsia="zh-CN" w:bidi="ar"/>
        </w:rPr>
        <w:t>1</w:t>
      </w:r>
      <w:r>
        <w:rPr>
          <w:rFonts w:hint="eastAsia" w:ascii="Times New Roman" w:hAnsi="Times New Roman" w:eastAsia="仿宋_GB2312" w:cs="仿宋_GB2312"/>
          <w:color w:val="000000"/>
          <w:kern w:val="2"/>
          <w:sz w:val="32"/>
          <w:szCs w:val="20"/>
          <w:highlight w:val="none"/>
          <w:lang w:val="en-US" w:eastAsia="zh-CN" w:bidi="ar"/>
        </w:rPr>
        <w:t>万元工作津贴。</w:t>
      </w:r>
    </w:p>
    <w:p w14:paraId="73BB7C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hint="eastAsia" w:ascii="Times New Roman" w:hAnsi="Times New Roman" w:eastAsia="仿宋_GB2312" w:cs="仿宋_GB2312"/>
          <w:snapToGrid w:val="0"/>
          <w:color w:val="000000"/>
          <w:kern w:val="2"/>
          <w:sz w:val="32"/>
          <w:szCs w:val="32"/>
          <w:highlight w:val="none"/>
          <w:vertAlign w:val="baseline"/>
          <w:lang w:val="en-US" w:eastAsia="zh-CN" w:bidi="ar"/>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（二）选拔出来的技术能手需在申报单位中工作至少满一个完整年度，并持有行业相关的职业技能等级证书。</w:t>
      </w:r>
    </w:p>
    <w:p w14:paraId="6E8F981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hint="eastAsia" w:ascii="Times New Roman" w:hAnsi="Times New Roman" w:eastAsia="仿宋_GB2312" w:cs="仿宋_GB2312"/>
          <w:snapToGrid w:val="0"/>
          <w:color w:val="000000"/>
          <w:kern w:val="2"/>
          <w:sz w:val="32"/>
          <w:szCs w:val="32"/>
          <w:highlight w:val="none"/>
          <w:vertAlign w:val="baseline"/>
          <w:lang w:val="en-US" w:eastAsia="zh-CN" w:bidi="ar"/>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（三）按单个企业不超过15个技能人才津贴名额的标准执行。</w:t>
      </w:r>
    </w:p>
    <w:p w14:paraId="13584240">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rFonts w:eastAsia="宋体"/>
          <w:sz w:val="21"/>
          <w:szCs w:val="20"/>
          <w:highlight w:val="none"/>
          <w:lang w:val="en-US"/>
        </w:rPr>
      </w:pPr>
      <w:r>
        <w:rPr>
          <w:rFonts w:hint="eastAsia" w:ascii="Times New Roman" w:hAnsi="Times New Roman" w:eastAsia="仿宋_GB2312" w:cs="仿宋_GB2312"/>
          <w:kern w:val="2"/>
          <w:sz w:val="32"/>
          <w:szCs w:val="32"/>
          <w:highlight w:val="none"/>
          <w:lang w:val="en-US" w:eastAsia="zh-CN" w:bidi="ar"/>
        </w:rPr>
        <w:t>（四）</w:t>
      </w:r>
      <w:r>
        <w:rPr>
          <w:rFonts w:hint="eastAsia" w:ascii="Times New Roman" w:hAnsi="Times New Roman" w:eastAsia="仿宋_GB2312" w:cs="仿宋_GB2312"/>
          <w:snapToGrid w:val="0"/>
          <w:color w:val="000000"/>
          <w:kern w:val="2"/>
          <w:sz w:val="32"/>
          <w:szCs w:val="32"/>
          <w:highlight w:val="none"/>
          <w:lang w:val="en-US" w:eastAsia="zh-CN" w:bidi="ar"/>
        </w:rPr>
        <w:t>具体</w:t>
      </w:r>
      <w:r>
        <w:rPr>
          <w:rFonts w:hint="eastAsia" w:ascii="Times New Roman" w:hAnsi="Times New Roman" w:eastAsia="仿宋_GB2312" w:cs="仿宋_GB2312"/>
          <w:kern w:val="2"/>
          <w:sz w:val="32"/>
          <w:szCs w:val="32"/>
          <w:highlight w:val="none"/>
          <w:lang w:val="en-US" w:eastAsia="zh-CN" w:bidi="ar"/>
        </w:rPr>
        <w:t>资助</w:t>
      </w:r>
      <w:r>
        <w:rPr>
          <w:rFonts w:hint="eastAsia" w:ascii="Times New Roman" w:hAnsi="Times New Roman" w:eastAsia="仿宋_GB2312" w:cs="仿宋_GB2312"/>
          <w:snapToGrid w:val="0"/>
          <w:color w:val="000000"/>
          <w:kern w:val="2"/>
          <w:sz w:val="32"/>
          <w:szCs w:val="32"/>
          <w:highlight w:val="none"/>
          <w:lang w:val="en-US" w:eastAsia="zh-CN" w:bidi="ar"/>
        </w:rPr>
        <w:t>标准和金额将根据年度资金预算及企业申报情况进行调整。</w:t>
      </w:r>
    </w:p>
    <w:p w14:paraId="5DBE12A0">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宋体"/>
          <w:sz w:val="21"/>
          <w:szCs w:val="20"/>
          <w:highlight w:val="none"/>
          <w:lang w:val="en-US"/>
        </w:rPr>
      </w:pPr>
      <w:r>
        <w:rPr>
          <w:rFonts w:hint="eastAsia" w:ascii="Times New Roman" w:hAnsi="Times New Roman" w:eastAsia="黑体" w:cs="黑体"/>
          <w:kern w:val="2"/>
          <w:sz w:val="32"/>
          <w:szCs w:val="32"/>
          <w:highlight w:val="none"/>
          <w:lang w:val="en-US" w:eastAsia="zh-CN" w:bidi="ar"/>
        </w:rPr>
        <w:t>四、申报程序</w:t>
      </w:r>
    </w:p>
    <w:p w14:paraId="7997219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楷体_GB2312" w:hAnsi="楷体_GB2312" w:eastAsia="楷体_GB2312" w:cs="楷体_GB2312"/>
          <w:kern w:val="2"/>
          <w:sz w:val="32"/>
          <w:szCs w:val="32"/>
          <w:highlight w:val="none"/>
          <w:lang w:val="en-US" w:eastAsia="zh-CN" w:bidi="ar"/>
        </w:rPr>
        <w:t>（一）网上申报。</w:t>
      </w:r>
      <w:r>
        <w:rPr>
          <w:rFonts w:hint="eastAsia" w:ascii="Times New Roman" w:hAnsi="Times New Roman" w:eastAsia="仿宋_GB2312" w:cs="仿宋_GB2312"/>
          <w:kern w:val="2"/>
          <w:sz w:val="32"/>
          <w:szCs w:val="32"/>
          <w:highlight w:val="none"/>
          <w:lang w:val="en-US" w:eastAsia="zh-CN" w:bidi="ar"/>
        </w:rPr>
        <w:t>申报单位按照要求准备相关材料，并登录东莞市</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企莞家</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sz w:val="32"/>
          <w:szCs w:val="32"/>
          <w:highlight w:val="none"/>
        </w:rPr>
        <w:t>网址：https://zwfw.dg.gov.cn/dgecsp/#/home</w:t>
      </w:r>
      <w:r>
        <w:rPr>
          <w:rFonts w:hint="eastAsia" w:ascii="Times New Roman" w:hAnsi="Times New Roman" w:eastAsia="仿宋_GB2312" w:cs="仿宋_GB2312"/>
          <w:kern w:val="2"/>
          <w:sz w:val="32"/>
          <w:szCs w:val="32"/>
          <w:highlight w:val="none"/>
          <w:lang w:val="en-US" w:eastAsia="zh-CN" w:bidi="ar"/>
        </w:rPr>
        <w:t>，在对应栏目进行网上自主申报。</w:t>
      </w:r>
    </w:p>
    <w:p w14:paraId="0E5BDAE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楷体_GB2312" w:hAnsi="楷体_GB2312" w:eastAsia="楷体_GB2312" w:cs="楷体_GB2312"/>
          <w:kern w:val="2"/>
          <w:sz w:val="32"/>
          <w:szCs w:val="32"/>
          <w:highlight w:val="none"/>
          <w:lang w:val="en-US" w:eastAsia="zh-CN" w:bidi="ar"/>
        </w:rPr>
        <w:t>（二）线上初审。</w:t>
      </w:r>
      <w:r>
        <w:rPr>
          <w:rFonts w:hint="eastAsia" w:ascii="仿宋_GB2312" w:hAnsi="仿宋_GB2312" w:eastAsia="仿宋_GB2312" w:cs="仿宋_GB2312"/>
          <w:kern w:val="2"/>
          <w:sz w:val="32"/>
          <w:szCs w:val="32"/>
          <w:highlight w:val="none"/>
          <w:lang w:val="en-US" w:eastAsia="zh-CN" w:bidi="ar"/>
        </w:rPr>
        <w:t>市</w:t>
      </w:r>
      <w:r>
        <w:rPr>
          <w:rFonts w:hint="eastAsia" w:ascii="Times New Roman" w:hAnsi="Times New Roman" w:eastAsia="仿宋_GB2312" w:cs="仿宋_GB2312"/>
          <w:kern w:val="2"/>
          <w:sz w:val="32"/>
          <w:szCs w:val="32"/>
          <w:highlight w:val="none"/>
          <w:lang w:val="en-US" w:eastAsia="zh-CN" w:bidi="ar"/>
        </w:rPr>
        <w:t>政务服务中心综合窗口、申报单位所属镇街（园区）经发部门负责在线对提交的申报资料进行形式审查，形式审查通过后再提交至市发展改革局进行初审。申报单位收到系统退回修改意见的，须在3个工作日内补充完整并提交，逾期未提交，视同放弃申报（系统自动办结逾期业务，补正不通过）</w:t>
      </w:r>
      <w:r>
        <w:rPr>
          <w:rFonts w:hint="eastAsia" w:ascii="Times New Roman" w:hAnsi="Times New Roman" w:eastAsia="仿宋_GB2312" w:cs="仿宋_GB2312"/>
          <w:kern w:val="2"/>
          <w:sz w:val="32"/>
          <w:szCs w:val="32"/>
          <w:lang w:val="en-US" w:eastAsia="zh-CN" w:bidi="ar"/>
        </w:rPr>
        <w:t>。</w:t>
      </w:r>
    </w:p>
    <w:p w14:paraId="0C5FF774">
      <w:pPr>
        <w:adjustRightInd w:val="0"/>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b w:val="0"/>
          <w:bCs w:val="0"/>
          <w:color w:val="auto"/>
          <w:sz w:val="32"/>
          <w:szCs w:val="32"/>
          <w:highlight w:val="none"/>
          <w:lang w:val="en-US" w:eastAsia="zh-CN"/>
        </w:rPr>
        <w:t>提交纸质材料。</w:t>
      </w:r>
      <w:r>
        <w:rPr>
          <w:rFonts w:hint="default" w:ascii="Times New Roman" w:hAnsi="Times New Roman" w:eastAsia="仿宋_GB2312" w:cs="Times New Roman"/>
          <w:sz w:val="32"/>
          <w:szCs w:val="32"/>
          <w:highlight w:val="none"/>
        </w:rPr>
        <w:t>申报单位通过初审后，</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rPr>
        <w:t>申报表格连同其他申请资料装订成册（一式三份，加盖封面章及骑缝章），递交或邮寄至东莞市政务服务中心综合服务三区。</w:t>
      </w:r>
      <w:r>
        <w:rPr>
          <w:rFonts w:hint="eastAsia" w:ascii="Times New Roman" w:hAnsi="Times New Roman" w:eastAsia="仿宋_GB2312" w:cs="Times New Roman"/>
          <w:sz w:val="32"/>
          <w:szCs w:val="32"/>
          <w:highlight w:val="none"/>
          <w:lang w:eastAsia="zh-CN"/>
        </w:rPr>
        <w:t>线下提交</w:t>
      </w:r>
      <w:r>
        <w:rPr>
          <w:rFonts w:hint="eastAsia" w:ascii="Times New Roman" w:hAnsi="Times New Roman" w:eastAsia="仿宋_GB2312" w:cs="Times New Roman"/>
          <w:color w:val="auto"/>
          <w:sz w:val="32"/>
          <w:szCs w:val="32"/>
          <w:highlight w:val="none"/>
          <w:lang w:val="en-US" w:eastAsia="zh-CN"/>
        </w:rPr>
        <w:t>提前通过“</w:t>
      </w:r>
      <w:r>
        <w:rPr>
          <w:rFonts w:hint="default" w:ascii="Times New Roman" w:hAnsi="Times New Roman" w:eastAsia="仿宋_GB2312" w:cs="Times New Roman"/>
          <w:color w:val="auto"/>
          <w:sz w:val="32"/>
          <w:szCs w:val="32"/>
          <w:highlight w:val="none"/>
          <w:lang w:val="en-US" w:eastAsia="zh-CN"/>
        </w:rPr>
        <w:t>i莞家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公众号</w:t>
      </w:r>
      <w:r>
        <w:rPr>
          <w:rFonts w:hint="eastAsia" w:ascii="Times New Roman" w:hAnsi="Times New Roman" w:eastAsia="仿宋_GB2312" w:cs="Times New Roman"/>
          <w:color w:val="auto"/>
          <w:sz w:val="32"/>
          <w:szCs w:val="32"/>
          <w:highlight w:val="none"/>
          <w:lang w:val="en-US" w:eastAsia="zh-CN"/>
        </w:rPr>
        <w:t>/微信小程序</w:t>
      </w:r>
      <w:r>
        <w:rPr>
          <w:rFonts w:hint="default" w:ascii="Times New Roman" w:hAnsi="Times New Roman" w:eastAsia="仿宋_GB2312" w:cs="Times New Roman"/>
          <w:color w:val="auto"/>
          <w:sz w:val="32"/>
          <w:szCs w:val="32"/>
          <w:highlight w:val="none"/>
          <w:lang w:val="en-US" w:eastAsia="zh-CN"/>
        </w:rPr>
        <w:t>/支付宝小程序</w:t>
      </w:r>
      <w:r>
        <w:rPr>
          <w:rFonts w:hint="eastAsia" w:ascii="Times New Roman" w:hAnsi="Times New Roman" w:eastAsia="仿宋_GB2312" w:cs="Times New Roman"/>
          <w:color w:val="auto"/>
          <w:sz w:val="32"/>
          <w:szCs w:val="32"/>
          <w:highlight w:val="none"/>
          <w:lang w:val="en-US" w:eastAsia="zh-CN"/>
        </w:rPr>
        <w:t>，预约对应</w:t>
      </w:r>
      <w:r>
        <w:rPr>
          <w:rFonts w:hint="eastAsia" w:ascii="Calibri" w:hAnsi="Calibri" w:eastAsia="仿宋_GB2312" w:cs="Times New Roman"/>
          <w:color w:val="auto"/>
          <w:sz w:val="32"/>
          <w:szCs w:val="32"/>
          <w:highlight w:val="none"/>
          <w:lang w:val="en-US" w:eastAsia="zh-CN"/>
        </w:rPr>
        <w:t>政务服务中心的“惠企服务（政策兑现）”预约栏目，</w:t>
      </w:r>
      <w:r>
        <w:rPr>
          <w:rFonts w:hint="default" w:ascii="Times New Roman" w:hAnsi="Times New Roman" w:eastAsia="仿宋_GB2312" w:cs="Times New Roman"/>
          <w:color w:val="auto"/>
          <w:sz w:val="32"/>
          <w:szCs w:val="32"/>
          <w:highlight w:val="none"/>
          <w:lang w:val="en-US" w:eastAsia="zh-CN"/>
        </w:rPr>
        <w:t>持纸质申报材料和网上预审通过</w:t>
      </w:r>
      <w:r>
        <w:rPr>
          <w:rFonts w:hint="eastAsia" w:ascii="Times New Roman" w:hAnsi="Times New Roman" w:eastAsia="仿宋_GB2312" w:cs="Times New Roman"/>
          <w:color w:val="auto"/>
          <w:sz w:val="32"/>
          <w:szCs w:val="32"/>
          <w:highlight w:val="none"/>
          <w:lang w:val="en-US" w:eastAsia="zh-CN"/>
        </w:rPr>
        <w:t>的手机</w:t>
      </w:r>
      <w:r>
        <w:rPr>
          <w:rFonts w:hint="default" w:ascii="Times New Roman" w:hAnsi="Times New Roman" w:eastAsia="仿宋_GB2312" w:cs="Times New Roman"/>
          <w:color w:val="auto"/>
          <w:sz w:val="32"/>
          <w:szCs w:val="32"/>
          <w:highlight w:val="none"/>
          <w:lang w:val="en-US" w:eastAsia="zh-CN"/>
        </w:rPr>
        <w:t>短信</w:t>
      </w:r>
      <w:r>
        <w:rPr>
          <w:rFonts w:hint="eastAsia" w:ascii="Calibri" w:hAnsi="Calibri" w:eastAsia="仿宋_GB2312" w:cs="Times New Roman"/>
          <w:color w:val="auto"/>
          <w:sz w:val="32"/>
          <w:szCs w:val="32"/>
          <w:highlight w:val="none"/>
          <w:lang w:val="en-US" w:eastAsia="zh-CN"/>
        </w:rPr>
        <w:t>到大厅</w:t>
      </w:r>
      <w:r>
        <w:rPr>
          <w:rFonts w:hint="eastAsia" w:ascii="Times New Roman" w:hAnsi="Times New Roman" w:eastAsia="仿宋_GB2312" w:cs="Times New Roman"/>
          <w:color w:val="auto"/>
          <w:sz w:val="32"/>
          <w:szCs w:val="32"/>
          <w:highlight w:val="none"/>
          <w:lang w:val="en-US" w:eastAsia="zh-CN"/>
        </w:rPr>
        <w:t>交件。</w:t>
      </w:r>
      <w:r>
        <w:rPr>
          <w:rFonts w:hint="default" w:ascii="Times New Roman" w:hAnsi="Times New Roman" w:eastAsia="仿宋_GB2312" w:cs="Times New Roman"/>
          <w:sz w:val="32"/>
          <w:szCs w:val="32"/>
        </w:rPr>
        <w:t>选择邮寄提交的，</w:t>
      </w:r>
      <w:r>
        <w:rPr>
          <w:rFonts w:hint="eastAsia" w:ascii="Times New Roman" w:hAnsi="Times New Roman" w:eastAsia="仿宋_GB2312" w:cs="Times New Roman"/>
          <w:sz w:val="32"/>
          <w:szCs w:val="32"/>
          <w:lang w:eastAsia="zh-CN"/>
        </w:rPr>
        <w:t>需</w:t>
      </w:r>
      <w:r>
        <w:rPr>
          <w:rFonts w:hint="default" w:ascii="Times New Roman" w:hAnsi="Times New Roman" w:eastAsia="仿宋_GB2312" w:cs="Times New Roman"/>
          <w:sz w:val="32"/>
          <w:szCs w:val="32"/>
        </w:rPr>
        <w:t>随件附纸注明通过审核的流水号以及经办人联系方式，相关邮寄费用由申报单位自理。申报企业须在2026年11月13日17:00前，将纸质材料线下提交至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；网上申报时选择邮寄的，</w:t>
      </w:r>
      <w:r>
        <w:rPr>
          <w:rFonts w:hint="eastAsia" w:ascii="Times New Roman" w:hAnsi="Times New Roman" w:eastAsia="仿宋_GB2312" w:cs="Times New Roman"/>
          <w:sz w:val="32"/>
          <w:szCs w:val="32"/>
          <w:lang w:eastAsia="zh-CN"/>
        </w:rPr>
        <w:t>在时限前</w:t>
      </w:r>
      <w:r>
        <w:rPr>
          <w:rFonts w:hint="default" w:ascii="Times New Roman" w:hAnsi="Times New Roman" w:eastAsia="仿宋_GB2312" w:cs="Times New Roman"/>
          <w:sz w:val="32"/>
          <w:szCs w:val="32"/>
        </w:rPr>
        <w:t>快递寄递至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（以快递寄出时间为准）；逾期未提交，视同放弃申报。</w:t>
      </w:r>
    </w:p>
    <w:p w14:paraId="1B453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）综合评审</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市发展改革局接收到纸质材料后，结合项目情况，将组织专家或委托第三方机构对申报材料进行综合评审，并征求相关部门意见。</w:t>
      </w:r>
    </w:p>
    <w:p w14:paraId="659CA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社会</w:t>
      </w:r>
      <w:r>
        <w:rPr>
          <w:rFonts w:hint="eastAsia" w:ascii="楷体_GB2312" w:hAnsi="楷体_GB2312" w:eastAsia="楷体_GB2312" w:cs="楷体_GB2312"/>
          <w:sz w:val="32"/>
          <w:szCs w:val="32"/>
        </w:rPr>
        <w:t>公示</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市发展改革局形成拟资助计划并在市发展改革局官网和“企莞家”企业综合服务平台向社会进行为期</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个工作日的公示。公示如有异议的项目，将会同有关单位进一步核实，经核实不符合条件的项目不予支持。</w:t>
      </w:r>
    </w:p>
    <w:p w14:paraId="6312A6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下达</w:t>
      </w:r>
      <w:r>
        <w:rPr>
          <w:rFonts w:hint="eastAsia" w:ascii="楷体_GB2312" w:hAnsi="楷体_GB2312" w:eastAsia="楷体_GB2312" w:cs="楷体_GB2312"/>
          <w:sz w:val="32"/>
          <w:szCs w:val="32"/>
        </w:rPr>
        <w:t>拨付</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市发展改革局将公示无异议或异议排除后的资助计划上报市政府，市政府批准资助计划后，市发展改革局按照工作流程办理资金拨付。</w:t>
      </w:r>
    </w:p>
    <w:p w14:paraId="13031507">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40"/>
          <w:highlight w:val="none"/>
          <w:lang w:val="en-US"/>
        </w:rPr>
      </w:pPr>
      <w:r>
        <w:rPr>
          <w:rFonts w:hint="eastAsia" w:ascii="Times New Roman" w:hAnsi="Times New Roman" w:eastAsia="黑体" w:cs="黑体"/>
          <w:kern w:val="2"/>
          <w:sz w:val="32"/>
          <w:szCs w:val="32"/>
          <w:highlight w:val="none"/>
          <w:lang w:val="en-US" w:eastAsia="zh-CN" w:bidi="ar"/>
        </w:rPr>
        <w:t>五、</w:t>
      </w:r>
      <w:r>
        <w:rPr>
          <w:rFonts w:hint="eastAsia" w:ascii="Times New Roman" w:hAnsi="Times New Roman" w:eastAsia="黑体" w:cs="黑体"/>
          <w:kern w:val="2"/>
          <w:sz w:val="32"/>
          <w:szCs w:val="40"/>
          <w:highlight w:val="none"/>
          <w:lang w:val="en-US" w:eastAsia="zh-CN" w:bidi="ar"/>
        </w:rPr>
        <w:t>申报材料</w:t>
      </w:r>
    </w:p>
    <w:p w14:paraId="6CD263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（一）专项资金申请表（系统填报）；</w:t>
      </w:r>
    </w:p>
    <w:p w14:paraId="6CFE5F1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（二）申报单位营业执照、章程、法人代表身份证复印件；</w:t>
      </w:r>
    </w:p>
    <w:p w14:paraId="5D17B4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hint="eastAsia" w:ascii="Times New Roman" w:hAnsi="Times New Roman" w:eastAsia="仿宋_GB2312" w:cs="仿宋_GB2312"/>
          <w:color w:val="000000"/>
          <w:kern w:val="2"/>
          <w:sz w:val="32"/>
          <w:szCs w:val="32"/>
          <w:highlight w:val="none"/>
          <w:vertAlign w:val="baseline"/>
          <w:lang w:val="en-US" w:eastAsia="zh-CN" w:bidi="ar"/>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（三）</w:t>
      </w:r>
      <w:r>
        <w:rPr>
          <w:rFonts w:hint="eastAsia" w:ascii="Times New Roman" w:hAnsi="Times New Roman" w:eastAsia="仿宋_GB2312" w:cs="仿宋_GB2312"/>
          <w:snapToGrid w:val="0"/>
          <w:kern w:val="2"/>
          <w:sz w:val="32"/>
          <w:szCs w:val="32"/>
          <w:highlight w:val="none"/>
          <w:vertAlign w:val="baseline"/>
          <w:lang w:val="en-US" w:eastAsia="zh-CN" w:bidi="ar"/>
        </w:rPr>
        <w:t>申报单位申报专项资金负责人身份证复印件</w:t>
      </w:r>
      <w:r>
        <w:rPr>
          <w:rFonts w:hint="eastAsia" w:ascii="Times New Roman" w:hAnsi="Times New Roman" w:eastAsia="仿宋_GB2312" w:cs="仿宋_GB2312"/>
          <w:color w:val="000000"/>
          <w:kern w:val="2"/>
          <w:sz w:val="32"/>
          <w:szCs w:val="32"/>
          <w:highlight w:val="none"/>
          <w:vertAlign w:val="baseline"/>
          <w:lang w:val="en-US" w:eastAsia="zh-CN" w:bidi="ar"/>
        </w:rPr>
        <w:t>；</w:t>
      </w:r>
    </w:p>
    <w:p w14:paraId="088A1D41">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trike/>
          <w:dstrike w:val="0"/>
          <w:snapToGrid w:val="0"/>
          <w:color w:val="000000"/>
          <w:szCs w:val="32"/>
          <w:highlight w:val="no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（四）申报单</w:t>
      </w:r>
      <w:r>
        <w:rPr>
          <w:rFonts w:hint="eastAsia" w:ascii="Times New Roman" w:hAnsi="Times New Roman" w:eastAsia="仿宋_GB2312" w:cs="仿宋_GB2312"/>
          <w:snapToGrid w:val="0"/>
          <w:color w:val="000000"/>
          <w:kern w:val="2"/>
          <w:sz w:val="32"/>
          <w:szCs w:val="32"/>
          <w:highlight w:val="none"/>
          <w:lang w:val="en-US" w:eastAsia="zh-CN" w:bidi="ar"/>
        </w:rPr>
        <w:t>位</w:t>
      </w:r>
      <w:r>
        <w:rPr>
          <w:rFonts w:hint="default" w:ascii="Times New Roman" w:hAnsi="Times New Roman" w:eastAsia="仿宋_GB2312" w:cs="Times New Roman"/>
          <w:snapToGrid w:val="0"/>
          <w:color w:val="000000"/>
          <w:kern w:val="2"/>
          <w:sz w:val="32"/>
          <w:szCs w:val="32"/>
          <w:highlight w:val="none"/>
          <w:lang w:val="en-US" w:eastAsia="zh-CN" w:bidi="ar"/>
        </w:rPr>
        <w:t>202</w:t>
      </w:r>
      <w:r>
        <w:rPr>
          <w:rFonts w:hint="eastAsia" w:ascii="Times New Roman" w:hAnsi="Times New Roman" w:eastAsia="仿宋_GB2312" w:cs="Times New Roman"/>
          <w:snapToGrid w:val="0"/>
          <w:color w:val="000000"/>
          <w:kern w:val="2"/>
          <w:sz w:val="32"/>
          <w:szCs w:val="32"/>
          <w:highlight w:val="none"/>
          <w:lang w:val="en-US" w:eastAsia="zh-CN" w:bidi="ar"/>
        </w:rPr>
        <w:t>5</w:t>
      </w:r>
      <w:r>
        <w:rPr>
          <w:rFonts w:hint="eastAsia" w:ascii="Times New Roman" w:hAnsi="Times New Roman" w:eastAsia="仿宋_GB2312" w:cs="仿宋_GB2312"/>
          <w:snapToGrid w:val="0"/>
          <w:color w:val="000000"/>
          <w:kern w:val="2"/>
          <w:sz w:val="32"/>
          <w:szCs w:val="32"/>
          <w:highlight w:val="none"/>
          <w:lang w:val="en-US" w:eastAsia="zh-CN" w:bidi="ar"/>
        </w:rPr>
        <w:t>年度财务审计报告</w:t>
      </w:r>
      <w:r>
        <w:rPr>
          <w:rFonts w:hint="eastAsia" w:ascii="Times New Roman" w:hAnsi="Times New Roman" w:eastAsia="仿宋_GB2312" w:cs="仿宋_GB2312"/>
          <w:kern w:val="2"/>
          <w:sz w:val="32"/>
          <w:szCs w:val="32"/>
          <w:highlight w:val="none"/>
          <w:lang w:val="en-US" w:eastAsia="zh-CN" w:bidi="ar"/>
        </w:rPr>
        <w:t>；</w:t>
      </w:r>
    </w:p>
    <w:p w14:paraId="7BE5D47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（五）技术能手的简历、岗位职责说明以及职业技能等级证书、劳动合同、社保缴纳证明；</w:t>
      </w:r>
    </w:p>
    <w:p w14:paraId="17C2720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（六）其他佐证资料以及资料真实性承诺函。</w:t>
      </w:r>
    </w:p>
    <w:p w14:paraId="737022C4">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六、监督检查</w:t>
      </w:r>
    </w:p>
    <w:p w14:paraId="7452CB33">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snapToGrid w:val="0"/>
          <w:color w:val="000000"/>
          <w:kern w:val="2"/>
          <w:sz w:val="32"/>
          <w:szCs w:val="32"/>
          <w:highlight w:val="none"/>
          <w:lang w:val="en-US" w:eastAsia="zh-CN" w:bidi="ar"/>
        </w:rPr>
        <w:t>（一）项目申报单位必须对所提供的有关资料真实性负责。项目申报单位需出具承诺函，承诺所提供资料真实，如提供虚假资料所造成的一切后果由项目申报单位负责。</w:t>
      </w:r>
      <w:r>
        <w:rPr>
          <w:rFonts w:hint="eastAsia" w:ascii="Times New Roman" w:hAnsi="Times New Roman" w:eastAsia="仿宋_GB2312" w:cs="仿宋_GB2312"/>
          <w:kern w:val="2"/>
          <w:sz w:val="32"/>
          <w:szCs w:val="32"/>
          <w:highlight w:val="none"/>
          <w:lang w:val="en-US" w:eastAsia="zh-CN" w:bidi="ar"/>
        </w:rPr>
        <w:t>市发展改革局对申报项目进行不定期抽查，如经查实存在违法违规行为的，按照《财政违法行为处罚处分条例》及市级财政专项资金有关文件规定进行处理。</w:t>
      </w:r>
      <w:r>
        <w:rPr>
          <w:rFonts w:hint="default" w:ascii="Times New Roman" w:hAnsi="Times New Roman" w:eastAsia="仿宋_GB2312" w:cs="Times New Roman"/>
          <w:kern w:val="2"/>
          <w:sz w:val="32"/>
          <w:szCs w:val="32"/>
          <w:highlight w:val="none"/>
          <w:lang w:val="en-US" w:eastAsia="zh-CN" w:bidi="ar"/>
        </w:rPr>
        <w:t xml:space="preserve"> </w:t>
      </w:r>
    </w:p>
    <w:p w14:paraId="4CF8788D">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snapToGrid w:val="0"/>
          <w:color w:val="000000"/>
          <w:kern w:val="2"/>
          <w:sz w:val="32"/>
          <w:szCs w:val="32"/>
          <w:highlight w:val="none"/>
          <w:lang w:val="en-US" w:eastAsia="zh-CN"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kern w:val="2"/>
          <w:sz w:val="32"/>
          <w:szCs w:val="32"/>
          <w:highlight w:val="none"/>
          <w:lang w:val="en-US" w:eastAsia="zh-CN" w:bidi="ar"/>
        </w:rPr>
        <w:t>经发部门</w:t>
      </w:r>
      <w:r>
        <w:rPr>
          <w:rFonts w:hint="eastAsia" w:ascii="Times New Roman" w:hAnsi="Times New Roman" w:eastAsia="仿宋_GB2312" w:cs="仿宋_GB2312"/>
          <w:snapToGrid w:val="0"/>
          <w:color w:val="000000"/>
          <w:kern w:val="2"/>
          <w:sz w:val="32"/>
          <w:szCs w:val="32"/>
          <w:highlight w:val="none"/>
          <w:lang w:val="en-US" w:eastAsia="zh-CN" w:bidi="ar"/>
        </w:rPr>
        <w:t>落实资金项目的监督检查，跟进</w:t>
      </w:r>
      <w:r>
        <w:rPr>
          <w:rFonts w:hint="eastAsia" w:ascii="Times New Roman" w:hAnsi="Times New Roman" w:eastAsia="仿宋_GB2312" w:cs="仿宋_GB2312"/>
          <w:kern w:val="2"/>
          <w:sz w:val="32"/>
          <w:szCs w:val="32"/>
          <w:highlight w:val="none"/>
          <w:lang w:val="en-US" w:eastAsia="zh-CN" w:bidi="ar"/>
        </w:rPr>
        <w:t>资助单位运营情况及资助项目实施情况，优化资金使用。</w:t>
      </w:r>
    </w:p>
    <w:p w14:paraId="58C5A476">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highlight w:val="none"/>
        </w:rPr>
      </w:pPr>
      <w:r>
        <w:rPr>
          <w:rFonts w:hint="eastAsia" w:ascii="Times New Roman" w:hAnsi="Times New Roman" w:eastAsia="仿宋_GB2312" w:cs="仿宋_GB2312"/>
          <w:snapToGrid w:val="0"/>
          <w:color w:val="000000"/>
          <w:kern w:val="2"/>
          <w:sz w:val="32"/>
          <w:szCs w:val="32"/>
          <w:highlight w:val="none"/>
          <w:lang w:val="en-US" w:eastAsia="zh-CN" w:bidi="ar"/>
        </w:rPr>
        <w:t>（三）获得专项资金的申报单位要切实加强对专项资金的使用管理，自觉接受市发展改革局、财政、审计、监察部门的监督检查，严格执行财务规章制度和会计核算办法。如有弄虚作假、挪用、不按规定使用</w:t>
      </w:r>
      <w:r>
        <w:rPr>
          <w:rFonts w:hint="eastAsia" w:ascii="Times New Roman" w:hAnsi="Times New Roman" w:eastAsia="仿宋_GB2312" w:cs="仿宋_GB2312"/>
          <w:kern w:val="2"/>
          <w:sz w:val="32"/>
          <w:szCs w:val="32"/>
          <w:highlight w:val="none"/>
          <w:lang w:val="en-US" w:eastAsia="zh-CN" w:bidi="ar"/>
        </w:rPr>
        <w:t>专项资金等行为，将收回专项资金并按有关规定追究责任。</w:t>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5D4596"/>
    <w:rsid w:val="2B5BE7A2"/>
    <w:rsid w:val="39FF80D4"/>
    <w:rsid w:val="3CEF45D0"/>
    <w:rsid w:val="5F3FAED9"/>
    <w:rsid w:val="6DE7EE5F"/>
    <w:rsid w:val="777E7D55"/>
    <w:rsid w:val="7BEDFFE6"/>
    <w:rsid w:val="AFDFC267"/>
    <w:rsid w:val="BBFC66D1"/>
    <w:rsid w:val="BF5ECDBE"/>
    <w:rsid w:val="BF7FF60E"/>
    <w:rsid w:val="D79E74CF"/>
    <w:rsid w:val="DC3FE7A9"/>
    <w:rsid w:val="DDBF9B8A"/>
    <w:rsid w:val="E7EF1892"/>
    <w:rsid w:val="E7F95EB7"/>
    <w:rsid w:val="E97B0B04"/>
    <w:rsid w:val="EBED1E93"/>
    <w:rsid w:val="FADB3AAC"/>
    <w:rsid w:val="FADF6DB7"/>
    <w:rsid w:val="FDFE6E4B"/>
    <w:rsid w:val="FEEF5467"/>
    <w:rsid w:val="FFB92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2025-11-17T16:58:00Z</dcterms:created>
  <dc:creator>Wade</dc:creator>
  <cp:lastModifiedBy>郑宝敏</cp:lastModifiedBy>
  <cp:lastPrinted>2026-10-27T16:46:50Z</cp:lastPrinted>
  <dcterms:modified xsi:type="dcterms:W3CDTF">2026-10-27T17:03:10Z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84EFB717D8CABA7C9C1BD76A1521D83D_43</vt:lpwstr>
  </property>
</Properties>
</file>