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0577F">
      <w:pPr>
        <w:spacing w:line="58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东莞市凤岗镇金凤凰现代化产业园丰润计算机有限公司“工改工”项目“三旧”改造</w:t>
      </w:r>
    </w:p>
    <w:p w14:paraId="1E2F8F75">
      <w:pPr>
        <w:spacing w:line="58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总体实施方案</w:t>
      </w:r>
    </w:p>
    <w:p w14:paraId="3EDA2D70">
      <w:pPr>
        <w:spacing w:line="580" w:lineRule="exact"/>
        <w:ind w:firstLine="640" w:firstLineChars="200"/>
        <w:rPr>
          <w:rFonts w:ascii="Times New Roman" w:hAnsi="Times New Roman" w:eastAsia="仿宋_GB2312"/>
          <w:sz w:val="32"/>
          <w:szCs w:val="32"/>
          <w:highlight w:val="yellow"/>
        </w:rPr>
      </w:pPr>
    </w:p>
    <w:p w14:paraId="61CA098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国土空间总体规划、凤岗镇金凤凰现代化产业园“三旧”改造片区统筹规划，东莞市凤岗镇人民政府拟实施东莞市凤岗镇金凤凰现代化产业园丰润计算机有限公司“工改工”项目，对位于凤岗镇黄洞村金凤凰工业区内的旧厂房用地进行改造。总体实施方案如下：</w:t>
      </w:r>
    </w:p>
    <w:p w14:paraId="3D614B99">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一、规划情况</w:t>
      </w:r>
    </w:p>
    <w:p w14:paraId="4037CDD1">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东莞市凤岗镇金凤凰现代化产业园丰润计算机有限公司“工改工”项目位于凤岗镇金凤凰现代化产业园片区统筹范围内，用地涉及东莞市凤岗镇金凤凰片区控制性详细规划范围内的04-01C地块。</w:t>
      </w:r>
    </w:p>
    <w:p w14:paraId="4FB06172">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二、改造单元基本情况</w:t>
      </w:r>
    </w:p>
    <w:p w14:paraId="08A9C63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东莞市凤岗镇金凤凰现代化产业园丰润计算机有限公司“工改工”项目位于凤岗镇黄洞村金凤凰工业区，单元总面积为4.2046公顷。采用土地权利人自行改造模式，由东莞市丰润计算机有限公司作为改造主体，</w:t>
      </w:r>
      <w:r>
        <w:rPr>
          <w:rFonts w:hint="eastAsia" w:ascii="仿宋_GB2312" w:eastAsia="仿宋_GB2312" w:cs="仿宋_GB2312"/>
          <w:color w:val="000000"/>
          <w:sz w:val="32"/>
          <w:szCs w:val="32"/>
        </w:rPr>
        <w:t>申请全部拆除重建</w:t>
      </w:r>
      <w:r>
        <w:rPr>
          <w:rFonts w:ascii="Times New Roman" w:hAnsi="Times New Roman" w:eastAsia="仿宋_GB2312" w:cs="Times New Roman"/>
          <w:sz w:val="32"/>
          <w:szCs w:val="32"/>
        </w:rPr>
        <w:t>。改造单元现状主要为旧厂房，总建筑面积约</w:t>
      </w:r>
      <w:r>
        <w:rPr>
          <w:rFonts w:hint="eastAsia" w:ascii="Times New Roman" w:hAnsi="Times New Roman" w:eastAsia="仿宋_GB2312" w:cs="Times New Roman"/>
          <w:sz w:val="32"/>
          <w:szCs w:val="32"/>
        </w:rPr>
        <w:t>41815.15</w:t>
      </w:r>
      <w:r>
        <w:rPr>
          <w:rFonts w:ascii="Times New Roman" w:hAnsi="Times New Roman" w:eastAsia="仿宋_GB2312" w:cs="Times New Roman"/>
          <w:sz w:val="32"/>
          <w:szCs w:val="32"/>
        </w:rPr>
        <w:t>平方米，容积率为0.99。</w:t>
      </w:r>
    </w:p>
    <w:p w14:paraId="2E34086B">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单元实施改造面积为4.2046公顷，标图建库面积4.2045公顷，标图建库号44190031706。改造范围内国有建设用地面积4.2046公顷，土地权利人为东莞市丰润计算机有限公司，全部有合法用地手续。改造范围内土地界址、地类、面积清晰，土地权属无争议。</w:t>
      </w:r>
    </w:p>
    <w:p w14:paraId="08AD9ED3">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项目改造范围符合国土空间规划，位于城镇开发边界内，不涉及占用生态保护红线，不占用永久基本农田，符合控制性详细规划。</w:t>
      </w:r>
    </w:p>
    <w:p w14:paraId="28AAA372">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根据已批控制性详细规划，项目拟改造为工业用途、道路用地，具体情况如下：</w:t>
      </w:r>
    </w:p>
    <w:p w14:paraId="2F8B1EC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其中一类工业用地为3.9552公顷，容积率为3.5，总</w:t>
      </w:r>
      <w:r>
        <w:rPr>
          <w:rFonts w:hint="eastAsia" w:ascii="Times New Roman" w:hAnsi="Times New Roman" w:eastAsia="仿宋_GB2312" w:cs="Times New Roman"/>
          <w:sz w:val="32"/>
          <w:szCs w:val="32"/>
        </w:rPr>
        <w:t>计容</w:t>
      </w:r>
      <w:r>
        <w:rPr>
          <w:rFonts w:ascii="Times New Roman" w:hAnsi="Times New Roman" w:eastAsia="仿宋_GB2312" w:cs="Times New Roman"/>
          <w:sz w:val="32"/>
          <w:szCs w:val="32"/>
        </w:rPr>
        <w:t>建筑面积为138432平方米；道路用地为0.2494公顷。</w:t>
      </w:r>
      <w:r>
        <w:rPr>
          <w:rFonts w:hint="eastAsia" w:ascii="Times New Roman" w:hAnsi="Times New Roman" w:eastAsia="仿宋_GB2312" w:cs="Times New Roman"/>
          <w:sz w:val="32"/>
          <w:szCs w:val="32"/>
        </w:rPr>
        <w:t>改造主体负责改造单元内公共基础设施10kV开关站配建，建筑面积不少于50平方米。</w:t>
      </w:r>
    </w:p>
    <w:p w14:paraId="516D68C4">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三、收储收地情况</w:t>
      </w:r>
    </w:p>
    <w:p w14:paraId="509C0376">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原权利人同意放弃原发证范围内</w:t>
      </w:r>
      <w:r>
        <w:rPr>
          <w:rFonts w:ascii="Times New Roman" w:hAnsi="Times New Roman" w:eastAsia="仿宋_GB2312" w:cs="Times New Roman"/>
          <w:sz w:val="32"/>
          <w:szCs w:val="32"/>
        </w:rPr>
        <w:t>2493.94平方米</w:t>
      </w:r>
      <w:r>
        <w:rPr>
          <w:rFonts w:ascii="Times New Roman" w:hAnsi="Times New Roman" w:eastAsia="仿宋_GB2312" w:cs="Times New Roman"/>
          <w:color w:val="000000"/>
          <w:sz w:val="32"/>
          <w:szCs w:val="32"/>
        </w:rPr>
        <w:t>用地使用权（规划用途为</w:t>
      </w:r>
      <w:r>
        <w:rPr>
          <w:rFonts w:ascii="Times New Roman" w:hAnsi="Times New Roman" w:eastAsia="仿宋_GB2312" w:cs="Times New Roman"/>
          <w:color w:val="000000"/>
          <w:kern w:val="0"/>
          <w:sz w:val="32"/>
          <w:szCs w:val="32"/>
        </w:rPr>
        <w:t>道路用地</w:t>
      </w:r>
      <w:r>
        <w:rPr>
          <w:rFonts w:ascii="Times New Roman" w:hAnsi="Times New Roman" w:eastAsia="仿宋_GB2312" w:cs="Times New Roman"/>
          <w:color w:val="000000"/>
          <w:sz w:val="32"/>
          <w:szCs w:val="32"/>
        </w:rPr>
        <w:t>），无偿交由属地政府收回，纳入政府储备用地。</w:t>
      </w:r>
    </w:p>
    <w:p w14:paraId="025FC92B">
      <w:pPr>
        <w:spacing w:line="600" w:lineRule="exact"/>
        <w:ind w:firstLine="640" w:firstLineChars="200"/>
        <w:rPr>
          <w:rFonts w:ascii="Times New Roman" w:hAnsi="Times New Roman" w:eastAsia="黑体" w:cs="Times New Roman"/>
          <w:color w:val="000000"/>
          <w:sz w:val="32"/>
          <w:szCs w:val="32"/>
        </w:rPr>
      </w:pPr>
      <w:r>
        <w:rPr>
          <w:rFonts w:ascii="Times New Roman" w:hAnsi="Times New Roman" w:eastAsia="仿宋_GB2312" w:cs="Times New Roman"/>
          <w:color w:val="000000"/>
          <w:sz w:val="32"/>
          <w:szCs w:val="32"/>
        </w:rPr>
        <w:t>经核查，地块不存在债权债务及法律纠纷，符合地价评估及土壤环境评估等开发要求。</w:t>
      </w:r>
    </w:p>
    <w:p w14:paraId="78A2154B">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四、供地情况</w:t>
      </w:r>
    </w:p>
    <w:p w14:paraId="4B8EA9F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项目开发周期为4年，拟分一期开发。</w:t>
      </w:r>
    </w:p>
    <w:p w14:paraId="2A459B69">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东莞市丰润计算机有限公司申请以协议出让方式供地，拟供地面积为39551.93平方米，</w:t>
      </w:r>
      <w:bookmarkStart w:id="0" w:name="OLE_LINK4"/>
      <w:r>
        <w:rPr>
          <w:rFonts w:ascii="Times New Roman" w:hAnsi="Times New Roman" w:eastAsia="仿宋_GB2312" w:cs="Times New Roman"/>
          <w:sz w:val="32"/>
          <w:szCs w:val="32"/>
        </w:rPr>
        <w:t>土地用途为一类工业用地，容积率3.5，计容建筑面积138431.76平方米，</w:t>
      </w:r>
      <w:r>
        <w:rPr>
          <w:rFonts w:hint="eastAsia" w:ascii="仿宋_GB2312" w:eastAsia="仿宋_GB2312" w:cs="仿宋_GB2312"/>
          <w:color w:val="000000"/>
          <w:sz w:val="32"/>
          <w:szCs w:val="32"/>
        </w:rPr>
        <w:t>最大高度</w:t>
      </w:r>
      <w:r>
        <w:rPr>
          <w:rFonts w:hint="eastAsia" w:ascii="宋体" w:hAnsi="宋体" w:eastAsia="仿宋_GB2312" w:cs="宋体"/>
          <w:color w:val="000000"/>
          <w:kern w:val="0"/>
          <w:sz w:val="32"/>
          <w:szCs w:val="32"/>
        </w:rPr>
        <w:t>60</w:t>
      </w:r>
      <w:r>
        <w:rPr>
          <w:rFonts w:hint="eastAsia" w:ascii="仿宋_GB2312" w:eastAsia="仿宋_GB2312" w:cs="仿宋_GB2312"/>
          <w:color w:val="000000"/>
          <w:sz w:val="32"/>
          <w:szCs w:val="32"/>
        </w:rPr>
        <w:t>米，</w:t>
      </w:r>
      <w:r>
        <w:rPr>
          <w:rFonts w:ascii="Times New Roman" w:hAnsi="Times New Roman" w:eastAsia="仿宋_GB2312" w:cs="Times New Roman"/>
          <w:sz w:val="32"/>
          <w:szCs w:val="32"/>
        </w:rPr>
        <w:t>出让年限50年，不可分割转让，全部企业自用，由东莞市丰润计算机有限公司作为开发主体投资建设。地块内配建公共基础设施10kV开关站，建筑面积</w:t>
      </w:r>
      <w:r>
        <w:rPr>
          <w:rFonts w:hint="eastAsia" w:ascii="Times New Roman" w:hAnsi="Times New Roman" w:eastAsia="仿宋_GB2312" w:cs="Times New Roman"/>
          <w:sz w:val="32"/>
          <w:szCs w:val="32"/>
        </w:rPr>
        <w:t>不少于</w:t>
      </w:r>
      <w:r>
        <w:rPr>
          <w:rFonts w:ascii="Times New Roman" w:hAnsi="Times New Roman" w:eastAsia="仿宋_GB2312" w:cs="Times New Roman"/>
          <w:sz w:val="32"/>
          <w:szCs w:val="32"/>
        </w:rPr>
        <w:t>50平方米，由改造主体全额出资并组织建设，竣工验收后移交</w:t>
      </w:r>
      <w:r>
        <w:rPr>
          <w:rFonts w:hint="eastAsia" w:ascii="Times New Roman" w:hAnsi="Times New Roman" w:eastAsia="仿宋_GB2312" w:cs="Times New Roman"/>
          <w:sz w:val="32"/>
          <w:szCs w:val="32"/>
        </w:rPr>
        <w:t>凤岗</w:t>
      </w:r>
      <w:r>
        <w:rPr>
          <w:rFonts w:ascii="Times New Roman" w:hAnsi="Times New Roman" w:eastAsia="仿宋_GB2312" w:cs="Times New Roman"/>
          <w:sz w:val="32"/>
          <w:szCs w:val="32"/>
        </w:rPr>
        <w:t>镇人民政府指定单位管理。</w:t>
      </w:r>
    </w:p>
    <w:bookmarkEnd w:id="0"/>
    <w:p w14:paraId="620F9A31">
      <w:pPr>
        <w:numPr>
          <w:ilvl w:val="0"/>
          <w:numId w:val="1"/>
        </w:num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其他</w:t>
      </w:r>
    </w:p>
    <w:p w14:paraId="6AF87FD5">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资金筹措。项目改造成本为100000万元，拟投入改造资金为100000万元，拟筹措资金方式包括自有资金、银行借贷。</w:t>
      </w:r>
    </w:p>
    <w:p w14:paraId="4E01B592">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签订合同。改造主体在总体实施方案批复之日起一个月内签订土地出让合同。</w:t>
      </w:r>
    </w:p>
    <w:p w14:paraId="69FD4FF3">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实施监管。改造单元实施监管按照后续签订的监管协议执行。</w:t>
      </w:r>
    </w:p>
    <w:p w14:paraId="33442A15">
      <w:pPr>
        <w:pStyle w:val="2"/>
        <w:rPr>
          <w:rFonts w:ascii="Times New Roman" w:hAnsi="Times New Roman" w:eastAsia="仿宋_GB2312"/>
          <w:sz w:val="32"/>
          <w:szCs w:val="32"/>
        </w:rPr>
      </w:pPr>
    </w:p>
    <w:p w14:paraId="3FE36294">
      <w:pPr>
        <w:pStyle w:val="6"/>
        <w:wordWrap w:val="0"/>
        <w:spacing w:line="580" w:lineRule="exact"/>
        <w:jc w:val="right"/>
        <w:rPr>
          <w:rFonts w:ascii="Times New Roman" w:hAnsi="Times New Roman" w:eastAsia="仿宋_GB2312" w:cs="Times New Roman"/>
          <w:sz w:val="32"/>
          <w:szCs w:val="32"/>
        </w:rPr>
      </w:pPr>
    </w:p>
    <w:p w14:paraId="3CC05992">
      <w:pPr>
        <w:pStyle w:val="6"/>
        <w:wordWrap w:val="0"/>
        <w:spacing w:line="580" w:lineRule="exact"/>
        <w:jc w:val="righ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凤岗镇镇人民政府   </w:t>
      </w:r>
    </w:p>
    <w:p w14:paraId="4AAD80C1">
      <w:pPr>
        <w:ind w:firstLine="5440" w:firstLineChars="1700"/>
        <w:rPr>
          <w:rFonts w:ascii="Times New Roman" w:hAnsi="Times New Roman" w:cs="Times New Roma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bookmarkStart w:id="1" w:name="_GoBack"/>
      <w:bookmarkEnd w:id="1"/>
      <w:r>
        <w:rPr>
          <w:rFonts w:ascii="Times New Roman" w:hAnsi="Times New Roman" w:eastAsia="仿宋_GB2312" w:cs="Times New Roman"/>
          <w:sz w:val="32"/>
          <w:szCs w:val="32"/>
        </w:rPr>
        <w:t xml:space="preserve">日   </w:t>
      </w:r>
    </w:p>
    <w:p w14:paraId="18261DA6"/>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AA8E55-0625-408E-BCE4-76B01E26BF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2E2C767-5EEF-4403-90B7-A971B7545DD3}"/>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3" w:fontKey="{4C0AFF48-1284-43F5-ABF4-397CACFEF7D5}"/>
  </w:font>
  <w:font w:name="方正小标宋简体">
    <w:panose1 w:val="03000509000000000000"/>
    <w:charset w:val="86"/>
    <w:family w:val="auto"/>
    <w:pitch w:val="default"/>
    <w:sig w:usb0="00000001" w:usb1="080E0000" w:usb2="00000000" w:usb3="00000000" w:csb0="00040000" w:csb1="00000000"/>
    <w:embedRegular r:id="rId4" w:fontKey="{FFE05476-D6B9-4755-8BC6-E7B45FA933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D9768">
    <w:pPr>
      <w:pStyle w:val="3"/>
      <w:tabs>
        <w:tab w:val="center" w:pos="4213"/>
        <w:tab w:val="left" w:pos="7588"/>
      </w:tabs>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14:paraId="7EE721B2">
                <w:pPr>
                  <w:pStyle w:val="3"/>
                </w:pPr>
                <w:r>
                  <w:t xml:space="preserve">— </w:t>
                </w:r>
                <w:r>
                  <w:fldChar w:fldCharType="begin"/>
                </w:r>
                <w:r>
                  <w:instrText xml:space="preserve"> PAGE  \* MERGEFORMAT </w:instrText>
                </w:r>
                <w:r>
                  <w:fldChar w:fldCharType="separate"/>
                </w:r>
                <w:r>
                  <w:t>3</w:t>
                </w:r>
                <w:r>
                  <w:fldChar w:fldCharType="end"/>
                </w:r>
                <w:r>
                  <w:t xml:space="preserve"> —</w:t>
                </w:r>
              </w:p>
            </w:txbxContent>
          </v:textbox>
        </v:shape>
      </w:pict>
    </w:r>
    <w:r>
      <w:rPr>
        <w:rFonts w:hint="eastAsia"/>
      </w:rPr>
      <w:tab/>
    </w:r>
    <w:r>
      <w:rPr>
        <w:rFonts w:hint="eastAsia"/>
      </w:rPr>
      <w:tab/>
    </w:r>
  </w:p>
  <w:p w14:paraId="71F99F1A">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9D7F81"/>
    <w:multiLevelType w:val="singleLevel"/>
    <w:tmpl w:val="EE9D7F8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D546E32"/>
    <w:rsid w:val="00295C8A"/>
    <w:rsid w:val="002E6B3E"/>
    <w:rsid w:val="00311284"/>
    <w:rsid w:val="003809DF"/>
    <w:rsid w:val="0041562A"/>
    <w:rsid w:val="00E758EF"/>
    <w:rsid w:val="00F0546A"/>
    <w:rsid w:val="06EE49B3"/>
    <w:rsid w:val="0B3C0A53"/>
    <w:rsid w:val="23B86620"/>
    <w:rsid w:val="24880CB2"/>
    <w:rsid w:val="3EBA6811"/>
    <w:rsid w:val="5D546E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rPr>
      <w:rFonts w:ascii="宋体" w:hAnsi="Courier New" w:eastAsia="宋体" w:cs="Times New Roman"/>
      <w:sz w:val="20"/>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customStyle="1" w:styleId="6">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1096</Words>
  <Characters>1205</Characters>
  <Lines>8</Lines>
  <Paragraphs>2</Paragraphs>
  <TotalTime>4</TotalTime>
  <ScaleCrop>false</ScaleCrop>
  <LinksUpToDate>false</LinksUpToDate>
  <CharactersWithSpaces>1213</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2026-05-12T09:24:00Z</dcterms:created>
  <dc:creator>Feng²²</dc:creator>
  <cp:lastModifiedBy>JIAYI</cp:lastModifiedBy>
  <cp:lastPrinted>2026-06-10T08:58:00Z</cp:lastPrinted>
  <dcterms:modified xsi:type="dcterms:W3CDTF">2026-06-12T07:05:12Z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A8B47C4E5CB74B589C72AAA558DB5764_11</vt:lpwstr>
  </property>
  <property fmtid="{D5CDD505-2E9C-101B-9397-08002B2CF9AE}" pid="4" name="KSOTemplateDocerSaveRecord">
    <vt:lpwstr>eyJoZGlkIjoiYmFiYjcwYTJlYTc4NGU4OThkOTRhZTViYTk2NTUyMzIiLCJ1c2VySWQiOiIxMTU2OTUxMDQyIn0=</vt:lpwstr>
  </property>
</Properties>
</file>