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8344F">
      <w:pPr>
        <w:pStyle w:val="3"/>
        <w:widowControl/>
        <w:spacing w:line="600" w:lineRule="exact"/>
        <w:jc w:val="both"/>
        <w:rPr>
          <w:rFonts w:ascii="Times New Roman" w:hAnsi="Times New Roman"/>
          <w:sz w:val="36"/>
          <w:szCs w:val="36"/>
        </w:rPr>
      </w:pPr>
      <w:r>
        <w:rPr>
          <w:rFonts w:hint="eastAsia" w:ascii="Times New Roman" w:hAnsi="Times New Roman" w:eastAsia="仿宋_GB2312"/>
          <w:bCs/>
          <w:kern w:val="2"/>
          <w:sz w:val="28"/>
          <w:szCs w:val="28"/>
        </w:rPr>
        <w:t>附件</w:t>
      </w:r>
      <w:r>
        <w:rPr>
          <w:rFonts w:ascii="Times New Roman" w:hAnsi="Times New Roman" w:eastAsia="仿宋_GB2312"/>
          <w:bCs/>
          <w:kern w:val="2"/>
          <w:sz w:val="28"/>
          <w:szCs w:val="28"/>
        </w:rPr>
        <w:t>2</w:t>
      </w:r>
      <w:bookmarkStart w:id="0" w:name="OLE_LINK1"/>
      <w:r>
        <w:rPr>
          <w:rFonts w:hint="eastAsia" w:ascii="Times New Roman" w:hAnsi="Times New Roman" w:eastAsia="仿宋_GB2312"/>
          <w:bCs/>
          <w:kern w:val="2"/>
          <w:sz w:val="28"/>
          <w:szCs w:val="28"/>
          <w:lang w:val="en-US" w:eastAsia="zh-CN"/>
        </w:rPr>
        <w:t xml:space="preserve">                    </w:t>
      </w:r>
      <w:bookmarkStart w:id="2" w:name="_GoBack"/>
      <w:bookmarkEnd w:id="2"/>
      <w:r>
        <w:rPr>
          <w:rFonts w:hint="eastAsia" w:ascii="Times New Roman" w:hAnsi="Times New Roman" w:eastAsia="方正小标宋简体"/>
          <w:bCs/>
          <w:kern w:val="2"/>
          <w:sz w:val="36"/>
          <w:szCs w:val="36"/>
        </w:rPr>
        <w:t>项目评分表</w:t>
      </w:r>
    </w:p>
    <w:tbl>
      <w:tblPr>
        <w:tblStyle w:val="4"/>
        <w:tblW w:w="8919" w:type="dxa"/>
        <w:tblInd w:w="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2152"/>
        <w:gridCol w:w="5186"/>
      </w:tblGrid>
      <w:tr w14:paraId="383CA2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18648EF5">
            <w:pPr>
              <w:pStyle w:val="3"/>
              <w:widowControl/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</w:rPr>
              <w:t>评分项目</w:t>
            </w:r>
          </w:p>
        </w:tc>
        <w:tc>
          <w:tcPr>
            <w:tcW w:w="2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70D81B08">
            <w:pPr>
              <w:pStyle w:val="3"/>
              <w:widowControl/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</w:rPr>
              <w:t>分值</w:t>
            </w:r>
          </w:p>
        </w:tc>
        <w:tc>
          <w:tcPr>
            <w:tcW w:w="5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402BD3A">
            <w:pPr>
              <w:pStyle w:val="3"/>
              <w:widowControl/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</w:rPr>
              <w:t>评分指标</w:t>
            </w:r>
          </w:p>
        </w:tc>
      </w:tr>
      <w:tr w14:paraId="34A785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F7A553">
            <w:pPr>
              <w:pStyle w:val="3"/>
              <w:widowControl/>
              <w:wordWrap w:val="0"/>
              <w:spacing w:after="120" w:line="6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价格评价</w:t>
            </w:r>
          </w:p>
          <w:p w14:paraId="13878050">
            <w:pPr>
              <w:pStyle w:val="3"/>
              <w:widowControl/>
              <w:wordWrap w:val="0"/>
              <w:spacing w:after="120" w:line="6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（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分）</w:t>
            </w:r>
          </w:p>
        </w:tc>
        <w:tc>
          <w:tcPr>
            <w:tcW w:w="2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5D9E4C">
            <w:pPr>
              <w:pStyle w:val="3"/>
              <w:widowControl/>
              <w:wordWrap w:val="0"/>
              <w:spacing w:after="120" w:line="600" w:lineRule="exact"/>
              <w:jc w:val="center"/>
              <w:rPr>
                <w:rFonts w:ascii="Times New Roman" w:hAnsi="Times New Roman" w:eastAsia="仿宋_GB2312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2"/>
                <w:sz w:val="22"/>
                <w:szCs w:val="22"/>
              </w:rPr>
              <w:t>报价（</w:t>
            </w:r>
            <w:r>
              <w:rPr>
                <w:rFonts w:ascii="Times New Roman" w:hAnsi="Times New Roman" w:eastAsia="仿宋_GB2312"/>
                <w:kern w:val="2"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 w:eastAsia="仿宋_GB2312"/>
                <w:kern w:val="2"/>
                <w:sz w:val="22"/>
                <w:szCs w:val="22"/>
              </w:rPr>
              <w:t>分）</w:t>
            </w:r>
          </w:p>
        </w:tc>
        <w:tc>
          <w:tcPr>
            <w:tcW w:w="5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4FDBE2CF">
            <w:pPr>
              <w:pStyle w:val="3"/>
              <w:widowControl/>
              <w:wordWrap w:val="0"/>
              <w:spacing w:after="120" w:line="500" w:lineRule="exact"/>
              <w:rPr>
                <w:rFonts w:ascii="Times New Roman" w:hAnsi="Times New Roman" w:eastAsia="仿宋_GB2312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2"/>
                <w:sz w:val="22"/>
                <w:szCs w:val="22"/>
              </w:rPr>
              <w:t>满足比选文件要求且价格最低的有效报价为评审基准价，其报价为满分。其他比选</w:t>
            </w:r>
            <w:bookmarkStart w:id="1" w:name="OLE_LINK2"/>
            <w:r>
              <w:rPr>
                <w:rFonts w:hint="eastAsia" w:ascii="Times New Roman" w:hAnsi="Times New Roman" w:eastAsia="仿宋_GB2312"/>
                <w:kern w:val="2"/>
                <w:sz w:val="22"/>
                <w:szCs w:val="22"/>
              </w:rPr>
              <w:t>供应商</w:t>
            </w:r>
            <w:bookmarkEnd w:id="1"/>
            <w:r>
              <w:rPr>
                <w:rFonts w:hint="eastAsia" w:ascii="Times New Roman" w:hAnsi="Times New Roman" w:eastAsia="仿宋_GB2312"/>
                <w:kern w:val="2"/>
                <w:sz w:val="22"/>
                <w:szCs w:val="22"/>
              </w:rPr>
              <w:t>的分值统一按照下列公式计算：比选供应商报价得分</w:t>
            </w:r>
            <w:r>
              <w:rPr>
                <w:rFonts w:ascii="Times New Roman" w:hAnsi="Times New Roman" w:eastAsia="仿宋_GB2312"/>
                <w:kern w:val="2"/>
                <w:sz w:val="22"/>
                <w:szCs w:val="22"/>
              </w:rPr>
              <w:t>=</w:t>
            </w:r>
            <w:r>
              <w:rPr>
                <w:rFonts w:hint="eastAsia" w:ascii="Times New Roman" w:hAnsi="Times New Roman" w:eastAsia="仿宋_GB2312"/>
                <w:kern w:val="2"/>
                <w:sz w:val="22"/>
                <w:szCs w:val="22"/>
              </w:rPr>
              <w:t>（评审基准价</w:t>
            </w:r>
            <w:r>
              <w:rPr>
                <w:rFonts w:ascii="Times New Roman" w:hAnsi="Times New Roman" w:eastAsia="仿宋_GB2312"/>
                <w:kern w:val="2"/>
                <w:sz w:val="22"/>
                <w:szCs w:val="22"/>
              </w:rPr>
              <w:t>÷</w:t>
            </w:r>
            <w:r>
              <w:rPr>
                <w:rFonts w:hint="eastAsia" w:ascii="Times New Roman" w:hAnsi="Times New Roman" w:eastAsia="仿宋_GB2312"/>
                <w:kern w:val="2"/>
                <w:sz w:val="22"/>
                <w:szCs w:val="22"/>
              </w:rPr>
              <w:t>比选供应商报价）</w:t>
            </w:r>
            <w:r>
              <w:rPr>
                <w:rFonts w:ascii="Times New Roman" w:hAnsi="Times New Roman" w:eastAsia="仿宋_GB2312"/>
                <w:kern w:val="2"/>
                <w:sz w:val="22"/>
                <w:szCs w:val="22"/>
              </w:rPr>
              <w:t>×20</w:t>
            </w:r>
            <w:r>
              <w:rPr>
                <w:rFonts w:hint="eastAsia" w:ascii="Times New Roman" w:hAnsi="Times New Roman" w:eastAsia="仿宋_GB2312"/>
                <w:kern w:val="2"/>
                <w:sz w:val="22"/>
                <w:szCs w:val="22"/>
              </w:rPr>
              <w:t>（精确到</w:t>
            </w:r>
            <w:r>
              <w:rPr>
                <w:rFonts w:ascii="Times New Roman" w:hAnsi="Times New Roman" w:eastAsia="仿宋_GB2312"/>
                <w:kern w:val="2"/>
                <w:sz w:val="22"/>
                <w:szCs w:val="22"/>
              </w:rPr>
              <w:t>0.01</w:t>
            </w:r>
            <w:r>
              <w:rPr>
                <w:rFonts w:hint="eastAsia" w:ascii="Times New Roman" w:hAnsi="Times New Roman" w:eastAsia="仿宋_GB2312"/>
                <w:kern w:val="2"/>
                <w:sz w:val="22"/>
                <w:szCs w:val="22"/>
              </w:rPr>
              <w:t>）。</w:t>
            </w:r>
          </w:p>
        </w:tc>
      </w:tr>
      <w:tr w14:paraId="17DED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5" w:hRule="atLeast"/>
        </w:trPr>
        <w:tc>
          <w:tcPr>
            <w:tcW w:w="1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72E3E0">
            <w:pPr>
              <w:pStyle w:val="3"/>
              <w:widowControl/>
              <w:wordWrap w:val="0"/>
              <w:spacing w:after="120" w:line="6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技术评价</w:t>
            </w:r>
          </w:p>
          <w:p w14:paraId="19E7B77A">
            <w:pPr>
              <w:pStyle w:val="3"/>
              <w:widowControl/>
              <w:wordWrap w:val="0"/>
              <w:spacing w:after="120" w:line="6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（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40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分）</w:t>
            </w:r>
          </w:p>
        </w:tc>
        <w:tc>
          <w:tcPr>
            <w:tcW w:w="2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6BA2AD">
            <w:pPr>
              <w:pStyle w:val="3"/>
              <w:widowControl/>
              <w:wordWrap w:val="0"/>
              <w:spacing w:after="120" w:line="6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项目理解（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40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分）</w:t>
            </w:r>
          </w:p>
        </w:tc>
        <w:tc>
          <w:tcPr>
            <w:tcW w:w="5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11469B97">
            <w:pPr>
              <w:pStyle w:val="3"/>
              <w:widowControl/>
              <w:wordWrap w:val="0"/>
              <w:spacing w:after="120" w:line="500" w:lineRule="exact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项目理解透彻、行程安排、工作计划合理、活动方案有针对性、活动流程详细清晰，应急方案详细完整，整体方案完整、合理，可操作性强的得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33-40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分；</w:t>
            </w:r>
          </w:p>
          <w:p w14:paraId="7170E3A8">
            <w:pPr>
              <w:pStyle w:val="3"/>
              <w:widowControl/>
              <w:wordWrap w:val="0"/>
              <w:spacing w:after="120" w:line="500" w:lineRule="exact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项目理解较透彻、行程安排、工作计划较合理、活动方案有针对性、活动流程良好，应急方案较详细完整，整体方案较完整、合理，可操作性良好的得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25-32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分；</w:t>
            </w:r>
          </w:p>
          <w:p w14:paraId="47904160">
            <w:pPr>
              <w:pStyle w:val="3"/>
              <w:widowControl/>
              <w:wordWrap w:val="0"/>
              <w:spacing w:after="120" w:line="500" w:lineRule="exact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对项目理解不透彻、没有活动方案或行程安排、工作计划合理性较差、方案没针对性、活动流程条理不清，应急方案较差，整体方案较差的得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0-24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分。</w:t>
            </w:r>
          </w:p>
        </w:tc>
      </w:tr>
      <w:tr w14:paraId="0B496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" w:hRule="atLeast"/>
        </w:trPr>
        <w:tc>
          <w:tcPr>
            <w:tcW w:w="158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BBAC0A">
            <w:pPr>
              <w:pStyle w:val="3"/>
              <w:widowControl/>
              <w:wordWrap w:val="0"/>
              <w:spacing w:after="120" w:line="6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商务评价</w:t>
            </w:r>
          </w:p>
          <w:p w14:paraId="6471BE68">
            <w:pPr>
              <w:pStyle w:val="3"/>
              <w:widowControl/>
              <w:wordWrap w:val="0"/>
              <w:spacing w:after="120" w:line="6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（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30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分）</w:t>
            </w:r>
          </w:p>
        </w:tc>
        <w:tc>
          <w:tcPr>
            <w:tcW w:w="2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8412C6">
            <w:pPr>
              <w:pStyle w:val="3"/>
              <w:widowControl/>
              <w:wordWrap w:val="0"/>
              <w:spacing w:after="120" w:line="6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拟投入的人力资源（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分）</w:t>
            </w:r>
          </w:p>
        </w:tc>
        <w:tc>
          <w:tcPr>
            <w:tcW w:w="5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7F08D8A2">
            <w:pPr>
              <w:pStyle w:val="3"/>
              <w:widowControl/>
              <w:wordWrap w:val="0"/>
              <w:spacing w:after="120" w:line="500" w:lineRule="exact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本项目至少有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名全陪、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名地陪，本项最高得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10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分，每减少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人扣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2.5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分；</w:t>
            </w:r>
          </w:p>
          <w:p w14:paraId="69B564FE">
            <w:pPr>
              <w:pStyle w:val="3"/>
              <w:widowControl/>
              <w:wordWrap w:val="0"/>
              <w:spacing w:after="120" w:line="500" w:lineRule="exact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具有中级及以上导游资质证书的，每提供一人得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分；具有初级导游资质证书的，每提供一人得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分。同一人就高不重复计分，本项最高得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10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分。</w:t>
            </w:r>
          </w:p>
        </w:tc>
      </w:tr>
      <w:tr w14:paraId="3C63BE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1581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870AA0">
            <w:pPr>
              <w:pStyle w:val="3"/>
              <w:widowControl/>
              <w:wordWrap w:val="0"/>
              <w:spacing w:after="120" w:line="6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6EB904">
            <w:pPr>
              <w:widowControl/>
              <w:spacing w:after="120" w:line="240" w:lineRule="auto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同类项目业绩（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10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分）</w:t>
            </w:r>
          </w:p>
        </w:tc>
        <w:tc>
          <w:tcPr>
            <w:tcW w:w="518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453C995C">
            <w:pPr>
              <w:widowControl/>
              <w:spacing w:after="120" w:line="500" w:lineRule="exact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2023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年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月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日（以合同签订时间为准）以来比选供应商承接同类项目业绩的，每提供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个业绩合同复印件得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分，最高得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10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分。</w:t>
            </w:r>
          </w:p>
        </w:tc>
      </w:tr>
      <w:tr w14:paraId="4955A3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5" w:hRule="atLeast"/>
        </w:trPr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3F74FF">
            <w:pPr>
              <w:pStyle w:val="3"/>
              <w:widowControl/>
              <w:wordWrap w:val="0"/>
              <w:spacing w:after="120" w:line="600" w:lineRule="exact"/>
              <w:jc w:val="center"/>
              <w:rPr>
                <w:rFonts w:ascii="Times New Roman" w:hAnsi="Times New Roman" w:eastAsia="仿宋_GB2312"/>
                <w:sz w:val="22"/>
                <w:szCs w:val="22"/>
                <w:lang w:val="zh-CN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  <w:lang w:val="zh-CN"/>
              </w:rPr>
              <w:t>服务品质</w:t>
            </w:r>
          </w:p>
          <w:p w14:paraId="359E9570">
            <w:pPr>
              <w:pStyle w:val="3"/>
              <w:widowControl/>
              <w:wordWrap w:val="0"/>
              <w:spacing w:after="120" w:line="6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（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10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分）</w:t>
            </w:r>
          </w:p>
        </w:tc>
        <w:tc>
          <w:tcPr>
            <w:tcW w:w="215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0EFADD">
            <w:pPr>
              <w:pStyle w:val="3"/>
              <w:widowControl/>
              <w:wordWrap w:val="0"/>
              <w:spacing w:after="120" w:line="6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住宿（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4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分）</w:t>
            </w:r>
          </w:p>
        </w:tc>
        <w:tc>
          <w:tcPr>
            <w:tcW w:w="5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ECE1B">
            <w:pPr>
              <w:widowControl/>
              <w:spacing w:after="120" w:line="500" w:lineRule="exact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根据比选供应商提供的住宿管理方案等详细情况进行打分。</w:t>
            </w:r>
          </w:p>
          <w:p w14:paraId="365D7098">
            <w:pPr>
              <w:widowControl/>
              <w:spacing w:after="120" w:line="500" w:lineRule="exact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住宿管理方案合理，满足项目需求的得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4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分；</w:t>
            </w:r>
          </w:p>
          <w:p w14:paraId="364E3539">
            <w:pPr>
              <w:widowControl/>
              <w:spacing w:after="120" w:line="500" w:lineRule="exact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住宿管理方案比较合理，基本满足项目需求的得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分；</w:t>
            </w:r>
          </w:p>
          <w:p w14:paraId="7C7B8E16">
            <w:pPr>
              <w:widowControl/>
              <w:spacing w:after="120" w:line="500" w:lineRule="exact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住宿管理方案合理性有待加强的得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分；</w:t>
            </w:r>
          </w:p>
          <w:p w14:paraId="4C497EFC">
            <w:pPr>
              <w:widowControl/>
              <w:tabs>
                <w:tab w:val="right" w:pos="4937"/>
              </w:tabs>
              <w:spacing w:after="120" w:line="500" w:lineRule="exact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未提及此项不得分。</w:t>
            </w:r>
            <w:r>
              <w:rPr>
                <w:rFonts w:hint="eastAsia" w:ascii="Times New Roman" w:hAnsi="Times New Roman" w:eastAsia="仿宋_GB2312"/>
                <w:b/>
                <w:bCs/>
                <w:snapToGrid w:val="0"/>
                <w:kern w:val="0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sz w:val="22"/>
                <w:szCs w:val="22"/>
              </w:rPr>
              <w:t>需</w:t>
            </w:r>
            <w:r>
              <w:rPr>
                <w:rFonts w:hint="eastAsia" w:ascii="Times New Roman" w:hAnsi="Times New Roman" w:eastAsia="仿宋_GB2312"/>
                <w:b/>
                <w:bCs/>
                <w:snapToGrid w:val="0"/>
                <w:kern w:val="0"/>
                <w:sz w:val="22"/>
                <w:szCs w:val="22"/>
              </w:rPr>
              <w:t>提供相关图片、官网介绍、网络评价等证明材料</w:t>
            </w:r>
            <w:r>
              <w:rPr>
                <w:rFonts w:hint="eastAsia" w:ascii="Times New Roman" w:hAnsi="Times New Roman" w:eastAsia="仿宋_GB2312"/>
                <w:b/>
                <w:bCs/>
                <w:sz w:val="22"/>
                <w:szCs w:val="22"/>
              </w:rPr>
              <w:t>加盖供应商公章编入文件中，未提供的不得分</w:t>
            </w:r>
            <w:r>
              <w:rPr>
                <w:rFonts w:hint="eastAsia" w:ascii="Times New Roman" w:hAnsi="Times New Roman" w:eastAsia="仿宋_GB2312"/>
                <w:b/>
                <w:bCs/>
                <w:snapToGrid w:val="0"/>
                <w:kern w:val="0"/>
                <w:sz w:val="22"/>
                <w:szCs w:val="22"/>
              </w:rPr>
              <w:t>）</w:t>
            </w:r>
          </w:p>
        </w:tc>
      </w:tr>
      <w:tr w14:paraId="41B34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" w:hRule="atLeast"/>
        </w:trPr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2F8D4999">
            <w:pPr>
              <w:pStyle w:val="3"/>
              <w:widowControl/>
              <w:wordWrap w:val="0"/>
              <w:spacing w:after="120" w:line="6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3C2C27">
            <w:pPr>
              <w:pStyle w:val="3"/>
              <w:widowControl/>
              <w:wordWrap w:val="0"/>
              <w:spacing w:after="120" w:line="6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餐饮（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分）</w:t>
            </w:r>
          </w:p>
        </w:tc>
        <w:tc>
          <w:tcPr>
            <w:tcW w:w="5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E97D4">
            <w:pPr>
              <w:widowControl/>
              <w:spacing w:after="120" w:line="240" w:lineRule="auto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2"/>
                <w:szCs w:val="22"/>
              </w:rPr>
              <w:t>根据比选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供应商提供的饮食计划方案，包括但不限于</w:t>
            </w:r>
            <w:r>
              <w:rPr>
                <w:rFonts w:hint="eastAsia" w:ascii="Times New Roman" w:hAnsi="Times New Roman" w:eastAsia="仿宋_GB2312"/>
                <w:sz w:val="22"/>
                <w:szCs w:val="22"/>
                <w:lang w:val="en-US" w:eastAsia="zh-CN"/>
              </w:rPr>
              <w:t>参观见学活动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过程中各餐标准及荤素搭配等情况进行打分。</w:t>
            </w:r>
          </w:p>
          <w:p w14:paraId="0047BFF3">
            <w:pPr>
              <w:widowControl/>
              <w:spacing w:after="120" w:line="240" w:lineRule="auto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饮食荤素搭配均衡、营养丰富的得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分；</w:t>
            </w:r>
          </w:p>
          <w:p w14:paraId="3B238F1F">
            <w:pPr>
              <w:widowControl/>
              <w:spacing w:after="120" w:line="240" w:lineRule="auto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荤素搭配较均衡、品种较少的得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分；</w:t>
            </w:r>
          </w:p>
          <w:p w14:paraId="0993C208">
            <w:pPr>
              <w:widowControl/>
              <w:spacing w:after="120" w:line="240" w:lineRule="auto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荤素不均衡的得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分；</w:t>
            </w:r>
          </w:p>
          <w:p w14:paraId="4F18A128">
            <w:pPr>
              <w:widowControl/>
              <w:tabs>
                <w:tab w:val="right" w:pos="4937"/>
              </w:tabs>
              <w:spacing w:after="120" w:line="240" w:lineRule="auto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未提及此项不得分。</w:t>
            </w:r>
            <w:r>
              <w:rPr>
                <w:rFonts w:hint="eastAsia" w:ascii="Times New Roman" w:hAnsi="Times New Roman" w:eastAsia="仿宋_GB2312"/>
                <w:b/>
                <w:bCs/>
                <w:snapToGrid w:val="0"/>
                <w:kern w:val="0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sz w:val="22"/>
                <w:szCs w:val="22"/>
              </w:rPr>
              <w:t>需</w:t>
            </w:r>
            <w:r>
              <w:rPr>
                <w:rFonts w:hint="eastAsia" w:ascii="Times New Roman" w:hAnsi="Times New Roman" w:eastAsia="仿宋_GB2312"/>
                <w:b/>
                <w:bCs/>
                <w:snapToGrid w:val="0"/>
                <w:kern w:val="0"/>
                <w:sz w:val="22"/>
                <w:szCs w:val="22"/>
              </w:rPr>
              <w:t>提供相关图片、官网介绍、网络评价等证明材料</w:t>
            </w:r>
            <w:r>
              <w:rPr>
                <w:rFonts w:hint="eastAsia" w:ascii="Times New Roman" w:hAnsi="Times New Roman" w:eastAsia="仿宋_GB2312"/>
                <w:b/>
                <w:bCs/>
                <w:sz w:val="22"/>
                <w:szCs w:val="22"/>
              </w:rPr>
              <w:t>加盖供应商公章编入文件中，未提供的不得分</w:t>
            </w:r>
            <w:r>
              <w:rPr>
                <w:rFonts w:hint="eastAsia" w:ascii="Times New Roman" w:hAnsi="Times New Roman" w:eastAsia="仿宋_GB2312"/>
                <w:b/>
                <w:bCs/>
                <w:snapToGrid w:val="0"/>
                <w:kern w:val="0"/>
                <w:sz w:val="22"/>
                <w:szCs w:val="22"/>
              </w:rPr>
              <w:t>）</w:t>
            </w:r>
          </w:p>
        </w:tc>
      </w:tr>
      <w:tr w14:paraId="26DEDC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" w:hRule="atLeast"/>
        </w:trPr>
        <w:tc>
          <w:tcPr>
            <w:tcW w:w="15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1C553CE9">
            <w:pPr>
              <w:pStyle w:val="3"/>
              <w:widowControl/>
              <w:wordWrap w:val="0"/>
              <w:spacing w:after="120" w:line="6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E8EBBE">
            <w:pPr>
              <w:pStyle w:val="3"/>
              <w:widowControl/>
              <w:wordWrap w:val="0"/>
              <w:spacing w:after="120" w:line="6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用车（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分）</w:t>
            </w:r>
          </w:p>
        </w:tc>
        <w:tc>
          <w:tcPr>
            <w:tcW w:w="5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CA7E">
            <w:pPr>
              <w:widowControl/>
              <w:tabs>
                <w:tab w:val="right" w:pos="4937"/>
              </w:tabs>
              <w:spacing w:after="120" w:line="240" w:lineRule="auto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承诺拟投入巴士为近两年新车的得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分；</w:t>
            </w:r>
          </w:p>
          <w:p w14:paraId="0FDB304F">
            <w:pPr>
              <w:widowControl/>
              <w:tabs>
                <w:tab w:val="right" w:pos="4937"/>
              </w:tabs>
              <w:spacing w:after="120" w:line="240" w:lineRule="auto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承诺拟投入巴士为近三年新车的得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分；</w:t>
            </w:r>
          </w:p>
          <w:p w14:paraId="6306653B">
            <w:pPr>
              <w:widowControl/>
              <w:tabs>
                <w:tab w:val="right" w:pos="4937"/>
              </w:tabs>
              <w:spacing w:after="120" w:line="240" w:lineRule="auto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承诺拟投入巴士为近四年新车的得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分；</w:t>
            </w:r>
          </w:p>
          <w:p w14:paraId="37DE8E70">
            <w:pPr>
              <w:widowControl/>
              <w:tabs>
                <w:tab w:val="right" w:pos="4937"/>
              </w:tabs>
              <w:spacing w:after="120" w:line="240" w:lineRule="auto"/>
              <w:jc w:val="left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承诺拟投入巴士为近五年新车的不得分。</w:t>
            </w:r>
          </w:p>
        </w:tc>
      </w:tr>
      <w:tr w14:paraId="13B8CF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158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64C45CC">
            <w:pPr>
              <w:pStyle w:val="3"/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合计</w:t>
            </w:r>
          </w:p>
        </w:tc>
        <w:tc>
          <w:tcPr>
            <w:tcW w:w="2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7E8820B">
            <w:pPr>
              <w:pStyle w:val="3"/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100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分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br w:type="textWrapping"/>
            </w:r>
          </w:p>
        </w:tc>
        <w:tc>
          <w:tcPr>
            <w:tcW w:w="5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250CC">
            <w:pPr>
              <w:spacing w:line="600" w:lineRule="exact"/>
              <w:jc w:val="both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bookmarkEnd w:id="0"/>
    </w:tbl>
    <w:p w14:paraId="4B2677D7">
      <w:pPr>
        <w:spacing w:after="0" w:line="240" w:lineRule="auto"/>
        <w:rPr>
          <w:rFonts w:hint="default"/>
          <w:lang w:val="en-US" w:eastAsia="zh-CN"/>
        </w:rPr>
      </w:pPr>
    </w:p>
    <w:sectPr>
      <w:pgSz w:w="11906" w:h="16838"/>
      <w:pgMar w:top="1440" w:right="1576" w:bottom="1417" w:left="1576" w:header="851" w:footer="992" w:gutter="0"/>
      <w:cols w:space="0" w:num="1"/>
      <w:docGrid w:type="lines" w:linePitch="31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63249"/>
    <w:rsid w:val="0DE45A08"/>
    <w:rsid w:val="1E365D9A"/>
    <w:rsid w:val="20186710"/>
    <w:rsid w:val="2D7828F8"/>
    <w:rsid w:val="2F7A4F90"/>
    <w:rsid w:val="31B326A2"/>
    <w:rsid w:val="36652962"/>
    <w:rsid w:val="430156BE"/>
    <w:rsid w:val="46D544C0"/>
    <w:rsid w:val="4A4E6A63"/>
    <w:rsid w:val="4CA155BD"/>
    <w:rsid w:val="59A541C5"/>
    <w:rsid w:val="6F177F4F"/>
    <w:rsid w:val="73534B24"/>
    <w:rsid w:val="74583E2C"/>
    <w:rsid w:val="7EEE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920</Words>
  <Characters>971</Characters>
  <Lines>0</Lines>
  <Paragraphs>0</Paragraphs>
  <TotalTime>5</TotalTime>
  <ScaleCrop>false</ScaleCrop>
  <LinksUpToDate>false</LinksUpToDate>
  <CharactersWithSpaces>971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2025-12-30T01:46:00Z</dcterms:created>
  <dc:creator>Administrator</dc:creator>
  <cp:lastModifiedBy>马慧茹</cp:lastModifiedBy>
  <cp:lastPrinted>2026-05-26T01:36:03Z</cp:lastPrinted>
  <dcterms:modified xsi:type="dcterms:W3CDTF">2026-05-26T01:37:46Z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eyJoZGlkIjoiZjZiZTA1YjZkMzVmYTA5NzA3MTM3ZTYxZmMxYTAxOTQiLCJ1c2VySWQiOiIxNzY2NDg0MjkyIn0=</vt:lpwstr>
  </property>
  <property fmtid="{D5CDD505-2E9C-101B-9397-08002B2CF9AE}" pid="4" name="ICV">
    <vt:lpwstr>31EF760142B147A28474E1FEA7245BAA_13</vt:lpwstr>
  </property>
</Properties>
</file>