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C4324F">
      <w:pPr>
        <w:spacing w:line="360" w:lineRule="auto"/>
        <w:jc w:val="center"/>
        <w:rPr>
          <w:rFonts w:hint="eastAsia" w:ascii="方正小标宋简体" w:hAnsi="方正小标宋简体" w:eastAsia="方正小标宋简体" w:cs="方正小标宋简体"/>
          <w:sz w:val="40"/>
          <w:szCs w:val="40"/>
        </w:rPr>
      </w:pPr>
      <w:r>
        <w:rPr>
          <w:rFonts w:hint="eastAsia" w:ascii="方正小标宋简体" w:hAnsi="方正小标宋简体" w:eastAsia="方正小标宋简体" w:cs="方正小标宋简体"/>
          <w:sz w:val="40"/>
          <w:szCs w:val="40"/>
        </w:rPr>
        <w:t>《广东省历史文化名村东莞市凤岗镇黄洞村保护规划（2021-2035年）》</w:t>
      </w:r>
    </w:p>
    <w:p w14:paraId="3DCAF3B7">
      <w:pPr>
        <w:spacing w:line="360" w:lineRule="auto"/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批后成果公示稿（简本）</w:t>
      </w:r>
    </w:p>
    <w:p w14:paraId="625A4ACA">
      <w:pPr>
        <w:spacing w:line="360" w:lineRule="auto"/>
        <w:ind w:firstLine="562" w:firstLineChars="200"/>
        <w:rPr>
          <w:rFonts w:hint="eastAsia" w:ascii="宋体" w:hAnsi="宋体" w:cs="宋体"/>
          <w:b/>
          <w:bCs/>
          <w:kern w:val="0"/>
          <w:sz w:val="28"/>
          <w:szCs w:val="28"/>
          <w:lang w:bidi="ar"/>
        </w:rPr>
      </w:pPr>
    </w:p>
    <w:p w14:paraId="2DF4866D">
      <w:pPr>
        <w:spacing w:line="360" w:lineRule="auto"/>
        <w:ind w:firstLine="562" w:firstLineChars="200"/>
        <w:rPr>
          <w:rFonts w:hint="eastAsia" w:ascii="宋体" w:hAnsi="宋体" w:cs="宋体"/>
          <w:b/>
          <w:bCs/>
          <w:kern w:val="0"/>
          <w:sz w:val="28"/>
          <w:szCs w:val="28"/>
          <w:lang w:bidi="ar"/>
        </w:rPr>
      </w:pPr>
      <w:r>
        <w:rPr>
          <w:rFonts w:hint="eastAsia" w:ascii="宋体" w:hAnsi="宋体" w:cs="宋体"/>
          <w:b/>
          <w:bCs/>
          <w:kern w:val="0"/>
          <w:sz w:val="28"/>
          <w:szCs w:val="28"/>
          <w:lang w:bidi="ar"/>
        </w:rPr>
        <w:t>一、规划概述</w:t>
      </w:r>
    </w:p>
    <w:p w14:paraId="682A6EE8">
      <w:pPr>
        <w:spacing w:line="360" w:lineRule="auto"/>
        <w:ind w:firstLine="482" w:firstLineChars="200"/>
        <w:rPr>
          <w:rFonts w:hint="eastAsia" w:ascii="宋体" w:hAnsi="宋体" w:cs="宋体"/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1.编制</w:t>
      </w:r>
      <w:r>
        <w:rPr>
          <w:rFonts w:hint="eastAsia" w:ascii="宋体" w:hAnsi="宋体" w:cs="宋体"/>
          <w:b/>
          <w:bCs/>
          <w:sz w:val="24"/>
          <w:szCs w:val="24"/>
        </w:rPr>
        <w:t>目的</w:t>
      </w:r>
    </w:p>
    <w:p w14:paraId="0C5F23B6">
      <w:pPr>
        <w:spacing w:line="360" w:lineRule="auto"/>
        <w:ind w:firstLine="480" w:firstLineChars="200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为切实保护好广东省历史文化名村黄洞村的历史文化遗产，推进科学管理和合理利用，促进城乡高质量发展，响应粤港澳大湾区建设文化湾区的战略，根据《中华人民共和国城乡规划法》《中华人民共和国文物保护法》《历史文化名城名镇名村保护条例》的有关规定，编制本规划。</w:t>
      </w:r>
    </w:p>
    <w:p w14:paraId="3E0FDBA3">
      <w:pPr>
        <w:spacing w:line="360" w:lineRule="auto"/>
        <w:ind w:firstLine="482" w:firstLineChars="200"/>
        <w:rPr>
          <w:rFonts w:hint="eastAsia" w:ascii="宋体" w:hAnsi="宋体" w:cs="宋体"/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2</w:t>
      </w:r>
      <w:r>
        <w:rPr>
          <w:rFonts w:hint="eastAsia" w:ascii="宋体" w:hAnsi="宋体" w:cs="宋体"/>
          <w:b/>
          <w:bCs/>
          <w:sz w:val="24"/>
          <w:szCs w:val="24"/>
        </w:rPr>
        <w:t>.规划目标</w:t>
      </w:r>
    </w:p>
    <w:p w14:paraId="68B2A040">
      <w:pPr>
        <w:spacing w:line="360" w:lineRule="auto"/>
        <w:ind w:firstLine="480" w:firstLineChars="200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指导黄洞村历史文化名村保护工作，改善人居环境，积极推进历史文化名村的活化与展示，实现历史文化遗产及环境的有效保护和永续利用，激发地区社会经济活力，提升东莞市客侨文化影响力。</w:t>
      </w:r>
    </w:p>
    <w:p w14:paraId="5CD020DD">
      <w:pPr>
        <w:spacing w:line="360" w:lineRule="auto"/>
        <w:ind w:firstLine="482" w:firstLineChars="200"/>
        <w:rPr>
          <w:rFonts w:hint="eastAsia" w:ascii="宋体" w:hAnsi="宋体" w:cs="宋体"/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3</w:t>
      </w:r>
      <w:r>
        <w:rPr>
          <w:rFonts w:hint="eastAsia" w:ascii="宋体" w:hAnsi="宋体" w:cs="宋体"/>
          <w:b/>
          <w:bCs/>
          <w:sz w:val="24"/>
          <w:szCs w:val="24"/>
        </w:rPr>
        <w:t>.规划范围与期限</w:t>
      </w:r>
    </w:p>
    <w:p w14:paraId="3789A59D">
      <w:pPr>
        <w:spacing w:line="360" w:lineRule="auto"/>
        <w:ind w:firstLine="482"/>
        <w:rPr>
          <w:rFonts w:hint="eastAsia" w:ascii="宋体" w:hAnsi="宋体" w:cs="宋体"/>
          <w:b/>
          <w:bCs/>
          <w:sz w:val="24"/>
          <w:szCs w:val="24"/>
        </w:rPr>
      </w:pPr>
      <w:r>
        <w:rPr>
          <w:rFonts w:hint="eastAsia" w:ascii="宋体" w:hAnsi="宋体" w:cs="宋体"/>
          <w:b/>
          <w:bCs/>
          <w:sz w:val="24"/>
          <w:szCs w:val="24"/>
        </w:rPr>
        <w:t>（</w:t>
      </w:r>
      <w:r>
        <w:rPr>
          <w:rFonts w:hint="eastAsia"/>
          <w:b/>
          <w:bCs/>
          <w:sz w:val="24"/>
          <w:szCs w:val="24"/>
        </w:rPr>
        <w:t>1</w:t>
      </w:r>
      <w:r>
        <w:rPr>
          <w:rFonts w:hint="eastAsia" w:ascii="宋体" w:hAnsi="宋体" w:cs="宋体"/>
          <w:b/>
          <w:bCs/>
          <w:sz w:val="24"/>
          <w:szCs w:val="24"/>
        </w:rPr>
        <w:t>）规划范围</w:t>
      </w:r>
    </w:p>
    <w:p w14:paraId="269731B6">
      <w:pPr>
        <w:spacing w:line="360" w:lineRule="auto"/>
        <w:ind w:firstLine="482"/>
        <w:rPr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规划范围为黄洞村行政范围全域，总面积约为</w:t>
      </w:r>
      <w:r>
        <w:rPr>
          <w:sz w:val="24"/>
          <w:szCs w:val="24"/>
        </w:rPr>
        <w:t>11.7平方公里。</w:t>
      </w:r>
    </w:p>
    <w:p w14:paraId="7FC21DB6">
      <w:pPr>
        <w:spacing w:line="360" w:lineRule="auto"/>
        <w:ind w:firstLine="482"/>
        <w:rPr>
          <w:rFonts w:hint="eastAsia" w:ascii="宋体" w:hAnsi="宋体" w:cs="宋体"/>
          <w:sz w:val="24"/>
          <w:szCs w:val="24"/>
        </w:rPr>
      </w:pPr>
      <w:r>
        <w:rPr>
          <w:sz w:val="24"/>
          <w:szCs w:val="24"/>
        </w:rPr>
        <w:t>确定传统风貌较完整地段作为名村保护范围，面积17.99公</w:t>
      </w:r>
      <w:r>
        <w:rPr>
          <w:rFonts w:hint="eastAsia" w:ascii="宋体" w:hAnsi="宋体" w:cs="宋体"/>
          <w:sz w:val="24"/>
          <w:szCs w:val="24"/>
        </w:rPr>
        <w:t>顷。</w:t>
      </w:r>
    </w:p>
    <w:p w14:paraId="1EBE98BA">
      <w:pPr>
        <w:spacing w:line="360" w:lineRule="auto"/>
        <w:ind w:firstLine="482"/>
        <w:rPr>
          <w:rFonts w:hint="eastAsia" w:ascii="宋体" w:hAnsi="宋体" w:cs="宋体"/>
          <w:b/>
          <w:bCs/>
          <w:sz w:val="24"/>
          <w:szCs w:val="24"/>
        </w:rPr>
      </w:pPr>
      <w:r>
        <w:rPr>
          <w:rFonts w:hint="eastAsia" w:ascii="宋体" w:hAnsi="宋体" w:cs="宋体"/>
          <w:b/>
          <w:bCs/>
          <w:sz w:val="24"/>
          <w:szCs w:val="24"/>
        </w:rPr>
        <w:t>（</w:t>
      </w:r>
      <w:r>
        <w:rPr>
          <w:rFonts w:hint="eastAsia"/>
          <w:b/>
          <w:bCs/>
          <w:sz w:val="24"/>
          <w:szCs w:val="24"/>
        </w:rPr>
        <w:t>2</w:t>
      </w:r>
      <w:r>
        <w:rPr>
          <w:rFonts w:hint="eastAsia" w:ascii="宋体" w:hAnsi="宋体" w:cs="宋体"/>
          <w:b/>
          <w:bCs/>
          <w:sz w:val="24"/>
          <w:szCs w:val="24"/>
        </w:rPr>
        <w:t>）规划期限</w:t>
      </w:r>
    </w:p>
    <w:p w14:paraId="10F5CF3F">
      <w:pPr>
        <w:spacing w:line="360" w:lineRule="auto"/>
        <w:ind w:firstLine="480" w:firstLineChars="200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生效日期：本规划经广东省人民政府批准后，自公布之日起开始实施。</w:t>
      </w:r>
    </w:p>
    <w:p w14:paraId="411C55CA">
      <w:pPr>
        <w:spacing w:line="360" w:lineRule="auto"/>
        <w:ind w:firstLine="480" w:firstLineChars="200"/>
        <w:rPr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规划期限：本期规划期限为2</w:t>
      </w:r>
      <w:r>
        <w:rPr>
          <w:sz w:val="24"/>
          <w:szCs w:val="24"/>
        </w:rPr>
        <w:t>021-2035年。其中，近期保护与建设行动措施的期限为5年，即2021-2025年，远期保护与建设相关行动措施的期限为2026-2035年。</w:t>
      </w:r>
    </w:p>
    <w:p w14:paraId="7713FF2B">
      <w:pPr>
        <w:spacing w:line="480" w:lineRule="auto"/>
        <w:ind w:firstLine="480"/>
        <w:rPr>
          <w:rFonts w:hint="eastAsia" w:ascii="宋体" w:hAnsi="宋体" w:cs="宋体"/>
          <w:sz w:val="24"/>
          <w:szCs w:val="24"/>
        </w:rPr>
      </w:pPr>
    </w:p>
    <w:p w14:paraId="55311E30">
      <w:pPr>
        <w:spacing w:line="360" w:lineRule="auto"/>
        <w:ind w:firstLine="562" w:firstLineChars="200"/>
        <w:rPr>
          <w:rFonts w:hint="eastAsia" w:ascii="宋体" w:hAnsi="宋体" w:cs="宋体"/>
          <w:b/>
          <w:bCs/>
          <w:sz w:val="28"/>
          <w:szCs w:val="28"/>
        </w:rPr>
      </w:pPr>
      <w:r>
        <w:rPr>
          <w:rFonts w:hint="eastAsia" w:ascii="宋体" w:hAnsi="宋体" w:cs="宋体"/>
          <w:b/>
          <w:bCs/>
          <w:sz w:val="28"/>
          <w:szCs w:val="28"/>
        </w:rPr>
        <w:t>二、历史文化价值与特色</w:t>
      </w:r>
    </w:p>
    <w:p w14:paraId="58600428">
      <w:pPr>
        <w:spacing w:line="360" w:lineRule="auto"/>
        <w:ind w:firstLine="482" w:firstLineChars="200"/>
        <w:rPr>
          <w:rFonts w:hint="eastAsia" w:ascii="宋体" w:hAnsi="宋体" w:cs="宋体"/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1.</w:t>
      </w:r>
      <w:r>
        <w:rPr>
          <w:rFonts w:hint="eastAsia" w:ascii="宋体" w:hAnsi="宋体" w:cs="宋体"/>
          <w:b/>
          <w:bCs/>
          <w:sz w:val="24"/>
          <w:szCs w:val="24"/>
        </w:rPr>
        <w:t>历史文化价值</w:t>
      </w:r>
    </w:p>
    <w:p w14:paraId="768C61DF">
      <w:pPr>
        <w:spacing w:line="360" w:lineRule="auto"/>
        <w:ind w:firstLine="480" w:firstLineChars="200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（</w:t>
      </w:r>
      <w:r>
        <w:rPr>
          <w:sz w:val="24"/>
          <w:szCs w:val="24"/>
        </w:rPr>
        <w:t>1</w:t>
      </w:r>
      <w:r>
        <w:rPr>
          <w:rFonts w:hint="eastAsia" w:ascii="宋体" w:hAnsi="宋体" w:cs="宋体"/>
          <w:sz w:val="24"/>
          <w:szCs w:val="24"/>
        </w:rPr>
        <w:t>）东莞客侨聚落历史发展的见证。</w:t>
      </w:r>
    </w:p>
    <w:p w14:paraId="0293A512">
      <w:pPr>
        <w:spacing w:line="360" w:lineRule="auto"/>
        <w:ind w:firstLine="480" w:firstLineChars="200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（</w:t>
      </w:r>
      <w:r>
        <w:rPr>
          <w:rFonts w:hint="eastAsia"/>
          <w:sz w:val="24"/>
          <w:szCs w:val="24"/>
        </w:rPr>
        <w:t>2</w:t>
      </w:r>
      <w:r>
        <w:rPr>
          <w:rFonts w:hint="eastAsia" w:ascii="宋体" w:hAnsi="宋体" w:cs="宋体"/>
          <w:sz w:val="24"/>
          <w:szCs w:val="24"/>
        </w:rPr>
        <w:t>）布局科学合理，蕴含传统堪舆文化意蕴。</w:t>
      </w:r>
    </w:p>
    <w:p w14:paraId="75305D28">
      <w:pPr>
        <w:spacing w:line="360" w:lineRule="auto"/>
        <w:ind w:firstLine="480" w:firstLineChars="200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（</w:t>
      </w:r>
      <w:r>
        <w:rPr>
          <w:rFonts w:hint="eastAsia"/>
          <w:sz w:val="24"/>
          <w:szCs w:val="24"/>
        </w:rPr>
        <w:t>3</w:t>
      </w:r>
      <w:r>
        <w:rPr>
          <w:rFonts w:hint="eastAsia" w:ascii="宋体" w:hAnsi="宋体" w:cs="宋体"/>
          <w:sz w:val="24"/>
          <w:szCs w:val="24"/>
        </w:rPr>
        <w:t>）融合中西艺术的客侨建筑艺术。</w:t>
      </w:r>
    </w:p>
    <w:p w14:paraId="5B72BB85">
      <w:pPr>
        <w:pStyle w:val="9"/>
        <w:spacing w:line="360" w:lineRule="auto"/>
        <w:ind w:left="480" w:firstLine="0" w:firstLineChars="0"/>
        <w:rPr>
          <w:rFonts w:hint="eastAsia" w:ascii="宋体" w:hAnsi="宋体" w:cs="宋体"/>
          <w:b/>
          <w:bCs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（</w:t>
      </w:r>
      <w:r>
        <w:rPr>
          <w:rFonts w:hint="eastAsia"/>
          <w:sz w:val="24"/>
          <w:szCs w:val="24"/>
        </w:rPr>
        <w:t>4</w:t>
      </w:r>
      <w:r>
        <w:rPr>
          <w:rFonts w:hint="eastAsia" w:ascii="宋体" w:hAnsi="宋体" w:cs="宋体"/>
          <w:sz w:val="24"/>
          <w:szCs w:val="24"/>
        </w:rPr>
        <w:t>）广东“客侨”文化重要传播地。</w:t>
      </w:r>
    </w:p>
    <w:p w14:paraId="5B90D520">
      <w:pPr>
        <w:spacing w:line="360" w:lineRule="auto"/>
        <w:ind w:firstLine="482" w:firstLineChars="200"/>
        <w:rPr>
          <w:rFonts w:hint="eastAsia" w:ascii="宋体" w:hAnsi="宋体" w:cs="宋体"/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2</w:t>
      </w:r>
      <w:r>
        <w:rPr>
          <w:rFonts w:hint="eastAsia" w:ascii="宋体" w:hAnsi="宋体" w:cs="宋体"/>
          <w:b/>
          <w:bCs/>
          <w:sz w:val="24"/>
          <w:szCs w:val="24"/>
        </w:rPr>
        <w:t>.历史文化特色</w:t>
      </w:r>
    </w:p>
    <w:p w14:paraId="5E4D1779">
      <w:pPr>
        <w:spacing w:line="360" w:lineRule="auto"/>
        <w:ind w:firstLine="480" w:firstLineChars="200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（</w:t>
      </w:r>
      <w:r>
        <w:rPr>
          <w:sz w:val="24"/>
          <w:szCs w:val="24"/>
        </w:rPr>
        <w:t>1</w:t>
      </w:r>
      <w:r>
        <w:rPr>
          <w:rFonts w:hint="eastAsia" w:ascii="宋体" w:hAnsi="宋体" w:cs="宋体"/>
          <w:sz w:val="24"/>
          <w:szCs w:val="24"/>
        </w:rPr>
        <w:t>）“山-水-林-村”山水格局特色。</w:t>
      </w:r>
    </w:p>
    <w:p w14:paraId="4E8A578B">
      <w:pPr>
        <w:spacing w:line="360" w:lineRule="auto"/>
        <w:ind w:firstLine="480" w:firstLineChars="200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（</w:t>
      </w:r>
      <w:r>
        <w:rPr>
          <w:rFonts w:hint="eastAsia"/>
          <w:sz w:val="24"/>
          <w:szCs w:val="24"/>
        </w:rPr>
        <w:t>2</w:t>
      </w:r>
      <w:r>
        <w:rPr>
          <w:rFonts w:hint="eastAsia" w:ascii="宋体" w:hAnsi="宋体" w:cs="宋体"/>
          <w:sz w:val="24"/>
          <w:szCs w:val="24"/>
        </w:rPr>
        <w:t>）规划科学合理、具有风水意蕴的客侨村落空间格局特色。</w:t>
      </w:r>
    </w:p>
    <w:p w14:paraId="2C4D607D">
      <w:pPr>
        <w:spacing w:line="360" w:lineRule="auto"/>
        <w:ind w:firstLine="480" w:firstLineChars="200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（</w:t>
      </w:r>
      <w:r>
        <w:rPr>
          <w:rFonts w:hint="eastAsia"/>
          <w:sz w:val="24"/>
          <w:szCs w:val="24"/>
        </w:rPr>
        <w:t>3</w:t>
      </w:r>
      <w:r>
        <w:rPr>
          <w:rFonts w:hint="eastAsia" w:ascii="宋体" w:hAnsi="宋体" w:cs="宋体"/>
          <w:sz w:val="24"/>
          <w:szCs w:val="24"/>
        </w:rPr>
        <w:t>）富有客侨特色的排屋楼建筑群。</w:t>
      </w:r>
    </w:p>
    <w:p w14:paraId="2F7B71F4">
      <w:pPr>
        <w:spacing w:line="360" w:lineRule="auto"/>
        <w:ind w:firstLine="480" w:firstLineChars="200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（</w:t>
      </w:r>
      <w:r>
        <w:rPr>
          <w:rFonts w:hint="eastAsia"/>
          <w:sz w:val="24"/>
          <w:szCs w:val="24"/>
        </w:rPr>
        <w:t>4</w:t>
      </w:r>
      <w:r>
        <w:rPr>
          <w:rFonts w:hint="eastAsia" w:ascii="宋体" w:hAnsi="宋体" w:cs="宋体"/>
          <w:sz w:val="24"/>
          <w:szCs w:val="24"/>
        </w:rPr>
        <w:t>）多元的历史人文遗产。</w:t>
      </w:r>
    </w:p>
    <w:p w14:paraId="2DCF6F9D">
      <w:pPr>
        <w:spacing w:line="360" w:lineRule="auto"/>
        <w:ind w:firstLine="560" w:firstLineChars="200"/>
        <w:rPr>
          <w:rFonts w:hint="eastAsia" w:ascii="宋体" w:hAnsi="宋体" w:cs="宋体"/>
          <w:sz w:val="28"/>
          <w:szCs w:val="28"/>
        </w:rPr>
      </w:pPr>
    </w:p>
    <w:p w14:paraId="09F9A8F0">
      <w:pPr>
        <w:spacing w:line="360" w:lineRule="auto"/>
        <w:ind w:firstLine="562" w:firstLineChars="200"/>
        <w:rPr>
          <w:rFonts w:hint="eastAsia" w:ascii="宋体" w:hAnsi="宋体" w:cs="宋体"/>
          <w:b/>
          <w:bCs/>
          <w:sz w:val="28"/>
          <w:szCs w:val="28"/>
        </w:rPr>
      </w:pPr>
      <w:r>
        <w:rPr>
          <w:rFonts w:hint="eastAsia" w:ascii="宋体" w:hAnsi="宋体" w:cs="宋体"/>
          <w:b/>
          <w:bCs/>
          <w:sz w:val="28"/>
          <w:szCs w:val="28"/>
        </w:rPr>
        <w:t>三、保护范围及保护控制措施</w:t>
      </w:r>
    </w:p>
    <w:p w14:paraId="49D2BCEE">
      <w:pPr>
        <w:spacing w:line="360" w:lineRule="auto"/>
        <w:ind w:firstLine="480" w:firstLineChars="200"/>
        <w:rPr>
          <w:sz w:val="24"/>
          <w:szCs w:val="24"/>
        </w:rPr>
      </w:pPr>
      <w:r>
        <w:rPr>
          <w:sz w:val="24"/>
          <w:szCs w:val="24"/>
        </w:rPr>
        <w:t>黄洞村历史文化名村保护范围总面积17.99公顷，其中核心保护范围3.06公顷，分别为田心村新围核心保护范围、田心村旧围核心保护范围和岭南村核心保护范围；建设控制地带14.93公顷，分别为田心村新围片区以及田心村旧围和岭南村片区。</w:t>
      </w:r>
    </w:p>
    <w:p w14:paraId="34A6C3B7">
      <w:pPr>
        <w:spacing w:line="360" w:lineRule="auto"/>
        <w:ind w:firstLine="482" w:firstLineChars="20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1.核心保护范围划定和保护控制要求</w:t>
      </w:r>
    </w:p>
    <w:p w14:paraId="7CAF015E">
      <w:pPr>
        <w:spacing w:line="360" w:lineRule="auto"/>
        <w:ind w:firstLine="480" w:firstLineChars="200"/>
        <w:rPr>
          <w:sz w:val="24"/>
          <w:szCs w:val="24"/>
        </w:rPr>
      </w:pPr>
      <w:r>
        <w:rPr>
          <w:sz w:val="24"/>
          <w:szCs w:val="24"/>
        </w:rPr>
        <w:t>1.1 核心保护范围由以下部分组成：</w:t>
      </w:r>
    </w:p>
    <w:p w14:paraId="60384C0F">
      <w:pPr>
        <w:spacing w:line="360" w:lineRule="auto"/>
        <w:ind w:firstLine="480" w:firstLineChars="200"/>
        <w:rPr>
          <w:sz w:val="24"/>
          <w:szCs w:val="24"/>
        </w:rPr>
      </w:pPr>
      <w:r>
        <w:rPr>
          <w:sz w:val="24"/>
          <w:szCs w:val="24"/>
        </w:rPr>
        <w:t>（1）田心村新围核心保护范围：面积0.89公顷，北至山脚，西至客家排屋建筑群西侧，东距黄洞路30米，南至百果园北侧。</w:t>
      </w:r>
    </w:p>
    <w:p w14:paraId="6ACABFED">
      <w:pPr>
        <w:spacing w:line="360" w:lineRule="auto"/>
        <w:ind w:firstLine="480" w:firstLineChars="200"/>
        <w:rPr>
          <w:sz w:val="24"/>
          <w:szCs w:val="24"/>
        </w:rPr>
      </w:pPr>
      <w:r>
        <w:rPr>
          <w:sz w:val="24"/>
          <w:szCs w:val="24"/>
        </w:rPr>
        <w:t>（2）田心村旧围核心保护范围：面积1.39公顷，北至信坤楼，西至曾氏宗祠前风水塘，东至玉皇顶，南至黄洞田心路。</w:t>
      </w:r>
    </w:p>
    <w:p w14:paraId="789FCF53">
      <w:pPr>
        <w:spacing w:line="360" w:lineRule="auto"/>
        <w:ind w:firstLine="480" w:firstLineChars="200"/>
        <w:rPr>
          <w:sz w:val="24"/>
          <w:szCs w:val="24"/>
        </w:rPr>
      </w:pPr>
      <w:r>
        <w:rPr>
          <w:sz w:val="24"/>
          <w:szCs w:val="24"/>
        </w:rPr>
        <w:t>（3）岭南村核心保护范围：面积0.78公顷，北至岭南世居前的风水塘，西至岭南世居西侧巷道，</w:t>
      </w:r>
      <w:r>
        <w:rPr>
          <w:rFonts w:hint="eastAsia"/>
          <w:sz w:val="24"/>
          <w:szCs w:val="24"/>
          <w:lang w:eastAsia="zh-CN"/>
        </w:rPr>
        <w:t>东至</w:t>
      </w:r>
      <w:r>
        <w:rPr>
          <w:sz w:val="24"/>
          <w:szCs w:val="24"/>
        </w:rPr>
        <w:t>东侧街巷，南至象岭北侧道路。</w:t>
      </w:r>
    </w:p>
    <w:p w14:paraId="2B0B2605">
      <w:pPr>
        <w:spacing w:line="360" w:lineRule="auto"/>
        <w:ind w:firstLine="480" w:firstLineChars="200"/>
        <w:rPr>
          <w:sz w:val="24"/>
          <w:szCs w:val="24"/>
        </w:rPr>
      </w:pPr>
      <w:r>
        <w:rPr>
          <w:sz w:val="24"/>
          <w:szCs w:val="24"/>
        </w:rPr>
        <w:t>1.2 核心保护范围保护控制要求如下：</w:t>
      </w:r>
    </w:p>
    <w:p w14:paraId="65BE6302">
      <w:pPr>
        <w:spacing w:line="360" w:lineRule="auto"/>
        <w:ind w:firstLine="480" w:firstLineChars="200"/>
        <w:rPr>
          <w:sz w:val="24"/>
          <w:szCs w:val="24"/>
        </w:rPr>
      </w:pPr>
      <w:r>
        <w:rPr>
          <w:sz w:val="24"/>
          <w:szCs w:val="24"/>
        </w:rPr>
        <w:t>（1</w:t>
      </w:r>
      <w:r>
        <w:rPr>
          <w:rFonts w:hint="eastAsia"/>
          <w:sz w:val="24"/>
          <w:szCs w:val="24"/>
          <w:lang w:eastAsia="zh-CN"/>
        </w:rPr>
        <w:t>）在</w:t>
      </w:r>
      <w:r>
        <w:rPr>
          <w:sz w:val="24"/>
          <w:szCs w:val="24"/>
        </w:rPr>
        <w:t>核心保护范围内严格保护传统街巷空间与格局。</w:t>
      </w:r>
    </w:p>
    <w:p w14:paraId="53E931B8">
      <w:pPr>
        <w:spacing w:line="360" w:lineRule="auto"/>
        <w:ind w:firstLine="480" w:firstLineChars="200"/>
        <w:rPr>
          <w:sz w:val="24"/>
          <w:szCs w:val="24"/>
        </w:rPr>
      </w:pPr>
      <w:r>
        <w:rPr>
          <w:sz w:val="24"/>
          <w:szCs w:val="24"/>
        </w:rPr>
        <w:t>（2）核心保护范围内不得进行新建、扩建活动，新建、扩建必要的基础设施和公共服务设施除外；在核心保护范围内进行新建、改建、扩建等建设活动，不得改变传统格局和历史风貌。</w:t>
      </w:r>
    </w:p>
    <w:p w14:paraId="3425528F">
      <w:pPr>
        <w:spacing w:line="360" w:lineRule="auto"/>
        <w:ind w:firstLine="480" w:firstLineChars="200"/>
        <w:rPr>
          <w:sz w:val="24"/>
          <w:szCs w:val="24"/>
        </w:rPr>
      </w:pPr>
      <w:r>
        <w:rPr>
          <w:sz w:val="24"/>
          <w:szCs w:val="24"/>
        </w:rPr>
        <w:t>（3）新建、改建、扩建建筑高度应控制在8米以下，檐口高度不宜超过7米，建筑的高度、体量、尺度、立面材料、色彩等应与名村历史风貌相协调。</w:t>
      </w:r>
    </w:p>
    <w:p w14:paraId="16DD1550">
      <w:pPr>
        <w:spacing w:line="360" w:lineRule="auto"/>
        <w:ind w:firstLine="480" w:firstLineChars="200"/>
        <w:rPr>
          <w:sz w:val="24"/>
          <w:szCs w:val="24"/>
        </w:rPr>
      </w:pPr>
      <w:r>
        <w:rPr>
          <w:sz w:val="24"/>
          <w:szCs w:val="24"/>
        </w:rPr>
        <w:t>（4）核心保护范围内的不可移动文物，按照《中华人民共和国文物保护法》等相关的文物保护管理规定进行保护。</w:t>
      </w:r>
    </w:p>
    <w:p w14:paraId="3A875DFA">
      <w:pPr>
        <w:spacing w:line="360" w:lineRule="auto"/>
        <w:ind w:firstLine="480" w:firstLineChars="200"/>
        <w:rPr>
          <w:sz w:val="24"/>
          <w:szCs w:val="24"/>
        </w:rPr>
      </w:pPr>
      <w:r>
        <w:rPr>
          <w:sz w:val="24"/>
          <w:szCs w:val="24"/>
        </w:rPr>
        <w:t>（5）与传统风貌不协调的其他建筑的整治更新，一般建（构）筑物的危破房重建及必要的基础设施和公共服务设施新建、改建、扩建等，不得改变传统格局，其建筑风格要与历史风貌协调。</w:t>
      </w:r>
    </w:p>
    <w:p w14:paraId="762D1755">
      <w:pPr>
        <w:spacing w:line="360" w:lineRule="auto"/>
        <w:ind w:firstLine="482" w:firstLineChars="20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2.建设控制地带划定和保护控制要求</w:t>
      </w:r>
    </w:p>
    <w:p w14:paraId="3AE51E13">
      <w:pPr>
        <w:spacing w:line="360" w:lineRule="auto"/>
        <w:ind w:firstLine="480" w:firstLineChars="200"/>
        <w:rPr>
          <w:sz w:val="24"/>
          <w:szCs w:val="24"/>
        </w:rPr>
      </w:pPr>
      <w:r>
        <w:rPr>
          <w:sz w:val="24"/>
          <w:szCs w:val="24"/>
        </w:rPr>
        <w:t>2.1 建设控制地带范围如下：</w:t>
      </w:r>
    </w:p>
    <w:p w14:paraId="530E9DE9">
      <w:pPr>
        <w:spacing w:line="360" w:lineRule="auto"/>
        <w:ind w:firstLine="480" w:firstLineChars="200"/>
        <w:rPr>
          <w:sz w:val="24"/>
          <w:szCs w:val="24"/>
        </w:rPr>
      </w:pPr>
      <w:r>
        <w:rPr>
          <w:sz w:val="24"/>
          <w:szCs w:val="24"/>
        </w:rPr>
        <w:t>田心村新围片区，面积2.77公顷，北至大岭古，西距观合楼20米，东至黄洞路，南至百果园。</w:t>
      </w:r>
    </w:p>
    <w:p w14:paraId="4DB6F8B5">
      <w:pPr>
        <w:spacing w:line="360" w:lineRule="auto"/>
        <w:ind w:firstLine="480" w:firstLineChars="200"/>
        <w:rPr>
          <w:sz w:val="24"/>
          <w:szCs w:val="24"/>
        </w:rPr>
      </w:pPr>
      <w:r>
        <w:rPr>
          <w:sz w:val="24"/>
          <w:szCs w:val="24"/>
        </w:rPr>
        <w:t>田心村旧围和岭南村片区，面积12.16公顷，北至田心村旧围北侧村道，西至黄洞路，东至玉皇顶，南至象岭。</w:t>
      </w:r>
    </w:p>
    <w:p w14:paraId="42E59620">
      <w:pPr>
        <w:spacing w:line="360" w:lineRule="auto"/>
        <w:ind w:firstLine="480" w:firstLineChars="200"/>
        <w:rPr>
          <w:sz w:val="24"/>
          <w:szCs w:val="24"/>
        </w:rPr>
      </w:pPr>
      <w:r>
        <w:rPr>
          <w:sz w:val="24"/>
          <w:szCs w:val="24"/>
        </w:rPr>
        <w:t>2.2 建设控制地带保护控制要求如下：</w:t>
      </w:r>
    </w:p>
    <w:p w14:paraId="1181314B">
      <w:pPr>
        <w:spacing w:line="360" w:lineRule="auto"/>
        <w:ind w:firstLine="480" w:firstLineChars="200"/>
        <w:rPr>
          <w:sz w:val="24"/>
          <w:szCs w:val="24"/>
        </w:rPr>
      </w:pPr>
      <w:r>
        <w:rPr>
          <w:sz w:val="24"/>
          <w:szCs w:val="24"/>
        </w:rPr>
        <w:t>（1）建设控制地带内应保护历史建筑、推荐历史建筑、推荐传统风貌建筑，历史街巷走向以及古井等历史环境要素，保护原有街巷肌理和开放空间的连续性和完整性。</w:t>
      </w:r>
    </w:p>
    <w:p w14:paraId="244CB2B6">
      <w:pPr>
        <w:spacing w:line="360" w:lineRule="auto"/>
        <w:ind w:firstLine="480" w:firstLineChars="200"/>
        <w:rPr>
          <w:sz w:val="24"/>
          <w:szCs w:val="24"/>
        </w:rPr>
      </w:pPr>
      <w:r>
        <w:rPr>
          <w:sz w:val="24"/>
          <w:szCs w:val="24"/>
        </w:rPr>
        <w:t>（2）禁止开展任何对历史建筑以及其他传统建（构）筑物构成破坏性影响的活动；禁止在建设控制地带内进行开山、采石、开矿等活动；禁止生产或储存爆炸性、易燃性、放射性、毒害性、腐蚀性物品或新建、改建、扩建排放污染物的建设项目。</w:t>
      </w:r>
    </w:p>
    <w:p w14:paraId="0DBD34AB">
      <w:pPr>
        <w:spacing w:line="360" w:lineRule="auto"/>
        <w:ind w:firstLine="480" w:firstLineChars="200"/>
        <w:rPr>
          <w:sz w:val="24"/>
          <w:szCs w:val="24"/>
        </w:rPr>
      </w:pPr>
      <w:r>
        <w:rPr>
          <w:sz w:val="24"/>
          <w:szCs w:val="24"/>
        </w:rPr>
        <w:t>（3）建设控制地带内新建、改建、扩建在高度、体量、色彩等方面应与核心保护范围风貌相协调。新建、改建、扩建高度控制要求以建筑高度控制规划图为准。</w:t>
      </w:r>
    </w:p>
    <w:p w14:paraId="4D9BD3B1">
      <w:pPr>
        <w:spacing w:line="360" w:lineRule="auto"/>
        <w:ind w:firstLine="480" w:firstLineChars="200"/>
        <w:rPr>
          <w:sz w:val="24"/>
          <w:szCs w:val="24"/>
        </w:rPr>
      </w:pPr>
    </w:p>
    <w:p w14:paraId="2E9A4EAD">
      <w:pPr>
        <w:pStyle w:val="9"/>
        <w:spacing w:line="360" w:lineRule="auto"/>
        <w:ind w:firstLine="562" w:firstLineChars="0"/>
        <w:rPr>
          <w:rFonts w:hint="eastAsia" w:ascii="宋体" w:hAnsi="宋体" w:cs="宋体"/>
          <w:b/>
          <w:bCs/>
          <w:sz w:val="28"/>
          <w:szCs w:val="28"/>
        </w:rPr>
      </w:pPr>
      <w:r>
        <w:rPr>
          <w:rFonts w:hint="eastAsia" w:ascii="宋体" w:hAnsi="宋体" w:cs="宋体"/>
          <w:b/>
          <w:bCs/>
          <w:sz w:val="28"/>
          <w:szCs w:val="28"/>
        </w:rPr>
        <w:t>四、保护对象</w:t>
      </w:r>
    </w:p>
    <w:p w14:paraId="1B346A67">
      <w:pPr>
        <w:spacing w:line="360" w:lineRule="auto"/>
        <w:ind w:firstLine="480" w:firstLineChars="200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根据法定体系确定本次保护规划保护物质层面和非物质层面，包括山水景观格局、村落空间格局、市级文物保护单位、未定级不可移动文物、历史建筑、推荐历史建筑、推荐传统风貌建筑、历史街巷、历史环境要素、非物质文化遗产与传统文化等。</w:t>
      </w:r>
    </w:p>
    <w:p w14:paraId="3A54E401">
      <w:pPr>
        <w:spacing w:line="360" w:lineRule="auto"/>
        <w:ind w:firstLine="480" w:firstLineChars="200"/>
        <w:rPr>
          <w:rFonts w:hint="eastAsia" w:ascii="宋体" w:hAnsi="宋体" w:cs="宋体"/>
          <w:sz w:val="24"/>
          <w:szCs w:val="24"/>
        </w:rPr>
      </w:pPr>
    </w:p>
    <w:p w14:paraId="63C2A440">
      <w:pPr>
        <w:widowControl/>
        <w:spacing w:line="360" w:lineRule="auto"/>
        <w:jc w:val="center"/>
        <w:rPr>
          <w:rFonts w:hint="eastAsia" w:ascii="楷体" w:hAnsi="楷体" w:eastAsia="楷体" w:cs="宋体"/>
          <w:b/>
          <w:kern w:val="0"/>
          <w:sz w:val="24"/>
          <w:szCs w:val="24"/>
          <w:lang w:bidi="ar"/>
        </w:rPr>
      </w:pPr>
      <w:r>
        <w:rPr>
          <w:rFonts w:hint="eastAsia" w:ascii="楷体" w:hAnsi="楷体" w:eastAsia="楷体" w:cs="宋体"/>
          <w:b/>
          <w:kern w:val="0"/>
          <w:sz w:val="24"/>
          <w:szCs w:val="24"/>
          <w:lang w:bidi="ar"/>
        </w:rPr>
        <w:t>附表</w:t>
      </w:r>
      <w:r>
        <w:rPr>
          <w:rFonts w:eastAsia="楷体"/>
          <w:b/>
          <w:kern w:val="0"/>
          <w:sz w:val="24"/>
          <w:szCs w:val="24"/>
          <w:lang w:bidi="ar"/>
        </w:rPr>
        <w:t>1</w:t>
      </w:r>
      <w:r>
        <w:rPr>
          <w:rFonts w:hint="eastAsia" w:ascii="楷体" w:hAnsi="楷体" w:eastAsia="楷体" w:cs="宋体"/>
          <w:b/>
          <w:kern w:val="0"/>
          <w:sz w:val="24"/>
          <w:szCs w:val="24"/>
          <w:lang w:bidi="ar"/>
        </w:rPr>
        <w:t>：村域保护要素一览表</w:t>
      </w:r>
    </w:p>
    <w:tbl>
      <w:tblPr>
        <w:tblStyle w:val="6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3"/>
        <w:gridCol w:w="1869"/>
        <w:gridCol w:w="1090"/>
        <w:gridCol w:w="446"/>
        <w:gridCol w:w="4421"/>
      </w:tblGrid>
      <w:tr w14:paraId="4B256E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7" w:type="pct"/>
            <w:shd w:val="clear" w:color="auto" w:fill="E7E6E6" w:themeFill="background2"/>
            <w:vAlign w:val="center"/>
          </w:tcPr>
          <w:p w14:paraId="28B04D98">
            <w:pPr>
              <w:widowControl/>
              <w:jc w:val="center"/>
              <w:rPr>
                <w:rFonts w:eastAsia="楷体"/>
                <w:b/>
                <w:kern w:val="0"/>
                <w:sz w:val="18"/>
                <w:szCs w:val="18"/>
                <w:lang w:bidi="ar"/>
              </w:rPr>
            </w:pPr>
            <w:bookmarkStart w:id="0" w:name="_Hlk102235338"/>
            <w:r>
              <w:rPr>
                <w:rFonts w:eastAsia="楷体"/>
                <w:b/>
                <w:kern w:val="0"/>
                <w:sz w:val="18"/>
                <w:szCs w:val="18"/>
                <w:lang w:bidi="ar"/>
              </w:rPr>
              <w:t>保护分类</w:t>
            </w:r>
          </w:p>
        </w:tc>
        <w:tc>
          <w:tcPr>
            <w:tcW w:w="1097" w:type="pct"/>
            <w:shd w:val="clear" w:color="auto" w:fill="E7E6E6" w:themeFill="background2"/>
            <w:vAlign w:val="center"/>
          </w:tcPr>
          <w:p w14:paraId="0E9D9185">
            <w:pPr>
              <w:widowControl/>
              <w:jc w:val="center"/>
              <w:rPr>
                <w:rFonts w:eastAsia="楷体"/>
                <w:b/>
                <w:kern w:val="0"/>
                <w:sz w:val="18"/>
                <w:szCs w:val="18"/>
                <w:lang w:bidi="ar"/>
              </w:rPr>
            </w:pPr>
            <w:r>
              <w:rPr>
                <w:rFonts w:eastAsia="楷体"/>
                <w:b/>
                <w:kern w:val="0"/>
                <w:sz w:val="18"/>
                <w:szCs w:val="18"/>
                <w:lang w:bidi="ar"/>
              </w:rPr>
              <w:t>保护内容</w:t>
            </w:r>
          </w:p>
        </w:tc>
        <w:tc>
          <w:tcPr>
            <w:tcW w:w="3496" w:type="pct"/>
            <w:gridSpan w:val="3"/>
            <w:shd w:val="clear" w:color="auto" w:fill="E7E6E6" w:themeFill="background2"/>
            <w:vAlign w:val="center"/>
          </w:tcPr>
          <w:p w14:paraId="4DE451DD">
            <w:pPr>
              <w:widowControl/>
              <w:jc w:val="center"/>
              <w:rPr>
                <w:rFonts w:eastAsia="楷体"/>
                <w:b/>
                <w:kern w:val="0"/>
                <w:sz w:val="18"/>
                <w:szCs w:val="18"/>
                <w:lang w:bidi="ar"/>
              </w:rPr>
            </w:pPr>
            <w:r>
              <w:rPr>
                <w:rFonts w:eastAsia="楷体"/>
                <w:b/>
                <w:kern w:val="0"/>
                <w:sz w:val="18"/>
                <w:szCs w:val="18"/>
                <w:lang w:bidi="ar"/>
              </w:rPr>
              <w:t>保护对象</w:t>
            </w:r>
          </w:p>
        </w:tc>
      </w:tr>
      <w:tr w14:paraId="1F33DA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7" w:type="pct"/>
            <w:vMerge w:val="restart"/>
            <w:vAlign w:val="center"/>
          </w:tcPr>
          <w:p w14:paraId="75FE3EC6">
            <w:pPr>
              <w:widowControl/>
              <w:jc w:val="center"/>
              <w:rPr>
                <w:rFonts w:eastAsia="楷体"/>
                <w:kern w:val="0"/>
                <w:sz w:val="18"/>
                <w:szCs w:val="18"/>
                <w:lang w:bidi="ar"/>
              </w:rPr>
            </w:pPr>
            <w:r>
              <w:rPr>
                <w:rFonts w:eastAsia="楷体"/>
                <w:kern w:val="0"/>
                <w:sz w:val="18"/>
                <w:szCs w:val="18"/>
                <w:lang w:bidi="ar"/>
              </w:rPr>
              <w:t>物质文化遗产</w:t>
            </w:r>
          </w:p>
        </w:tc>
        <w:tc>
          <w:tcPr>
            <w:tcW w:w="1097" w:type="pct"/>
            <w:vMerge w:val="restart"/>
            <w:vAlign w:val="center"/>
          </w:tcPr>
          <w:p w14:paraId="35BB35E1">
            <w:pPr>
              <w:widowControl/>
              <w:jc w:val="center"/>
              <w:rPr>
                <w:rFonts w:eastAsia="楷体"/>
                <w:kern w:val="0"/>
                <w:sz w:val="18"/>
                <w:szCs w:val="18"/>
                <w:lang w:bidi="ar"/>
              </w:rPr>
            </w:pPr>
            <w:r>
              <w:rPr>
                <w:rFonts w:eastAsia="楷体"/>
                <w:kern w:val="0"/>
                <w:sz w:val="18"/>
                <w:szCs w:val="18"/>
                <w:lang w:bidi="ar"/>
              </w:rPr>
              <w:t>山水格局</w:t>
            </w:r>
          </w:p>
        </w:tc>
        <w:tc>
          <w:tcPr>
            <w:tcW w:w="640" w:type="pct"/>
            <w:vAlign w:val="center"/>
          </w:tcPr>
          <w:p w14:paraId="6A0ECDA1">
            <w:pPr>
              <w:widowControl/>
              <w:jc w:val="center"/>
              <w:rPr>
                <w:rFonts w:eastAsia="楷体"/>
                <w:kern w:val="0"/>
                <w:sz w:val="18"/>
                <w:szCs w:val="18"/>
                <w:lang w:bidi="ar"/>
              </w:rPr>
            </w:pPr>
            <w:r>
              <w:rPr>
                <w:rFonts w:eastAsia="楷体"/>
                <w:kern w:val="0"/>
                <w:sz w:val="18"/>
                <w:szCs w:val="18"/>
                <w:lang w:bidi="ar"/>
              </w:rPr>
              <w:t>山岗</w:t>
            </w:r>
          </w:p>
        </w:tc>
        <w:tc>
          <w:tcPr>
            <w:tcW w:w="2856" w:type="pct"/>
            <w:gridSpan w:val="2"/>
            <w:vAlign w:val="center"/>
          </w:tcPr>
          <w:p w14:paraId="54F391F9">
            <w:pPr>
              <w:widowControl/>
              <w:jc w:val="center"/>
              <w:rPr>
                <w:rFonts w:eastAsia="楷体"/>
                <w:kern w:val="0"/>
                <w:sz w:val="18"/>
                <w:szCs w:val="18"/>
                <w:lang w:bidi="ar"/>
              </w:rPr>
            </w:pPr>
            <w:r>
              <w:rPr>
                <w:rFonts w:eastAsia="楷体"/>
                <w:kern w:val="0"/>
                <w:sz w:val="18"/>
                <w:szCs w:val="18"/>
                <w:lang w:bidi="ar"/>
              </w:rPr>
              <w:t>南门山、玉皇顶、狮岭、象岭、大岭古、草堆岭、奄吓岭、照布岭、石角排等</w:t>
            </w:r>
          </w:p>
        </w:tc>
      </w:tr>
      <w:tr w14:paraId="44188A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7" w:type="pct"/>
            <w:vMerge w:val="continue"/>
            <w:vAlign w:val="center"/>
          </w:tcPr>
          <w:p w14:paraId="234A4B1C">
            <w:pPr>
              <w:widowControl/>
              <w:jc w:val="center"/>
              <w:rPr>
                <w:rFonts w:eastAsia="楷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097" w:type="pct"/>
            <w:vMerge w:val="continue"/>
            <w:vAlign w:val="center"/>
          </w:tcPr>
          <w:p w14:paraId="74303F2B">
            <w:pPr>
              <w:widowControl/>
              <w:jc w:val="center"/>
              <w:rPr>
                <w:rFonts w:eastAsia="楷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640" w:type="pct"/>
            <w:vAlign w:val="center"/>
          </w:tcPr>
          <w:p w14:paraId="79F45831">
            <w:pPr>
              <w:widowControl/>
              <w:jc w:val="center"/>
              <w:rPr>
                <w:rFonts w:eastAsia="楷体"/>
                <w:kern w:val="0"/>
                <w:sz w:val="18"/>
                <w:szCs w:val="18"/>
                <w:lang w:bidi="ar"/>
              </w:rPr>
            </w:pPr>
            <w:r>
              <w:rPr>
                <w:rFonts w:eastAsia="楷体"/>
                <w:kern w:val="0"/>
                <w:sz w:val="18"/>
                <w:szCs w:val="18"/>
                <w:lang w:bidi="ar"/>
              </w:rPr>
              <w:t>河涌水系</w:t>
            </w:r>
          </w:p>
        </w:tc>
        <w:tc>
          <w:tcPr>
            <w:tcW w:w="2856" w:type="pct"/>
            <w:gridSpan w:val="2"/>
            <w:vAlign w:val="center"/>
          </w:tcPr>
          <w:p w14:paraId="2DE84E82">
            <w:pPr>
              <w:widowControl/>
              <w:jc w:val="center"/>
              <w:rPr>
                <w:rFonts w:eastAsia="楷体"/>
                <w:kern w:val="0"/>
                <w:sz w:val="18"/>
                <w:szCs w:val="18"/>
                <w:lang w:bidi="ar"/>
              </w:rPr>
            </w:pPr>
            <w:r>
              <w:rPr>
                <w:rFonts w:eastAsia="楷体"/>
                <w:kern w:val="0"/>
                <w:sz w:val="18"/>
                <w:szCs w:val="18"/>
                <w:lang w:bidi="ar"/>
              </w:rPr>
              <w:t>黄洞水、石马河、黄洞水库</w:t>
            </w:r>
          </w:p>
        </w:tc>
      </w:tr>
      <w:tr w14:paraId="78833F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7" w:type="pct"/>
            <w:vMerge w:val="continue"/>
            <w:vAlign w:val="center"/>
          </w:tcPr>
          <w:p w14:paraId="7C8DB4B7">
            <w:pPr>
              <w:widowControl/>
              <w:jc w:val="center"/>
              <w:rPr>
                <w:rFonts w:eastAsia="楷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097" w:type="pct"/>
            <w:vAlign w:val="center"/>
          </w:tcPr>
          <w:p w14:paraId="635AB974">
            <w:pPr>
              <w:widowControl/>
              <w:jc w:val="center"/>
              <w:rPr>
                <w:rFonts w:eastAsia="楷体"/>
                <w:kern w:val="0"/>
                <w:sz w:val="18"/>
                <w:szCs w:val="18"/>
                <w:lang w:bidi="ar"/>
              </w:rPr>
            </w:pPr>
            <w:r>
              <w:rPr>
                <w:rFonts w:eastAsia="楷体"/>
                <w:kern w:val="0"/>
                <w:sz w:val="18"/>
                <w:szCs w:val="18"/>
                <w:lang w:bidi="ar"/>
              </w:rPr>
              <w:t>整体空间格局</w:t>
            </w:r>
          </w:p>
        </w:tc>
        <w:tc>
          <w:tcPr>
            <w:tcW w:w="3496" w:type="pct"/>
            <w:gridSpan w:val="3"/>
            <w:vAlign w:val="center"/>
          </w:tcPr>
          <w:p w14:paraId="2A89836A">
            <w:pPr>
              <w:widowControl/>
              <w:jc w:val="center"/>
              <w:rPr>
                <w:rFonts w:eastAsia="楷体"/>
                <w:kern w:val="0"/>
                <w:sz w:val="18"/>
                <w:szCs w:val="18"/>
                <w:lang w:bidi="ar"/>
              </w:rPr>
            </w:pPr>
            <w:r>
              <w:rPr>
                <w:rFonts w:eastAsia="楷体"/>
                <w:kern w:val="0"/>
                <w:sz w:val="18"/>
                <w:szCs w:val="18"/>
                <w:lang w:bidi="ar"/>
              </w:rPr>
              <w:t>“两山夹一水”、轿形及狮子滚绣球的风水格局，以宗祠为中心的空间格局、人工防御系统</w:t>
            </w:r>
          </w:p>
        </w:tc>
      </w:tr>
      <w:tr w14:paraId="33B696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7" w:type="pct"/>
            <w:vMerge w:val="continue"/>
            <w:vAlign w:val="center"/>
          </w:tcPr>
          <w:p w14:paraId="5E16520D">
            <w:pPr>
              <w:widowControl/>
              <w:jc w:val="center"/>
              <w:rPr>
                <w:rFonts w:eastAsia="楷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097" w:type="pct"/>
            <w:vAlign w:val="center"/>
          </w:tcPr>
          <w:p w14:paraId="19569A76">
            <w:pPr>
              <w:widowControl/>
              <w:jc w:val="center"/>
              <w:rPr>
                <w:rFonts w:eastAsia="楷体"/>
                <w:kern w:val="0"/>
                <w:sz w:val="18"/>
                <w:szCs w:val="18"/>
                <w:lang w:bidi="ar"/>
              </w:rPr>
            </w:pPr>
            <w:r>
              <w:rPr>
                <w:rFonts w:eastAsia="楷体"/>
                <w:kern w:val="0"/>
                <w:sz w:val="18"/>
                <w:szCs w:val="18"/>
                <w:lang w:bidi="ar"/>
              </w:rPr>
              <w:t>东莞市文物保护单位（1处）</w:t>
            </w:r>
          </w:p>
        </w:tc>
        <w:tc>
          <w:tcPr>
            <w:tcW w:w="3496" w:type="pct"/>
            <w:gridSpan w:val="3"/>
            <w:vAlign w:val="center"/>
          </w:tcPr>
          <w:p w14:paraId="2A705D43">
            <w:pPr>
              <w:widowControl/>
              <w:jc w:val="center"/>
              <w:rPr>
                <w:rFonts w:eastAsia="楷体"/>
                <w:kern w:val="0"/>
                <w:sz w:val="18"/>
                <w:szCs w:val="18"/>
                <w:lang w:bidi="ar"/>
              </w:rPr>
            </w:pPr>
            <w:r>
              <w:rPr>
                <w:rFonts w:eastAsia="楷体"/>
                <w:kern w:val="0"/>
                <w:sz w:val="18"/>
                <w:szCs w:val="18"/>
                <w:lang w:bidi="ar"/>
              </w:rPr>
              <w:t>洪全福故居</w:t>
            </w:r>
          </w:p>
        </w:tc>
      </w:tr>
      <w:tr w14:paraId="78A6A4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7" w:type="pct"/>
            <w:vMerge w:val="continue"/>
            <w:vAlign w:val="center"/>
          </w:tcPr>
          <w:p w14:paraId="7EAEF6F4">
            <w:pPr>
              <w:widowControl/>
              <w:jc w:val="center"/>
              <w:rPr>
                <w:rFonts w:eastAsia="楷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097" w:type="pct"/>
            <w:vAlign w:val="center"/>
          </w:tcPr>
          <w:p w14:paraId="1944E973">
            <w:pPr>
              <w:widowControl/>
              <w:jc w:val="center"/>
              <w:rPr>
                <w:rFonts w:eastAsia="楷体"/>
                <w:kern w:val="0"/>
                <w:sz w:val="18"/>
                <w:szCs w:val="18"/>
                <w:lang w:bidi="ar"/>
              </w:rPr>
            </w:pPr>
            <w:r>
              <w:rPr>
                <w:rFonts w:eastAsia="楷体"/>
                <w:kern w:val="0"/>
                <w:sz w:val="18"/>
                <w:szCs w:val="18"/>
                <w:lang w:bidi="ar"/>
              </w:rPr>
              <w:t>未定级不可移动文物（16处）</w:t>
            </w:r>
          </w:p>
        </w:tc>
        <w:tc>
          <w:tcPr>
            <w:tcW w:w="3496" w:type="pct"/>
            <w:gridSpan w:val="3"/>
            <w:vAlign w:val="center"/>
          </w:tcPr>
          <w:p w14:paraId="03BCAF88">
            <w:pPr>
              <w:widowControl/>
              <w:jc w:val="center"/>
              <w:rPr>
                <w:rFonts w:eastAsia="楷体"/>
                <w:kern w:val="0"/>
                <w:sz w:val="18"/>
                <w:szCs w:val="18"/>
                <w:lang w:bidi="ar"/>
              </w:rPr>
            </w:pPr>
            <w:r>
              <w:rPr>
                <w:rFonts w:eastAsia="楷体"/>
                <w:kern w:val="0"/>
                <w:sz w:val="18"/>
                <w:szCs w:val="18"/>
                <w:lang w:bidi="ar"/>
              </w:rPr>
              <w:t>迴龙庵、定公楼、慎修楼</w:t>
            </w:r>
            <w:bookmarkStart w:id="1" w:name="_Hlk205480408"/>
            <w:r>
              <w:rPr>
                <w:rFonts w:eastAsia="楷体"/>
                <w:kern w:val="0"/>
                <w:sz w:val="18"/>
                <w:szCs w:val="18"/>
                <w:lang w:bidi="ar"/>
              </w:rPr>
              <w:t>、钦华楼、儒修楼、春来楼、耀公楼、敖贵楼、观合楼、兆龙楼、祥鹏楼、信坤楼、辉公楼、运钿楼、新围场客家排屋、灼华楼</w:t>
            </w:r>
            <w:bookmarkEnd w:id="1"/>
          </w:p>
        </w:tc>
      </w:tr>
      <w:tr w14:paraId="74AC7D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7" w:type="pct"/>
            <w:vMerge w:val="continue"/>
            <w:vAlign w:val="center"/>
          </w:tcPr>
          <w:p w14:paraId="2BF6811D">
            <w:pPr>
              <w:widowControl/>
              <w:jc w:val="center"/>
              <w:rPr>
                <w:rFonts w:eastAsia="楷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097" w:type="pct"/>
            <w:vAlign w:val="center"/>
          </w:tcPr>
          <w:p w14:paraId="2AC3F2C1">
            <w:pPr>
              <w:widowControl/>
              <w:jc w:val="center"/>
              <w:rPr>
                <w:rFonts w:eastAsia="楷体"/>
                <w:kern w:val="0"/>
                <w:sz w:val="18"/>
                <w:szCs w:val="18"/>
                <w:lang w:bidi="ar"/>
              </w:rPr>
            </w:pPr>
            <w:r>
              <w:rPr>
                <w:rFonts w:eastAsia="楷体"/>
                <w:kern w:val="0"/>
                <w:sz w:val="18"/>
                <w:szCs w:val="18"/>
                <w:lang w:bidi="ar"/>
              </w:rPr>
              <w:t>历史建筑（5处）</w:t>
            </w:r>
          </w:p>
        </w:tc>
        <w:tc>
          <w:tcPr>
            <w:tcW w:w="3496" w:type="pct"/>
            <w:gridSpan w:val="3"/>
            <w:vAlign w:val="center"/>
          </w:tcPr>
          <w:p w14:paraId="3A4498F3">
            <w:pPr>
              <w:widowControl/>
              <w:jc w:val="center"/>
              <w:rPr>
                <w:rFonts w:eastAsia="楷体"/>
                <w:kern w:val="0"/>
                <w:sz w:val="18"/>
                <w:szCs w:val="18"/>
                <w:lang w:bidi="ar"/>
              </w:rPr>
            </w:pPr>
            <w:r>
              <w:rPr>
                <w:rFonts w:eastAsia="楷体"/>
                <w:kern w:val="0"/>
                <w:sz w:val="18"/>
                <w:szCs w:val="18"/>
                <w:lang w:bidi="ar"/>
              </w:rPr>
              <w:t>钦华楼、儒修楼、观合楼、运钿楼、新围场客家排屋</w:t>
            </w:r>
          </w:p>
        </w:tc>
      </w:tr>
      <w:tr w14:paraId="71F8A8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7" w:type="pct"/>
            <w:vMerge w:val="continue"/>
            <w:vAlign w:val="center"/>
          </w:tcPr>
          <w:p w14:paraId="1844DB05">
            <w:pPr>
              <w:widowControl/>
              <w:jc w:val="center"/>
              <w:rPr>
                <w:rFonts w:eastAsia="楷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097" w:type="pct"/>
            <w:vAlign w:val="center"/>
          </w:tcPr>
          <w:p w14:paraId="24931D45">
            <w:pPr>
              <w:widowControl/>
              <w:jc w:val="center"/>
              <w:rPr>
                <w:rFonts w:eastAsia="楷体"/>
                <w:kern w:val="0"/>
                <w:sz w:val="18"/>
                <w:szCs w:val="18"/>
                <w:lang w:bidi="ar"/>
              </w:rPr>
            </w:pPr>
            <w:r>
              <w:rPr>
                <w:rFonts w:eastAsia="楷体"/>
                <w:kern w:val="0"/>
                <w:sz w:val="18"/>
                <w:szCs w:val="18"/>
                <w:lang w:bidi="ar"/>
              </w:rPr>
              <w:t>推荐历史建筑</w:t>
            </w:r>
          </w:p>
          <w:p w14:paraId="3AD69A5C">
            <w:pPr>
              <w:widowControl/>
              <w:jc w:val="center"/>
              <w:rPr>
                <w:rFonts w:eastAsia="楷体"/>
                <w:kern w:val="0"/>
                <w:sz w:val="18"/>
                <w:szCs w:val="18"/>
                <w:lang w:bidi="ar"/>
              </w:rPr>
            </w:pPr>
            <w:r>
              <w:rPr>
                <w:rFonts w:eastAsia="楷体"/>
                <w:kern w:val="0"/>
                <w:sz w:val="18"/>
                <w:szCs w:val="18"/>
                <w:lang w:bidi="ar"/>
              </w:rPr>
              <w:t>（1处）</w:t>
            </w:r>
          </w:p>
        </w:tc>
        <w:tc>
          <w:tcPr>
            <w:tcW w:w="3496" w:type="pct"/>
            <w:gridSpan w:val="3"/>
            <w:vAlign w:val="center"/>
          </w:tcPr>
          <w:p w14:paraId="55ECA166">
            <w:pPr>
              <w:widowControl/>
              <w:jc w:val="center"/>
              <w:rPr>
                <w:rFonts w:eastAsia="楷体"/>
                <w:kern w:val="0"/>
                <w:sz w:val="18"/>
                <w:szCs w:val="18"/>
                <w:lang w:bidi="ar"/>
              </w:rPr>
            </w:pPr>
            <w:r>
              <w:rPr>
                <w:rFonts w:eastAsia="楷体"/>
                <w:kern w:val="0"/>
                <w:sz w:val="18"/>
                <w:szCs w:val="18"/>
                <w:lang w:bidi="ar"/>
              </w:rPr>
              <w:t>岭南村南十一巷10号民居</w:t>
            </w:r>
          </w:p>
        </w:tc>
      </w:tr>
      <w:tr w14:paraId="5C88F8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7" w:type="pct"/>
            <w:vMerge w:val="continue"/>
            <w:vAlign w:val="center"/>
          </w:tcPr>
          <w:p w14:paraId="6B5437C4">
            <w:pPr>
              <w:widowControl/>
              <w:jc w:val="center"/>
              <w:rPr>
                <w:rFonts w:eastAsia="楷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097" w:type="pct"/>
            <w:vAlign w:val="center"/>
          </w:tcPr>
          <w:p w14:paraId="18EC3ED6">
            <w:pPr>
              <w:widowControl/>
              <w:jc w:val="center"/>
              <w:rPr>
                <w:rFonts w:eastAsia="楷体"/>
                <w:kern w:val="0"/>
                <w:sz w:val="18"/>
                <w:szCs w:val="18"/>
                <w:lang w:bidi="ar"/>
              </w:rPr>
            </w:pPr>
            <w:r>
              <w:rPr>
                <w:rFonts w:eastAsia="楷体"/>
                <w:kern w:val="0"/>
                <w:sz w:val="18"/>
                <w:szCs w:val="18"/>
                <w:lang w:bidi="ar"/>
              </w:rPr>
              <w:t>推荐传统风貌建筑（28处）</w:t>
            </w:r>
          </w:p>
        </w:tc>
        <w:tc>
          <w:tcPr>
            <w:tcW w:w="3496" w:type="pct"/>
            <w:gridSpan w:val="3"/>
            <w:vAlign w:val="center"/>
          </w:tcPr>
          <w:p w14:paraId="3A33491F">
            <w:pPr>
              <w:widowControl/>
              <w:jc w:val="center"/>
              <w:rPr>
                <w:rFonts w:eastAsia="楷体"/>
                <w:kern w:val="0"/>
                <w:sz w:val="18"/>
                <w:szCs w:val="18"/>
                <w:lang w:bidi="ar"/>
              </w:rPr>
            </w:pPr>
            <w:r>
              <w:rPr>
                <w:rFonts w:eastAsia="楷体"/>
                <w:kern w:val="0"/>
                <w:sz w:val="18"/>
                <w:szCs w:val="18"/>
                <w:lang w:bidi="ar"/>
              </w:rPr>
              <w:t>田心村北三巷4号民居、田心村北三巷6号民居、田心村旧围门楼、曾氏宗祠、田心村南四巷民居、田心村南六巷民居、田心村南五巷民居、田心村南七巷6号民居、田心村南七巷民居、田心村北十七巷2号民居、田心村北十四巷4号民居、田心村北十七巷民居、田心村北十三巷9号民居、田心村北十八巷18号民居、田心村北十八巷27号民居、田心村北十八巷10号民居、田心村北十八巷25号民居、田心村北十三巷8号民居、田心村北十八巷13号民居、岭南村东二巷12-16号民居、岭南村东三巷1-3，9-11号民居、郑氏宗祠、岭南村东五巷10-13，14-16号民居、岭南村东十二巷1，10号民居、岭南村东十一巷1-9号民居、岭南村东十巷1-3,6-10号民居、岭南村东九巷民居、岭南村东八巷1-6号民居</w:t>
            </w:r>
          </w:p>
        </w:tc>
      </w:tr>
      <w:tr w14:paraId="56F666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7" w:type="pct"/>
            <w:vMerge w:val="continue"/>
            <w:vAlign w:val="center"/>
          </w:tcPr>
          <w:p w14:paraId="0DB75EE8">
            <w:pPr>
              <w:widowControl/>
              <w:jc w:val="center"/>
              <w:rPr>
                <w:rFonts w:eastAsia="楷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097" w:type="pct"/>
            <w:vAlign w:val="center"/>
          </w:tcPr>
          <w:p w14:paraId="4EC0AE04">
            <w:pPr>
              <w:widowControl/>
              <w:jc w:val="center"/>
              <w:rPr>
                <w:rFonts w:eastAsia="楷体"/>
                <w:kern w:val="0"/>
                <w:sz w:val="18"/>
                <w:szCs w:val="18"/>
                <w:lang w:bidi="ar"/>
              </w:rPr>
            </w:pPr>
            <w:r>
              <w:rPr>
                <w:rFonts w:eastAsia="楷体"/>
                <w:kern w:val="0"/>
                <w:sz w:val="18"/>
                <w:szCs w:val="18"/>
                <w:lang w:bidi="ar"/>
              </w:rPr>
              <w:t>历史街巷（6处）</w:t>
            </w:r>
          </w:p>
        </w:tc>
        <w:tc>
          <w:tcPr>
            <w:tcW w:w="3496" w:type="pct"/>
            <w:gridSpan w:val="3"/>
            <w:vAlign w:val="center"/>
          </w:tcPr>
          <w:p w14:paraId="50E0B115">
            <w:pPr>
              <w:widowControl/>
              <w:jc w:val="center"/>
              <w:rPr>
                <w:rFonts w:eastAsia="楷体"/>
                <w:kern w:val="0"/>
                <w:sz w:val="18"/>
                <w:szCs w:val="18"/>
                <w:lang w:bidi="ar"/>
              </w:rPr>
            </w:pPr>
            <w:r>
              <w:rPr>
                <w:rFonts w:eastAsia="楷体"/>
                <w:kern w:val="0"/>
                <w:sz w:val="18"/>
                <w:szCs w:val="18"/>
                <w:lang w:bidi="ar"/>
              </w:rPr>
              <w:t>主要为岭南村东五巷、田心村新围三巷、田心村新围六巷、田心村新围七巷、田心村新围八巷、田心村新围九巷</w:t>
            </w:r>
          </w:p>
        </w:tc>
      </w:tr>
      <w:tr w14:paraId="53B590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7" w:type="pct"/>
            <w:vMerge w:val="continue"/>
            <w:vAlign w:val="center"/>
          </w:tcPr>
          <w:p w14:paraId="45C5DC64">
            <w:pPr>
              <w:widowControl/>
              <w:jc w:val="center"/>
              <w:rPr>
                <w:rFonts w:eastAsia="楷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097" w:type="pct"/>
            <w:vAlign w:val="center"/>
          </w:tcPr>
          <w:p w14:paraId="52A4B727">
            <w:pPr>
              <w:widowControl/>
              <w:jc w:val="center"/>
              <w:rPr>
                <w:rFonts w:eastAsia="楷体"/>
                <w:kern w:val="0"/>
                <w:sz w:val="18"/>
                <w:szCs w:val="18"/>
                <w:lang w:bidi="ar"/>
              </w:rPr>
            </w:pPr>
            <w:r>
              <w:rPr>
                <w:rFonts w:eastAsia="楷体"/>
                <w:kern w:val="0"/>
                <w:sz w:val="18"/>
                <w:szCs w:val="18"/>
                <w:lang w:bidi="ar"/>
              </w:rPr>
              <w:t>历史环境要素</w:t>
            </w:r>
          </w:p>
          <w:p w14:paraId="1413304F">
            <w:pPr>
              <w:widowControl/>
              <w:jc w:val="center"/>
              <w:rPr>
                <w:rFonts w:eastAsia="楷体"/>
                <w:kern w:val="0"/>
                <w:sz w:val="18"/>
                <w:szCs w:val="18"/>
                <w:lang w:bidi="ar"/>
              </w:rPr>
            </w:pPr>
            <w:r>
              <w:rPr>
                <w:rFonts w:eastAsia="楷体"/>
                <w:kern w:val="0"/>
                <w:sz w:val="18"/>
                <w:szCs w:val="18"/>
                <w:lang w:bidi="ar"/>
              </w:rPr>
              <w:t>（13处）</w:t>
            </w:r>
          </w:p>
        </w:tc>
        <w:tc>
          <w:tcPr>
            <w:tcW w:w="3496" w:type="pct"/>
            <w:gridSpan w:val="3"/>
            <w:vAlign w:val="center"/>
          </w:tcPr>
          <w:p w14:paraId="3F30F1B5">
            <w:pPr>
              <w:widowControl/>
              <w:jc w:val="center"/>
              <w:rPr>
                <w:rFonts w:eastAsia="楷体"/>
                <w:kern w:val="0"/>
                <w:sz w:val="18"/>
                <w:szCs w:val="18"/>
                <w:lang w:bidi="ar"/>
              </w:rPr>
            </w:pPr>
            <w:r>
              <w:rPr>
                <w:rFonts w:eastAsia="楷体"/>
                <w:kern w:val="0"/>
                <w:sz w:val="18"/>
                <w:szCs w:val="18"/>
                <w:lang w:bidi="ar"/>
              </w:rPr>
              <w:t>古井（3处）、古树（3株）、石板路（2处）、石台阶（2处）、风水塘（2处）、古碑文（1处）</w:t>
            </w:r>
          </w:p>
        </w:tc>
      </w:tr>
      <w:tr w14:paraId="125E9F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3" w:hRule="atLeast"/>
        </w:trPr>
        <w:tc>
          <w:tcPr>
            <w:tcW w:w="407" w:type="pct"/>
            <w:vMerge w:val="restart"/>
            <w:vAlign w:val="center"/>
          </w:tcPr>
          <w:p w14:paraId="777A758F">
            <w:pPr>
              <w:widowControl/>
              <w:jc w:val="center"/>
              <w:rPr>
                <w:rFonts w:eastAsia="楷体"/>
                <w:kern w:val="0"/>
                <w:sz w:val="18"/>
                <w:szCs w:val="18"/>
                <w:lang w:bidi="ar"/>
              </w:rPr>
            </w:pPr>
            <w:r>
              <w:rPr>
                <w:rFonts w:eastAsia="楷体"/>
                <w:kern w:val="0"/>
                <w:sz w:val="18"/>
                <w:szCs w:val="18"/>
                <w:lang w:bidi="ar"/>
              </w:rPr>
              <w:t>非物质文化遗产与传统文化</w:t>
            </w:r>
          </w:p>
        </w:tc>
        <w:tc>
          <w:tcPr>
            <w:tcW w:w="1097" w:type="pct"/>
            <w:vAlign w:val="center"/>
          </w:tcPr>
          <w:p w14:paraId="2FFCDF91">
            <w:pPr>
              <w:widowControl/>
              <w:jc w:val="center"/>
              <w:rPr>
                <w:rFonts w:eastAsia="楷体"/>
                <w:kern w:val="0"/>
                <w:sz w:val="18"/>
                <w:szCs w:val="18"/>
                <w:lang w:bidi="ar"/>
              </w:rPr>
            </w:pPr>
            <w:r>
              <w:rPr>
                <w:rFonts w:eastAsia="楷体"/>
                <w:kern w:val="0"/>
                <w:sz w:val="18"/>
                <w:szCs w:val="18"/>
                <w:lang w:bidi="ar"/>
              </w:rPr>
              <w:t>传统音乐</w:t>
            </w:r>
          </w:p>
        </w:tc>
        <w:tc>
          <w:tcPr>
            <w:tcW w:w="902" w:type="pct"/>
            <w:gridSpan w:val="2"/>
            <w:vAlign w:val="center"/>
          </w:tcPr>
          <w:p w14:paraId="131997D1">
            <w:pPr>
              <w:widowControl/>
              <w:jc w:val="center"/>
              <w:rPr>
                <w:rFonts w:eastAsia="楷体"/>
                <w:kern w:val="0"/>
                <w:sz w:val="18"/>
                <w:szCs w:val="18"/>
                <w:lang w:bidi="ar"/>
              </w:rPr>
            </w:pPr>
            <w:r>
              <w:rPr>
                <w:rFonts w:eastAsia="楷体"/>
                <w:kern w:val="0"/>
                <w:sz w:val="18"/>
                <w:szCs w:val="18"/>
                <w:lang w:bidi="ar"/>
              </w:rPr>
              <w:t>凤岗客家山歌（省级）</w:t>
            </w:r>
          </w:p>
        </w:tc>
        <w:tc>
          <w:tcPr>
            <w:tcW w:w="2594" w:type="pct"/>
            <w:vAlign w:val="center"/>
          </w:tcPr>
          <w:p w14:paraId="57E1F41B">
            <w:pPr>
              <w:widowControl/>
              <w:jc w:val="center"/>
              <w:rPr>
                <w:rFonts w:eastAsia="楷体"/>
                <w:kern w:val="0"/>
                <w:sz w:val="18"/>
                <w:szCs w:val="18"/>
                <w:lang w:bidi="ar"/>
              </w:rPr>
            </w:pPr>
            <w:r>
              <w:rPr>
                <w:rFonts w:eastAsia="楷体"/>
                <w:kern w:val="0"/>
                <w:sz w:val="18"/>
                <w:szCs w:val="18"/>
                <w:lang w:bidi="ar"/>
              </w:rPr>
              <w:t>曲目、艺人、山歌社</w:t>
            </w:r>
          </w:p>
        </w:tc>
      </w:tr>
      <w:tr w14:paraId="630A0B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</w:trPr>
        <w:tc>
          <w:tcPr>
            <w:tcW w:w="407" w:type="pct"/>
            <w:vMerge w:val="continue"/>
            <w:vAlign w:val="center"/>
          </w:tcPr>
          <w:p w14:paraId="530991FD">
            <w:pPr>
              <w:widowControl/>
              <w:jc w:val="center"/>
              <w:rPr>
                <w:rFonts w:eastAsia="楷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097" w:type="pct"/>
            <w:vAlign w:val="center"/>
          </w:tcPr>
          <w:p w14:paraId="31327AF1">
            <w:pPr>
              <w:widowControl/>
              <w:jc w:val="center"/>
              <w:rPr>
                <w:rFonts w:eastAsia="楷体"/>
                <w:kern w:val="0"/>
                <w:sz w:val="18"/>
                <w:szCs w:val="18"/>
                <w:lang w:bidi="ar"/>
              </w:rPr>
            </w:pPr>
            <w:r>
              <w:rPr>
                <w:rFonts w:eastAsia="楷体"/>
                <w:kern w:val="0"/>
                <w:sz w:val="18"/>
                <w:szCs w:val="18"/>
                <w:lang w:bidi="ar"/>
              </w:rPr>
              <w:t>传统舞蹈</w:t>
            </w:r>
          </w:p>
        </w:tc>
        <w:tc>
          <w:tcPr>
            <w:tcW w:w="902" w:type="pct"/>
            <w:gridSpan w:val="2"/>
            <w:vAlign w:val="center"/>
          </w:tcPr>
          <w:p w14:paraId="78A335D5">
            <w:pPr>
              <w:widowControl/>
              <w:jc w:val="center"/>
              <w:rPr>
                <w:rFonts w:eastAsia="楷体"/>
                <w:kern w:val="0"/>
                <w:sz w:val="18"/>
                <w:szCs w:val="18"/>
                <w:lang w:bidi="ar"/>
              </w:rPr>
            </w:pPr>
            <w:r>
              <w:rPr>
                <w:rFonts w:eastAsia="楷体"/>
                <w:kern w:val="0"/>
                <w:sz w:val="18"/>
                <w:szCs w:val="18"/>
                <w:lang w:bidi="ar"/>
              </w:rPr>
              <w:t>麒麟舞（优秀传统文化）</w:t>
            </w:r>
          </w:p>
        </w:tc>
        <w:tc>
          <w:tcPr>
            <w:tcW w:w="2594" w:type="pct"/>
            <w:vAlign w:val="center"/>
          </w:tcPr>
          <w:p w14:paraId="285514C1">
            <w:pPr>
              <w:widowControl/>
              <w:jc w:val="center"/>
              <w:rPr>
                <w:rFonts w:eastAsia="楷体"/>
                <w:kern w:val="0"/>
                <w:sz w:val="18"/>
                <w:szCs w:val="18"/>
                <w:lang w:bidi="ar"/>
              </w:rPr>
            </w:pPr>
            <w:r>
              <w:rPr>
                <w:rFonts w:eastAsia="楷体"/>
                <w:kern w:val="0"/>
                <w:sz w:val="18"/>
                <w:szCs w:val="18"/>
                <w:lang w:bidi="ar"/>
              </w:rPr>
              <w:t>麒麟舞表演、麒麟舞队、宗亲联谊活动</w:t>
            </w:r>
          </w:p>
        </w:tc>
      </w:tr>
      <w:tr w14:paraId="1A6604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8" w:hRule="atLeast"/>
        </w:trPr>
        <w:tc>
          <w:tcPr>
            <w:tcW w:w="407" w:type="pct"/>
            <w:vMerge w:val="continue"/>
            <w:vAlign w:val="center"/>
          </w:tcPr>
          <w:p w14:paraId="1354E581">
            <w:pPr>
              <w:widowControl/>
              <w:jc w:val="center"/>
              <w:rPr>
                <w:rFonts w:eastAsia="楷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097" w:type="pct"/>
            <w:vMerge w:val="restart"/>
            <w:vAlign w:val="center"/>
          </w:tcPr>
          <w:p w14:paraId="3AF54BEC">
            <w:pPr>
              <w:widowControl/>
              <w:jc w:val="center"/>
              <w:rPr>
                <w:rFonts w:eastAsia="楷体"/>
                <w:kern w:val="0"/>
                <w:sz w:val="18"/>
                <w:szCs w:val="18"/>
                <w:lang w:bidi="ar"/>
              </w:rPr>
            </w:pPr>
            <w:r>
              <w:rPr>
                <w:rFonts w:eastAsia="楷体"/>
                <w:kern w:val="0"/>
                <w:sz w:val="18"/>
                <w:szCs w:val="18"/>
                <w:lang w:bidi="ar"/>
              </w:rPr>
              <w:t>民俗</w:t>
            </w:r>
          </w:p>
        </w:tc>
        <w:tc>
          <w:tcPr>
            <w:tcW w:w="902" w:type="pct"/>
            <w:gridSpan w:val="2"/>
            <w:vAlign w:val="center"/>
          </w:tcPr>
          <w:p w14:paraId="6F6E7034">
            <w:pPr>
              <w:widowControl/>
              <w:jc w:val="center"/>
              <w:rPr>
                <w:rFonts w:eastAsia="楷体"/>
                <w:kern w:val="0"/>
                <w:sz w:val="18"/>
                <w:szCs w:val="18"/>
                <w:lang w:bidi="ar"/>
              </w:rPr>
            </w:pPr>
            <w:r>
              <w:rPr>
                <w:rFonts w:eastAsia="楷体"/>
                <w:kern w:val="0"/>
                <w:sz w:val="18"/>
                <w:szCs w:val="18"/>
                <w:lang w:bidi="ar"/>
              </w:rPr>
              <w:t>客家传统婚俗（市级非遗）</w:t>
            </w:r>
          </w:p>
        </w:tc>
        <w:tc>
          <w:tcPr>
            <w:tcW w:w="2594" w:type="pct"/>
            <w:vAlign w:val="center"/>
          </w:tcPr>
          <w:p w14:paraId="7AD36210">
            <w:pPr>
              <w:widowControl/>
              <w:jc w:val="center"/>
              <w:rPr>
                <w:rFonts w:eastAsia="楷体"/>
                <w:kern w:val="0"/>
                <w:sz w:val="18"/>
                <w:szCs w:val="18"/>
                <w:lang w:bidi="ar"/>
              </w:rPr>
            </w:pPr>
            <w:r>
              <w:rPr>
                <w:rFonts w:eastAsia="楷体"/>
                <w:kern w:val="0"/>
                <w:sz w:val="18"/>
                <w:szCs w:val="18"/>
                <w:lang w:bidi="ar"/>
              </w:rPr>
              <w:t>婚礼仪式、婚礼游线、活动场所、婚礼相关手工艺品、相关传承人</w:t>
            </w:r>
          </w:p>
        </w:tc>
      </w:tr>
      <w:tr w14:paraId="4BE9F4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407" w:type="pct"/>
            <w:vMerge w:val="continue"/>
            <w:vAlign w:val="center"/>
          </w:tcPr>
          <w:p w14:paraId="56CDA32E">
            <w:pPr>
              <w:widowControl/>
              <w:jc w:val="center"/>
              <w:rPr>
                <w:rFonts w:eastAsia="楷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097" w:type="pct"/>
            <w:vMerge w:val="continue"/>
            <w:vAlign w:val="center"/>
          </w:tcPr>
          <w:p w14:paraId="29FA091C">
            <w:pPr>
              <w:widowControl/>
              <w:jc w:val="center"/>
              <w:rPr>
                <w:rFonts w:eastAsia="楷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902" w:type="pct"/>
            <w:gridSpan w:val="2"/>
            <w:vAlign w:val="center"/>
          </w:tcPr>
          <w:p w14:paraId="783C3223">
            <w:pPr>
              <w:widowControl/>
              <w:jc w:val="center"/>
              <w:rPr>
                <w:rFonts w:eastAsia="楷体"/>
                <w:kern w:val="0"/>
                <w:sz w:val="18"/>
                <w:szCs w:val="18"/>
                <w:lang w:bidi="ar"/>
              </w:rPr>
            </w:pPr>
            <w:r>
              <w:rPr>
                <w:rFonts w:eastAsia="楷体"/>
                <w:kern w:val="0"/>
                <w:sz w:val="18"/>
                <w:szCs w:val="18"/>
                <w:lang w:bidi="ar"/>
              </w:rPr>
              <w:t>祭祖（优秀传统文化）</w:t>
            </w:r>
          </w:p>
        </w:tc>
        <w:tc>
          <w:tcPr>
            <w:tcW w:w="2594" w:type="pct"/>
            <w:vAlign w:val="center"/>
          </w:tcPr>
          <w:p w14:paraId="385C670B">
            <w:pPr>
              <w:widowControl/>
              <w:jc w:val="center"/>
              <w:rPr>
                <w:rFonts w:eastAsia="楷体"/>
                <w:kern w:val="0"/>
                <w:sz w:val="18"/>
                <w:szCs w:val="18"/>
                <w:lang w:bidi="ar"/>
              </w:rPr>
            </w:pPr>
            <w:r>
              <w:rPr>
                <w:rFonts w:eastAsia="楷体"/>
                <w:kern w:val="0"/>
                <w:sz w:val="18"/>
                <w:szCs w:val="18"/>
                <w:lang w:bidi="ar"/>
              </w:rPr>
              <w:t>祭拜活动、宗祠</w:t>
            </w:r>
          </w:p>
        </w:tc>
      </w:tr>
      <w:tr w14:paraId="13F4F9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6" w:hRule="atLeast"/>
        </w:trPr>
        <w:tc>
          <w:tcPr>
            <w:tcW w:w="407" w:type="pct"/>
            <w:vMerge w:val="continue"/>
            <w:vAlign w:val="center"/>
          </w:tcPr>
          <w:p w14:paraId="6952D4DC">
            <w:pPr>
              <w:widowControl/>
              <w:jc w:val="center"/>
              <w:rPr>
                <w:rFonts w:eastAsia="楷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097" w:type="pct"/>
            <w:vMerge w:val="continue"/>
            <w:vAlign w:val="center"/>
          </w:tcPr>
          <w:p w14:paraId="29BCDEE7">
            <w:pPr>
              <w:widowControl/>
              <w:jc w:val="center"/>
              <w:rPr>
                <w:rFonts w:eastAsia="楷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902" w:type="pct"/>
            <w:gridSpan w:val="2"/>
            <w:vAlign w:val="center"/>
          </w:tcPr>
          <w:p w14:paraId="4DC01BBC">
            <w:pPr>
              <w:widowControl/>
              <w:jc w:val="center"/>
              <w:rPr>
                <w:rFonts w:eastAsia="楷体"/>
                <w:kern w:val="0"/>
                <w:sz w:val="18"/>
                <w:szCs w:val="18"/>
                <w:lang w:bidi="ar"/>
              </w:rPr>
            </w:pPr>
            <w:r>
              <w:rPr>
                <w:rFonts w:eastAsia="楷体"/>
                <w:kern w:val="0"/>
                <w:sz w:val="18"/>
                <w:szCs w:val="18"/>
                <w:lang w:bidi="ar"/>
              </w:rPr>
              <w:t>七月七喝七姐水（优秀传统文化）</w:t>
            </w:r>
          </w:p>
        </w:tc>
        <w:tc>
          <w:tcPr>
            <w:tcW w:w="2594" w:type="pct"/>
            <w:vAlign w:val="center"/>
          </w:tcPr>
          <w:p w14:paraId="5DF4D0A4">
            <w:pPr>
              <w:widowControl/>
              <w:jc w:val="center"/>
              <w:rPr>
                <w:rFonts w:eastAsia="楷体"/>
                <w:kern w:val="0"/>
                <w:sz w:val="18"/>
                <w:szCs w:val="18"/>
                <w:lang w:bidi="ar"/>
              </w:rPr>
            </w:pPr>
            <w:r>
              <w:rPr>
                <w:rFonts w:eastAsia="楷体"/>
                <w:kern w:val="0"/>
                <w:sz w:val="18"/>
                <w:szCs w:val="18"/>
                <w:lang w:bidi="ar"/>
              </w:rPr>
              <w:t>“七姐水”取水点、“取七姐水”路线、“喝七姐水”仪式</w:t>
            </w:r>
          </w:p>
        </w:tc>
      </w:tr>
      <w:tr w14:paraId="6E5D4C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407" w:type="pct"/>
            <w:vMerge w:val="continue"/>
            <w:vAlign w:val="center"/>
          </w:tcPr>
          <w:p w14:paraId="3806EAEA">
            <w:pPr>
              <w:widowControl/>
              <w:jc w:val="center"/>
              <w:rPr>
                <w:rFonts w:eastAsia="楷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097" w:type="pct"/>
            <w:vAlign w:val="center"/>
          </w:tcPr>
          <w:p w14:paraId="7C6EF11D">
            <w:pPr>
              <w:widowControl/>
              <w:jc w:val="center"/>
              <w:rPr>
                <w:rFonts w:eastAsia="楷体"/>
                <w:kern w:val="0"/>
                <w:sz w:val="18"/>
                <w:szCs w:val="18"/>
                <w:lang w:bidi="ar"/>
              </w:rPr>
            </w:pPr>
            <w:r>
              <w:rPr>
                <w:rFonts w:eastAsia="楷体"/>
                <w:kern w:val="0"/>
                <w:sz w:val="18"/>
                <w:szCs w:val="18"/>
                <w:lang w:bidi="ar"/>
              </w:rPr>
              <w:t>重要历史事件</w:t>
            </w:r>
          </w:p>
        </w:tc>
        <w:tc>
          <w:tcPr>
            <w:tcW w:w="3496" w:type="pct"/>
            <w:gridSpan w:val="3"/>
            <w:vAlign w:val="center"/>
          </w:tcPr>
          <w:p w14:paraId="4724EB22">
            <w:pPr>
              <w:widowControl/>
              <w:jc w:val="center"/>
              <w:rPr>
                <w:rFonts w:eastAsia="楷体"/>
                <w:kern w:val="0"/>
                <w:sz w:val="18"/>
                <w:szCs w:val="18"/>
                <w:lang w:bidi="ar"/>
              </w:rPr>
            </w:pPr>
            <w:r>
              <w:rPr>
                <w:rFonts w:eastAsia="楷体"/>
                <w:kern w:val="0"/>
                <w:sz w:val="18"/>
                <w:szCs w:val="18"/>
                <w:lang w:bidi="ar"/>
              </w:rPr>
              <w:t>洪全福在清同治三年</w:t>
            </w:r>
            <w:r>
              <w:rPr>
                <w:rFonts w:hint="eastAsia" w:eastAsia="楷体"/>
                <w:kern w:val="0"/>
                <w:sz w:val="18"/>
                <w:szCs w:val="18"/>
                <w:lang w:eastAsia="zh-CN" w:bidi="ar"/>
              </w:rPr>
              <w:t>太平天国运动</w:t>
            </w:r>
            <w:r>
              <w:rPr>
                <w:rFonts w:eastAsia="楷体"/>
                <w:kern w:val="0"/>
                <w:sz w:val="18"/>
                <w:szCs w:val="18"/>
                <w:lang w:bidi="ar"/>
              </w:rPr>
              <w:t>失败后逃匿到黄洞村，后转至香港参加同盟会，为孙中山运输武器，支持革命。</w:t>
            </w:r>
          </w:p>
        </w:tc>
      </w:tr>
      <w:tr w14:paraId="36A1ED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407" w:type="pct"/>
            <w:vMerge w:val="continue"/>
            <w:vAlign w:val="center"/>
          </w:tcPr>
          <w:p w14:paraId="0C3D1F45">
            <w:pPr>
              <w:widowControl/>
              <w:jc w:val="center"/>
              <w:rPr>
                <w:rFonts w:eastAsia="楷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097" w:type="pct"/>
            <w:vAlign w:val="center"/>
          </w:tcPr>
          <w:p w14:paraId="1FE558EF">
            <w:pPr>
              <w:widowControl/>
              <w:jc w:val="center"/>
              <w:rPr>
                <w:rFonts w:eastAsia="楷体"/>
                <w:kern w:val="0"/>
                <w:sz w:val="18"/>
                <w:szCs w:val="18"/>
                <w:lang w:bidi="ar"/>
              </w:rPr>
            </w:pPr>
            <w:r>
              <w:rPr>
                <w:rFonts w:eastAsia="楷体"/>
                <w:kern w:val="0"/>
                <w:sz w:val="18"/>
                <w:szCs w:val="18"/>
                <w:lang w:bidi="ar"/>
              </w:rPr>
              <w:t>历史故事与传说</w:t>
            </w:r>
          </w:p>
        </w:tc>
        <w:tc>
          <w:tcPr>
            <w:tcW w:w="3496" w:type="pct"/>
            <w:gridSpan w:val="3"/>
            <w:vAlign w:val="center"/>
          </w:tcPr>
          <w:p w14:paraId="3C918B83">
            <w:pPr>
              <w:widowControl/>
              <w:jc w:val="center"/>
              <w:rPr>
                <w:rFonts w:eastAsia="楷体"/>
                <w:kern w:val="0"/>
                <w:sz w:val="18"/>
                <w:szCs w:val="18"/>
                <w:lang w:bidi="ar"/>
              </w:rPr>
            </w:pPr>
            <w:r>
              <w:rPr>
                <w:rFonts w:eastAsia="楷体"/>
                <w:kern w:val="0"/>
                <w:sz w:val="18"/>
                <w:szCs w:val="18"/>
                <w:lang w:bidi="ar"/>
              </w:rPr>
              <w:t>陈国魁棍打海犀牛、亚解力退粮差、</w:t>
            </w:r>
            <w:bookmarkStart w:id="2" w:name="_GoBack"/>
            <w:bookmarkEnd w:id="2"/>
            <w:r>
              <w:rPr>
                <w:rFonts w:eastAsia="楷体"/>
                <w:kern w:val="0"/>
                <w:sz w:val="18"/>
                <w:szCs w:val="18"/>
                <w:lang w:bidi="ar"/>
              </w:rPr>
              <w:t>“十三位公”之传、十字生财等</w:t>
            </w:r>
          </w:p>
        </w:tc>
      </w:tr>
      <w:tr w14:paraId="39C482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407" w:type="pct"/>
            <w:vMerge w:val="continue"/>
            <w:vAlign w:val="center"/>
          </w:tcPr>
          <w:p w14:paraId="7D1CF622">
            <w:pPr>
              <w:widowControl/>
              <w:jc w:val="center"/>
              <w:rPr>
                <w:rFonts w:eastAsia="楷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097" w:type="pct"/>
            <w:vAlign w:val="center"/>
          </w:tcPr>
          <w:p w14:paraId="5B1B6A44">
            <w:pPr>
              <w:widowControl/>
              <w:jc w:val="center"/>
              <w:rPr>
                <w:rFonts w:eastAsia="楷体"/>
                <w:kern w:val="0"/>
                <w:sz w:val="18"/>
                <w:szCs w:val="18"/>
                <w:lang w:bidi="ar"/>
              </w:rPr>
            </w:pPr>
            <w:r>
              <w:rPr>
                <w:rFonts w:eastAsia="楷体"/>
                <w:kern w:val="0"/>
                <w:sz w:val="18"/>
                <w:szCs w:val="18"/>
                <w:lang w:bidi="ar"/>
              </w:rPr>
              <w:t>地名文化遗产</w:t>
            </w:r>
          </w:p>
        </w:tc>
        <w:tc>
          <w:tcPr>
            <w:tcW w:w="3496" w:type="pct"/>
            <w:gridSpan w:val="3"/>
            <w:vAlign w:val="center"/>
          </w:tcPr>
          <w:p w14:paraId="45C88C8B">
            <w:pPr>
              <w:widowControl/>
              <w:jc w:val="center"/>
              <w:rPr>
                <w:rFonts w:eastAsia="楷体"/>
                <w:kern w:val="0"/>
                <w:sz w:val="18"/>
                <w:szCs w:val="18"/>
                <w:lang w:bidi="ar"/>
              </w:rPr>
            </w:pPr>
            <w:r>
              <w:rPr>
                <w:rFonts w:eastAsia="楷体"/>
                <w:kern w:val="0"/>
                <w:sz w:val="18"/>
                <w:szCs w:val="18"/>
                <w:lang w:bidi="ar"/>
              </w:rPr>
              <w:t>重要山名、水系名称以及历史街巷名称</w:t>
            </w:r>
          </w:p>
        </w:tc>
      </w:tr>
      <w:bookmarkEnd w:id="0"/>
    </w:tbl>
    <w:p w14:paraId="335EC647">
      <w:pPr>
        <w:widowControl/>
        <w:spacing w:line="360" w:lineRule="auto"/>
        <w:rPr>
          <w:rFonts w:hint="eastAsia" w:ascii="楷体" w:hAnsi="楷体" w:eastAsia="楷体" w:cs="宋体"/>
          <w:b/>
          <w:kern w:val="0"/>
          <w:sz w:val="18"/>
          <w:szCs w:val="18"/>
          <w:lang w:bidi="ar"/>
        </w:rPr>
      </w:pPr>
    </w:p>
    <w:p w14:paraId="55E95514">
      <w:pPr>
        <w:widowControl/>
        <w:spacing w:line="360" w:lineRule="auto"/>
        <w:jc w:val="center"/>
        <w:rPr>
          <w:rFonts w:hint="eastAsia" w:ascii="楷体" w:hAnsi="楷体" w:eastAsia="楷体" w:cs="宋体"/>
          <w:b/>
          <w:kern w:val="0"/>
          <w:sz w:val="24"/>
          <w:szCs w:val="24"/>
          <w:lang w:bidi="ar"/>
        </w:rPr>
      </w:pPr>
      <w:r>
        <w:rPr>
          <w:rFonts w:hint="eastAsia" w:ascii="楷体" w:hAnsi="楷体" w:eastAsia="楷体" w:cs="宋体"/>
          <w:b/>
          <w:kern w:val="0"/>
          <w:sz w:val="24"/>
          <w:szCs w:val="24"/>
          <w:lang w:bidi="ar"/>
        </w:rPr>
        <w:t>附表</w:t>
      </w:r>
      <w:r>
        <w:rPr>
          <w:rFonts w:eastAsia="楷体"/>
          <w:b/>
          <w:kern w:val="0"/>
          <w:sz w:val="24"/>
          <w:szCs w:val="24"/>
          <w:lang w:bidi="ar"/>
        </w:rPr>
        <w:t>2</w:t>
      </w:r>
      <w:r>
        <w:rPr>
          <w:rFonts w:hint="eastAsia" w:ascii="楷体" w:hAnsi="楷体" w:eastAsia="楷体" w:cs="宋体"/>
          <w:b/>
          <w:kern w:val="0"/>
          <w:sz w:val="24"/>
          <w:szCs w:val="24"/>
          <w:lang w:bidi="ar"/>
        </w:rPr>
        <w:t>：历史文化保护管控一览表</w:t>
      </w:r>
    </w:p>
    <w:tbl>
      <w:tblPr>
        <w:tblStyle w:val="6"/>
        <w:tblW w:w="4952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2"/>
        <w:gridCol w:w="1747"/>
        <w:gridCol w:w="5971"/>
      </w:tblGrid>
      <w:tr w14:paraId="4D9E98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6" w:hRule="atLeast"/>
        </w:trPr>
        <w:tc>
          <w:tcPr>
            <w:tcW w:w="428" w:type="pct"/>
            <w:shd w:val="clear" w:color="auto" w:fill="E7E6E6" w:themeFill="background2"/>
            <w:vAlign w:val="center"/>
          </w:tcPr>
          <w:p w14:paraId="7371BE73">
            <w:pPr>
              <w:widowControl/>
              <w:jc w:val="center"/>
              <w:rPr>
                <w:rFonts w:eastAsia="楷体"/>
                <w:b/>
                <w:kern w:val="0"/>
                <w:sz w:val="18"/>
                <w:szCs w:val="18"/>
                <w:lang w:bidi="ar"/>
              </w:rPr>
            </w:pPr>
            <w:r>
              <w:rPr>
                <w:rFonts w:eastAsia="楷体"/>
                <w:b/>
                <w:kern w:val="0"/>
                <w:sz w:val="18"/>
                <w:szCs w:val="18"/>
                <w:lang w:bidi="ar"/>
              </w:rPr>
              <w:t>管控层次</w:t>
            </w:r>
          </w:p>
        </w:tc>
        <w:tc>
          <w:tcPr>
            <w:tcW w:w="4572" w:type="pct"/>
            <w:gridSpan w:val="2"/>
            <w:shd w:val="clear" w:color="auto" w:fill="E7E6E6" w:themeFill="background2"/>
            <w:vAlign w:val="center"/>
          </w:tcPr>
          <w:p w14:paraId="6DA427FA">
            <w:pPr>
              <w:widowControl/>
              <w:jc w:val="center"/>
              <w:rPr>
                <w:rFonts w:eastAsia="楷体"/>
                <w:b/>
                <w:kern w:val="0"/>
                <w:sz w:val="18"/>
                <w:szCs w:val="18"/>
                <w:lang w:bidi="ar"/>
              </w:rPr>
            </w:pPr>
            <w:r>
              <w:rPr>
                <w:rFonts w:eastAsia="楷体"/>
                <w:b/>
                <w:kern w:val="0"/>
                <w:sz w:val="18"/>
                <w:szCs w:val="18"/>
                <w:lang w:bidi="ar"/>
              </w:rPr>
              <w:t>管控要求</w:t>
            </w:r>
          </w:p>
        </w:tc>
      </w:tr>
      <w:tr w14:paraId="5363AB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2" w:hRule="atLeast"/>
        </w:trPr>
        <w:tc>
          <w:tcPr>
            <w:tcW w:w="428" w:type="pct"/>
            <w:vAlign w:val="center"/>
          </w:tcPr>
          <w:p w14:paraId="585621F6">
            <w:pPr>
              <w:widowControl/>
              <w:jc w:val="center"/>
              <w:rPr>
                <w:rFonts w:eastAsia="楷体"/>
                <w:b/>
                <w:bCs/>
                <w:kern w:val="0"/>
                <w:sz w:val="18"/>
                <w:szCs w:val="18"/>
                <w:lang w:bidi="ar"/>
              </w:rPr>
            </w:pPr>
            <w:r>
              <w:rPr>
                <w:rFonts w:eastAsia="楷体"/>
                <w:b/>
                <w:bCs/>
                <w:kern w:val="0"/>
                <w:sz w:val="18"/>
                <w:szCs w:val="18"/>
                <w:lang w:bidi="ar"/>
              </w:rPr>
              <w:t>自然景观环境</w:t>
            </w:r>
          </w:p>
        </w:tc>
        <w:tc>
          <w:tcPr>
            <w:tcW w:w="4572" w:type="pct"/>
            <w:gridSpan w:val="2"/>
          </w:tcPr>
          <w:p w14:paraId="6585D1D9">
            <w:pPr>
              <w:widowControl/>
              <w:ind w:firstLine="360" w:firstLineChars="200"/>
              <w:rPr>
                <w:rFonts w:eastAsia="楷体"/>
                <w:kern w:val="0"/>
                <w:sz w:val="18"/>
                <w:szCs w:val="18"/>
                <w:lang w:bidi="ar"/>
              </w:rPr>
            </w:pPr>
            <w:r>
              <w:rPr>
                <w:rFonts w:eastAsia="楷体"/>
                <w:kern w:val="0"/>
                <w:sz w:val="18"/>
                <w:szCs w:val="18"/>
                <w:lang w:bidi="ar"/>
              </w:rPr>
              <w:t>（1）整体保护黄洞村自然山体、水系。</w:t>
            </w:r>
          </w:p>
          <w:p w14:paraId="59D067EB">
            <w:pPr>
              <w:widowControl/>
              <w:ind w:firstLine="360" w:firstLineChars="200"/>
              <w:rPr>
                <w:rFonts w:eastAsia="楷体"/>
                <w:kern w:val="0"/>
                <w:sz w:val="18"/>
                <w:szCs w:val="18"/>
                <w:lang w:bidi="ar"/>
              </w:rPr>
            </w:pPr>
            <w:r>
              <w:rPr>
                <w:rFonts w:eastAsia="楷体"/>
                <w:kern w:val="0"/>
                <w:sz w:val="18"/>
                <w:szCs w:val="18"/>
                <w:lang w:bidi="ar"/>
              </w:rPr>
              <w:t>（2）保护照布岭、奄吓岭、石角排等山体，禁止开挖、侵占、破坏山体的行为；合理利用山水环境格局，做好景观视线通廊。</w:t>
            </w:r>
          </w:p>
          <w:p w14:paraId="732AFE1E">
            <w:pPr>
              <w:widowControl/>
              <w:ind w:firstLine="360" w:firstLineChars="200"/>
              <w:rPr>
                <w:rFonts w:eastAsia="楷体"/>
                <w:kern w:val="0"/>
                <w:sz w:val="18"/>
                <w:szCs w:val="18"/>
                <w:lang w:bidi="ar"/>
              </w:rPr>
            </w:pPr>
            <w:r>
              <w:rPr>
                <w:rFonts w:eastAsia="楷体"/>
                <w:kern w:val="0"/>
                <w:sz w:val="18"/>
                <w:szCs w:val="18"/>
                <w:lang w:bidi="ar"/>
              </w:rPr>
              <w:t>（3）保护石马河及沿岸景观，禁止违反城市蓝线保护和控制要求的建设活动。</w:t>
            </w:r>
          </w:p>
        </w:tc>
      </w:tr>
      <w:tr w14:paraId="3527FB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428" w:type="pct"/>
            <w:vAlign w:val="center"/>
          </w:tcPr>
          <w:p w14:paraId="31B6346C">
            <w:pPr>
              <w:widowControl/>
              <w:jc w:val="center"/>
              <w:rPr>
                <w:rFonts w:eastAsia="楷体"/>
                <w:b/>
                <w:bCs/>
                <w:kern w:val="0"/>
                <w:sz w:val="18"/>
                <w:szCs w:val="18"/>
                <w:lang w:bidi="ar"/>
              </w:rPr>
            </w:pPr>
            <w:r>
              <w:rPr>
                <w:rFonts w:eastAsia="楷体"/>
                <w:b/>
                <w:bCs/>
                <w:kern w:val="0"/>
                <w:sz w:val="18"/>
                <w:szCs w:val="18"/>
                <w:lang w:bidi="ar"/>
              </w:rPr>
              <w:t>传统空间格局</w:t>
            </w:r>
          </w:p>
        </w:tc>
        <w:tc>
          <w:tcPr>
            <w:tcW w:w="4572" w:type="pct"/>
            <w:gridSpan w:val="2"/>
          </w:tcPr>
          <w:p w14:paraId="4FB9C570">
            <w:pPr>
              <w:widowControl/>
              <w:ind w:firstLine="360" w:firstLineChars="200"/>
              <w:rPr>
                <w:rFonts w:eastAsia="楷体"/>
                <w:kern w:val="0"/>
                <w:sz w:val="18"/>
                <w:szCs w:val="18"/>
                <w:lang w:bidi="ar"/>
              </w:rPr>
            </w:pPr>
            <w:r>
              <w:rPr>
                <w:rFonts w:eastAsia="楷体"/>
                <w:kern w:val="0"/>
                <w:sz w:val="18"/>
                <w:szCs w:val="18"/>
                <w:lang w:bidi="ar"/>
              </w:rPr>
              <w:t>（1）保护“山-村-风水塘”的村落肌理和空间格局。</w:t>
            </w:r>
          </w:p>
          <w:p w14:paraId="24D827EA">
            <w:pPr>
              <w:widowControl/>
              <w:ind w:firstLine="360" w:firstLineChars="200"/>
              <w:rPr>
                <w:rFonts w:eastAsia="楷体"/>
                <w:kern w:val="0"/>
                <w:sz w:val="18"/>
                <w:szCs w:val="18"/>
                <w:lang w:bidi="ar"/>
              </w:rPr>
            </w:pPr>
            <w:r>
              <w:rPr>
                <w:rFonts w:eastAsia="楷体"/>
                <w:kern w:val="0"/>
                <w:sz w:val="18"/>
                <w:szCs w:val="18"/>
                <w:lang w:bidi="ar"/>
              </w:rPr>
              <w:t>（2）保护黄洞村背山面水的风水格局及“非”字形街巷布局空间，整理疏通街巷。保护田心村新围场背靠青山，左右青山连绵，面向平原的轿形风水格局。</w:t>
            </w:r>
          </w:p>
          <w:p w14:paraId="21C246EF">
            <w:pPr>
              <w:widowControl/>
              <w:ind w:firstLine="360" w:firstLineChars="200"/>
              <w:rPr>
                <w:rFonts w:eastAsia="楷体"/>
                <w:kern w:val="0"/>
                <w:sz w:val="18"/>
                <w:szCs w:val="18"/>
                <w:lang w:bidi="ar"/>
              </w:rPr>
            </w:pPr>
            <w:r>
              <w:rPr>
                <w:rFonts w:eastAsia="楷体"/>
                <w:kern w:val="0"/>
                <w:sz w:val="18"/>
                <w:szCs w:val="18"/>
                <w:lang w:bidi="ar"/>
              </w:rPr>
              <w:t>（3）保护承载黄洞村客侨文化的历史景观，保护村落风水塘及其周边开敞空间、古树、古井、石板路、石台阶等与排屋、碉楼等共同构成的历史景观及环境，维护黄洞村客侨村落的历史景观特征。</w:t>
            </w:r>
          </w:p>
        </w:tc>
      </w:tr>
      <w:tr w14:paraId="6934BD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428" w:type="pct"/>
            <w:vMerge w:val="restart"/>
            <w:vAlign w:val="center"/>
          </w:tcPr>
          <w:p w14:paraId="59E5F5DE">
            <w:pPr>
              <w:widowControl/>
              <w:jc w:val="center"/>
              <w:rPr>
                <w:rFonts w:eastAsia="楷体"/>
                <w:b/>
                <w:bCs/>
                <w:kern w:val="0"/>
                <w:sz w:val="18"/>
                <w:szCs w:val="18"/>
                <w:lang w:bidi="ar"/>
              </w:rPr>
            </w:pPr>
            <w:r>
              <w:rPr>
                <w:rFonts w:eastAsia="楷体"/>
                <w:b/>
                <w:bCs/>
                <w:kern w:val="0"/>
                <w:sz w:val="18"/>
                <w:szCs w:val="18"/>
                <w:lang w:bidi="ar"/>
              </w:rPr>
              <w:t>传统街巷</w:t>
            </w:r>
          </w:p>
        </w:tc>
        <w:tc>
          <w:tcPr>
            <w:tcW w:w="1035" w:type="pct"/>
            <w:vAlign w:val="center"/>
          </w:tcPr>
          <w:p w14:paraId="66161AFD">
            <w:pPr>
              <w:widowControl/>
              <w:jc w:val="center"/>
              <w:rPr>
                <w:rFonts w:eastAsia="楷体"/>
                <w:b/>
                <w:bCs/>
                <w:kern w:val="0"/>
                <w:sz w:val="18"/>
                <w:szCs w:val="18"/>
                <w:lang w:bidi="ar"/>
              </w:rPr>
            </w:pPr>
            <w:r>
              <w:rPr>
                <w:rFonts w:eastAsia="楷体"/>
                <w:b/>
                <w:bCs/>
                <w:kern w:val="0"/>
                <w:sz w:val="18"/>
                <w:szCs w:val="18"/>
                <w:lang w:bidi="ar"/>
              </w:rPr>
              <w:t>一类传统街巷</w:t>
            </w:r>
          </w:p>
        </w:tc>
        <w:tc>
          <w:tcPr>
            <w:tcW w:w="3536" w:type="pct"/>
          </w:tcPr>
          <w:p w14:paraId="791657D7">
            <w:pPr>
              <w:widowControl/>
              <w:ind w:firstLine="360" w:firstLineChars="200"/>
              <w:jc w:val="left"/>
              <w:rPr>
                <w:rFonts w:eastAsia="楷体"/>
                <w:kern w:val="0"/>
                <w:sz w:val="18"/>
                <w:szCs w:val="18"/>
                <w:lang w:bidi="ar"/>
              </w:rPr>
            </w:pPr>
            <w:r>
              <w:rPr>
                <w:rFonts w:eastAsia="楷体"/>
                <w:kern w:val="0"/>
                <w:sz w:val="18"/>
                <w:szCs w:val="18"/>
                <w:lang w:bidi="ar"/>
              </w:rPr>
              <w:t>严格保护传统街巷的空间尺度及界面的连续性与完整性。整治传统风貌已有局部轻微破坏的地段。保护有传统特色的路面铺装，修缮和整治应采用传统工艺，禁止使用磨光板等与历史风貌不协调的现代材料铺砌。</w:t>
            </w:r>
          </w:p>
        </w:tc>
      </w:tr>
      <w:tr w14:paraId="3FF1F2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428" w:type="pct"/>
            <w:vMerge w:val="continue"/>
            <w:vAlign w:val="center"/>
          </w:tcPr>
          <w:p w14:paraId="2759B4F4">
            <w:pPr>
              <w:widowControl/>
              <w:jc w:val="center"/>
              <w:rPr>
                <w:rFonts w:eastAsia="楷体"/>
                <w:b/>
                <w:bCs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035" w:type="pct"/>
            <w:vAlign w:val="center"/>
          </w:tcPr>
          <w:p w14:paraId="377FB47B">
            <w:pPr>
              <w:widowControl/>
              <w:jc w:val="center"/>
              <w:rPr>
                <w:rFonts w:eastAsia="楷体"/>
                <w:b/>
                <w:bCs/>
                <w:kern w:val="0"/>
                <w:sz w:val="18"/>
                <w:szCs w:val="18"/>
                <w:lang w:bidi="ar"/>
              </w:rPr>
            </w:pPr>
            <w:r>
              <w:rPr>
                <w:rFonts w:eastAsia="楷体"/>
                <w:b/>
                <w:bCs/>
                <w:kern w:val="0"/>
                <w:sz w:val="18"/>
                <w:szCs w:val="18"/>
                <w:lang w:bidi="ar"/>
              </w:rPr>
              <w:t>二类传统街巷</w:t>
            </w:r>
          </w:p>
        </w:tc>
        <w:tc>
          <w:tcPr>
            <w:tcW w:w="3536" w:type="pct"/>
          </w:tcPr>
          <w:p w14:paraId="393BA33B">
            <w:pPr>
              <w:widowControl/>
              <w:ind w:firstLine="360" w:firstLineChars="200"/>
              <w:jc w:val="left"/>
              <w:rPr>
                <w:rFonts w:eastAsia="楷体"/>
                <w:kern w:val="0"/>
                <w:sz w:val="18"/>
                <w:szCs w:val="18"/>
                <w:lang w:bidi="ar"/>
              </w:rPr>
            </w:pPr>
            <w:r>
              <w:rPr>
                <w:rFonts w:eastAsia="楷体"/>
                <w:kern w:val="0"/>
                <w:sz w:val="18"/>
                <w:szCs w:val="18"/>
                <w:lang w:bidi="ar"/>
              </w:rPr>
              <w:t>保护传统风貌较好的传统街巷，严格保护街巷格局和肌理。全面整治传统风貌已被破坏的地段，整治改造不协调建筑中的超高建、构筑物，整饬色彩及造型不协调建筑。新建房屋必须符合有关控制要求。</w:t>
            </w:r>
          </w:p>
        </w:tc>
      </w:tr>
      <w:tr w14:paraId="510EB1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428" w:type="pct"/>
            <w:vAlign w:val="center"/>
          </w:tcPr>
          <w:p w14:paraId="0A678E0E">
            <w:pPr>
              <w:widowControl/>
              <w:jc w:val="center"/>
              <w:rPr>
                <w:rFonts w:eastAsia="楷体"/>
                <w:b/>
                <w:bCs/>
                <w:kern w:val="0"/>
                <w:sz w:val="18"/>
                <w:szCs w:val="18"/>
                <w:lang w:bidi="ar"/>
              </w:rPr>
            </w:pPr>
            <w:r>
              <w:rPr>
                <w:rFonts w:eastAsia="楷体"/>
                <w:b/>
                <w:bCs/>
                <w:kern w:val="0"/>
                <w:sz w:val="18"/>
                <w:szCs w:val="18"/>
                <w:lang w:bidi="ar"/>
              </w:rPr>
              <w:t>绿化景观</w:t>
            </w:r>
          </w:p>
        </w:tc>
        <w:tc>
          <w:tcPr>
            <w:tcW w:w="4572" w:type="pct"/>
            <w:gridSpan w:val="2"/>
          </w:tcPr>
          <w:p w14:paraId="41C155D3">
            <w:pPr>
              <w:widowControl/>
              <w:ind w:firstLine="360" w:firstLineChars="200"/>
              <w:jc w:val="left"/>
              <w:rPr>
                <w:rFonts w:eastAsia="楷体"/>
                <w:kern w:val="0"/>
                <w:sz w:val="18"/>
                <w:szCs w:val="18"/>
                <w:lang w:bidi="ar"/>
              </w:rPr>
            </w:pPr>
            <w:r>
              <w:rPr>
                <w:rFonts w:eastAsia="楷体"/>
                <w:kern w:val="0"/>
                <w:sz w:val="18"/>
                <w:szCs w:val="18"/>
                <w:lang w:bidi="ar"/>
              </w:rPr>
              <w:t>（1）保护古树名木、古树名木后续资源。保护村落内大树。</w:t>
            </w:r>
          </w:p>
          <w:p w14:paraId="310655F9">
            <w:pPr>
              <w:widowControl/>
              <w:ind w:firstLine="360" w:firstLineChars="200"/>
              <w:jc w:val="left"/>
              <w:rPr>
                <w:rFonts w:eastAsia="楷体"/>
                <w:kern w:val="0"/>
                <w:sz w:val="18"/>
                <w:szCs w:val="18"/>
                <w:lang w:bidi="ar"/>
              </w:rPr>
            </w:pPr>
            <w:r>
              <w:rPr>
                <w:rFonts w:eastAsia="楷体"/>
                <w:kern w:val="0"/>
                <w:sz w:val="18"/>
                <w:szCs w:val="18"/>
                <w:lang w:bidi="ar"/>
              </w:rPr>
              <w:t>（2）保护村落中的自然生态和绿化景观。保护村落内的片状绿地。同时结合建筑物房前屋后及屋面的四小园建设，形成点、线结合的分散式绿化格局。</w:t>
            </w:r>
          </w:p>
          <w:p w14:paraId="5B1CEE86">
            <w:pPr>
              <w:widowControl/>
              <w:ind w:firstLine="360" w:firstLineChars="200"/>
              <w:jc w:val="left"/>
              <w:rPr>
                <w:rFonts w:eastAsia="楷体"/>
                <w:kern w:val="0"/>
                <w:sz w:val="18"/>
                <w:szCs w:val="18"/>
                <w:lang w:bidi="ar"/>
              </w:rPr>
            </w:pPr>
            <w:r>
              <w:rPr>
                <w:rFonts w:eastAsia="楷体"/>
                <w:kern w:val="0"/>
                <w:sz w:val="18"/>
                <w:szCs w:val="18"/>
                <w:lang w:bidi="ar"/>
              </w:rPr>
              <w:t>（3）绿化应当选择适宜的树种，优先选用乡土树种。</w:t>
            </w:r>
          </w:p>
          <w:p w14:paraId="7FF765F0">
            <w:pPr>
              <w:widowControl/>
              <w:ind w:firstLine="360" w:firstLineChars="200"/>
              <w:jc w:val="left"/>
              <w:rPr>
                <w:rFonts w:eastAsia="楷体"/>
                <w:kern w:val="0"/>
                <w:sz w:val="18"/>
                <w:szCs w:val="18"/>
                <w:lang w:bidi="ar"/>
              </w:rPr>
            </w:pPr>
            <w:r>
              <w:rPr>
                <w:rFonts w:eastAsia="楷体"/>
                <w:kern w:val="0"/>
                <w:sz w:val="18"/>
                <w:szCs w:val="18"/>
                <w:lang w:bidi="ar"/>
              </w:rPr>
              <w:t>（4）改造提升黄洞路两侧街道绿化，部分恢复黄洞水水体景观意向，设置黄洞水历史记忆标识，使之成为贯穿古村落的绿化景观。</w:t>
            </w:r>
          </w:p>
        </w:tc>
      </w:tr>
      <w:tr w14:paraId="7D7EF7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428" w:type="pct"/>
            <w:vAlign w:val="center"/>
          </w:tcPr>
          <w:p w14:paraId="3BBD864C">
            <w:pPr>
              <w:widowControl/>
              <w:jc w:val="center"/>
              <w:rPr>
                <w:rFonts w:eastAsia="楷体"/>
                <w:b/>
                <w:bCs/>
                <w:kern w:val="0"/>
                <w:sz w:val="18"/>
                <w:szCs w:val="18"/>
                <w:lang w:bidi="ar"/>
              </w:rPr>
            </w:pPr>
            <w:r>
              <w:rPr>
                <w:rFonts w:eastAsia="楷体"/>
                <w:b/>
                <w:bCs/>
                <w:kern w:val="0"/>
                <w:sz w:val="18"/>
                <w:szCs w:val="18"/>
                <w:lang w:bidi="ar"/>
              </w:rPr>
              <w:t>景观视廊</w:t>
            </w:r>
          </w:p>
        </w:tc>
        <w:tc>
          <w:tcPr>
            <w:tcW w:w="4572" w:type="pct"/>
            <w:gridSpan w:val="2"/>
          </w:tcPr>
          <w:p w14:paraId="7221A7A0">
            <w:pPr>
              <w:widowControl/>
              <w:ind w:firstLine="360" w:firstLineChars="200"/>
              <w:jc w:val="left"/>
              <w:rPr>
                <w:rFonts w:eastAsia="楷体"/>
                <w:kern w:val="0"/>
                <w:sz w:val="18"/>
                <w:szCs w:val="18"/>
                <w:lang w:bidi="ar"/>
              </w:rPr>
            </w:pPr>
            <w:r>
              <w:rPr>
                <w:rFonts w:eastAsia="楷体"/>
                <w:kern w:val="0"/>
                <w:sz w:val="18"/>
                <w:szCs w:val="18"/>
                <w:lang w:bidi="ar"/>
              </w:rPr>
              <w:t>（1）重点轮廓线控制。严格保护山形、山体轮廓线和制高点；重点控制村落整体轮廓线，保护以碉楼为制高点，以祠堂为中心，与排屋形成的错落有致的空间肌理；新建建筑与周边建筑、自然空间之间应保持良好的视觉关系。</w:t>
            </w:r>
          </w:p>
          <w:p w14:paraId="1028A2DC">
            <w:pPr>
              <w:widowControl/>
              <w:ind w:firstLine="360" w:firstLineChars="200"/>
              <w:jc w:val="left"/>
              <w:rPr>
                <w:rFonts w:eastAsia="楷体"/>
                <w:kern w:val="0"/>
                <w:sz w:val="18"/>
                <w:szCs w:val="18"/>
                <w:lang w:bidi="ar"/>
              </w:rPr>
            </w:pPr>
            <w:r>
              <w:rPr>
                <w:rFonts w:eastAsia="楷体"/>
                <w:kern w:val="0"/>
                <w:sz w:val="18"/>
                <w:szCs w:val="18"/>
                <w:lang w:bidi="ar"/>
              </w:rPr>
              <w:t>（2）从古村落望向周边山体的视线通廊。以田心村旧围片区、田心村新围片区、岭南村片区重要空间节点为观景视点，建立通往周边山体的景观视线通廊。</w:t>
            </w:r>
          </w:p>
          <w:p w14:paraId="5A15482E">
            <w:pPr>
              <w:widowControl/>
              <w:ind w:firstLine="360" w:firstLineChars="200"/>
              <w:jc w:val="left"/>
              <w:rPr>
                <w:rFonts w:eastAsia="楷体"/>
                <w:kern w:val="0"/>
                <w:sz w:val="18"/>
                <w:szCs w:val="18"/>
                <w:lang w:bidi="ar"/>
              </w:rPr>
            </w:pPr>
            <w:r>
              <w:rPr>
                <w:rFonts w:eastAsia="楷体"/>
                <w:kern w:val="0"/>
                <w:sz w:val="18"/>
                <w:szCs w:val="18"/>
                <w:lang w:bidi="ar"/>
              </w:rPr>
              <w:t>（3）从黄洞路望向村落的景观视线通廊。保证黄洞路沿线形成良好的观赏村落、山体等景观视线。</w:t>
            </w:r>
          </w:p>
        </w:tc>
      </w:tr>
      <w:tr w14:paraId="379DE6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428" w:type="pct"/>
            <w:vMerge w:val="restart"/>
            <w:vAlign w:val="center"/>
          </w:tcPr>
          <w:p w14:paraId="0AEEE369">
            <w:pPr>
              <w:widowControl/>
              <w:jc w:val="center"/>
              <w:rPr>
                <w:rFonts w:eastAsia="楷体"/>
                <w:b/>
                <w:bCs/>
                <w:kern w:val="0"/>
                <w:sz w:val="18"/>
                <w:szCs w:val="18"/>
                <w:lang w:bidi="ar"/>
              </w:rPr>
            </w:pPr>
            <w:r>
              <w:rPr>
                <w:rFonts w:eastAsia="楷体"/>
                <w:b/>
                <w:bCs/>
                <w:kern w:val="0"/>
                <w:sz w:val="18"/>
                <w:szCs w:val="18"/>
                <w:lang w:bidi="ar"/>
              </w:rPr>
              <w:t>风貌控制引导</w:t>
            </w:r>
          </w:p>
        </w:tc>
        <w:tc>
          <w:tcPr>
            <w:tcW w:w="1035" w:type="pct"/>
            <w:vAlign w:val="center"/>
          </w:tcPr>
          <w:p w14:paraId="0996F9CE">
            <w:pPr>
              <w:widowControl/>
              <w:tabs>
                <w:tab w:val="left" w:pos="849"/>
              </w:tabs>
              <w:jc w:val="center"/>
              <w:rPr>
                <w:rFonts w:eastAsia="楷体"/>
                <w:kern w:val="0"/>
                <w:sz w:val="18"/>
                <w:szCs w:val="18"/>
                <w:lang w:bidi="ar"/>
              </w:rPr>
            </w:pPr>
            <w:r>
              <w:rPr>
                <w:rFonts w:eastAsia="楷体"/>
                <w:kern w:val="0"/>
                <w:sz w:val="18"/>
                <w:szCs w:val="18"/>
                <w:lang w:bidi="ar"/>
              </w:rPr>
              <w:t>核心保护范围与建设控制地带</w:t>
            </w:r>
          </w:p>
        </w:tc>
        <w:tc>
          <w:tcPr>
            <w:tcW w:w="3536" w:type="pct"/>
          </w:tcPr>
          <w:p w14:paraId="7FFA1253">
            <w:pPr>
              <w:widowControl/>
              <w:ind w:firstLine="360" w:firstLineChars="200"/>
              <w:jc w:val="left"/>
              <w:rPr>
                <w:rFonts w:eastAsia="楷体"/>
                <w:kern w:val="0"/>
                <w:sz w:val="18"/>
                <w:szCs w:val="18"/>
                <w:lang w:bidi="ar"/>
              </w:rPr>
            </w:pPr>
            <w:r>
              <w:rPr>
                <w:rFonts w:eastAsia="楷体"/>
                <w:kern w:val="0"/>
                <w:sz w:val="18"/>
                <w:szCs w:val="18"/>
                <w:lang w:bidi="ar"/>
              </w:rPr>
              <w:t>建筑风貌应体现客侨民居的建筑特征。建议采用坡屋顶形式，外立面以土黄色调、青灰色和白色为主，宜使用传统建筑技艺、传统材料以及客家传统装饰纹样。</w:t>
            </w:r>
          </w:p>
        </w:tc>
      </w:tr>
      <w:tr w14:paraId="539835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428" w:type="pct"/>
            <w:vMerge w:val="continue"/>
            <w:vAlign w:val="center"/>
          </w:tcPr>
          <w:p w14:paraId="3FA928B0">
            <w:pPr>
              <w:widowControl/>
              <w:jc w:val="center"/>
              <w:rPr>
                <w:rFonts w:eastAsia="楷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035" w:type="pct"/>
            <w:vAlign w:val="center"/>
          </w:tcPr>
          <w:p w14:paraId="578ACDD7">
            <w:pPr>
              <w:widowControl/>
              <w:tabs>
                <w:tab w:val="left" w:pos="849"/>
              </w:tabs>
              <w:jc w:val="center"/>
              <w:rPr>
                <w:rFonts w:eastAsia="楷体"/>
                <w:kern w:val="0"/>
                <w:sz w:val="18"/>
                <w:szCs w:val="18"/>
                <w:lang w:bidi="ar"/>
              </w:rPr>
            </w:pPr>
            <w:r>
              <w:rPr>
                <w:rFonts w:eastAsia="楷体"/>
                <w:kern w:val="0"/>
                <w:sz w:val="18"/>
                <w:szCs w:val="18"/>
                <w:lang w:bidi="ar"/>
              </w:rPr>
              <w:t>建议对临街风貌与传统风貌不协调的建筑进行整治</w:t>
            </w:r>
          </w:p>
        </w:tc>
        <w:tc>
          <w:tcPr>
            <w:tcW w:w="3536" w:type="pct"/>
          </w:tcPr>
          <w:p w14:paraId="03078C26">
            <w:pPr>
              <w:widowControl/>
              <w:ind w:firstLine="360" w:firstLineChars="200"/>
              <w:jc w:val="left"/>
              <w:rPr>
                <w:rFonts w:eastAsia="楷体"/>
                <w:kern w:val="0"/>
                <w:sz w:val="18"/>
                <w:szCs w:val="18"/>
                <w:lang w:bidi="ar"/>
              </w:rPr>
            </w:pPr>
            <w:r>
              <w:rPr>
                <w:rFonts w:eastAsia="楷体"/>
                <w:kern w:val="0"/>
                <w:sz w:val="18"/>
                <w:szCs w:val="18"/>
                <w:lang w:bidi="ar"/>
              </w:rPr>
              <w:t>构筑物、不协调的室外装饰物、空调室外机等外露设备设施、广告牌匾等，在整治和新建中应与传统风貌相协调。建筑外立面的装饰装修，应与建筑分类保护和整治措施规划相协调，形成连续、协调的景观界面。</w:t>
            </w:r>
          </w:p>
        </w:tc>
      </w:tr>
      <w:tr w14:paraId="5CB279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428" w:type="pct"/>
            <w:vMerge w:val="continue"/>
            <w:vAlign w:val="center"/>
          </w:tcPr>
          <w:p w14:paraId="1149ED23">
            <w:pPr>
              <w:widowControl/>
              <w:jc w:val="center"/>
              <w:rPr>
                <w:rFonts w:eastAsia="楷体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035" w:type="pct"/>
            <w:vAlign w:val="center"/>
          </w:tcPr>
          <w:p w14:paraId="5C1B1C93">
            <w:pPr>
              <w:widowControl/>
              <w:tabs>
                <w:tab w:val="left" w:pos="849"/>
              </w:tabs>
              <w:jc w:val="center"/>
              <w:rPr>
                <w:rFonts w:eastAsia="楷体"/>
                <w:kern w:val="0"/>
                <w:sz w:val="18"/>
                <w:szCs w:val="18"/>
                <w:lang w:bidi="ar"/>
              </w:rPr>
            </w:pPr>
            <w:r>
              <w:rPr>
                <w:rFonts w:eastAsia="楷体"/>
                <w:kern w:val="0"/>
                <w:sz w:val="18"/>
                <w:szCs w:val="18"/>
                <w:lang w:bidi="ar"/>
              </w:rPr>
              <w:t>新建建筑风貌</w:t>
            </w:r>
          </w:p>
        </w:tc>
        <w:tc>
          <w:tcPr>
            <w:tcW w:w="3536" w:type="pct"/>
            <w:vAlign w:val="center"/>
          </w:tcPr>
          <w:p w14:paraId="17240A79">
            <w:pPr>
              <w:widowControl/>
              <w:ind w:firstLine="360" w:firstLineChars="200"/>
              <w:jc w:val="left"/>
              <w:rPr>
                <w:rFonts w:eastAsia="楷体"/>
                <w:kern w:val="0"/>
                <w:sz w:val="18"/>
                <w:szCs w:val="18"/>
                <w:lang w:bidi="ar"/>
              </w:rPr>
            </w:pPr>
            <w:r>
              <w:rPr>
                <w:rFonts w:eastAsia="楷体"/>
                <w:kern w:val="0"/>
                <w:sz w:val="18"/>
                <w:szCs w:val="18"/>
                <w:lang w:bidi="ar"/>
              </w:rPr>
              <w:t>新建建筑风貌应融合客侨风格，保证村落整体风貌协调。新建工业区避免采用大体量的工业建筑形式，建议采用退台式、小体量的建筑形式或屋顶绿化，与周边山体和历史环境相呼应。</w:t>
            </w:r>
          </w:p>
        </w:tc>
      </w:tr>
      <w:tr w14:paraId="7E0431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428" w:type="pct"/>
            <w:vAlign w:val="center"/>
          </w:tcPr>
          <w:p w14:paraId="45FE6A99">
            <w:pPr>
              <w:widowControl/>
              <w:jc w:val="center"/>
              <w:rPr>
                <w:rFonts w:eastAsia="楷体"/>
                <w:b/>
                <w:bCs/>
                <w:kern w:val="0"/>
                <w:sz w:val="18"/>
                <w:szCs w:val="18"/>
                <w:lang w:bidi="ar"/>
              </w:rPr>
            </w:pPr>
            <w:r>
              <w:rPr>
                <w:rFonts w:eastAsia="楷体"/>
                <w:b/>
                <w:bCs/>
                <w:kern w:val="0"/>
                <w:sz w:val="18"/>
                <w:szCs w:val="18"/>
                <w:lang w:bidi="ar"/>
              </w:rPr>
              <w:t>建筑高度</w:t>
            </w:r>
          </w:p>
        </w:tc>
        <w:tc>
          <w:tcPr>
            <w:tcW w:w="4572" w:type="pct"/>
            <w:gridSpan w:val="2"/>
          </w:tcPr>
          <w:p w14:paraId="0462E67C">
            <w:pPr>
              <w:widowControl/>
              <w:ind w:firstLine="360" w:firstLineChars="200"/>
              <w:jc w:val="left"/>
              <w:rPr>
                <w:rFonts w:eastAsia="楷体"/>
                <w:kern w:val="0"/>
                <w:sz w:val="18"/>
                <w:szCs w:val="18"/>
                <w:lang w:bidi="ar"/>
              </w:rPr>
            </w:pPr>
            <w:r>
              <w:rPr>
                <w:rFonts w:eastAsia="楷体"/>
                <w:kern w:val="0"/>
                <w:sz w:val="18"/>
                <w:szCs w:val="18"/>
                <w:lang w:bidi="ar"/>
              </w:rPr>
              <w:t>（1）各级不可移动文物、历史建筑、推荐历史建筑、推荐传统风貌建筑，应维持原有高度不变。</w:t>
            </w:r>
          </w:p>
          <w:p w14:paraId="6130C955">
            <w:pPr>
              <w:widowControl/>
              <w:ind w:firstLine="360" w:firstLineChars="200"/>
              <w:jc w:val="left"/>
              <w:rPr>
                <w:rFonts w:eastAsia="楷体"/>
                <w:kern w:val="0"/>
                <w:sz w:val="18"/>
                <w:szCs w:val="18"/>
                <w:lang w:bidi="ar"/>
              </w:rPr>
            </w:pPr>
            <w:r>
              <w:rPr>
                <w:rFonts w:eastAsia="楷体"/>
                <w:kern w:val="0"/>
                <w:sz w:val="18"/>
                <w:szCs w:val="18"/>
                <w:lang w:bidi="ar"/>
              </w:rPr>
              <w:t>（2）核心保护范围内，新建、改建或扩建必要的公共服务设施，以及其他建构筑物整治改造时，檐口高度不宜超过7米，建筑高度不超过8米，建议采用坡屋顶。</w:t>
            </w:r>
          </w:p>
          <w:p w14:paraId="0AD213DE">
            <w:pPr>
              <w:widowControl/>
              <w:ind w:firstLine="360" w:firstLineChars="200"/>
              <w:jc w:val="left"/>
              <w:rPr>
                <w:rFonts w:eastAsia="楷体"/>
                <w:kern w:val="0"/>
                <w:sz w:val="18"/>
                <w:szCs w:val="18"/>
                <w:lang w:bidi="ar"/>
              </w:rPr>
            </w:pPr>
            <w:r>
              <w:rPr>
                <w:rFonts w:eastAsia="楷体"/>
                <w:kern w:val="0"/>
                <w:sz w:val="18"/>
                <w:szCs w:val="18"/>
                <w:lang w:bidi="ar"/>
              </w:rPr>
              <w:t>（3）建设控制地带内，结合现状建设情况和规划控制措施，以尊重现状建筑高度为基础，新建、扩建、改建建筑高度进行退台式分区域控制，以建筑高度控制规划图为准。</w:t>
            </w:r>
          </w:p>
          <w:p w14:paraId="3850ED96">
            <w:pPr>
              <w:widowControl/>
              <w:ind w:firstLine="360" w:firstLineChars="200"/>
              <w:jc w:val="left"/>
              <w:rPr>
                <w:rFonts w:eastAsia="楷体"/>
                <w:kern w:val="0"/>
                <w:sz w:val="18"/>
                <w:szCs w:val="18"/>
                <w:lang w:bidi="ar"/>
              </w:rPr>
            </w:pPr>
            <w:r>
              <w:rPr>
                <w:rFonts w:eastAsia="楷体"/>
                <w:kern w:val="0"/>
                <w:sz w:val="18"/>
                <w:szCs w:val="18"/>
                <w:lang w:bidi="ar"/>
              </w:rPr>
              <w:t>建控I区：新建、改建或扩建建筑层数不宜超过四层，檐口高度不宜超过14米，建筑高度不宜超过16米；</w:t>
            </w:r>
          </w:p>
          <w:p w14:paraId="13B76757">
            <w:pPr>
              <w:widowControl/>
              <w:ind w:firstLine="360" w:firstLineChars="200"/>
              <w:jc w:val="left"/>
              <w:rPr>
                <w:rFonts w:eastAsia="楷体"/>
                <w:kern w:val="0"/>
                <w:sz w:val="18"/>
                <w:szCs w:val="18"/>
                <w:lang w:bidi="ar"/>
              </w:rPr>
            </w:pPr>
            <w:r>
              <w:rPr>
                <w:rFonts w:eastAsia="楷体"/>
                <w:kern w:val="0"/>
                <w:sz w:val="18"/>
                <w:szCs w:val="18"/>
                <w:lang w:bidi="ar"/>
              </w:rPr>
              <w:t>建控II区：新建、改建或扩建建筑高度不宜超过23米。</w:t>
            </w:r>
          </w:p>
        </w:tc>
      </w:tr>
    </w:tbl>
    <w:p w14:paraId="2C3065D1">
      <w:pPr>
        <w:widowControl/>
        <w:spacing w:line="360" w:lineRule="auto"/>
        <w:jc w:val="left"/>
        <w:rPr>
          <w:rFonts w:hint="eastAsia" w:ascii="宋体" w:hAnsi="宋体" w:cs="宋体"/>
          <w:kern w:val="0"/>
          <w:sz w:val="24"/>
          <w:szCs w:val="24"/>
          <w:lang w:bidi="ar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85DD25EE-4CB9-4CBB-B025-377F07B7D045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2" w:fontKey="{CA543849-6E29-4341-BD9E-63499BA7ECB9}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3" w:fontKey="{47B160D2-8DAA-48F2-BEB6-440C5A971464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4" w:fontKey="{4507AD23-7D86-4991-8F2D-35C20863DA2F}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5" w:fontKey="{81027A2B-3539-4AEB-926A-A28E1BEFBE49}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6" w:fontKey="{5D4622D3-C303-4B01-9EA4-BA7608F42BAB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zRkMjcxNTFmY2JhZWE1ZjdiZmI0OThiOTU3N2JmMjYifQ=="/>
  </w:docVars>
  <w:rsids>
    <w:rsidRoot w:val="0087334C"/>
    <w:rsid w:val="000225BC"/>
    <w:rsid w:val="00051F4B"/>
    <w:rsid w:val="000F5F1F"/>
    <w:rsid w:val="00120BAB"/>
    <w:rsid w:val="00134272"/>
    <w:rsid w:val="001A3E64"/>
    <w:rsid w:val="00201CAE"/>
    <w:rsid w:val="00213A1F"/>
    <w:rsid w:val="00222164"/>
    <w:rsid w:val="002965F2"/>
    <w:rsid w:val="002D4A6D"/>
    <w:rsid w:val="002D6F9A"/>
    <w:rsid w:val="002E2A5C"/>
    <w:rsid w:val="002E7A00"/>
    <w:rsid w:val="00317785"/>
    <w:rsid w:val="004131B5"/>
    <w:rsid w:val="0047729B"/>
    <w:rsid w:val="004A70DC"/>
    <w:rsid w:val="00561AFB"/>
    <w:rsid w:val="005C0409"/>
    <w:rsid w:val="00647105"/>
    <w:rsid w:val="00670360"/>
    <w:rsid w:val="00692BDD"/>
    <w:rsid w:val="0077269C"/>
    <w:rsid w:val="0080267F"/>
    <w:rsid w:val="0087334C"/>
    <w:rsid w:val="00961B4E"/>
    <w:rsid w:val="00987666"/>
    <w:rsid w:val="009A2B3D"/>
    <w:rsid w:val="009A44DB"/>
    <w:rsid w:val="00A0627B"/>
    <w:rsid w:val="00A2338E"/>
    <w:rsid w:val="00B56E78"/>
    <w:rsid w:val="00C30FB8"/>
    <w:rsid w:val="00C725F2"/>
    <w:rsid w:val="00CC3733"/>
    <w:rsid w:val="00D240BE"/>
    <w:rsid w:val="00DA1A4D"/>
    <w:rsid w:val="00DF50A5"/>
    <w:rsid w:val="00E06262"/>
    <w:rsid w:val="00ED6D4B"/>
    <w:rsid w:val="00F03677"/>
    <w:rsid w:val="00F50F91"/>
    <w:rsid w:val="00F779E8"/>
    <w:rsid w:val="00FF4C5D"/>
    <w:rsid w:val="0DE71094"/>
    <w:rsid w:val="1F594FB0"/>
    <w:rsid w:val="4210073A"/>
    <w:rsid w:val="49C33CDD"/>
    <w:rsid w:val="6AEC3F75"/>
    <w:rsid w:val="7D1E3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8"/>
    <w:semiHidden/>
    <w:qFormat/>
    <w:uiPriority w:val="0"/>
    <w:pPr>
      <w:widowControl/>
      <w:kinsoku w:val="0"/>
      <w:autoSpaceDE w:val="0"/>
      <w:autoSpaceDN w:val="0"/>
      <w:adjustRightInd w:val="0"/>
      <w:snapToGrid w:val="0"/>
      <w:jc w:val="left"/>
      <w:textAlignment w:val="baseline"/>
    </w:pPr>
    <w:rPr>
      <w:rFonts w:ascii="宋体" w:hAnsi="宋体" w:cs="宋体"/>
      <w:snapToGrid w:val="0"/>
      <w:color w:val="000000"/>
      <w:kern w:val="0"/>
      <w:sz w:val="24"/>
      <w:szCs w:val="24"/>
      <w:lang w:eastAsia="en-US"/>
    </w:rPr>
  </w:style>
  <w:style w:type="paragraph" w:styleId="3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正文文本 字符"/>
    <w:basedOn w:val="7"/>
    <w:link w:val="2"/>
    <w:semiHidden/>
    <w:qFormat/>
    <w:uiPriority w:val="0"/>
    <w:rPr>
      <w:rFonts w:ascii="宋体" w:hAnsi="宋体" w:cs="宋体"/>
      <w:snapToGrid w:val="0"/>
      <w:color w:val="000000"/>
      <w:kern w:val="0"/>
      <w:sz w:val="24"/>
      <w:szCs w:val="24"/>
      <w:lang w:eastAsia="en-US"/>
    </w:rPr>
  </w:style>
  <w:style w:type="paragraph" w:styleId="9">
    <w:name w:val="List Paragraph"/>
    <w:basedOn w:val="1"/>
    <w:qFormat/>
    <w:uiPriority w:val="34"/>
    <w:pPr>
      <w:ind w:firstLine="420" w:firstLineChars="200"/>
    </w:pPr>
  </w:style>
  <w:style w:type="character" w:customStyle="1" w:styleId="10">
    <w:name w:val="页眉 字符"/>
    <w:basedOn w:val="7"/>
    <w:link w:val="4"/>
    <w:qFormat/>
    <w:uiPriority w:val="99"/>
    <w:rPr>
      <w:kern w:val="2"/>
      <w:sz w:val="18"/>
      <w:szCs w:val="18"/>
    </w:rPr>
  </w:style>
  <w:style w:type="character" w:customStyle="1" w:styleId="11">
    <w:name w:val="页脚 字符"/>
    <w:basedOn w:val="7"/>
    <w:link w:val="3"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13cd07a0-38be-4b0f-9cb9-cf8a7b0adf56</errorID>
      <errorWord>-</errorWord>
      <group>L1_Punc</group>
      <groupName>标点问题</groupName>
      <ability>L2_Punc_CN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6CC4324F</paraID>
      <start>28</start>
      <end>29</end>
      <status>unmodified</status>
      <modifiedWord/>
      <trackRevisions>false</trackRevisions>
    </reviewItem>
    <reviewItem>
      <errorID>6877ebeb-ad6a-40f5-b7e2-d0e98fa34c76</errorID>
      <errorWord>-</errorWord>
      <group>L1_Punc</group>
      <groupName>标点问题</groupName>
      <ability>L2_Punc_CN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411C55CA</paraID>
      <start>16</start>
      <end>17</end>
      <status>unmodified</status>
      <modifiedWord/>
      <trackRevisions>false</trackRevisions>
    </reviewItem>
    <reviewItem>
      <errorID>582feca2-860b-46d5-8816-f8b7db30ac75</errorID>
      <errorWord>-</errorWord>
      <group>L1_Punc</group>
      <groupName>标点问题</groupName>
      <ability>L2_Punc_CN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411C55CA</paraID>
      <start>49</start>
      <end>50</end>
      <status>unmodified</status>
      <modifiedWord/>
      <trackRevisions>false</trackRevisions>
    </reviewItem>
    <reviewItem>
      <errorID>0fc9cf59-316f-45de-a9b0-a8f254ab3d36</errorID>
      <errorWord>-</errorWord>
      <group>L1_Punc</group>
      <groupName>标点问题</groupName>
      <ability>L2_Punc_CN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411C55CA</paraID>
      <start>77</start>
      <end>78</end>
      <status>unmodified</status>
      <modifiedWord/>
      <trackRevisions>false</trackRevisions>
    </reviewItem>
    <reviewItem>
      <errorID>2b8a49d0-8f8a-44e3-bb2e-d9fa485807f4</errorID>
      <errorWord>东至与</errorWord>
      <group>L1_Word</group>
      <groupName>字词问题</groupName>
      <ability>L2_Typo</ability>
      <abilityName>字词错误</abilityName>
      <candidateList>
        <item>东至</item>
      </candidateList>
      <explain/>
      <paraID>789FCF53</paraID>
      <start>45</start>
      <end>47</end>
      <status>modified</status>
      <modifiedWord>东至</modifiedWord>
      <trackRevisions>false</trackRevisions>
    </reviewItem>
    <reviewItem>
      <errorID>ab16dc8c-6501-4226-877d-a1bd636725f0</errorID>
      <errorWord>天平天国运动</errorWord>
      <group>L1_Word</group>
      <groupName>字词问题</groupName>
      <ability>L2_Typo</ability>
      <abilityName>字词错误</abilityName>
      <candidateList>
        <item>太平天国运动</item>
      </candidateList>
      <explain/>
      <paraID>4724EB22</paraID>
      <start>9</start>
      <end>15</end>
      <status>modified</status>
      <modifiedWord>太平天国运动</modifiedWord>
      <trackRevisions>false</trackRevisions>
    </reviewItem>
    <reviewItem>
      <errorID>f0e398ba-5cb5-4ebd-8768-a8f44e760ae9</errorID>
      <errorWord>-</errorWord>
      <group>L1_Format</group>
      <groupName>格式问题</groupName>
      <ability>L2_HalfPunc_CN</ability>
      <abilityName>全半角检查</abilityName>
      <candidateList>
        <item>－</item>
      </candidateList>
      <explain>文本全半角错误。</explain>
      <paraID>4FB9C570</paraID>
      <start>7</start>
      <end>8</end>
      <status>unmodified</status>
      <modifiedWord/>
      <trackRevisions>false</trackRevisions>
    </reviewItem>
    <reviewItem>
      <errorID>8c2f2716-c7c6-42cb-94a7-64f331896b78</errorID>
      <errorWord>-</errorWord>
      <group>L1_Format</group>
      <groupName>格式问题</groupName>
      <ability>L2_HalfPunc_CN</ability>
      <abilityName>全半角检查</abilityName>
      <candidateList>
        <item>－</item>
      </candidateList>
      <explain>文本全半角错误。</explain>
      <paraID>4FB9C570</paraID>
      <start>9</start>
      <end>10</end>
      <status>unmodified</status>
      <modifiedWord/>
      <trackRevisions>false</trackRevisions>
    </reviewItem>
    <reviewItem>
      <errorID>df882e4b-7629-4780-a61d-86ada526b48b</errorID>
      <errorWord>意向</errorWord>
      <group>L1_Word</group>
      <groupName>字词问题</groupName>
      <ability>L2_Typo</ability>
      <abilityName>字词错误</abilityName>
      <candidateList>
        <item>意象</item>
      </candidateList>
      <explain>〈名〉意境：这首民歌～新颖。</explain>
      <paraID>7FF765F0</paraID>
      <start>28</start>
      <end>30</end>
      <status>unmodified</status>
      <modifiedWord/>
      <trackRevisions>false</trackRevisions>
    </reviewItem>
    <reviewItem>
      <errorID>58618514-d507-4e80-bb18-e4261df5e0a0</errorID>
      <errorWord>，</errorWord>
      <group>L1_Word</group>
      <groupName>字词问题</groupName>
      <ability>L2_Typo</ability>
      <abilityName>字词错误</abilityName>
      <candidateList>
        <item>，对</item>
      </candidateList>
      <explain/>
      <paraID> AD213DE</paraID>
      <start>39</start>
      <end>40</end>
      <status>unmodified</status>
      <modifiedWord/>
      <trackRevisions>false</trackRevisions>
    </reviewItem>
    <reviewItem>
      <errorID>fb566b97-149c-4224-b132-bc10f0cd5e29</errorID>
      <errorWord>II</errorWord>
      <group>L1_Knowledge</group>
      <groupName>知识性问题</groupName>
      <ability>L2_Knowledge</ability>
      <abilityName>其他知识</abilityName>
      <candidateList>
        <item>Ⅱ</item>
      </candidateList>
      <explain>中文环境下罗马数字格式错误。</explain>
      <paraID>13B76757</paraID>
      <start>2</start>
      <end>4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62ee4a42-1633-43c8-85c4-197e75344a8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2867</Words>
  <Characters>2988</Characters>
  <Lines>32</Lines>
  <Paragraphs>9</Paragraphs>
  <TotalTime>190</TotalTime>
  <ScaleCrop>false</ScaleCrop>
  <LinksUpToDate>false</LinksUpToDate>
  <CharactersWithSpaces>2992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2023-10-28T04:52:00Z</dcterms:created>
  <dc:creator>楚枫 袁</dc:creator>
  <cp:lastModifiedBy>谢建伟</cp:lastModifiedBy>
  <dcterms:modified xsi:type="dcterms:W3CDTF">2026-06-02T03:49:15Z</dcterms:modified>
  <cp:revision>31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EB4D51459899465C9F3DC75CE050EB1B_13</vt:lpwstr>
  </property>
  <property fmtid="{D5CDD505-2E9C-101B-9397-08002B2CF9AE}" pid="4" name="KSOTemplateDocerSaveRecord">
    <vt:lpwstr>eyJoZGlkIjoiM2FhYzc5NjdkNjE5ZDIwYTRlM2ZhMmZiZDhiMzcwZWYiLCJ1c2VySWQiOiIxNzY1MTA1MjA4In0=</vt:lpwstr>
  </property>
</Properties>
</file>