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0" w:firstLineChars="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附件2</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0" w:firstLineChars="0"/>
        <w:jc w:val="center"/>
        <w:textAlignment w:val="auto"/>
        <w:rPr>
          <w:rFonts w:hint="eastAsia" w:ascii="黑体" w:hAnsi="黑体" w:eastAsia="黑体" w:cs="黑体"/>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lang w:val="en-US" w:eastAsia="zh-CN" w:bidi="ar"/>
        </w:rPr>
        <w:t>《东莞市长期护理保险制度实施办法（二次征求意见稿）》修订情况说明</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根据前期部门征求</w:t>
      </w:r>
      <w:r>
        <w:rPr>
          <w:rFonts w:hint="eastAsia" w:ascii="Times New Roman" w:hAnsi="Times New Roman" w:eastAsia="仿宋_GB2312" w:cs="Times New Roman"/>
          <w:kern w:val="0"/>
          <w:sz w:val="32"/>
          <w:szCs w:val="32"/>
          <w:lang w:val="en-US" w:eastAsia="zh-CN" w:bidi="ar"/>
        </w:rPr>
        <w:t>意见</w:t>
      </w:r>
      <w:r>
        <w:rPr>
          <w:rFonts w:hint="default" w:ascii="Times New Roman" w:hAnsi="Times New Roman" w:eastAsia="仿宋_GB2312" w:cs="Times New Roman"/>
          <w:kern w:val="0"/>
          <w:sz w:val="32"/>
          <w:szCs w:val="32"/>
          <w:lang w:val="en-US" w:eastAsia="zh-CN" w:bidi="ar"/>
        </w:rPr>
        <w:t>、</w:t>
      </w:r>
      <w:r>
        <w:rPr>
          <w:rFonts w:hint="eastAsia" w:ascii="Times New Roman" w:hAnsi="Times New Roman" w:eastAsia="仿宋_GB2312" w:cs="Times New Roman"/>
          <w:kern w:val="0"/>
          <w:sz w:val="32"/>
          <w:szCs w:val="32"/>
          <w:lang w:val="en-US" w:eastAsia="zh-CN" w:bidi="ar"/>
        </w:rPr>
        <w:t>社会</w:t>
      </w:r>
      <w:r>
        <w:rPr>
          <w:rFonts w:hint="default" w:ascii="Times New Roman" w:hAnsi="Times New Roman" w:eastAsia="仿宋_GB2312" w:cs="Times New Roman"/>
          <w:kern w:val="0"/>
          <w:sz w:val="32"/>
          <w:szCs w:val="32"/>
          <w:lang w:val="en-US" w:eastAsia="zh-CN" w:bidi="ar"/>
        </w:rPr>
        <w:t>公开征求意见及专家论证会收集的反馈建议，结合国家、省长期护理保险（以下简称“</w:t>
      </w:r>
      <w:r>
        <w:rPr>
          <w:rFonts w:hint="eastAsia" w:ascii="Times New Roman" w:hAnsi="Times New Roman" w:eastAsia="仿宋_GB2312" w:cs="Times New Roman"/>
          <w:kern w:val="0"/>
          <w:sz w:val="32"/>
          <w:szCs w:val="32"/>
          <w:lang w:val="en-US" w:eastAsia="zh-CN" w:bidi="ar"/>
        </w:rPr>
        <w:t>长护险</w:t>
      </w:r>
      <w:r>
        <w:rPr>
          <w:rFonts w:hint="default" w:ascii="Times New Roman" w:hAnsi="Times New Roman" w:eastAsia="仿宋_GB2312" w:cs="Times New Roman"/>
          <w:kern w:val="0"/>
          <w:sz w:val="32"/>
          <w:szCs w:val="32"/>
          <w:lang w:val="en-US" w:eastAsia="zh-CN" w:bidi="ar"/>
        </w:rPr>
        <w:t>”）制度最新政策要求（含《中共中央办公厅 国务院办公厅关于加快建立长期护理保险制度的意见》及广东省相关部署），对《东莞市长期护理保险制度实施办法（挂网公开征求意见稿）》（以下简称“原征求意见稿”）进行针对性修改完善，形成本次二次征求意见稿，并再次征求各相关部门、镇街（园区）意见，修订内容具体如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方正黑体_GBK" w:cs="Times New Roman"/>
          <w:b w:val="0"/>
          <w:bCs/>
          <w:sz w:val="32"/>
          <w:szCs w:val="32"/>
        </w:rPr>
      </w:pPr>
      <w:r>
        <w:rPr>
          <w:rFonts w:hint="default" w:ascii="Times New Roman" w:hAnsi="Times New Roman" w:eastAsia="方正黑体_GBK" w:cs="Times New Roman"/>
          <w:b w:val="0"/>
          <w:bCs/>
          <w:sz w:val="32"/>
          <w:szCs w:val="32"/>
        </w:rPr>
        <w:t>一、完善制度框架与基础定义</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kern w:val="0"/>
          <w:sz w:val="32"/>
          <w:szCs w:val="32"/>
          <w:lang w:val="en-US" w:eastAsia="zh-CN" w:bidi="ar"/>
        </w:rPr>
        <w:t>（一）</w:t>
      </w:r>
      <w:r>
        <w:rPr>
          <w:rFonts w:hint="default" w:ascii="Times New Roman" w:hAnsi="Times New Roman" w:eastAsia="仿宋_GB2312" w:cs="Times New Roman"/>
          <w:kern w:val="0"/>
          <w:sz w:val="32"/>
          <w:szCs w:val="32"/>
          <w:lang w:val="en-US" w:eastAsia="zh-CN" w:bidi="ar"/>
        </w:rPr>
        <w:t>新增</w:t>
      </w:r>
      <w:r>
        <w:rPr>
          <w:rFonts w:hint="eastAsia" w:ascii="Times New Roman" w:hAnsi="Times New Roman" w:eastAsia="仿宋_GB2312" w:cs="Times New Roman"/>
          <w:kern w:val="0"/>
          <w:sz w:val="32"/>
          <w:szCs w:val="32"/>
          <w:lang w:val="en-US" w:eastAsia="zh-CN" w:bidi="ar"/>
        </w:rPr>
        <w:t>长护险</w:t>
      </w:r>
      <w:r>
        <w:rPr>
          <w:rFonts w:hint="default" w:ascii="Times New Roman" w:hAnsi="Times New Roman" w:eastAsia="仿宋_GB2312" w:cs="Times New Roman"/>
          <w:kern w:val="0"/>
          <w:sz w:val="32"/>
          <w:szCs w:val="32"/>
          <w:lang w:val="en-US" w:eastAsia="zh-CN" w:bidi="ar"/>
        </w:rPr>
        <w:t>明确定义，具体表述为“</w:t>
      </w:r>
      <w:r>
        <w:rPr>
          <w:rFonts w:hint="eastAsia" w:ascii="仿宋_GB2312" w:hAnsi="仿宋_GB2312" w:eastAsia="仿宋_GB2312" w:cs="仿宋_GB2312"/>
          <w:color w:val="auto"/>
          <w:sz w:val="32"/>
          <w:szCs w:val="32"/>
          <w:highlight w:val="none"/>
          <w:lang w:val="en-US" w:eastAsia="zh-CN"/>
        </w:rPr>
        <w:t>长期护理保险是指为失能人员的基本生活照料和与之密切相关的医疗护理提供服务或资金保障的社会保险制度</w:t>
      </w:r>
      <w:r>
        <w:rPr>
          <w:rFonts w:hint="default" w:ascii="Times New Roman" w:hAnsi="Times New Roman" w:eastAsia="仿宋_GB2312" w:cs="Times New Roman"/>
          <w:kern w:val="0"/>
          <w:sz w:val="32"/>
          <w:szCs w:val="32"/>
          <w:lang w:val="en-US" w:eastAsia="zh-CN" w:bidi="ar"/>
        </w:rPr>
        <w:t>”，明确制度核心内涵</w:t>
      </w:r>
      <w:r>
        <w:rPr>
          <w:rFonts w:hint="eastAsia" w:ascii="Times New Roman" w:hAnsi="Times New Roman" w:eastAsia="仿宋_GB2312" w:cs="Times New Roman"/>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（二）</w:t>
      </w:r>
      <w:r>
        <w:rPr>
          <w:rFonts w:hint="default" w:ascii="Times New Roman" w:hAnsi="Times New Roman" w:eastAsia="仿宋_GB2312" w:cs="Times New Roman"/>
          <w:kern w:val="0"/>
          <w:sz w:val="32"/>
          <w:szCs w:val="32"/>
          <w:lang w:val="en-US" w:eastAsia="zh-CN" w:bidi="ar"/>
        </w:rPr>
        <w:t>补充适用范围条款，明确本办法适用范围为</w:t>
      </w:r>
      <w:r>
        <w:rPr>
          <w:rFonts w:hint="eastAsia" w:ascii="仿宋_GB2312" w:hAnsi="仿宋_GB2312" w:eastAsia="仿宋_GB2312" w:cs="仿宋_GB2312"/>
          <w:color w:val="auto"/>
          <w:sz w:val="32"/>
          <w:szCs w:val="32"/>
          <w:highlight w:val="none"/>
          <w:lang w:val="en-US" w:eastAsia="zh-CN"/>
        </w:rPr>
        <w:t>本市行政区域内长护险的参保筹资、待遇支付、评估管理、服务管理、基金管理及经办管理等事项</w:t>
      </w:r>
      <w:r>
        <w:rPr>
          <w:rFonts w:hint="default" w:ascii="Times New Roman" w:hAnsi="Times New Roman" w:eastAsia="仿宋_GB2312" w:cs="Times New Roman"/>
          <w:kern w:val="0"/>
          <w:sz w:val="32"/>
          <w:szCs w:val="32"/>
          <w:lang w:val="en-US" w:eastAsia="zh-CN" w:bidi="ar"/>
        </w:rPr>
        <w:t>，覆盖本市所有基本医疗保险参保人及相关经办机构、定点</w:t>
      </w:r>
      <w:r>
        <w:rPr>
          <w:rFonts w:hint="eastAsia" w:ascii="Times New Roman" w:hAnsi="Times New Roman" w:eastAsia="仿宋_GB2312" w:cs="Times New Roman"/>
          <w:kern w:val="0"/>
          <w:sz w:val="32"/>
          <w:szCs w:val="32"/>
          <w:lang w:val="en-US" w:eastAsia="zh-CN" w:bidi="ar"/>
        </w:rPr>
        <w:t>长护</w:t>
      </w:r>
      <w:r>
        <w:rPr>
          <w:rFonts w:hint="default" w:ascii="Times New Roman" w:hAnsi="Times New Roman" w:eastAsia="仿宋_GB2312" w:cs="Times New Roman"/>
          <w:kern w:val="0"/>
          <w:sz w:val="32"/>
          <w:szCs w:val="32"/>
          <w:lang w:val="en-US" w:eastAsia="zh-CN" w:bidi="ar"/>
        </w:rPr>
        <w:t>服务机构</w:t>
      </w:r>
      <w:r>
        <w:rPr>
          <w:rFonts w:hint="eastAsia" w:ascii="Times New Roman" w:hAnsi="Times New Roman" w:eastAsia="仿宋_GB2312" w:cs="Times New Roman"/>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（三）依据</w:t>
      </w:r>
      <w:r>
        <w:rPr>
          <w:rFonts w:hint="default" w:ascii="Times New Roman" w:hAnsi="Times New Roman" w:eastAsia="仿宋_GB2312" w:cs="Times New Roman"/>
          <w:kern w:val="0"/>
          <w:sz w:val="32"/>
          <w:szCs w:val="32"/>
          <w:lang w:val="en-US" w:eastAsia="zh-CN" w:bidi="ar"/>
        </w:rPr>
        <w:t>各相关部门、镇街（园区）</w:t>
      </w:r>
      <w:r>
        <w:rPr>
          <w:rFonts w:hint="eastAsia" w:ascii="Times New Roman" w:hAnsi="Times New Roman" w:eastAsia="仿宋_GB2312" w:cs="Times New Roman"/>
          <w:kern w:val="0"/>
          <w:sz w:val="32"/>
          <w:szCs w:val="32"/>
          <w:lang w:val="en-US" w:eastAsia="zh-CN" w:bidi="ar"/>
        </w:rPr>
        <w:t>反馈意见，</w:t>
      </w:r>
      <w:r>
        <w:rPr>
          <w:rFonts w:hint="default" w:ascii="Times New Roman" w:hAnsi="Times New Roman" w:eastAsia="仿宋_GB2312" w:cs="Times New Roman"/>
          <w:kern w:val="0"/>
          <w:sz w:val="32"/>
          <w:szCs w:val="32"/>
          <w:lang w:val="en-US" w:eastAsia="zh-CN" w:bidi="ar"/>
        </w:rPr>
        <w:t>进一步完善部门职责分工</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同时明确财政补助资金的市镇分担比例</w:t>
      </w:r>
      <w:r>
        <w:rPr>
          <w:rFonts w:hint="eastAsia" w:ascii="Times New Roman" w:hAnsi="Times New Roman" w:eastAsia="仿宋_GB2312" w:cs="Times New Roman"/>
          <w:kern w:val="0"/>
          <w:sz w:val="32"/>
          <w:szCs w:val="32"/>
          <w:lang w:val="en-US" w:eastAsia="zh-CN" w:bidi="ar"/>
        </w:rPr>
        <w:t>“市、镇街（园区）财政按照市镇资金分担方式有关规定落实本级长护险相关财政补助资金”</w:t>
      </w:r>
      <w:r>
        <w:rPr>
          <w:rFonts w:hint="default" w:ascii="Times New Roman" w:hAnsi="Times New Roman" w:eastAsia="仿宋_GB2312" w:cs="Times New Roman"/>
          <w:kern w:val="0"/>
          <w:sz w:val="32"/>
          <w:szCs w:val="32"/>
          <w:lang w:val="en-US" w:eastAsia="zh-CN" w:bidi="ar"/>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方正黑体_GBK" w:cs="Times New Roman"/>
          <w:b w:val="0"/>
          <w:bCs/>
          <w:sz w:val="32"/>
          <w:szCs w:val="32"/>
        </w:rPr>
      </w:pPr>
      <w:r>
        <w:rPr>
          <w:rFonts w:hint="default" w:ascii="Times New Roman" w:hAnsi="Times New Roman" w:eastAsia="方正黑体_GBK" w:cs="Times New Roman"/>
          <w:b w:val="0"/>
          <w:bCs/>
          <w:sz w:val="32"/>
          <w:szCs w:val="32"/>
        </w:rPr>
        <w:t>二、优化参保缴费与征收管理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（一）完善</w:t>
      </w:r>
      <w:r>
        <w:rPr>
          <w:rFonts w:hint="default" w:ascii="Times New Roman" w:hAnsi="Times New Roman" w:eastAsia="仿宋_GB2312" w:cs="Times New Roman"/>
          <w:kern w:val="0"/>
          <w:sz w:val="32"/>
          <w:szCs w:val="32"/>
          <w:lang w:val="en-US" w:eastAsia="zh-CN" w:bidi="ar"/>
        </w:rPr>
        <w:t>参保人群分类表述，原征求意见稿将灵活就业人员</w:t>
      </w:r>
      <w:r>
        <w:rPr>
          <w:rFonts w:hint="eastAsia" w:ascii="Times New Roman" w:hAnsi="Times New Roman" w:eastAsia="仿宋_GB2312" w:cs="Times New Roman"/>
          <w:kern w:val="0"/>
          <w:sz w:val="32"/>
          <w:szCs w:val="32"/>
          <w:lang w:val="en-US" w:eastAsia="zh-CN" w:bidi="ar"/>
        </w:rPr>
        <w:t>、</w:t>
      </w:r>
      <w:r>
        <w:rPr>
          <w:rFonts w:hint="eastAsia" w:ascii="仿宋_GB2312" w:hAnsi="仿宋_GB2312" w:eastAsia="仿宋_GB2312" w:cs="仿宋_GB2312"/>
          <w:color w:val="auto"/>
          <w:sz w:val="32"/>
          <w:szCs w:val="32"/>
          <w:highlight w:val="none"/>
          <w:shd w:val="clear" w:color="auto" w:fill="FFFFFF"/>
          <w:lang w:val="en-US" w:eastAsia="zh-CN" w:bidi="ar"/>
        </w:rPr>
        <w:t>在本市领取失业保险金期间的失业人员、办理伤残退休手续的一至四级工伤伤残职工</w:t>
      </w:r>
      <w:r>
        <w:rPr>
          <w:rFonts w:hint="default" w:ascii="Times New Roman" w:hAnsi="Times New Roman" w:eastAsia="仿宋_GB2312" w:cs="Times New Roman"/>
          <w:kern w:val="0"/>
          <w:sz w:val="32"/>
          <w:szCs w:val="32"/>
          <w:lang w:val="en-US" w:eastAsia="zh-CN" w:bidi="ar"/>
        </w:rPr>
        <w:t>纳入</w:t>
      </w:r>
      <w:r>
        <w:rPr>
          <w:rFonts w:hint="eastAsia" w:ascii="Times New Roman" w:hAnsi="Times New Roman" w:eastAsia="仿宋_GB2312" w:cs="Times New Roman"/>
          <w:kern w:val="0"/>
          <w:sz w:val="32"/>
          <w:szCs w:val="32"/>
          <w:lang w:val="en-US" w:eastAsia="zh-CN" w:bidi="ar"/>
        </w:rPr>
        <w:t>在职职工人群分类</w:t>
      </w:r>
      <w:r>
        <w:rPr>
          <w:rFonts w:hint="default" w:ascii="Times New Roman" w:hAnsi="Times New Roman" w:eastAsia="仿宋_GB2312" w:cs="Times New Roman"/>
          <w:kern w:val="0"/>
          <w:sz w:val="32"/>
          <w:szCs w:val="32"/>
          <w:lang w:val="en-US" w:eastAsia="zh-CN" w:bidi="ar"/>
        </w:rPr>
        <w:t>，本次修订单独将</w:t>
      </w:r>
      <w:r>
        <w:rPr>
          <w:rFonts w:hint="eastAsia" w:ascii="Times New Roman" w:hAnsi="Times New Roman" w:eastAsia="仿宋_GB2312" w:cs="Times New Roman"/>
          <w:kern w:val="0"/>
          <w:sz w:val="32"/>
          <w:szCs w:val="32"/>
          <w:lang w:val="en-US" w:eastAsia="zh-CN" w:bidi="ar"/>
        </w:rPr>
        <w:t>该三类人群单</w:t>
      </w:r>
      <w:r>
        <w:rPr>
          <w:rFonts w:hint="default" w:ascii="Times New Roman" w:hAnsi="Times New Roman" w:eastAsia="仿宋_GB2312" w:cs="Times New Roman"/>
          <w:kern w:val="0"/>
          <w:sz w:val="32"/>
          <w:szCs w:val="32"/>
          <w:lang w:val="en-US" w:eastAsia="zh-CN" w:bidi="ar"/>
        </w:rPr>
        <w:t>列</w:t>
      </w:r>
      <w:r>
        <w:rPr>
          <w:rFonts w:hint="eastAsia" w:ascii="Times New Roman" w:hAnsi="Times New Roman" w:eastAsia="仿宋_GB2312" w:cs="Times New Roman"/>
          <w:kern w:val="0"/>
          <w:sz w:val="32"/>
          <w:szCs w:val="32"/>
          <w:lang w:val="en-US" w:eastAsia="zh-CN" w:bidi="ar"/>
        </w:rPr>
        <w:t>一</w:t>
      </w:r>
      <w:r>
        <w:rPr>
          <w:rFonts w:hint="default" w:ascii="Times New Roman" w:hAnsi="Times New Roman" w:eastAsia="仿宋_GB2312" w:cs="Times New Roman"/>
          <w:kern w:val="0"/>
          <w:sz w:val="32"/>
          <w:szCs w:val="32"/>
          <w:lang w:val="en-US" w:eastAsia="zh-CN" w:bidi="ar"/>
        </w:rPr>
        <w:t>项，明确其参保缴费规则：</w:t>
      </w:r>
      <w:r>
        <w:rPr>
          <w:rFonts w:hint="eastAsia" w:ascii="仿宋_GB2312" w:hAnsi="仿宋_GB2312" w:eastAsia="仿宋_GB2312" w:cs="仿宋_GB2312"/>
          <w:color w:val="auto"/>
          <w:sz w:val="32"/>
          <w:szCs w:val="32"/>
          <w:highlight w:val="none"/>
          <w:lang w:val="en-US" w:eastAsia="zh-CN"/>
        </w:rPr>
        <w:t>灵活就业人员缴费基数为本人职工医保缴费基数，由个人按照0.3%按月缴纳，</w:t>
      </w:r>
      <w:r>
        <w:rPr>
          <w:rFonts w:hint="eastAsia" w:ascii="仿宋_GB2312" w:hAnsi="仿宋_GB2312" w:eastAsia="仿宋_GB2312" w:cs="仿宋_GB2312"/>
          <w:color w:val="auto"/>
          <w:sz w:val="32"/>
          <w:szCs w:val="32"/>
          <w:highlight w:val="none"/>
          <w:shd w:val="clear" w:color="auto" w:fill="FFFFFF"/>
          <w:lang w:val="en-US" w:eastAsia="zh-CN" w:bidi="ar"/>
        </w:rPr>
        <w:t>本人需如实向税务部门申报并按时足额缴纳；在本市领取失业保险金期间的失业人员、办理伤残退休手续的一至四级工伤伤残职工的长护险参保及缴费参照灵活就业人员相关规定执行。</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bidi="ar"/>
        </w:rPr>
      </w:pPr>
      <w:r>
        <w:rPr>
          <w:rFonts w:hint="eastAsia" w:ascii="Times New Roman" w:hAnsi="Times New Roman" w:eastAsia="仿宋_GB2312" w:cs="Times New Roman"/>
          <w:kern w:val="0"/>
          <w:sz w:val="32"/>
          <w:szCs w:val="32"/>
          <w:lang w:val="en-US" w:eastAsia="zh-CN" w:bidi="ar"/>
        </w:rPr>
        <w:t>（二）补充</w:t>
      </w:r>
      <w:r>
        <w:rPr>
          <w:rFonts w:hint="default" w:ascii="Times New Roman" w:hAnsi="Times New Roman" w:eastAsia="仿宋_GB2312" w:cs="Times New Roman"/>
          <w:kern w:val="0"/>
          <w:sz w:val="32"/>
          <w:szCs w:val="32"/>
          <w:lang w:val="en-US" w:eastAsia="zh-CN" w:bidi="ar"/>
        </w:rPr>
        <w:t>统账结合职工医保</w:t>
      </w:r>
      <w:r>
        <w:rPr>
          <w:rFonts w:hint="eastAsia" w:ascii="Times New Roman" w:hAnsi="Times New Roman" w:eastAsia="仿宋_GB2312" w:cs="Times New Roman"/>
          <w:kern w:val="0"/>
          <w:sz w:val="32"/>
          <w:szCs w:val="32"/>
          <w:lang w:val="en-US" w:eastAsia="zh-CN" w:bidi="ar"/>
        </w:rPr>
        <w:t>退休人员</w:t>
      </w:r>
      <w:r>
        <w:rPr>
          <w:rFonts w:hint="default" w:ascii="Times New Roman" w:hAnsi="Times New Roman" w:eastAsia="仿宋_GB2312" w:cs="Times New Roman"/>
          <w:kern w:val="0"/>
          <w:sz w:val="32"/>
          <w:szCs w:val="32"/>
          <w:lang w:val="en-US" w:eastAsia="zh-CN" w:bidi="ar"/>
        </w:rPr>
        <w:t>保费划转规则表述，明确个人账户划转路径：</w:t>
      </w:r>
      <w:r>
        <w:rPr>
          <w:rFonts w:hint="eastAsia" w:ascii="仿宋_GB2312" w:hAnsi="仿宋_GB2312" w:eastAsia="仿宋_GB2312" w:cs="仿宋_GB2312"/>
          <w:color w:val="auto"/>
          <w:sz w:val="32"/>
          <w:szCs w:val="32"/>
          <w:highlight w:val="none"/>
          <w:shd w:val="clear" w:color="auto" w:fill="FFFFFF"/>
          <w:lang w:val="en-US" w:eastAsia="zh-CN" w:bidi="ar"/>
        </w:rPr>
        <w:t>达到法定退休年龄且达到职工医保规定缴费年限的</w:t>
      </w:r>
      <w:r>
        <w:rPr>
          <w:rFonts w:hint="eastAsia" w:ascii="仿宋_GB2312" w:hAnsi="仿宋_GB2312" w:eastAsia="仿宋_GB2312" w:cs="仿宋_GB2312"/>
          <w:color w:val="auto"/>
          <w:sz w:val="32"/>
          <w:szCs w:val="32"/>
          <w:highlight w:val="none"/>
          <w:shd w:val="clear" w:color="auto" w:fill="FFFFFF"/>
          <w:lang w:bidi="ar"/>
        </w:rPr>
        <w:t>统账结合职工医保参保人</w:t>
      </w:r>
      <w:r>
        <w:rPr>
          <w:rFonts w:hint="eastAsia" w:ascii="仿宋_GB2312" w:hAnsi="仿宋_GB2312" w:eastAsia="仿宋_GB2312" w:cs="仿宋_GB2312"/>
          <w:color w:val="auto"/>
          <w:sz w:val="32"/>
          <w:szCs w:val="32"/>
          <w:highlight w:val="none"/>
          <w:shd w:val="clear" w:color="auto" w:fill="FFFFFF"/>
          <w:lang w:eastAsia="zh-CN" w:bidi="ar"/>
        </w:rPr>
        <w:t>的</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bidi="ar"/>
        </w:rPr>
        <w:t>长护险保费，从个人账户月划入金额中划转，划出部分不再计入个人账户。</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Times New Roman" w:hAnsi="Times New Roman" w:eastAsia="仿宋_GB2312" w:cs="Times New Roman"/>
          <w:kern w:val="0"/>
          <w:sz w:val="32"/>
          <w:szCs w:val="32"/>
          <w:lang w:val="en-US" w:eastAsia="zh-CN" w:bidi="ar"/>
        </w:rPr>
      </w:pP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bidi="ar"/>
        </w:rPr>
        <w:t>（三）删除有关“</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已享受工伤保险基金支付生活护理费的工伤人员不参加长护险</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bidi="ar"/>
        </w:rPr>
        <w:t>”的表述，</w:t>
      </w:r>
      <w:r>
        <w:rPr>
          <w:rFonts w:hint="eastAsia" w:ascii="Times New Roman" w:hAnsi="Times New Roman" w:eastAsia="仿宋_GB2312" w:cs="Times New Roman"/>
          <w:kern w:val="0"/>
          <w:sz w:val="32"/>
          <w:szCs w:val="32"/>
          <w:lang w:val="en-US" w:eastAsia="zh-CN" w:bidi="ar"/>
        </w:rPr>
        <w:t>按照上级文件要求，调整为“</w:t>
      </w:r>
      <w:r>
        <w:rPr>
          <w:rFonts w:hint="eastAsia" w:ascii="仿宋_GB2312" w:hAnsi="仿宋_GB2312" w:eastAsia="仿宋_GB2312" w:cs="仿宋_GB2312"/>
          <w:color w:val="auto"/>
          <w:sz w:val="32"/>
          <w:szCs w:val="32"/>
          <w:highlight w:val="none"/>
          <w:lang w:val="en-US" w:eastAsia="zh-CN"/>
        </w:rPr>
        <w:t>领取工伤保险生活护理费的参保人，不重复享受长护险相关服务待遇</w:t>
      </w:r>
      <w:r>
        <w:rPr>
          <w:rFonts w:hint="eastAsia" w:ascii="Times New Roman" w:hAnsi="Times New Roman" w:eastAsia="仿宋_GB2312" w:cs="Times New Roman"/>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（四）18周岁以下（按未达到19周岁的自然年度计算）未就业人员，跟随已参加长护险的父母或其他法定抚养人等参保，不单独筹资，可按照规定享受长护险待遇。</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方正黑体_GBK" w:cs="Times New Roman"/>
          <w:b w:val="0"/>
          <w:bCs/>
          <w:sz w:val="32"/>
          <w:szCs w:val="32"/>
        </w:rPr>
      </w:pPr>
      <w:r>
        <w:rPr>
          <w:rFonts w:hint="default" w:ascii="Times New Roman" w:hAnsi="Times New Roman" w:eastAsia="方正黑体_GBK" w:cs="Times New Roman"/>
          <w:b w:val="0"/>
          <w:bCs/>
          <w:sz w:val="32"/>
          <w:szCs w:val="32"/>
        </w:rPr>
        <w:t>三、</w:t>
      </w:r>
      <w:r>
        <w:rPr>
          <w:rFonts w:hint="eastAsia" w:ascii="Times New Roman" w:hAnsi="Times New Roman" w:eastAsia="方正黑体_GBK" w:cs="Times New Roman"/>
          <w:b w:val="0"/>
          <w:bCs/>
          <w:sz w:val="32"/>
          <w:szCs w:val="32"/>
          <w:lang w:eastAsia="zh-CN"/>
        </w:rPr>
        <w:t>规范</w:t>
      </w:r>
      <w:r>
        <w:rPr>
          <w:rFonts w:hint="default" w:ascii="Times New Roman" w:hAnsi="Times New Roman" w:eastAsia="方正黑体_GBK" w:cs="Times New Roman"/>
          <w:b w:val="0"/>
          <w:bCs/>
          <w:sz w:val="32"/>
          <w:szCs w:val="32"/>
        </w:rPr>
        <w:t>待遇保障范围</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kern w:val="0"/>
          <w:sz w:val="32"/>
          <w:szCs w:val="32"/>
          <w:lang w:val="en-US" w:eastAsia="zh-CN" w:bidi="ar"/>
        </w:rPr>
        <w:t>（一）规范</w:t>
      </w:r>
      <w:r>
        <w:rPr>
          <w:rFonts w:hint="default" w:ascii="Times New Roman" w:hAnsi="Times New Roman" w:eastAsia="仿宋_GB2312" w:cs="Times New Roman"/>
          <w:kern w:val="0"/>
          <w:sz w:val="32"/>
          <w:szCs w:val="32"/>
          <w:lang w:val="en-US" w:eastAsia="zh-CN" w:bidi="ar"/>
        </w:rPr>
        <w:t>保障对象范围，原征求意见稿将中度、重度失能人员均纳入保障范围，本次修订</w:t>
      </w:r>
      <w:r>
        <w:rPr>
          <w:rFonts w:hint="eastAsia" w:ascii="Times New Roman" w:hAnsi="Times New Roman" w:eastAsia="仿宋_GB2312" w:cs="Times New Roman"/>
          <w:kern w:val="0"/>
          <w:sz w:val="32"/>
          <w:szCs w:val="32"/>
          <w:lang w:val="en-US" w:eastAsia="zh-CN" w:bidi="ar"/>
        </w:rPr>
        <w:t>按照上级文件要求，</w:t>
      </w:r>
      <w:r>
        <w:rPr>
          <w:rFonts w:hint="default" w:ascii="Times New Roman" w:hAnsi="Times New Roman" w:eastAsia="仿宋_GB2312" w:cs="Times New Roman"/>
          <w:kern w:val="0"/>
          <w:sz w:val="32"/>
          <w:szCs w:val="32"/>
          <w:lang w:val="en-US" w:eastAsia="zh-CN" w:bidi="ar"/>
        </w:rPr>
        <w:t>统一调整为仅重度失能人员，明确</w:t>
      </w:r>
      <w:r>
        <w:rPr>
          <w:rFonts w:hint="eastAsia" w:ascii="仿宋_GB2312" w:hAnsi="仿宋_GB2312" w:eastAsia="仿宋_GB2312" w:cs="仿宋_GB2312"/>
          <w:color w:val="auto"/>
          <w:sz w:val="32"/>
          <w:szCs w:val="32"/>
          <w:highlight w:val="none"/>
          <w:lang w:val="en-US" w:eastAsia="zh-CN"/>
        </w:rPr>
        <w:t>长护险制度起步阶段保障重度失能人员，随着经济发展和制度完善，探索将保障对象范围进一步覆盖至中度失能人员。</w:t>
      </w:r>
      <w:r>
        <w:rPr>
          <w:rFonts w:hint="default" w:ascii="Times New Roman" w:hAnsi="Times New Roman" w:eastAsia="仿宋_GB2312" w:cs="Times New Roman"/>
          <w:kern w:val="0"/>
          <w:sz w:val="32"/>
          <w:szCs w:val="32"/>
          <w:lang w:val="en-US" w:eastAsia="zh-CN" w:bidi="ar"/>
        </w:rPr>
        <w:t>同步删除原征求意见稿中所有与中度失能相关的条款</w:t>
      </w:r>
      <w:r>
        <w:rPr>
          <w:rFonts w:hint="eastAsia" w:ascii="Times New Roman" w:hAnsi="Times New Roman" w:eastAsia="仿宋_GB2312" w:cs="Times New Roman"/>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（二）依据机构反馈意见，</w:t>
      </w:r>
      <w:r>
        <w:rPr>
          <w:rFonts w:hint="default" w:ascii="Times New Roman" w:hAnsi="Times New Roman" w:eastAsia="仿宋_GB2312" w:cs="Times New Roman"/>
          <w:kern w:val="0"/>
          <w:sz w:val="32"/>
          <w:szCs w:val="32"/>
          <w:lang w:val="en-US" w:eastAsia="zh-CN" w:bidi="ar"/>
        </w:rPr>
        <w:t>调整居家护理医疗护理时长标准，将原重度失能居家护理每月医疗护理时长</w:t>
      </w:r>
      <w:r>
        <w:rPr>
          <w:rFonts w:hint="eastAsia" w:ascii="Times New Roman" w:hAnsi="Times New Roman" w:eastAsia="仿宋_GB2312" w:cs="Times New Roman"/>
          <w:kern w:val="0"/>
          <w:sz w:val="32"/>
          <w:szCs w:val="32"/>
          <w:lang w:val="en-US" w:eastAsia="zh-CN" w:bidi="ar"/>
        </w:rPr>
        <w:t>不少于8</w:t>
      </w:r>
      <w:r>
        <w:rPr>
          <w:rFonts w:hint="default" w:ascii="Times New Roman" w:hAnsi="Times New Roman" w:eastAsia="仿宋_GB2312" w:cs="Times New Roman"/>
          <w:kern w:val="0"/>
          <w:sz w:val="32"/>
          <w:szCs w:val="32"/>
          <w:lang w:val="en-US" w:eastAsia="zh-CN" w:bidi="ar"/>
        </w:rPr>
        <w:t>小时调整为</w:t>
      </w:r>
      <w:r>
        <w:rPr>
          <w:rFonts w:hint="eastAsia" w:ascii="仿宋_GB2312" w:hAnsi="仿宋_GB2312" w:eastAsia="仿宋_GB2312" w:cs="仿宋_GB2312"/>
          <w:i w:val="0"/>
          <w:iCs w:val="0"/>
          <w:caps w:val="0"/>
          <w:color w:val="auto"/>
          <w:spacing w:val="0"/>
          <w:sz w:val="32"/>
          <w:szCs w:val="32"/>
          <w:highlight w:val="none"/>
          <w:u w:val="none"/>
          <w:shd w:val="clear" w:color="auto" w:fill="FFFFFF"/>
          <w:lang w:val="en-US" w:eastAsia="zh-CN"/>
        </w:rPr>
        <w:t>重度失能人员有医疗护理需求的，其医疗护理服务时长每月不少于4小时</w:t>
      </w:r>
      <w:r>
        <w:rPr>
          <w:rFonts w:hint="default" w:ascii="Times New Roman" w:hAnsi="Times New Roman" w:eastAsia="仿宋_GB2312" w:cs="Times New Roman"/>
          <w:kern w:val="0"/>
          <w:sz w:val="32"/>
          <w:szCs w:val="32"/>
          <w:lang w:val="en-US" w:eastAsia="zh-CN" w:bidi="ar"/>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方正黑体_GBK" w:cs="Times New Roman"/>
          <w:b w:val="0"/>
          <w:bCs/>
          <w:sz w:val="32"/>
          <w:szCs w:val="32"/>
        </w:rPr>
      </w:pPr>
      <w:r>
        <w:rPr>
          <w:rFonts w:hint="default" w:ascii="Times New Roman" w:hAnsi="Times New Roman" w:eastAsia="方正黑体_GBK" w:cs="Times New Roman"/>
          <w:b w:val="0"/>
          <w:bCs/>
          <w:sz w:val="32"/>
          <w:szCs w:val="32"/>
        </w:rPr>
        <w:t>四、规范失能评估与费用分担</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调整评估费用分担规则，</w:t>
      </w:r>
      <w:r>
        <w:rPr>
          <w:rFonts w:hint="eastAsia" w:ascii="Times New Roman" w:hAnsi="Times New Roman" w:eastAsia="仿宋_GB2312" w:cs="Times New Roman"/>
          <w:kern w:val="0"/>
          <w:sz w:val="32"/>
          <w:szCs w:val="32"/>
          <w:lang w:val="en-US" w:eastAsia="zh-CN" w:bidi="ar"/>
        </w:rPr>
        <w:t>根据上级文件，对于</w:t>
      </w:r>
      <w:r>
        <w:rPr>
          <w:rFonts w:hint="default" w:ascii="Times New Roman" w:hAnsi="Times New Roman" w:eastAsia="仿宋_GB2312" w:cs="Times New Roman"/>
          <w:kern w:val="0"/>
          <w:sz w:val="32"/>
          <w:szCs w:val="32"/>
          <w:lang w:val="en-US" w:eastAsia="zh-CN" w:bidi="ar"/>
        </w:rPr>
        <w:t>复评结论不一致时的费用承担主体，本次修订明确：参保人申请失能复评后，若复评结论与初次评估结论不一致，</w:t>
      </w:r>
      <w:r>
        <w:rPr>
          <w:rFonts w:hint="eastAsia" w:ascii="Times New Roman" w:hAnsi="Times New Roman" w:eastAsia="仿宋_GB2312" w:cs="Times New Roman"/>
          <w:kern w:val="0"/>
          <w:sz w:val="32"/>
          <w:szCs w:val="32"/>
          <w:lang w:val="en-US" w:eastAsia="zh-CN" w:bidi="ar"/>
        </w:rPr>
        <w:t>复评</w:t>
      </w:r>
      <w:r>
        <w:rPr>
          <w:rFonts w:hint="default" w:ascii="Times New Roman" w:hAnsi="Times New Roman" w:eastAsia="仿宋_GB2312" w:cs="Times New Roman"/>
          <w:kern w:val="0"/>
          <w:sz w:val="32"/>
          <w:szCs w:val="32"/>
          <w:lang w:val="en-US" w:eastAsia="zh-CN" w:bidi="ar"/>
        </w:rPr>
        <w:t>产生的评估费用由初次评估机构全额承担</w:t>
      </w:r>
      <w:r>
        <w:rPr>
          <w:rFonts w:hint="eastAsia" w:ascii="Times New Roman" w:hAnsi="Times New Roman" w:eastAsia="仿宋_GB2312" w:cs="Times New Roman"/>
          <w:kern w:val="0"/>
          <w:sz w:val="32"/>
          <w:szCs w:val="32"/>
          <w:lang w:val="en-US" w:eastAsia="zh-CN" w:bidi="ar"/>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方正黑体_GBK" w:cs="Times New Roman"/>
          <w:b w:val="0"/>
          <w:bCs/>
          <w:sz w:val="32"/>
          <w:szCs w:val="32"/>
        </w:rPr>
      </w:pPr>
      <w:r>
        <w:rPr>
          <w:rFonts w:hint="default" w:ascii="Times New Roman" w:hAnsi="Times New Roman" w:eastAsia="方正黑体_GBK" w:cs="Times New Roman"/>
          <w:b w:val="0"/>
          <w:bCs/>
          <w:sz w:val="32"/>
          <w:szCs w:val="32"/>
        </w:rPr>
        <w:t>五、其他条款调整</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（一）完善</w:t>
      </w:r>
      <w:r>
        <w:rPr>
          <w:rFonts w:hint="default" w:ascii="Times New Roman" w:hAnsi="Times New Roman" w:eastAsia="仿宋_GB2312" w:cs="Times New Roman"/>
          <w:kern w:val="0"/>
          <w:sz w:val="32"/>
          <w:szCs w:val="32"/>
          <w:lang w:val="en-US" w:eastAsia="zh-CN" w:bidi="ar"/>
        </w:rPr>
        <w:t>动态调整机制条款，明确长护险政策将根据国家和省、市相关政策要求，结合东莞市</w:t>
      </w:r>
      <w:r>
        <w:rPr>
          <w:rFonts w:hint="eastAsia" w:ascii="Times New Roman" w:hAnsi="Times New Roman" w:eastAsia="仿宋_GB2312" w:cs="Times New Roman"/>
          <w:kern w:val="0"/>
          <w:sz w:val="32"/>
          <w:szCs w:val="32"/>
          <w:lang w:val="en-US" w:eastAsia="zh-CN" w:bidi="ar"/>
        </w:rPr>
        <w:t>长护险</w:t>
      </w:r>
      <w:r>
        <w:rPr>
          <w:rFonts w:hint="default" w:ascii="Times New Roman" w:hAnsi="Times New Roman" w:eastAsia="仿宋_GB2312" w:cs="Times New Roman"/>
          <w:kern w:val="0"/>
          <w:sz w:val="32"/>
          <w:szCs w:val="32"/>
          <w:lang w:val="en-US" w:eastAsia="zh-CN" w:bidi="ar"/>
        </w:rPr>
        <w:t>基金支撑能力、群众基本护理保障需求、经济社会发展水平、人口老龄化程度等因素，建立政策动态调整机制，对参保缴费标准、待遇支付标准、保障范围等进行适时调整，确保制度可持续运行</w:t>
      </w:r>
      <w:r>
        <w:rPr>
          <w:rFonts w:hint="eastAsia" w:ascii="Times New Roman" w:hAnsi="Times New Roman" w:eastAsia="仿宋_GB2312" w:cs="Times New Roman"/>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（二）</w:t>
      </w:r>
      <w:r>
        <w:rPr>
          <w:rFonts w:hint="default" w:ascii="Times New Roman" w:hAnsi="Times New Roman" w:eastAsia="仿宋_GB2312" w:cs="Times New Roman"/>
          <w:kern w:val="0"/>
          <w:sz w:val="32"/>
          <w:szCs w:val="32"/>
          <w:lang w:val="en-US" w:eastAsia="zh-CN" w:bidi="ar"/>
        </w:rPr>
        <w:t>删除原征求意见稿中长护险参保长效机制的相关表述（包括职工、未就业城乡居民中断缴费等待期、连续参保激励等内容），明确该部分内容将按照国家和省有关规定另行制定</w:t>
      </w:r>
      <w:r>
        <w:rPr>
          <w:rFonts w:hint="eastAsia" w:ascii="Times New Roman" w:hAnsi="Times New Roman" w:eastAsia="仿宋_GB2312" w:cs="Times New Roman"/>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（三）依据</w:t>
      </w:r>
      <w:r>
        <w:rPr>
          <w:rFonts w:hint="default" w:ascii="Times New Roman" w:hAnsi="Times New Roman" w:eastAsia="仿宋_GB2312" w:cs="Times New Roman"/>
          <w:kern w:val="0"/>
          <w:sz w:val="32"/>
          <w:szCs w:val="32"/>
          <w:lang w:val="en-US" w:eastAsia="zh-CN" w:bidi="ar"/>
        </w:rPr>
        <w:t>各相关部门、镇街（园区）</w:t>
      </w:r>
      <w:r>
        <w:rPr>
          <w:rFonts w:hint="eastAsia" w:ascii="Times New Roman" w:hAnsi="Times New Roman" w:eastAsia="仿宋_GB2312" w:cs="Times New Roman"/>
          <w:kern w:val="0"/>
          <w:sz w:val="32"/>
          <w:szCs w:val="32"/>
          <w:lang w:val="en-US" w:eastAsia="zh-CN" w:bidi="ar"/>
        </w:rPr>
        <w:t>反馈意见及专家论证意见，对部分条款的表述进行了整合与规范。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5690C"/>
    <w:rsid w:val="0B657E3F"/>
    <w:rsid w:val="14954943"/>
    <w:rsid w:val="159E33F2"/>
    <w:rsid w:val="19414B56"/>
    <w:rsid w:val="1F391139"/>
    <w:rsid w:val="1F7F3C8E"/>
    <w:rsid w:val="23832A34"/>
    <w:rsid w:val="27355682"/>
    <w:rsid w:val="2A692F6C"/>
    <w:rsid w:val="2C0F31FB"/>
    <w:rsid w:val="32165D3B"/>
    <w:rsid w:val="474918D0"/>
    <w:rsid w:val="48017971"/>
    <w:rsid w:val="485827BF"/>
    <w:rsid w:val="4DBF6EC8"/>
    <w:rsid w:val="51021DE8"/>
    <w:rsid w:val="57C5690C"/>
    <w:rsid w:val="5C7E2B59"/>
    <w:rsid w:val="5D7D2541"/>
    <w:rsid w:val="5DE74154"/>
    <w:rsid w:val="6EFF8944"/>
    <w:rsid w:val="6FBB496D"/>
    <w:rsid w:val="6FF80FD6"/>
    <w:rsid w:val="73676031"/>
    <w:rsid w:val="74FDE652"/>
    <w:rsid w:val="7BD3F402"/>
    <w:rsid w:val="7CFC052A"/>
    <w:rsid w:val="7D641E37"/>
    <w:rsid w:val="7E323D2D"/>
    <w:rsid w:val="7E660199"/>
    <w:rsid w:val="7EF2E6DB"/>
    <w:rsid w:val="7F2BEB54"/>
    <w:rsid w:val="7FFF9837"/>
    <w:rsid w:val="AFEF2437"/>
    <w:rsid w:val="BDDC6AE8"/>
    <w:rsid w:val="BF5F5A4A"/>
    <w:rsid w:val="CE87FDE6"/>
    <w:rsid w:val="DB5F4CFD"/>
    <w:rsid w:val="DF4DB34F"/>
    <w:rsid w:val="EAF99B25"/>
    <w:rsid w:val="FADD1010"/>
    <w:rsid w:val="FAE765CB"/>
    <w:rsid w:val="FFD7BE24"/>
    <w:rsid w:val="FFF6034A"/>
    <w:rsid w:val="FFFF4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2026-04-23T01:16:00Z</dcterms:created>
  <dc:creator>陈冠宇</dc:creator>
  <cp:lastModifiedBy>郭露露</cp:lastModifiedBy>
  <cp:lastPrinted>2026-04-23T19:13:00Z</cp:lastPrinted>
  <dcterms:modified xsi:type="dcterms:W3CDTF">2026-04-30T16:38:10Z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57BE924471E34FD789112D7DF8B44A30</vt:lpwstr>
  </property>
</Properties>
</file>