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beforeLines="0" w:afterLines="0" w:line="560" w:lineRule="exact"/>
        <w:ind w:firstLine="0" w:firstLineChars="0"/>
        <w:jc w:val="both"/>
        <w:textAlignment w:val="auto"/>
        <w:outlineLvl w:val="0"/>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8</w:t>
      </w: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东莞市数据标注产业园垂直领域模型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highlight w:val="none"/>
          <w:lang w:val="en-US" w:eastAsia="zh-CN"/>
        </w:rPr>
      </w:pPr>
      <w:r>
        <w:rPr>
          <w:rFonts w:hint="eastAsia" w:ascii="Times New Roman" w:hAnsi="Times New Roman" w:eastAsia="方正小标宋简体" w:cs="方正小标宋简体"/>
          <w:b w:val="0"/>
          <w:bCs w:val="0"/>
          <w:sz w:val="44"/>
          <w:szCs w:val="44"/>
          <w:highlight w:val="none"/>
          <w:lang w:val="en-US" w:eastAsia="zh-CN"/>
        </w:rPr>
        <w:t>合作协议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z w:val="44"/>
          <w:szCs w:val="44"/>
          <w:highlight w:val="none"/>
          <w:lang w:val="en-US" w:eastAsia="zh-CN"/>
        </w:rPr>
      </w:pPr>
    </w:p>
    <w:p>
      <w:pPr>
        <w:widowControl/>
        <w:wordWrap w:val="0"/>
        <w:spacing w:line="760" w:lineRule="exact"/>
        <w:jc w:val="right"/>
        <w:outlineLvl w:val="1"/>
        <w:rPr>
          <w:rFonts w:hint="default" w:ascii="Times New Roman" w:hAnsi="Times New Roman" w:eastAsia="楷体" w:cs="宋体"/>
          <w:color w:val="000000" w:themeColor="text1"/>
          <w:kern w:val="0"/>
          <w:sz w:val="30"/>
          <w:szCs w:val="30"/>
          <w:highlight w:val="none"/>
          <w:lang w:val="en-US" w:eastAsia="zh-CN" w:bidi="ar-SA"/>
          <w14:textFill>
            <w14:solidFill>
              <w14:schemeClr w14:val="tx1"/>
            </w14:solidFill>
          </w14:textFill>
        </w:rPr>
      </w:pPr>
      <w:r>
        <w:rPr>
          <w:rFonts w:hint="eastAsia" w:ascii="Times New Roman" w:hAnsi="Times New Roman" w:eastAsia="楷体" w:cs="宋体"/>
          <w:color w:val="000000" w:themeColor="text1"/>
          <w:kern w:val="0"/>
          <w:sz w:val="30"/>
          <w:szCs w:val="30"/>
          <w:highlight w:val="none"/>
          <w:lang w:val="en-US" w:eastAsia="zh-CN" w:bidi="ar-SA"/>
          <w14:textFill>
            <w14:solidFill>
              <w14:schemeClr w14:val="tx1"/>
            </w14:solidFill>
          </w14:textFill>
        </w:rPr>
        <w:t xml:space="preserve">协议编号：              </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甲方：</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统一社会信用代码：</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法定代表人：</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地址：</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联系电话：</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乙方：</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统一社会信用代码：</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法定代表人：</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地址：</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联系电话：</w:t>
      </w:r>
    </w:p>
    <w:p>
      <w:pPr>
        <w:spacing w:line="560" w:lineRule="exact"/>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sectPr>
          <w:footerReference r:id="rId3" w:type="default"/>
          <w:pgSz w:w="11905" w:h="16840"/>
          <w:cols w:space="720" w:num="1"/>
        </w:sectPr>
      </w:pPr>
      <w:r>
        <w:rPr>
          <w:rFonts w:hint="default" w:ascii="Times New Roman" w:hAnsi="Times New Roman" w:eastAsia="仿宋_GB2312" w:cs="仿宋_GB2312"/>
          <w:color w:val="000000" w:themeColor="text1"/>
          <w:kern w:val="2"/>
          <w:sz w:val="28"/>
          <w:szCs w:val="28"/>
          <w:highlight w:val="none"/>
          <w:lang w:val="en-US" w:eastAsia="zh-CN" w:bidi="ar-SA"/>
          <w14:textFill>
            <w14:solidFill>
              <w14:schemeClr w14:val="tx1"/>
            </w14:solidFill>
          </w14:textFill>
        </w:rPr>
        <w:t>入驻园区：东莞市数据标注产业园</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一、协议背景与依据</w:t>
      </w:r>
    </w:p>
    <w:p>
      <w:pPr>
        <w:keepNext w:val="0"/>
        <w:keepLines w:val="0"/>
        <w:pageBreakBefore w:val="0"/>
        <w:widowControl w:val="0"/>
        <w:tabs>
          <w:tab w:val="left" w:pos="8820"/>
        </w:tabs>
        <w:kinsoku/>
        <w:wordWrap/>
        <w:overflowPunct/>
        <w:topLinePunct w:val="0"/>
        <w:autoSpaceDE/>
        <w:autoSpaceDN/>
        <w:bidi w:val="0"/>
        <w:adjustRightInd/>
        <w:spacing w:before="0" w:after="0" w:line="360" w:lineRule="auto"/>
        <w:ind w:left="0" w:firstLine="560" w:firstLineChars="200"/>
        <w:jc w:val="left"/>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为贯彻落实东莞市万江街道《关于推动数据标注产业高质量发展的若干措施》（万办〔2025〕14号）文件精神，甲方作为东莞市万江街道指定的垂直领域模型产权接收及区域流通运营主体，乙方作为入驻万江数据标注产业园、符合街道产业导向的企业，双方就乙方开发垂直领域大模型并移交/共享相关产权、甲方给予相应补贴事宜，本着平等自愿、诚实信用、互利共赢的原则，经友好协商，达成如下协议，以资共同信守。</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二、合作内容</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（一）大模型基本情况</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乙方承诺所提供的垂直领域模型（以下简称“</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模型”）已通过甲方及万江街道相关部门的评审认定，符合《东莞市万江街道</w:t>
      </w:r>
      <w:r>
        <w:rPr>
          <w:rFonts w:hint="eastAsia" w:ascii="仿宋_GB2312" w:hAnsi="仿宋_GB2312" w:cs="仿宋_GB2312"/>
          <w:color w:val="000000" w:themeColor="text1"/>
          <w:sz w:val="28"/>
          <w:szCs w:val="28"/>
          <w:highlight w:val="none"/>
          <w14:textFill>
            <w14:solidFill>
              <w14:schemeClr w14:val="tx1"/>
            </w14:solidFill>
          </w14:textFill>
        </w:rPr>
        <w:t>垂直领域模型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奖补申报表》载明的各项标准、本协议约定要求及街道“垂直领域模型”产业导向。</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具体信息如下：</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大模型名称：【】</w:t>
      </w:r>
    </w:p>
    <w:p>
      <w:pPr>
        <w:keepNext w:val="0"/>
        <w:keepLines w:val="0"/>
        <w:pageBreakBefore w:val="0"/>
        <w:widowControl w:val="0"/>
        <w:tabs>
          <w:tab w:val="left" w:pos="3875"/>
        </w:tabs>
        <w:kinsoku/>
        <w:wordWrap/>
        <w:overflowPunct/>
        <w:topLinePunct w:val="0"/>
        <w:autoSpaceDE/>
        <w:autoSpaceDN/>
        <w:bidi w:val="0"/>
        <w:adjustRightInd/>
        <w:snapToGrid w:val="0"/>
        <w:spacing w:line="480" w:lineRule="exact"/>
        <w:ind w:left="558" w:leftChars="186" w:firstLine="560" w:firstLineChars="200"/>
        <w:jc w:val="left"/>
        <w:textAlignment w:val="auto"/>
        <w:rPr>
          <w:rFonts w:hint="default" w:ascii="Times New Roman" w:hAnsi="Times New Roman" w:eastAsia="仿宋_GB2312" w:cs="Times New Roman"/>
          <w:color w:val="000000" w:themeColor="text1"/>
          <w:kern w:val="2"/>
          <w:sz w:val="30"/>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类型：</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图像</w:t>
      </w:r>
      <w:r>
        <w:rPr>
          <w:rFonts w:hint="eastAsia" w:cs="Times New Roman"/>
          <w:sz w:val="30"/>
          <w:szCs w:val="30"/>
          <w:highlight w:val="none"/>
          <w:lang w:val="en-US" w:eastAsia="zh-CN"/>
        </w:rPr>
        <w:t xml:space="preserve">数据训练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视频</w:t>
      </w:r>
      <w:r>
        <w:rPr>
          <w:rFonts w:hint="eastAsia" w:cs="Times New Roman"/>
          <w:sz w:val="30"/>
          <w:szCs w:val="30"/>
          <w:highlight w:val="none"/>
          <w:lang w:val="en-US" w:eastAsia="zh-CN"/>
        </w:rPr>
        <w:t>数据训练</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音频</w:t>
      </w:r>
      <w:r>
        <w:rPr>
          <w:rFonts w:hint="eastAsia" w:cs="Times New Roman"/>
          <w:sz w:val="30"/>
          <w:szCs w:val="30"/>
          <w:highlight w:val="none"/>
          <w:lang w:val="en-US" w:eastAsia="zh-CN"/>
        </w:rPr>
        <w:t xml:space="preserve">数据训练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rPr>
        <w:t>文本</w:t>
      </w:r>
      <w:r>
        <w:rPr>
          <w:rFonts w:hint="eastAsia" w:cs="Times New Roman"/>
          <w:sz w:val="30"/>
          <w:szCs w:val="30"/>
          <w:highlight w:val="none"/>
          <w:lang w:val="en-US" w:eastAsia="zh-CN"/>
        </w:rPr>
        <w:t xml:space="preserve">数据训练   </w:t>
      </w:r>
      <w:r>
        <w:rPr>
          <w:rFonts w:hint="default" w:ascii="Times New Roman" w:hAnsi="Times New Roman" w:eastAsia="仿宋_GB2312" w:cs="Times New Roman"/>
          <w:sz w:val="30"/>
          <w:szCs w:val="30"/>
          <w:highlight w:val="none"/>
        </w:rPr>
        <w:sym w:font="Wingdings 2" w:char="00A3"/>
      </w:r>
      <w:r>
        <w:rPr>
          <w:rFonts w:hint="eastAsia" w:cs="Times New Roman"/>
          <w:sz w:val="30"/>
          <w:szCs w:val="30"/>
          <w:highlight w:val="none"/>
          <w:lang w:val="en-US" w:eastAsia="zh-CN"/>
        </w:rPr>
        <w:t xml:space="preserve">混合数据训练 </w:t>
      </w:r>
      <w:r>
        <w:rPr>
          <w:rFonts w:hint="default" w:ascii="Times New Roman" w:hAnsi="Times New Roman" w:eastAsia="仿宋_GB2312" w:cs="Times New Roman"/>
          <w:sz w:val="30"/>
          <w:szCs w:val="30"/>
          <w:highlight w:val="none"/>
        </w:rPr>
        <w:sym w:font="Wingdings 2" w:char="00A3"/>
      </w:r>
      <w:r>
        <w:rPr>
          <w:rFonts w:hint="default" w:ascii="Times New Roman" w:hAnsi="Times New Roman" w:eastAsia="仿宋_GB2312" w:cs="Times New Roman"/>
          <w:sz w:val="30"/>
          <w:szCs w:val="30"/>
          <w:highlight w:val="none"/>
          <w:lang w:val="en-US" w:eastAsia="zh-CN"/>
        </w:rPr>
        <w:t>其他</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规模：【】参数规模（或其他合理计量方式）</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模态：□图像数据训练 □视频数据训练 □音频数据训练</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 xml:space="preserve"> □文本数据训练  □混合数据训练 □其他：【】</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训练数据时间范围：【】年【】月【】日至【】年【】月【】日</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更新频率：□一周一次 □一月一次 □季度一次 □其他：【】</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所属垂直领域：【】</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训练数据来源：【】（需符合国家数据安全及合规要求）</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（二）产权移交/共享约定</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1、基于本协议补贴政策，乙方同意将</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模型的使用权、经营权共享给甲方；乙方继续享有</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的持有权、使用权、经营权，双方权利范围不冲突。</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2、甲方享有的共享权利范围：在本协议有效期内，有权在区域流通、公共应用、商业合作等场景中使用、推广与销售</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模型及基于该大模型开发的数据产品、服务（包括但不限于API接口、模型调用服务、数据报告等）。</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3、乙方承诺</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不存在任何知识产权纠纷、权属争议，未侵犯任何第三方的合法权益（包括但不限于著作权、隐私权、商业秘密、技术秘密等），未违反国家数据安全、个人信息保护、人工智能伦理等相关法律法规及政策要求。</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4、乙方需向甲方提供</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的完整技术文档、使用说明、训练规范、质量评估报告、数据产权登记证书等相关资料，确保甲方能够正常使用和运营该大模型。</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三、收益分配约定</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1、分配前提：本条款仅适用于本协议有效期内，双方基于</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及基于该模型开发的数据产品、服务产生的销售收益；收益计算以实际到账的销售额为基数，扣除必要的第三方平台佣金、税费等直接相关费用后进行分配。</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2、协议有效期：【】年，自双方签字盖章之日起计算。</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3、分配方式：</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（1）甲方独立销售大模型：甲方按销售额（扣除必要的第三方平台佣金、税费等）的40%获得收益，乙方按销售额（扣除必要的第三方平台佣金、税费等）的60%获得收益；</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（2）甲方独立销售基于大模型开发的数据产品、服务（包括但不限于API接口、模型调用服务、数据报告等）：</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① 若数据产品、服务由甲方负责开发，甲方按销售额（扣除必要的第三方平台佣金、税费等）的70%获得收益，乙方按销售额（扣除必要的第三方平台佣金、税费等）的30%获得收益；</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② 若数据产品、服务由乙方负责开发，甲方按销售额（扣除必要的第三方平台佣金、税费等）的30%获得收益，乙方按销售额（扣除必要的第三方平台佣金、税费等）的70%获得收益；</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（3）乙方独立销售大模型/基于大模型开发的数据产品、服务（包括但不限于API接口、模型调用服务、数据报告等）：乙方获得100%收益，无需与甲方分成。</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4、结算周期与流程：</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（1）结算周期：按【月/季/年】结算，双方应在每个结算周期结束后10个工作日内，核对当期销售数据及收益金额，形成结算确认单，经双方签字盖章后生效。</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（2）支付流程：双方确认结算金额后，收款方应在5个工作日内开具合法有效的等额发票，付款方在收到发票后15个工作日内将收益款项支付至对方指定银行账户。</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5、数据核对：甲方有义务向对方提供必要的销售凭证、财务记录等资料用于核对收益，确保数据真实准确，相互配合完成结算工作。</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四、双方权利与义务</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（一）甲方权利与义务</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1、有权对乙方提供的</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及相关资料进行</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，若发现大模型不符合协议约定要求，有权要求乙方限期整改。</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2、按照协议约定及时足额向乙方支付应付的收益分成款项。</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3、按照国家相关法律法规及政策要求，在约定范围内合理使用、运营</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，保障数据安全、模型安全及人工智能伦理合规，不得用于违法违规用途；不得超出约定范围行使权利。</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4、独立销售</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或相关数据产品、服务时，应建立规范的销售台账，准确记录销售数据，按约定与乙方进行结算并提供相关资料。</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5、对乙方提供的涉及商业秘密、技术秘密的相关资料、技术文档及结算数据予以保密，未经乙方书面同意，不得向第三方泄露。</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6、协助乙方对接万江街道相关部门办理</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政策申报</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等相关事宜。</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（二）乙方权利与义务</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1、有权按照协议约定收取应付的收益分成款项。</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2、按照协议约定及时向甲方移交/共享</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及相关资料，并确保大模型的合法性、真实性、完整性、有效性及安全性。</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3、负责</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开发过程中的数据安全、敏感信息保护、模型安全及人工智能伦理合规等工作，已采取必要的安全防护措施（如数据脱敏、加密、模型安全加固等），并提供相关佐证材料；后续大模型更新维护由乙方负责。</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4、配合甲方及万江街道相关部门对</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的评审及后续监管工作，如实提供相关资料和信息。</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5、若接受甲方委托开发数据产品、服务，应按约定标准完成开发工作，确保产品、服务质量符合使用要求。</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6、配合甲方对外销售</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，提供必要的售前支撑。</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7、独立销售</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或相关数据产品、服务时，应及时向甲方书面告知销售情况，配合甲方核实相关信息。</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8、若</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存在权属纠纷、侵权问题或违反相关法律法规、人工智能伦理要求的情况，由乙方承担全部责任，包括但不限于退还补贴资金、赔偿甲方及第三方损失、承担收益分配相关的违约责任等。</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9、不得擅自变更</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的核心功能、核心算法或用途，不得干预甲方在本协议约定范围内对</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的合法使用及运营。</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10、对甲方在合作过程中提供的相关政策文件、技术要求、结算数据等信息予以保密，未经甲方书面同意，不得向第三方泄露。</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五、</w:t>
      </w:r>
      <w:r>
        <w:rPr>
          <w:rFonts w:hint="eastAsia" w:ascii="仿宋_GB2312" w:hAnsi="仿宋_GB2312" w:cs="仿宋_GB2312"/>
          <w:b/>
          <w:bCs/>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标准与流程</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1、评审标准：</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需符合《</w:t>
      </w:r>
      <w:r>
        <w:rPr>
          <w:rFonts w:hint="eastAsia"/>
          <w:highlight w:val="none"/>
        </w:rPr>
        <w:t>东莞市万江街道垂直领域模型奖补申报表</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》载明的各项指标、本协议约定的大模型基本情况，以及国家数据安全、个人信息保护、人工智能伦理等相关法律法规及政策要求；需获得数据产权登记证书</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相关技术文档、使用说明、安全评估报告等资料完整、规范，能够满足甲方使用和运营需求。</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验收流程：乙方完成大模型开发后，向甲方提交验收申请及相关资料（包括大模型本身、技术文档、质量评估报告、安全评估报告、产权无纠纷承诺书、广州数据交易所数据产权登记证书等）；甲方在收到申请后</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原则上每半年</w:t>
      </w:r>
      <w:r>
        <w:rPr>
          <w:rFonts w:hint="eastAsia" w:ascii="仿宋_GB2312" w:hAnsi="仿宋_GB2312" w:cs="仿宋_GB2312"/>
          <w:color w:val="000000" w:themeColor="text1"/>
          <w:sz w:val="28"/>
          <w:szCs w:val="28"/>
          <w:highlight w:val="none"/>
          <w14:textFill>
            <w14:solidFill>
              <w14:schemeClr w14:val="tx1"/>
            </w14:solidFill>
          </w14:textFill>
        </w:rPr>
        <w:t>组织</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一次</w:t>
      </w:r>
      <w:r>
        <w:rPr>
          <w:rFonts w:hint="eastAsia" w:ascii="仿宋_GB2312" w:hAnsi="仿宋_GB2312" w:cs="仿宋_GB2312"/>
          <w:color w:val="000000" w:themeColor="text1"/>
          <w:sz w:val="28"/>
          <w:szCs w:val="28"/>
          <w:highlight w:val="none"/>
          <w14:textFill>
            <w14:solidFill>
              <w14:schemeClr w14:val="tx1"/>
            </w14:solidFill>
          </w14:textFill>
        </w:rPr>
        <w:t>专家评审会</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对项目</w:t>
      </w:r>
      <w:r>
        <w:rPr>
          <w:rFonts w:hint="eastAsia" w:ascii="仿宋_GB2312" w:hAnsi="仿宋_GB2312" w:cs="仿宋_GB2312"/>
          <w:color w:val="000000" w:themeColor="text1"/>
          <w:sz w:val="28"/>
          <w:szCs w:val="28"/>
          <w:highlight w:val="none"/>
          <w14:textFill>
            <w14:solidFill>
              <w14:schemeClr w14:val="tx1"/>
            </w14:solidFill>
          </w14:textFill>
        </w:rPr>
        <w:t>开展评审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合格的，出具</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合格证明；</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不合格的，书面告知乙方整改意见，乙方应在收到意见后15个工作日内完成整改并重新申请</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，若二次</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评审</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仍不合格，甲方有权拒绝支付补贴资金，解除本协议。</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bookmarkStart w:id="0" w:name="heading_13"/>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六、违约责任</w:t>
      </w:r>
      <w:bookmarkEnd w:id="0"/>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1、若甲方未按协议约定支付收益分成款项，每逾期一日，应按逾期金额的万分之五向乙方支付违约金；逾期超过90日的，乙方有权解除本协议，收回</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的共享权利，并要求甲方支付应付未付金额及违约金。</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2、若乙方提供的</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不符合协议约定要求，经整改后仍无法通过验收，或存在权属纠纷、侵权问题、违法违规及违反人工智能伦理要求的情形，甲方有权解除本协议，乙方应退还已收到的补贴资金，并按补贴金额的20%向甲方支付违约金；若造成甲方或第三方损失的，乙方应承担全部赔偿责任，包括但不限于由此产生的诉讼费、仲裁费、保全费、律师费、公证费、评估鉴定费、赔偿金等。</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若乙方未按协议约定移交或共享大模型及相关资料，每逾期一日，应按补贴金额的万分之五向甲方支付违约金；逾期超过30日的，甲方有权解除本协议，不予支付补贴资金，乙方应按补贴金额的10%向甲方支付违约金。</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4、任何一方违反保密义务，泄露对方商业秘密、技术秘密或相关保密信息的，应向对方支付违约金【】万元；若造成对方损失的，除违约金外，还应承担相应的赔偿责任。</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5、若甲方超出约定范围使用、运营</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，或未按约定与乙方结算收益、提供虚假销售数据，应赔偿乙方因此造成的损失，乙方有权暂停履行协议义务直至甲方纠正违约行为。</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6、若乙方违反约定将</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使用权、经营权转让给第三方，或干预甲方合法使用运营，应按补贴金额的30%向甲方支付违约金，并赔偿甲方因此造成的损失；若乙方提供虚假销售数据、拒绝配合结算，应赔偿甲方因此造成的损失，甲方有权暂停支付应付乙方的收益分成直至乙方纠正违约行为。</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如乙方逾期未整改，甲方有权解除协议，向乙方追讨相应的收益分成。</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bookmarkStart w:id="1" w:name="heading_14"/>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七、不可抗力</w:t>
      </w:r>
      <w:bookmarkEnd w:id="1"/>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因地震、火灾、洪水、台风等不可抗力因素导致本协议无法履行或延迟履行的，遭遇不可抗力一方应及时通知对方，并在不可抗力发生后15日内提供相关证明文件。双方应根据不可抗力的影响，协商决定部分履行、延期履行或解除本协议，遭遇不可抗力一方无需承担违约责任，但应尽力减少不可抗力造成的损失。</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bookmarkStart w:id="2" w:name="heading_15"/>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八、争议解决</w:t>
      </w:r>
      <w:bookmarkEnd w:id="2"/>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本协议的签订、履行、解释及争议解决均适用中华人民共和国法律。双方在履行本协议过程中发生的任何争议，应首先通过友好协商解决；协商不成的，任何一方均有权向甲方所在地有管辖权的人民法院提起诉讼。违约方应承担守约方因此产生的合理费用，包括但不限于诉讼费、仲裁费、保全费、律师费、公证费、评估鉴定费等。</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2" w:firstLineChars="200"/>
        <w:textAlignment w:val="auto"/>
        <w:outlineLvl w:val="0"/>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pPr>
      <w:bookmarkStart w:id="3" w:name="heading_16"/>
      <w:r>
        <w:rPr>
          <w:rFonts w:hint="eastAsia" w:ascii="仿宋_GB2312" w:hAnsi="仿宋_GB2312" w:eastAsia="仿宋_GB2312" w:cs="仿宋_GB2312"/>
          <w:b/>
          <w:bCs/>
          <w:color w:val="000000" w:themeColor="text1"/>
          <w:kern w:val="2"/>
          <w:sz w:val="28"/>
          <w:szCs w:val="28"/>
          <w:highlight w:val="none"/>
          <w:lang w:val="en-US" w:eastAsia="zh-CN" w:bidi="ar-SA"/>
          <w14:textFill>
            <w14:solidFill>
              <w14:schemeClr w14:val="tx1"/>
            </w14:solidFill>
          </w14:textFill>
        </w:rPr>
        <w:t>九、其他条款</w:t>
      </w:r>
      <w:bookmarkEnd w:id="3"/>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1、本协议自双方签字盖章之日起生效，有效期为【】年（即收益分配约定的协议有效期）；有效期届满后，双方可另行协商续约事宜，若未续约，甲方不再享有</w:t>
      </w:r>
      <w:r>
        <w:rPr>
          <w:rFonts w:hint="eastAsia" w:ascii="仿宋_GB2312" w:hAnsi="仿宋_GB2312" w:cs="仿宋_GB2312"/>
          <w:color w:val="000000" w:themeColor="text1"/>
          <w:kern w:val="2"/>
          <w:sz w:val="28"/>
          <w:szCs w:val="28"/>
          <w:highlight w:val="none"/>
          <w:lang w:val="en-US" w:eastAsia="zh-CN" w:bidi="ar-SA"/>
          <w14:textFill>
            <w14:solidFill>
              <w14:schemeClr w14:val="tx1"/>
            </w14:solidFill>
          </w14:textFill>
        </w:rPr>
        <w:t>垂域模型</w:t>
      </w: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的使用权、经营权，已产生但未结算的收益仍按本协议约定处理。</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2、本协议未尽事宜，双方可另行签订补充协议，补充协议与本协议具有同等法律效力。</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3、本协议一式肆份，甲方执贰份，乙方执壹份，报东莞市万江街道经济发展局备案壹份，每份具有同等法律效力。</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4、双方确认本协议首部载明的联系方式为有效送达地址，任何一方变更联系方式，应及时书面通知对方，否则因此产生的送达不能等后果由变更方自行承担。</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ind w:firstLine="600" w:firstLineChars="200"/>
        <w:textAlignment w:val="auto"/>
        <w:rPr>
          <w:rFonts w:hint="eastAsia"/>
          <w:highlight w:val="none"/>
          <w:lang w:val="en-US" w:eastAsia="zh-CN"/>
        </w:rPr>
      </w:pPr>
    </w:p>
    <w:p>
      <w:pPr>
        <w:pStyle w:val="2"/>
        <w:keepNext w:val="0"/>
        <w:keepLines w:val="0"/>
        <w:pageBreakBefore w:val="0"/>
        <w:widowControl w:val="0"/>
        <w:kinsoku/>
        <w:wordWrap/>
        <w:overflowPunct/>
        <w:topLinePunct w:val="0"/>
        <w:autoSpaceDE/>
        <w:autoSpaceDN/>
        <w:bidi w:val="0"/>
        <w:adjustRightInd/>
        <w:ind w:firstLine="600" w:firstLineChars="200"/>
        <w:textAlignment w:val="auto"/>
        <w:rPr>
          <w:rFonts w:hint="eastAsia"/>
          <w:lang w:val="en-US" w:eastAsia="zh-CN"/>
        </w:rPr>
      </w:pP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（以下无正文）</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甲方（盖章）：</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法定代表人或授权代表人（签字）：</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签订日期：     年     月     日</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乙方（盖章）：</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法定代表人或授权代表人（签字）：</w:t>
      </w:r>
    </w:p>
    <w:p>
      <w:pPr>
        <w:keepNext w:val="0"/>
        <w:keepLines w:val="0"/>
        <w:pageBreakBefore w:val="0"/>
        <w:widowControl w:val="0"/>
        <w:tabs>
          <w:tab w:val="left" w:pos="8820"/>
        </w:tabs>
        <w:kinsoku/>
        <w:wordWrap/>
        <w:overflowPunct/>
        <w:topLinePunct w:val="0"/>
        <w:autoSpaceDE/>
        <w:autoSpaceDN/>
        <w:bidi w:val="0"/>
        <w:adjustRightInd/>
        <w:spacing w:line="360" w:lineRule="auto"/>
        <w:ind w:firstLine="560" w:firstLineChars="200"/>
        <w:textAlignment w:val="auto"/>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签订日期：     年     月     日</w:t>
      </w:r>
    </w:p>
    <w:p>
      <w:pPr>
        <w:pStyle w:val="2"/>
        <w:keepNext w:val="0"/>
        <w:keepLines w:val="0"/>
        <w:pageBreakBefore w:val="0"/>
        <w:widowControl w:val="0"/>
        <w:kinsoku/>
        <w:wordWrap/>
        <w:overflowPunct/>
        <w:topLinePunct w:val="0"/>
        <w:autoSpaceDE/>
        <w:autoSpaceDN/>
        <w:bidi w:val="0"/>
        <w:adjustRightInd/>
        <w:ind w:firstLine="880" w:firstLineChars="200"/>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pStyle w:val="2"/>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bookmarkStart w:id="4" w:name="_GoBack"/>
      <w:bookmarkEnd w:id="4"/>
    </w:p>
    <w:p>
      <w:pPr>
        <w:pStyle w:val="2"/>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pStyle w:val="2"/>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pStyle w:val="2"/>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pStyle w:val="2"/>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tabs>
                              <w:tab w:val="center" w:pos="4153"/>
                            </w:tabs>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tabs>
                        <w:tab w:val="center" w:pos="4153"/>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333AB"/>
    <w:rsid w:val="0221360F"/>
    <w:rsid w:val="5F254F80"/>
    <w:rsid w:val="6D367406"/>
    <w:rsid w:val="749333AB"/>
    <w:rsid w:val="FF5FF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3">
    <w:name w:val="footer"/>
    <w:basedOn w:val="1"/>
    <w:qFormat/>
    <w:uiPriority w:val="99"/>
    <w:pPr>
      <w:tabs>
        <w:tab w:val="center" w:leader="hyphen" w:pos="4153"/>
        <w:tab w:val="right" w:pos="8306"/>
      </w:tabs>
      <w:snapToGrid w:val="0"/>
      <w:jc w:val="right"/>
    </w:pPr>
    <w:rPr>
      <w:sz w:val="2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1110</Words>
  <Characters>1116</Characters>
  <Lines>0</Lines>
  <Paragraphs>0</Paragraphs>
  <TotalTime>18</TotalTime>
  <ScaleCrop>false</ScaleCrop>
  <LinksUpToDate>false</LinksUpToDate>
  <CharactersWithSpaces>1149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2026-02-02T10:22:00Z</dcterms:created>
  <dc:creator>bin</dc:creator>
  <cp:lastModifiedBy>uos11</cp:lastModifiedBy>
  <dcterms:modified xsi:type="dcterms:W3CDTF">2026-04-01T18:54:57Z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C9E8B56A3670424198004BAB6BFDF2D3_11</vt:lpwstr>
  </property>
  <property fmtid="{D5CDD505-2E9C-101B-9397-08002B2CF9AE}" pid="4" name="KSOTemplateDocerSaveRecord">
    <vt:lpwstr>eyJoZGlkIjoiNDU5OWRiNGEzN2FlMmMwNGJjYzUzYmQ2NGNiMjFhN2IiLCJ1c2VySWQiOiI0MDQ5NzAwNTkifQ==</vt:lpwstr>
  </property>
</Properties>
</file>