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120"/>
        <w:textAlignment w:val="auto"/>
        <w:rPr>
          <w:rFonts w:hint="eastAsia" w:ascii="NEU-BZ-S92" w:hAnsi="NEU-BZ-S92" w:eastAsia="NEU-BZ-S92"/>
          <w:b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NEU-BZ-S92" w:hAnsi="NEU-BZ-S92" w:eastAsia="NEU-BZ-S92" w:cs="NEU-BZ-S9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68423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auto"/>
          <w:sz w:val="42"/>
          <w:szCs w:val="42"/>
          <w:lang w:eastAsia="zh-CN"/>
        </w:rPr>
      </w:pPr>
      <w:r>
        <w:rPr>
          <w:rFonts w:hint="eastAsia" w:ascii="NEU-BZ-S92" w:hAnsi="NEU-BZ-S92" w:eastAsia="NEU-BZ-S92"/>
          <w:b/>
          <w:color w:val="auto"/>
          <w:sz w:val="44"/>
          <w:szCs w:val="44"/>
        </w:rPr>
        <w:t>202</w:t>
      </w:r>
      <w:r>
        <w:rPr>
          <w:rFonts w:hint="eastAsia" w:ascii="NEU-BZ-S92" w:hAnsi="NEU-BZ-S92" w:eastAsia="NEU-BZ-S92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2"/>
          <w:szCs w:val="42"/>
        </w:rPr>
        <w:t>年莞城街道小学各类学生报名材料</w:t>
      </w:r>
      <w:r>
        <w:rPr>
          <w:rFonts w:hint="eastAsia" w:ascii="方正小标宋简体" w:eastAsia="方正小标宋简体"/>
          <w:color w:val="auto"/>
          <w:sz w:val="42"/>
          <w:szCs w:val="42"/>
          <w:lang w:eastAsia="zh-CN"/>
        </w:rPr>
        <w:t>一览表</w:t>
      </w:r>
    </w:p>
    <w:tbl>
      <w:tblPr>
        <w:tblStyle w:val="3"/>
        <w:tblpPr w:leftFromText="180" w:rightFromText="180" w:vertAnchor="text" w:horzAnchor="page" w:tblpX="1396" w:tblpY="398"/>
        <w:tblOverlap w:val="never"/>
        <w:tblW w:w="142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805"/>
        <w:gridCol w:w="4020"/>
        <w:gridCol w:w="2715"/>
      </w:tblGrid>
      <w:tr w14:paraId="4877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DD72">
            <w:pPr>
              <w:spacing w:line="360" w:lineRule="exact"/>
              <w:jc w:val="center"/>
              <w:rPr>
                <w:rFonts w:ascii="仿宋_GB2312" w:hAnsi="黑体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类别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C5457">
            <w:pPr>
              <w:spacing w:line="360" w:lineRule="exact"/>
              <w:jc w:val="center"/>
              <w:rPr>
                <w:rFonts w:ascii="仿宋_GB2312" w:hAnsi="黑体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提供材料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D10C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资料审核时间和方式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3D50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备注</w:t>
            </w:r>
          </w:p>
        </w:tc>
      </w:tr>
      <w:tr w14:paraId="4D820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6FDE">
            <w:pPr>
              <w:spacing w:line="320" w:lineRule="exact"/>
              <w:rPr>
                <w:rFonts w:ascii="仿宋_GB2312" w:hAnsi="黑体" w:eastAsia="仿宋_GB2312" w:cs="仿宋_GB2312"/>
                <w:color w:val="auto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instrText xml:space="preserve"> = 1 \* GB3 </w:instrTex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①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户籍属莞城辖区的适龄儿童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4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符合条件的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适龄儿童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家长直接网上报名和志愿填报，学生家长不用到现场提交资料审核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7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日-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入户莞城的适龄儿童，今年将通过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周边镇街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民办学校购买学位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发放学位补贴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方式安排入学。</w:t>
            </w:r>
          </w:p>
        </w:tc>
      </w:tr>
      <w:tr w14:paraId="30D4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C888">
            <w:pPr>
              <w:spacing w:line="320" w:lineRule="exact"/>
              <w:jc w:val="left"/>
              <w:rPr>
                <w:rFonts w:ascii="仿宋_GB2312" w:hAnsi="黑体" w:eastAsia="仿宋_GB2312" w:cs="仿宋_GB2312"/>
                <w:color w:val="auto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instrText xml:space="preserve"> = 2 \* GB3 </w:instrTex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②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属因拆迁造成人户分离的莞城户籍适龄儿童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户口本（有户号和地址的一页、父或母或合法监护人的一页及儿童本人的一页）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24D9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儿童出生医学证明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7349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由莞城街道旧城改造办公室出具的拆迁证明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702E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4.202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年莞城户籍拆迁户适龄儿童登记表（附件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27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</w:rPr>
              <w:t>202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日—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期间，在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办公时间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（上午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8:30-12:00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14:00-17:30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带齐相关证明材料到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莞城招生办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进行现场资料审核，逾期不再受理（地址：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莞城高第街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1号，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市民广场西楼，莞城政务服务中心二楼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A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该类申请人如选择户籍地对应的学区学校，无需到现场提交资料。按招生类别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instrText xml:space="preserve"> = 1 \* GB3 </w:instrTex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①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类操作。</w:t>
            </w:r>
          </w:p>
        </w:tc>
      </w:tr>
      <w:tr w14:paraId="0DAA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3F7B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t>③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父或母一方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在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莞城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工作或居住，需随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监护人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在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莞城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接受义务教育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，入读一年级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的中国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台湾籍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适龄儿童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台湾学生就读义务教育阶段学校申请表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》（附件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）；</w:t>
            </w:r>
          </w:p>
          <w:p w14:paraId="491E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及监护人有效的户籍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身份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证明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（如户籍证明、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身份证、《台湾居民来往大陆通行证》等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复印件；</w:t>
            </w:r>
          </w:p>
          <w:p w14:paraId="0DAD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监护人就业、投资的相关证明（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如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社保清单、营业执照、纳税证明等），或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有关居住证明（如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监护人自有住宅的不动产权证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、居住证、房屋租赁合同等）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4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F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color w:val="auto"/>
                <w:sz w:val="23"/>
                <w:szCs w:val="23"/>
                <w:lang w:val="en-US" w:eastAsia="zh-CN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A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40DB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4D14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类别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93BE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提供材料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B4E4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资料审核时间和方式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1714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备注</w:t>
            </w:r>
          </w:p>
        </w:tc>
      </w:tr>
      <w:tr w14:paraId="65F6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0164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④父或母一方持有效东莞市优才卡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并在莞城工作或在莞城拥有产权清晰自有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住宅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的适龄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C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户口本（有户号和地址的一页、父或母或合法监护人的一页及儿童本人的一页）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3924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儿童出生医学证明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6989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如持卡人工作单位在莞城，须提供社保清单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；如持卡人自有房产所在地在莞城，须提供房产证或购房合同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。</w:t>
            </w:r>
          </w:p>
        </w:tc>
        <w:tc>
          <w:tcPr>
            <w:tcW w:w="4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1F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</w:rPr>
              <w:t>202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日—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期间，在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办公时间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上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午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8:30-12:00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14:00-17:30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带齐相关证明材料到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莞城招生办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进行现场资料审核，逾期不再受理（地址：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莞城高第街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1号，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市民广场西楼，莞城政务服务中心二楼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C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</w:p>
        </w:tc>
      </w:tr>
      <w:tr w14:paraId="390C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0C61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父或母一方被认定为东莞市特色人才，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并在莞城工作的适龄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户口本（有户号和地址的一页、父或母或合法监护人的一页及儿童本人的一页）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54EB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儿童出生医学证明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530A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东莞市特色人才证书复印件；</w:t>
            </w:r>
          </w:p>
          <w:p w14:paraId="7BEC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社保清单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。</w:t>
            </w:r>
          </w:p>
        </w:tc>
        <w:tc>
          <w:tcPr>
            <w:tcW w:w="40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3F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  <w:lang w:val="en-US" w:eastAsia="zh-CN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3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437E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F8AC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⑥父或母一方在申请入学前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年内（截止时间为申请入学当年的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日）获得东莞市委、市政府授予个人荣誉称号，并在莞城工作或在莞城拥有产权清晰自有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住宅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的非东莞市户籍适龄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5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户口本（有户号和地址的一页、父或母或合法监护人的一页及儿童本人的一页）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2875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儿童出生医学证明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3B83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如荣获称号的父或母工作单位在莞城，须提供社保清单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；如荣获称号的父或母自有房产所在地在莞城，须提供房产证或购房合同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。</w:t>
            </w:r>
          </w:p>
        </w:tc>
        <w:tc>
          <w:tcPr>
            <w:tcW w:w="4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7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A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</w:p>
        </w:tc>
      </w:tr>
      <w:tr w14:paraId="0FC26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3CAA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类别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10E1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提供材料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1A20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资料审核时间和方式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EE0A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备注</w:t>
            </w:r>
          </w:p>
        </w:tc>
      </w:tr>
      <w:tr w14:paraId="2C7D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C9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⑦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《关于修订华侨华人子女及华侨学生在我市就读有关规定的通知》（东教基函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〔2017〕9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规定，</w:t>
            </w: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t>并属莞城安排解决的华侨华人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的适龄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儿童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B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申请学生的出生证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1B4D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申请学生的身份证明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5E16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申请学生法定监护人的华侨华人身份证明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637A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申请学生与法定监护人的关系证明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24DB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申请学生法定监护人的居住证或护照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7371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申请学生法定监护人在莞城投资、就业、祖籍莞城等的相关证明（依申请人的条件提供，如属投资或就业还需提供企业工商营业执照复印件）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2FDA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申请学生法定监护人的房产证或合法房屋租赁合同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原件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。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7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</w:rPr>
              <w:t>202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日—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NEU-BZ-S92" w:hAnsi="NEU-BZ-S92" w:eastAsia="NEU-BZ-S92" w:cs="NEU-BZ-S92"/>
                <w:b/>
                <w:bCs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日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期间，在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办公时间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（上午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8:30-12:00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14:00-17:30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带齐相关证明材料到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莞城招生办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进行现场资料审核，逾期不再受理（地址：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莞城高第街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1号，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市民广场西楼，莞城政务服务中心二楼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</w:p>
        </w:tc>
      </w:tr>
      <w:tr w14:paraId="1160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495B">
            <w:pPr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⑧父或母一方符合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《东莞市企业人才子女入学实施办法》规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定的适龄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儿童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按照市有关文件精神、街道统一规定执行，由街道企业主管部门通知。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/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3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3"/>
                <w:szCs w:val="23"/>
              </w:rPr>
            </w:pPr>
          </w:p>
        </w:tc>
      </w:tr>
    </w:tbl>
    <w:p w14:paraId="5B2406D5">
      <w:pPr>
        <w:spacing w:line="320" w:lineRule="exact"/>
        <w:rPr>
          <w:rFonts w:hint="eastAsia" w:ascii="仿宋_GB2312" w:hAnsi="仿宋_GB2312" w:eastAsia="仿宋_GB2312" w:cs="仿宋_GB2312"/>
          <w:color w:val="auto"/>
          <w:sz w:val="23"/>
          <w:szCs w:val="23"/>
          <w:lang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96" w:charSpace="0"/>
        </w:sectPr>
      </w:pPr>
    </w:p>
    <w:tbl>
      <w:tblPr>
        <w:tblStyle w:val="3"/>
        <w:tblpPr w:leftFromText="180" w:rightFromText="180" w:vertAnchor="text" w:horzAnchor="page" w:tblpX="1581" w:tblpY="1"/>
        <w:tblOverlap w:val="never"/>
        <w:tblW w:w="138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5681"/>
        <w:gridCol w:w="3750"/>
        <w:gridCol w:w="2070"/>
      </w:tblGrid>
      <w:tr w14:paraId="6980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2854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类别</w:t>
            </w:r>
          </w:p>
        </w:tc>
        <w:tc>
          <w:tcPr>
            <w:tcW w:w="5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3101">
            <w:pPr>
              <w:spacing w:line="360" w:lineRule="exact"/>
              <w:jc w:val="center"/>
              <w:rPr>
                <w:rFonts w:hint="eastAsia" w:ascii="仿宋_GB2312" w:hAnsi="黑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提供材料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DC90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资料审核时间和方式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DA46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/>
                <w:color w:val="auto"/>
                <w:sz w:val="24"/>
              </w:rPr>
              <w:t>备注</w:t>
            </w:r>
          </w:p>
        </w:tc>
      </w:tr>
      <w:tr w14:paraId="5EA6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9FDC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⑨父或母购买商品房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居住在莞城辖区内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已完善办学规划楼盘的适龄儿童</w:t>
            </w:r>
          </w:p>
        </w:tc>
        <w:tc>
          <w:tcPr>
            <w:tcW w:w="5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莞城街道</w:t>
            </w:r>
            <w:r>
              <w:rPr>
                <w:rFonts w:hint="eastAsia" w:ascii="NEU-BZ-S92" w:hAnsi="NEU-BZ-S92" w:eastAsia="NEU-BZ-S92" w:cs="NEU-BZ-S92"/>
                <w:color w:val="auto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年小学优待政策学位申请表</w:t>
            </w:r>
          </w:p>
          <w:p w14:paraId="1381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户口本（有户号和地址的一页、父或母或合法监护人的一页及儿童本人的一页）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原件与复印件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;</w:t>
            </w:r>
          </w:p>
          <w:p w14:paraId="70CB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儿童出生医学证明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如无出生证需提供业主与适龄儿童亲子关系证明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原件与复印件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4A51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房产证或购房合同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原件与复印件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；</w:t>
            </w:r>
          </w:p>
          <w:p w14:paraId="2F73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9" w:rightChars="-14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申请学位须知书；</w:t>
            </w:r>
          </w:p>
          <w:p w14:paraId="2A93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承诺书。</w:t>
            </w:r>
          </w:p>
        </w:tc>
        <w:tc>
          <w:tcPr>
            <w:tcW w:w="3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D3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5A5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396D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⑩符合《东莞市非户籍适龄儿童少年接受义务教育实施办法》（东府〔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〕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号）和《东莞市非户籍适龄儿童少年积分入读义务教育公办学校实施方案》（东府〔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〕</w:t>
            </w:r>
            <w:r>
              <w:rPr>
                <w:rFonts w:hint="eastAsia" w:ascii="NEU-BZ-S92" w:hAnsi="NEU-BZ-S92" w:eastAsia="NEU-BZ-S92" w:cs="方正小标宋简体"/>
                <w:color w:val="auto"/>
                <w:kern w:val="0"/>
                <w:sz w:val="22"/>
                <w:szCs w:val="22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我国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户籍适龄儿童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1307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符合条件的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非东莞市户籍适龄儿童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家长可直接在网上报名时申请积分入学，填写相应的积分入学信息。学生家长不用到现场提交资料审核。</w:t>
            </w:r>
          </w:p>
        </w:tc>
        <w:tc>
          <w:tcPr>
            <w:tcW w:w="3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082D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E061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按照积分学位供给数和学生积分排名从高分到低分录取。</w:t>
            </w:r>
          </w:p>
        </w:tc>
      </w:tr>
    </w:tbl>
    <w:p w14:paraId="3BEB0137"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96" w:charSpace="0"/>
        </w:sectPr>
      </w:pPr>
    </w:p>
    <w:p w14:paraId="2F223581">
      <w:pPr>
        <w:spacing w:line="520" w:lineRule="exact"/>
        <w:ind w:right="1120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587" w:bottom="1417" w:left="1587" w:header="851" w:footer="992" w:gutter="0"/>
          <w:cols w:space="720" w:num="1"/>
          <w:docGrid w:type="lines" w:linePitch="312" w:charSpace="0"/>
        </w:sectPr>
      </w:pPr>
    </w:p>
    <w:p w14:paraId="0D416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53B9"/>
    <w:rsid w:val="39AB70AC"/>
    <w:rsid w:val="43BC53B9"/>
    <w:rsid w:val="58E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1964</Words>
  <Characters>2097</Characters>
  <Lines>0</Lines>
  <Paragraphs>0</Paragraphs>
  <TotalTime>0</TotalTime>
  <ScaleCrop>false</ScaleCrop>
  <LinksUpToDate>false</LinksUpToDate>
  <CharactersWithSpaces>2097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2025-04-30T08:13:00Z</dcterms:created>
  <dc:creator>Eric 张南</dc:creator>
  <cp:lastModifiedBy>李先生</cp:lastModifiedBy>
  <dcterms:modified xsi:type="dcterms:W3CDTF">2025-12-28T15:09:52Z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274C4C140D0041829F43978C8D93D06E_13</vt:lpwstr>
  </property>
  <property fmtid="{D5CDD505-2E9C-101B-9397-08002B2CF9AE}" pid="4" name="KSOTemplateDocerSaveRecord">
    <vt:lpwstr>eyJoZGlkIjoiNWIxNWZhODYzYWQ4ODg2MjYzNWY3MjcxMWVhODIxYmEiLCJ1c2VySWQiOiIxOTM0MzkwOTYifQ==</vt:lpwstr>
  </property>
</Properties>
</file>