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tblInd w:w="108" w:type="dxa"/>
        <w:tblBorders>
          <w:top w:val="single" w:color="FFFFFF" w:sz="4" w:space="0"/>
          <w:left w:val="single" w:color="FFFFFF" w:sz="4" w:space="0"/>
          <w:bottom w:val="single" w:color="FF0000" w:sz="12"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952"/>
      </w:tblGrid>
      <w:tr w14:paraId="0121BB9B">
        <w:tblPrEx>
          <w:tblBorders>
            <w:top w:val="single" w:color="FFFFFF" w:sz="4" w:space="0"/>
            <w:left w:val="single" w:color="FFFFFF" w:sz="4" w:space="0"/>
            <w:bottom w:val="single" w:color="FF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cantSplit/>
        </w:trPr>
        <w:tc>
          <w:tcPr>
            <w:tcW w:w="8952" w:type="dxa"/>
            <w:noWrap w:val="0"/>
            <w:vAlign w:val="top"/>
          </w:tcPr>
          <w:p w14:paraId="7FFA2101">
            <w:pPr>
              <w:keepNext/>
              <w:keepLines/>
              <w:widowControl/>
              <w:autoSpaceDE w:val="0"/>
              <w:autoSpaceDN w:val="0"/>
              <w:adjustRightInd/>
              <w:snapToGrid/>
              <w:spacing w:before="652" w:beforeLines="200" w:line="240" w:lineRule="auto"/>
              <w:ind w:left="420" w:leftChars="200" w:right="420" w:rightChars="200" w:firstLine="0"/>
              <w:jc w:val="distribute"/>
              <w:outlineLvl w:val="1"/>
              <w:rPr>
                <w:rFonts w:hint="default" w:ascii="Times New Roman" w:hAnsi="Times New Roman" w:eastAsia="方正小标宋简体" w:cs="Times New Roman"/>
                <w:bCs/>
                <w:color w:val="FF0000"/>
                <w:w w:val="66"/>
                <w:kern w:val="0"/>
                <w:sz w:val="112"/>
                <w:szCs w:val="112"/>
              </w:rPr>
            </w:pPr>
            <w:r>
              <w:rPr>
                <w:rFonts w:hint="default" w:ascii="Times New Roman" w:hAnsi="Times New Roman" w:eastAsia="方正小标宋简体" w:cs="Times New Roman"/>
                <w:color w:val="FF0000"/>
                <w:w w:val="66"/>
                <w:kern w:val="0"/>
                <w:sz w:val="112"/>
                <w:szCs w:val="112"/>
              </w:rPr>
              <w:t>清溪镇人民政府文件</w:t>
            </w:r>
          </w:p>
        </w:tc>
      </w:tr>
      <w:tr w14:paraId="5E0B0D4A">
        <w:tblPrEx>
          <w:tblBorders>
            <w:top w:val="single" w:color="FFFFFF" w:sz="4" w:space="0"/>
            <w:left w:val="single" w:color="FFFFFF" w:sz="4" w:space="0"/>
            <w:bottom w:val="single" w:color="FF0000" w:sz="12" w:space="0"/>
            <w:right w:val="single" w:color="FFFFFF" w:sz="4" w:space="0"/>
            <w:insideH w:val="single" w:color="FFFFFF" w:sz="4" w:space="0"/>
            <w:insideV w:val="single" w:color="FFFFFF" w:sz="4" w:space="0"/>
          </w:tblBorders>
          <w:tblCellMar>
            <w:top w:w="0" w:type="dxa"/>
            <w:left w:w="108" w:type="dxa"/>
            <w:bottom w:w="0" w:type="dxa"/>
            <w:right w:w="108" w:type="dxa"/>
          </w:tblCellMar>
        </w:tblPrEx>
        <w:trPr>
          <w:cantSplit/>
        </w:trPr>
        <w:tc>
          <w:tcPr>
            <w:tcW w:w="8952" w:type="dxa"/>
            <w:noWrap w:val="0"/>
            <w:vAlign w:val="top"/>
          </w:tcPr>
          <w:p w14:paraId="67F9D9CE">
            <w:pPr>
              <w:adjustRightInd/>
              <w:snapToGrid/>
              <w:spacing w:line="240" w:lineRule="auto"/>
              <w:ind w:firstLine="0"/>
              <w:rPr>
                <w:rFonts w:hint="default" w:ascii="Times New Roman" w:hAnsi="Times New Roman" w:eastAsia="宋体" w:cs="Times New Roman"/>
                <w:sz w:val="31"/>
                <w:szCs w:val="24"/>
              </w:rPr>
            </w:pPr>
          </w:p>
          <w:p w14:paraId="6038377A">
            <w:pPr>
              <w:adjustRightInd/>
              <w:snapToGrid/>
              <w:spacing w:line="240" w:lineRule="auto"/>
              <w:ind w:firstLine="0"/>
              <w:jc w:val="center"/>
              <w:rPr>
                <w:rFonts w:hint="default" w:ascii="Times New Roman" w:hAnsi="Times New Roman" w:cs="Times New Roman"/>
                <w:color w:val="000000"/>
              </w:rPr>
            </w:pPr>
            <w:r>
              <w:rPr>
                <w:rFonts w:hint="default" w:ascii="Times New Roman" w:hAnsi="Times New Roman" w:eastAsia="仿宋_GB2312" w:cs="Times New Roman"/>
                <w:color w:val="000000"/>
                <w:sz w:val="32"/>
                <w:szCs w:val="32"/>
              </w:rPr>
              <w:t>清府〔202</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w:t>
            </w:r>
            <w:r>
              <w:rPr>
                <w:rFonts w:hint="eastAsia" w:eastAsia="仿宋_GB2312" w:cs="Times New Roman"/>
                <w:color w:val="000000"/>
                <w:sz w:val="32"/>
                <w:szCs w:val="32"/>
                <w:lang w:val="en-US" w:eastAsia="zh-CN"/>
              </w:rPr>
              <w:t>14</w:t>
            </w:r>
            <w:r>
              <w:rPr>
                <w:rFonts w:hint="default" w:ascii="Times New Roman" w:hAnsi="Times New Roman" w:eastAsia="仿宋_GB2312" w:cs="Times New Roman"/>
                <w:color w:val="000000"/>
                <w:sz w:val="32"/>
                <w:szCs w:val="32"/>
              </w:rPr>
              <w:t>号</w:t>
            </w:r>
          </w:p>
        </w:tc>
      </w:tr>
    </w:tbl>
    <w:p w14:paraId="5BB37D9A">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简体" w:cs="Times New Roman"/>
          <w:bCs/>
          <w:sz w:val="44"/>
          <w:szCs w:val="44"/>
        </w:rPr>
      </w:pPr>
    </w:p>
    <w:p w14:paraId="1DA07BB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关于印发《东莞市清溪镇生态环境保护规划</w:t>
      </w:r>
      <w:r>
        <w:rPr>
          <w:rFonts w:hint="default" w:ascii="Times New Roman" w:hAnsi="Times New Roman" w:eastAsia="方正小标宋简体" w:cs="Times New Roman"/>
          <w:bCs/>
          <w:sz w:val="44"/>
          <w:szCs w:val="44"/>
          <w:lang w:eastAsia="zh-CN"/>
        </w:rPr>
        <w:t>（2024-2030</w:t>
      </w:r>
      <w:r>
        <w:rPr>
          <w:rFonts w:hint="default" w:ascii="Times New Roman" w:hAnsi="Times New Roman" w:eastAsia="方正小标宋简体" w:cs="Times New Roman"/>
          <w:bCs/>
          <w:sz w:val="44"/>
          <w:szCs w:val="44"/>
        </w:rPr>
        <w:t>年</w:t>
      </w:r>
      <w:r>
        <w:rPr>
          <w:rFonts w:hint="default" w:ascii="Times New Roman" w:hAnsi="Times New Roman" w:eastAsia="方正小标宋简体" w:cs="Times New Roman"/>
          <w:bCs/>
          <w:sz w:val="44"/>
          <w:szCs w:val="44"/>
          <w:lang w:eastAsia="zh-CN"/>
        </w:rPr>
        <w:t>）</w:t>
      </w:r>
      <w:r>
        <w:rPr>
          <w:rFonts w:hint="default" w:ascii="Times New Roman" w:hAnsi="Times New Roman" w:eastAsia="方正小标宋简体" w:cs="Times New Roman"/>
          <w:bCs/>
          <w:sz w:val="44"/>
          <w:szCs w:val="44"/>
        </w:rPr>
        <w:t>》的通知</w:t>
      </w:r>
    </w:p>
    <w:p w14:paraId="3383E4D5">
      <w:pPr>
        <w:keepNext w:val="0"/>
        <w:keepLines w:val="0"/>
        <w:pageBreakBefore w:val="0"/>
        <w:widowControl w:val="0"/>
        <w:kinsoku/>
        <w:wordWrap/>
        <w:overflowPunct/>
        <w:topLinePunct w:val="0"/>
        <w:autoSpaceDE/>
        <w:autoSpaceDN/>
        <w:bidi w:val="0"/>
        <w:adjustRightInd/>
        <w:snapToGrid/>
        <w:spacing w:line="580" w:lineRule="exact"/>
        <w:ind w:firstLine="0"/>
        <w:textAlignment w:val="auto"/>
        <w:rPr>
          <w:rFonts w:hint="default" w:ascii="Times New Roman" w:hAnsi="Times New Roman" w:eastAsia="方正小标宋简体" w:cs="Times New Roman"/>
          <w:bCs/>
          <w:sz w:val="44"/>
          <w:szCs w:val="44"/>
        </w:rPr>
      </w:pPr>
    </w:p>
    <w:p w14:paraId="736579EA">
      <w:pPr>
        <w:keepNext w:val="0"/>
        <w:keepLines w:val="0"/>
        <w:pageBreakBefore w:val="0"/>
        <w:widowControl w:val="0"/>
        <w:kinsoku/>
        <w:wordWrap/>
        <w:overflowPunct/>
        <w:topLinePunct w:val="0"/>
        <w:autoSpaceDE/>
        <w:autoSpaceDN/>
        <w:bidi w:val="0"/>
        <w:adjustRightInd/>
        <w:snapToGrid/>
        <w:spacing w:line="580" w:lineRule="exact"/>
        <w:ind w:firstLine="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各单位，各村（社区）：</w:t>
      </w:r>
    </w:p>
    <w:p w14:paraId="69ECD3AB">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rPr>
        <w:t>《东莞市清溪镇生态环境保护规划（2024-2030年）》业经镇人民政府同意，现印发给你们，请认真贯彻实施。</w:t>
      </w:r>
      <w:r>
        <w:rPr>
          <w:rFonts w:hint="eastAsia" w:ascii="Times New Roman" w:hAnsi="Times New Roman" w:eastAsia="仿宋_GB2312" w:cs="Times New Roman"/>
          <w:bCs/>
          <w:sz w:val="32"/>
          <w:szCs w:val="32"/>
          <w:lang w:eastAsia="zh-CN"/>
        </w:rPr>
        <w:t>如执行中遇到问题或困难，请径向生态环境分局反映。</w:t>
      </w:r>
    </w:p>
    <w:p w14:paraId="216E20A8">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bCs/>
          <w:sz w:val="32"/>
          <w:szCs w:val="32"/>
        </w:rPr>
      </w:pPr>
    </w:p>
    <w:p w14:paraId="2DE99FEE">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bCs/>
          <w:sz w:val="32"/>
          <w:szCs w:val="32"/>
        </w:rPr>
      </w:pPr>
    </w:p>
    <w:p w14:paraId="795D0F48">
      <w:pPr>
        <w:keepNext w:val="0"/>
        <w:keepLines w:val="0"/>
        <w:pageBreakBefore w:val="0"/>
        <w:widowControl w:val="0"/>
        <w:kinsoku/>
        <w:wordWrap/>
        <w:overflowPunct/>
        <w:topLinePunct w:val="0"/>
        <w:autoSpaceDE/>
        <w:autoSpaceDN/>
        <w:bidi w:val="0"/>
        <w:adjustRightInd/>
        <w:snapToGrid/>
        <w:spacing w:line="580" w:lineRule="exact"/>
        <w:ind w:firstLine="5120" w:firstLineChars="16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东莞市清溪镇人民政府</w:t>
      </w:r>
    </w:p>
    <w:p w14:paraId="543BDA73">
      <w:pPr>
        <w:keepNext w:val="0"/>
        <w:keepLines w:val="0"/>
        <w:pageBreakBefore w:val="0"/>
        <w:widowControl w:val="0"/>
        <w:kinsoku/>
        <w:wordWrap/>
        <w:overflowPunct/>
        <w:topLinePunct w:val="0"/>
        <w:autoSpaceDE/>
        <w:autoSpaceDN/>
        <w:bidi w:val="0"/>
        <w:adjustRightInd/>
        <w:snapToGrid/>
        <w:spacing w:line="580" w:lineRule="exact"/>
        <w:ind w:firstLine="5440" w:firstLineChars="17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202</w:t>
      </w:r>
      <w:r>
        <w:rPr>
          <w:rFonts w:hint="eastAsia" w:ascii="Times New Roman" w:hAnsi="Times New Roman" w:eastAsia="仿宋_GB2312" w:cs="Times New Roman"/>
          <w:bCs/>
          <w:sz w:val="32"/>
          <w:szCs w:val="32"/>
          <w:lang w:val="en-US" w:eastAsia="zh-CN"/>
        </w:rPr>
        <w:t>5</w:t>
      </w:r>
      <w:r>
        <w:rPr>
          <w:rFonts w:hint="default" w:ascii="Times New Roman" w:hAnsi="Times New Roman" w:eastAsia="仿宋_GB2312" w:cs="Times New Roman"/>
          <w:bCs/>
          <w:sz w:val="32"/>
          <w:szCs w:val="32"/>
        </w:rPr>
        <w:t>年</w:t>
      </w:r>
      <w:r>
        <w:rPr>
          <w:rFonts w:hint="eastAsia" w:ascii="Times New Roman" w:hAnsi="Times New Roman" w:eastAsia="仿宋_GB2312" w:cs="Times New Roman"/>
          <w:bCs/>
          <w:sz w:val="32"/>
          <w:szCs w:val="32"/>
          <w:lang w:val="en-US" w:eastAsia="zh-CN"/>
        </w:rPr>
        <w:t>7</w:t>
      </w:r>
      <w:r>
        <w:rPr>
          <w:rFonts w:hint="default" w:ascii="Times New Roman" w:hAnsi="Times New Roman" w:eastAsia="仿宋_GB2312" w:cs="Times New Roman"/>
          <w:bCs/>
          <w:sz w:val="32"/>
          <w:szCs w:val="32"/>
        </w:rPr>
        <w:t>月</w:t>
      </w:r>
      <w:r>
        <w:rPr>
          <w:rFonts w:hint="eastAsia" w:eastAsia="仿宋_GB2312" w:cs="Times New Roman"/>
          <w:bCs/>
          <w:sz w:val="32"/>
          <w:szCs w:val="32"/>
          <w:lang w:val="en-US" w:eastAsia="zh-CN"/>
        </w:rPr>
        <w:t>21</w:t>
      </w:r>
      <w:r>
        <w:rPr>
          <w:rFonts w:hint="default" w:ascii="Times New Roman" w:hAnsi="Times New Roman" w:eastAsia="仿宋_GB2312" w:cs="Times New Roman"/>
          <w:bCs/>
          <w:sz w:val="32"/>
          <w:szCs w:val="32"/>
        </w:rPr>
        <w:t>日</w:t>
      </w:r>
    </w:p>
    <w:p w14:paraId="688FA219">
      <w:pPr>
        <w:keepNext w:val="0"/>
        <w:keepLines w:val="0"/>
        <w:pageBreakBefore w:val="0"/>
        <w:widowControl w:val="0"/>
        <w:kinsoku/>
        <w:wordWrap/>
        <w:overflowPunct/>
        <w:topLinePunct w:val="0"/>
        <w:autoSpaceDE/>
        <w:autoSpaceDN/>
        <w:bidi w:val="0"/>
        <w:adjustRightInd/>
        <w:snapToGrid/>
        <w:spacing w:line="580" w:lineRule="exact"/>
        <w:contextualSpacing/>
        <w:textAlignment w:val="auto"/>
        <w:rPr>
          <w:rFonts w:hint="default" w:ascii="Times New Roman" w:hAnsi="Times New Roman" w:eastAsia="仿宋_GB2312" w:cs="Times New Roman"/>
          <w:color w:val="000000"/>
          <w:sz w:val="32"/>
          <w:szCs w:val="32"/>
        </w:rPr>
      </w:pPr>
    </w:p>
    <w:p w14:paraId="270D88C8">
      <w:pPr>
        <w:pStyle w:val="2"/>
        <w:rPr>
          <w:rFonts w:hint="default" w:ascii="Times New Roman" w:hAnsi="Times New Roman" w:eastAsia="仿宋_GB2312" w:cs="Times New Roman"/>
          <w:color w:val="000000"/>
          <w:sz w:val="32"/>
          <w:szCs w:val="32"/>
        </w:rPr>
      </w:pPr>
    </w:p>
    <w:p w14:paraId="27C327C6">
      <w:pPr>
        <w:pStyle w:val="2"/>
        <w:rPr>
          <w:rFonts w:hint="default" w:ascii="Times New Roman" w:hAnsi="Times New Roman" w:eastAsia="仿宋_GB2312" w:cs="Times New Roman"/>
          <w:color w:val="000000"/>
          <w:sz w:val="32"/>
          <w:szCs w:val="32"/>
        </w:rPr>
      </w:pPr>
    </w:p>
    <w:p w14:paraId="48FAF5C6">
      <w:pPr>
        <w:pStyle w:val="2"/>
        <w:rPr>
          <w:rFonts w:hint="default" w:ascii="Times New Roman" w:hAnsi="Times New Roman" w:eastAsia="仿宋_GB2312" w:cs="Times New Roman"/>
          <w:color w:val="000000"/>
          <w:sz w:val="32"/>
          <w:szCs w:val="32"/>
        </w:rPr>
      </w:pPr>
    </w:p>
    <w:p w14:paraId="7213EB34">
      <w:pPr>
        <w:pStyle w:val="2"/>
        <w:rPr>
          <w:rFonts w:hint="default" w:ascii="Times New Roman" w:hAnsi="Times New Roman" w:eastAsia="仿宋_GB2312" w:cs="Times New Roman"/>
          <w:color w:val="000000"/>
          <w:sz w:val="32"/>
          <w:szCs w:val="32"/>
        </w:rPr>
      </w:pPr>
    </w:p>
    <w:p w14:paraId="755BD779">
      <w:pPr>
        <w:pStyle w:val="2"/>
        <w:rPr>
          <w:rFonts w:hint="default" w:ascii="Times New Roman" w:hAnsi="Times New Roman" w:eastAsia="仿宋_GB2312" w:cs="Times New Roman"/>
          <w:color w:val="000000"/>
          <w:sz w:val="32"/>
          <w:szCs w:val="32"/>
        </w:rPr>
      </w:pPr>
    </w:p>
    <w:p w14:paraId="4E1B0B63">
      <w:pPr>
        <w:pStyle w:val="2"/>
        <w:rPr>
          <w:rFonts w:hint="default" w:ascii="Times New Roman" w:hAnsi="Times New Roman" w:eastAsia="仿宋_GB2312" w:cs="Times New Roman"/>
          <w:color w:val="000000"/>
          <w:sz w:val="32"/>
          <w:szCs w:val="32"/>
        </w:rPr>
      </w:pPr>
    </w:p>
    <w:p w14:paraId="2F5CF772">
      <w:pPr>
        <w:pStyle w:val="2"/>
        <w:rPr>
          <w:rFonts w:hint="default" w:ascii="Times New Roman" w:hAnsi="Times New Roman" w:eastAsia="仿宋_GB2312" w:cs="Times New Roman"/>
          <w:color w:val="000000"/>
          <w:sz w:val="32"/>
          <w:szCs w:val="32"/>
        </w:rPr>
      </w:pPr>
    </w:p>
    <w:p w14:paraId="52D534A2">
      <w:pPr>
        <w:pStyle w:val="2"/>
        <w:rPr>
          <w:rFonts w:hint="default" w:ascii="Times New Roman" w:hAnsi="Times New Roman" w:eastAsia="仿宋_GB2312" w:cs="Times New Roman"/>
          <w:color w:val="000000"/>
          <w:sz w:val="32"/>
          <w:szCs w:val="32"/>
        </w:rPr>
      </w:pPr>
    </w:p>
    <w:p w14:paraId="7EF105D7">
      <w:pPr>
        <w:pStyle w:val="2"/>
        <w:rPr>
          <w:rFonts w:hint="default" w:ascii="Times New Roman" w:hAnsi="Times New Roman" w:eastAsia="仿宋_GB2312" w:cs="Times New Roman"/>
          <w:color w:val="000000"/>
          <w:sz w:val="32"/>
          <w:szCs w:val="32"/>
        </w:rPr>
      </w:pPr>
    </w:p>
    <w:p w14:paraId="28979741">
      <w:pPr>
        <w:pStyle w:val="2"/>
        <w:rPr>
          <w:rFonts w:hint="default" w:ascii="Times New Roman" w:hAnsi="Times New Roman" w:eastAsia="仿宋_GB2312" w:cs="Times New Roman"/>
          <w:color w:val="000000"/>
          <w:sz w:val="32"/>
          <w:szCs w:val="32"/>
        </w:rPr>
      </w:pPr>
    </w:p>
    <w:p w14:paraId="4B1887F3">
      <w:pPr>
        <w:pStyle w:val="2"/>
        <w:rPr>
          <w:rFonts w:hint="default" w:ascii="Times New Roman" w:hAnsi="Times New Roman" w:eastAsia="仿宋_GB2312" w:cs="Times New Roman"/>
          <w:color w:val="000000"/>
          <w:sz w:val="32"/>
          <w:szCs w:val="32"/>
        </w:rPr>
      </w:pPr>
    </w:p>
    <w:p w14:paraId="655313AC">
      <w:pPr>
        <w:pStyle w:val="2"/>
        <w:rPr>
          <w:rFonts w:hint="default" w:ascii="Times New Roman" w:hAnsi="Times New Roman" w:eastAsia="仿宋_GB2312" w:cs="Times New Roman"/>
          <w:color w:val="000000"/>
          <w:sz w:val="32"/>
          <w:szCs w:val="32"/>
        </w:rPr>
      </w:pPr>
    </w:p>
    <w:p w14:paraId="4D7C7BA1">
      <w:pPr>
        <w:pStyle w:val="2"/>
        <w:rPr>
          <w:rFonts w:hint="default" w:ascii="Times New Roman" w:hAnsi="Times New Roman" w:eastAsia="仿宋_GB2312" w:cs="Times New Roman"/>
          <w:color w:val="000000"/>
          <w:sz w:val="32"/>
          <w:szCs w:val="32"/>
        </w:rPr>
      </w:pPr>
    </w:p>
    <w:p w14:paraId="2AA199C8">
      <w:pPr>
        <w:pStyle w:val="2"/>
        <w:rPr>
          <w:rFonts w:hint="default" w:ascii="Times New Roman" w:hAnsi="Times New Roman" w:eastAsia="仿宋_GB2312" w:cs="Times New Roman"/>
          <w:color w:val="000000"/>
          <w:sz w:val="32"/>
          <w:szCs w:val="32"/>
        </w:rPr>
      </w:pPr>
    </w:p>
    <w:p w14:paraId="17960124">
      <w:pPr>
        <w:pStyle w:val="2"/>
        <w:rPr>
          <w:rFonts w:hint="default" w:ascii="Times New Roman" w:hAnsi="Times New Roman" w:eastAsia="仿宋_GB2312" w:cs="Times New Roman"/>
          <w:color w:val="000000"/>
          <w:sz w:val="32"/>
          <w:szCs w:val="32"/>
        </w:rPr>
      </w:pPr>
    </w:p>
    <w:p w14:paraId="787F52AD">
      <w:pPr>
        <w:pStyle w:val="2"/>
        <w:rPr>
          <w:rFonts w:hint="default" w:ascii="Times New Roman" w:hAnsi="Times New Roman" w:eastAsia="仿宋_GB2312" w:cs="Times New Roman"/>
          <w:color w:val="000000"/>
          <w:sz w:val="32"/>
          <w:szCs w:val="32"/>
        </w:rPr>
      </w:pPr>
    </w:p>
    <w:p w14:paraId="4EE5B45A">
      <w:pPr>
        <w:pStyle w:val="2"/>
        <w:rPr>
          <w:rFonts w:hint="default" w:ascii="Times New Roman" w:hAnsi="Times New Roman" w:eastAsia="仿宋_GB2312" w:cs="Times New Roman"/>
          <w:color w:val="000000"/>
          <w:sz w:val="32"/>
          <w:szCs w:val="32"/>
        </w:rPr>
      </w:pPr>
    </w:p>
    <w:p w14:paraId="19D20A3A">
      <w:pPr>
        <w:pStyle w:val="2"/>
        <w:rPr>
          <w:rFonts w:hint="default" w:ascii="Times New Roman" w:hAnsi="Times New Roman" w:eastAsia="仿宋_GB2312" w:cs="Times New Roman"/>
          <w:color w:val="000000"/>
          <w:sz w:val="32"/>
          <w:szCs w:val="32"/>
        </w:rPr>
      </w:pPr>
    </w:p>
    <w:p w14:paraId="7A4CCE94">
      <w:pPr>
        <w:pStyle w:val="2"/>
        <w:rPr>
          <w:rFonts w:hint="default" w:ascii="Times New Roman" w:hAnsi="Times New Roman" w:eastAsia="仿宋_GB2312" w:cs="Times New Roman"/>
          <w:color w:val="000000"/>
          <w:sz w:val="32"/>
          <w:szCs w:val="32"/>
        </w:rPr>
      </w:pPr>
    </w:p>
    <w:p w14:paraId="4310EE60">
      <w:pPr>
        <w:pStyle w:val="2"/>
        <w:rPr>
          <w:rFonts w:hint="default" w:ascii="Times New Roman" w:hAnsi="Times New Roman" w:eastAsia="仿宋_GB2312" w:cs="Times New Roman"/>
          <w:color w:val="000000"/>
          <w:sz w:val="32"/>
          <w:szCs w:val="32"/>
        </w:rPr>
      </w:pPr>
    </w:p>
    <w:p w14:paraId="185FBC68">
      <w:pPr>
        <w:pStyle w:val="2"/>
        <w:rPr>
          <w:rFonts w:hint="default" w:ascii="Times New Roman" w:hAnsi="Times New Roman" w:eastAsia="仿宋_GB2312" w:cs="Times New Roman"/>
          <w:color w:val="000000"/>
          <w:sz w:val="32"/>
          <w:szCs w:val="32"/>
        </w:rPr>
      </w:pPr>
    </w:p>
    <w:p w14:paraId="630E4E1F">
      <w:pPr>
        <w:pStyle w:val="2"/>
        <w:rPr>
          <w:rFonts w:hint="default" w:ascii="Times New Roman" w:hAnsi="Times New Roman" w:eastAsia="仿宋_GB2312" w:cs="Times New Roman"/>
          <w:color w:val="000000"/>
          <w:sz w:val="32"/>
          <w:szCs w:val="32"/>
        </w:rPr>
      </w:pPr>
    </w:p>
    <w:p w14:paraId="6F0C0436">
      <w:pPr>
        <w:pStyle w:val="2"/>
        <w:rPr>
          <w:rFonts w:hint="default" w:ascii="Times New Roman" w:hAnsi="Times New Roman" w:eastAsia="仿宋_GB2312" w:cs="Times New Roman"/>
          <w:color w:val="000000"/>
          <w:sz w:val="32"/>
          <w:szCs w:val="32"/>
        </w:rPr>
      </w:pPr>
    </w:p>
    <w:p w14:paraId="5A143936">
      <w:pPr>
        <w:pStyle w:val="5"/>
        <w:keepNext w:val="0"/>
        <w:keepLines w:val="0"/>
        <w:pageBreakBefore w:val="0"/>
        <w:widowControl w:val="0"/>
        <w:numPr>
          <w:ilvl w:val="2"/>
          <w:numId w:val="0"/>
        </w:numPr>
        <w:kinsoku/>
        <w:wordWrap/>
        <w:overflowPunct/>
        <w:topLinePunct w:val="0"/>
        <w:autoSpaceDE/>
        <w:autoSpaceDN/>
        <w:bidi w:val="0"/>
        <w:snapToGrid/>
        <w:spacing w:before="0" w:after="0" w:line="580" w:lineRule="exact"/>
        <w:ind w:left="0" w:leftChars="0"/>
        <w:jc w:val="center"/>
        <w:rPr>
          <w:rFonts w:hint="default" w:ascii="Times New Roman" w:hAnsi="Times New Roman" w:cs="Times New Roman"/>
          <w:b w:val="0"/>
          <w:bCs/>
          <w:lang w:val="en-US" w:eastAsia="zh-CN"/>
        </w:rPr>
      </w:pPr>
    </w:p>
    <w:p w14:paraId="69D474F4">
      <w:pPr>
        <w:widowControl/>
        <w:spacing w:line="600" w:lineRule="exact"/>
        <w:ind w:firstLine="105" w:firstLineChars="50"/>
        <w:rPr>
          <w:rFonts w:hint="default" w:ascii="Times New Roman" w:hAnsi="Times New Roman" w:cs="Times New Roman"/>
          <w:b w:val="0"/>
          <w:bCs/>
          <w:color w:val="auto"/>
          <w:szCs w:val="32"/>
          <w:lang w:val="en-US" w:eastAsia="zh-CN"/>
        </w:rPr>
      </w:pPr>
      <w:r>
        <w:rPr>
          <w:rFonts w:hint="default" w:ascii="Times New Roman" w:hAnsi="Times New Roman" w:eastAsia="仿宋_GB2312" w:cs="Times New Roman"/>
          <w:b w:val="0"/>
          <w:bCs/>
          <w:color w:val="aut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85090</wp:posOffset>
                </wp:positionV>
                <wp:extent cx="5579745" cy="0"/>
                <wp:effectExtent l="0" t="6350" r="0" b="635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6.7pt;height:0pt;width:439.35pt;z-index:251661312;mso-width-relative:page;mso-height-relative:page;" filled="f" stroked="t" coordsize="21600,21600" o:gfxdata="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ECp7V&#10;AAAABgEAAA8AAAAAAAAAAQAgAAAAIgAAAGRycy9kb3ducmV2LnhtbFBLAQIUABQAAAAIAIdO4kD0&#10;z0k06gEAALkDAAAOAAAAAAAAAAEAIAAAACQBAABkcnMvZTJvRG9jLnhtbFBLBQYAAAAABgAGAFkB&#10;AACABQAAAAA=&#10;">
                <v:fill on="f" focussize="0,0"/>
                <v:stroke weight="1pt" color="#000000" joinstyle="round"/>
                <v:imagedata o:title=""/>
                <o:lock v:ext="edit" aspectratio="f"/>
              </v:line>
            </w:pict>
          </mc:Fallback>
        </mc:AlternateContent>
      </w:r>
      <w:r>
        <w:rPr>
          <w:rFonts w:hint="default" w:ascii="Times New Roman" w:hAnsi="Times New Roman" w:eastAsia="仿宋_GB2312" w:cs="Times New Roman"/>
          <w:b w:val="0"/>
          <w:bCs/>
          <w:color w:val="auto"/>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421005</wp:posOffset>
                </wp:positionV>
                <wp:extent cx="5579745" cy="0"/>
                <wp:effectExtent l="0" t="6350" r="0" b="635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33.15pt;height:0pt;width:439.35pt;z-index:251660288;mso-width-relative:page;mso-height-relative:page;" filled="f" stroked="t" coordsize="21600,21600" o:gfxdata="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cYSMtUA&#10;AAAGAQAADwAAAAAAAAABACAAAAAiAAAAZHJzL2Rvd25yZXYueG1sUEsBAhQAFAAAAAgAh07iQDDy&#10;uAvpAQAAuQMAAA4AAAAAAAAAAQAgAAAAJAEAAGRycy9lMm9Eb2MueG1sUEsFBgAAAAAGAAYAWQEA&#10;AH8FAAAAAA==&#10;">
                <v:fill on="f" focussize="0,0"/>
                <v:stroke weight="1pt" color="#000000" joinstyle="round"/>
                <v:imagedata o:title=""/>
                <o:lock v:ext="edit" aspectratio="f"/>
              </v:line>
            </w:pict>
          </mc:Fallback>
        </mc:AlternateContent>
      </w:r>
      <w:r>
        <w:rPr>
          <w:rFonts w:hint="default" w:ascii="Times New Roman" w:hAnsi="Times New Roman" w:eastAsia="仿宋_GB2312" w:cs="Times New Roman"/>
          <w:b w:val="0"/>
          <w:bCs/>
          <w:color w:val="auto"/>
          <w:sz w:val="28"/>
          <w:szCs w:val="28"/>
        </w:rPr>
        <w:t xml:space="preserve">清溪镇党政综合办公室                </w:t>
      </w:r>
      <w:r>
        <w:rPr>
          <w:rFonts w:hint="default" w:ascii="Times New Roman" w:hAnsi="Times New Roman" w:eastAsia="仿宋_GB2312" w:cs="Times New Roman"/>
          <w:b w:val="0"/>
          <w:bCs/>
          <w:color w:val="auto"/>
          <w:sz w:val="28"/>
          <w:szCs w:val="28"/>
          <w:lang w:val="en-US" w:eastAsia="zh-CN"/>
        </w:rPr>
        <w:t xml:space="preserve">     </w:t>
      </w:r>
      <w:r>
        <w:rPr>
          <w:rFonts w:hint="default" w:ascii="Times New Roman" w:hAnsi="Times New Roman" w:eastAsia="仿宋_GB2312" w:cs="Times New Roman"/>
          <w:b w:val="0"/>
          <w:bCs/>
          <w:color w:val="auto"/>
          <w:sz w:val="28"/>
          <w:szCs w:val="28"/>
        </w:rPr>
        <w:t xml:space="preserve"> 202</w:t>
      </w:r>
      <w:r>
        <w:rPr>
          <w:rFonts w:hint="default" w:ascii="Times New Roman" w:hAnsi="Times New Roman" w:cs="Times New Roman"/>
          <w:b w:val="0"/>
          <w:bCs/>
          <w:color w:val="auto"/>
          <w:sz w:val="28"/>
          <w:szCs w:val="28"/>
          <w:lang w:val="en-US" w:eastAsia="zh-CN"/>
        </w:rPr>
        <w:t>5</w:t>
      </w:r>
      <w:r>
        <w:rPr>
          <w:rFonts w:hint="default" w:ascii="Times New Roman" w:hAnsi="Times New Roman" w:eastAsia="仿宋_GB2312" w:cs="Times New Roman"/>
          <w:b w:val="0"/>
          <w:bCs/>
          <w:color w:val="auto"/>
          <w:sz w:val="28"/>
          <w:szCs w:val="28"/>
        </w:rPr>
        <w:t>年</w:t>
      </w:r>
      <w:r>
        <w:rPr>
          <w:rFonts w:hint="default" w:ascii="Times New Roman" w:hAnsi="Times New Roman" w:cs="Times New Roman"/>
          <w:b w:val="0"/>
          <w:bCs/>
          <w:color w:val="auto"/>
          <w:sz w:val="28"/>
          <w:szCs w:val="28"/>
          <w:lang w:val="en-US" w:eastAsia="zh-CN"/>
        </w:rPr>
        <w:t>7</w:t>
      </w:r>
      <w:r>
        <w:rPr>
          <w:rFonts w:hint="default" w:ascii="Times New Roman" w:hAnsi="Times New Roman" w:eastAsia="仿宋_GB2312" w:cs="Times New Roman"/>
          <w:b w:val="0"/>
          <w:bCs/>
          <w:color w:val="auto"/>
          <w:sz w:val="28"/>
          <w:szCs w:val="28"/>
        </w:rPr>
        <w:t>月</w:t>
      </w:r>
      <w:r>
        <w:rPr>
          <w:rFonts w:hint="eastAsia" w:eastAsia="仿宋_GB2312" w:cs="Times New Roman"/>
          <w:b w:val="0"/>
          <w:bCs/>
          <w:color w:val="auto"/>
          <w:sz w:val="28"/>
          <w:szCs w:val="28"/>
          <w:lang w:val="en-US" w:eastAsia="zh-CN"/>
        </w:rPr>
        <w:t>21</w:t>
      </w:r>
      <w:bookmarkStart w:id="673" w:name="_GoBack"/>
      <w:bookmarkEnd w:id="673"/>
      <w:r>
        <w:rPr>
          <w:rFonts w:hint="default" w:ascii="Times New Roman" w:hAnsi="Times New Roman" w:eastAsia="仿宋_GB2312" w:cs="Times New Roman"/>
          <w:b w:val="0"/>
          <w:bCs/>
          <w:color w:val="auto"/>
          <w:sz w:val="28"/>
          <w:szCs w:val="28"/>
        </w:rPr>
        <w:t>日印发</w:t>
      </w:r>
    </w:p>
    <w:p w14:paraId="277AE8F9">
      <w:pPr>
        <w:pStyle w:val="2"/>
        <w:rPr>
          <w:rFonts w:hint="default" w:ascii="Times New Roman" w:hAnsi="Times New Roman" w:eastAsia="仿宋_GB2312" w:cs="Times New Roman"/>
          <w:color w:val="000000"/>
          <w:sz w:val="32"/>
          <w:szCs w:val="32"/>
        </w:rPr>
        <w:sectPr>
          <w:headerReference r:id="rId4" w:type="default"/>
          <w:footerReference r:id="rId5" w:type="default"/>
          <w:pgSz w:w="11907" w:h="16839"/>
          <w:pgMar w:top="1871" w:right="1440" w:bottom="1474" w:left="1440" w:header="851" w:footer="992" w:gutter="0"/>
          <w:pgBorders>
            <w:top w:val="none" w:sz="0" w:space="0"/>
            <w:left w:val="none" w:sz="0" w:space="0"/>
            <w:bottom w:val="none" w:sz="0" w:space="0"/>
            <w:right w:val="none" w:sz="0" w:space="0"/>
          </w:pgBorders>
          <w:cols w:space="720" w:num="1"/>
          <w:titlePg/>
          <w:docGrid w:type="lines" w:linePitch="312" w:charSpace="0"/>
        </w:sectPr>
      </w:pPr>
    </w:p>
    <w:p w14:paraId="16B89AB6">
      <w:pPr>
        <w:pageBreakBefore w:val="0"/>
        <w:kinsoku/>
        <w:wordWrap/>
        <w:bidi w:val="0"/>
        <w:spacing w:line="360" w:lineRule="auto"/>
        <w:jc w:val="center"/>
        <w:rPr>
          <w:rFonts w:ascii="Times New Roman" w:hAnsi="Times New Roman" w:eastAsia="黑体" w:cs="Times New Roman"/>
          <w:sz w:val="44"/>
          <w:szCs w:val="44"/>
          <w:highlight w:val="none"/>
        </w:rPr>
      </w:pPr>
      <w:r>
        <w:rPr>
          <w:rFonts w:hint="default" w:ascii="Times New Roman" w:hAnsi="Times New Roman" w:eastAsia="黑体" w:cs="Times New Roman"/>
          <w:sz w:val="44"/>
          <w:szCs w:val="44"/>
          <w:highlight w:val="none"/>
        </w:rPr>
        <w:t>目</w:t>
      </w:r>
      <w:r>
        <w:rPr>
          <w:rFonts w:ascii="Times New Roman" w:hAnsi="Times New Roman" w:eastAsia="黑体" w:cs="Times New Roman"/>
          <w:sz w:val="44"/>
          <w:szCs w:val="44"/>
          <w:highlight w:val="none"/>
        </w:rPr>
        <w:t xml:space="preserve"> </w:t>
      </w:r>
      <w:r>
        <w:rPr>
          <w:rFonts w:hint="default" w:ascii="Times New Roman" w:hAnsi="Times New Roman" w:eastAsia="黑体" w:cs="Times New Roman"/>
          <w:sz w:val="44"/>
          <w:szCs w:val="44"/>
          <w:highlight w:val="none"/>
        </w:rPr>
        <w:t>录</w:t>
      </w:r>
    </w:p>
    <w:p w14:paraId="215BE247">
      <w:pPr>
        <w:pStyle w:val="22"/>
        <w:tabs>
          <w:tab w:val="right" w:leader="dot" w:pos="8306"/>
        </w:tabs>
      </w:pP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TOC \o "1-2" \h \z \u </w:instrText>
      </w:r>
      <w:r>
        <w:rPr>
          <w:rFonts w:ascii="Times New Roman" w:hAnsi="Times New Roman" w:cs="Times New Roman"/>
          <w:sz w:val="28"/>
          <w:szCs w:val="28"/>
          <w:highlight w:val="none"/>
        </w:rPr>
        <w:fldChar w:fldCharType="separate"/>
      </w: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_Toc25515 </w:instrText>
      </w:r>
      <w:r>
        <w:rPr>
          <w:rFonts w:ascii="Times New Roman" w:hAnsi="Times New Roman" w:cs="Times New Roman"/>
          <w:szCs w:val="28"/>
          <w:highlight w:val="none"/>
        </w:rPr>
        <w:fldChar w:fldCharType="separate"/>
      </w:r>
      <w:r>
        <w:rPr>
          <w:rFonts w:hint="default" w:ascii="Times New Roman" w:hAnsi="Times New Roman" w:eastAsia="黑体" w:cs="Times New Roman"/>
          <w:highlight w:val="none"/>
          <w:lang w:val="en-US" w:eastAsia="zh-CN"/>
        </w:rPr>
        <w:t>第一章 规划背景与形势</w:t>
      </w:r>
      <w:r>
        <w:tab/>
      </w:r>
      <w:r>
        <w:fldChar w:fldCharType="begin"/>
      </w:r>
      <w:r>
        <w:instrText xml:space="preserve"> PAGEREF _Toc25515 \h </w:instrText>
      </w:r>
      <w:r>
        <w:fldChar w:fldCharType="separate"/>
      </w:r>
      <w:r>
        <w:t>1</w:t>
      </w:r>
      <w:r>
        <w:fldChar w:fldCharType="end"/>
      </w:r>
      <w:r>
        <w:rPr>
          <w:rFonts w:ascii="Times New Roman" w:hAnsi="Times New Roman" w:cs="Times New Roman"/>
          <w:szCs w:val="28"/>
          <w:highlight w:val="none"/>
        </w:rPr>
        <w:fldChar w:fldCharType="end"/>
      </w:r>
    </w:p>
    <w:p w14:paraId="38880E7E">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_Toc3875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lang w:val="en-US" w:eastAsia="zh-CN"/>
        </w:rPr>
        <w:t xml:space="preserve">第一节 </w:t>
      </w:r>
      <w:r>
        <w:rPr>
          <w:rFonts w:hint="eastAsia" w:eastAsia="楷体_GB2312" w:cs="Times New Roman"/>
          <w:bCs/>
          <w:snapToGrid w:val="0"/>
          <w:kern w:val="0"/>
          <w:szCs w:val="32"/>
          <w:highlight w:val="none"/>
          <w:lang w:val="en-US" w:eastAsia="zh-CN"/>
        </w:rPr>
        <w:t>2017-2020年环境保护规划实施情况评估</w:t>
      </w:r>
      <w:r>
        <w:tab/>
      </w:r>
      <w:r>
        <w:fldChar w:fldCharType="begin"/>
      </w:r>
      <w:r>
        <w:instrText xml:space="preserve"> PAGEREF _Toc3875 \h </w:instrText>
      </w:r>
      <w:r>
        <w:fldChar w:fldCharType="separate"/>
      </w:r>
      <w:r>
        <w:t>1</w:t>
      </w:r>
      <w:r>
        <w:fldChar w:fldCharType="end"/>
      </w:r>
      <w:r>
        <w:rPr>
          <w:rFonts w:ascii="Times New Roman" w:hAnsi="Times New Roman" w:cs="Times New Roman"/>
          <w:szCs w:val="28"/>
          <w:highlight w:val="none"/>
        </w:rPr>
        <w:fldChar w:fldCharType="end"/>
      </w:r>
    </w:p>
    <w:p w14:paraId="3D8E03E8">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_Toc21847 </w:instrText>
      </w:r>
      <w:r>
        <w:rPr>
          <w:rFonts w:ascii="Times New Roman" w:hAnsi="Times New Roman" w:cs="Times New Roman"/>
          <w:szCs w:val="28"/>
          <w:highlight w:val="none"/>
        </w:rPr>
        <w:fldChar w:fldCharType="separate"/>
      </w:r>
      <w:r>
        <w:rPr>
          <w:rFonts w:hint="eastAsia" w:eastAsia="楷体_GB2312" w:cs="Times New Roman"/>
          <w:bCs/>
          <w:snapToGrid w:val="0"/>
          <w:kern w:val="0"/>
          <w:szCs w:val="32"/>
          <w:lang w:val="en-US" w:eastAsia="zh-CN"/>
        </w:rPr>
        <w:t xml:space="preserve">第二节 </w:t>
      </w:r>
      <w:r>
        <w:rPr>
          <w:rFonts w:hint="eastAsia" w:eastAsia="楷体_GB2312" w:cs="Times New Roman"/>
          <w:bCs/>
          <w:snapToGrid w:val="0"/>
          <w:kern w:val="0"/>
          <w:szCs w:val="32"/>
          <w:highlight w:val="none"/>
          <w:lang w:val="en-US" w:eastAsia="zh-CN"/>
        </w:rPr>
        <w:t>2021-2023年工作进展</w:t>
      </w:r>
      <w:r>
        <w:tab/>
      </w:r>
      <w:r>
        <w:fldChar w:fldCharType="begin"/>
      </w:r>
      <w:r>
        <w:instrText xml:space="preserve"> PAGEREF _Toc21847 \h </w:instrText>
      </w:r>
      <w:r>
        <w:fldChar w:fldCharType="separate"/>
      </w:r>
      <w:r>
        <w:t>14</w:t>
      </w:r>
      <w:r>
        <w:fldChar w:fldCharType="end"/>
      </w:r>
      <w:r>
        <w:rPr>
          <w:rFonts w:ascii="Times New Roman" w:hAnsi="Times New Roman" w:cs="Times New Roman"/>
          <w:szCs w:val="28"/>
          <w:highlight w:val="none"/>
        </w:rPr>
        <w:fldChar w:fldCharType="end"/>
      </w:r>
    </w:p>
    <w:p w14:paraId="57DCE43E">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_Toc19093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lang w:val="en-US" w:eastAsia="zh-CN"/>
        </w:rPr>
        <w:t xml:space="preserve">第三节 </w:t>
      </w:r>
      <w:r>
        <w:rPr>
          <w:rFonts w:hint="default" w:eastAsia="楷体_GB2312"/>
          <w:bCs/>
          <w:snapToGrid w:val="0"/>
          <w:kern w:val="0"/>
          <w:szCs w:val="32"/>
          <w:highlight w:val="none"/>
        </w:rPr>
        <w:t>锚定美丽中国</w:t>
      </w:r>
      <w:r>
        <w:rPr>
          <w:rFonts w:hint="eastAsia" w:eastAsia="楷体_GB2312"/>
          <w:bCs/>
          <w:snapToGrid w:val="0"/>
          <w:kern w:val="0"/>
          <w:szCs w:val="32"/>
          <w:highlight w:val="none"/>
          <w:lang w:eastAsia="zh-CN"/>
        </w:rPr>
        <w:t>，</w:t>
      </w:r>
      <w:r>
        <w:rPr>
          <w:rFonts w:hint="default" w:ascii="Times New Roman" w:hAnsi="Times New Roman" w:eastAsia="楷体_GB2312" w:cs="Times New Roman"/>
          <w:bCs/>
          <w:snapToGrid w:val="0"/>
          <w:kern w:val="0"/>
          <w:szCs w:val="32"/>
          <w:highlight w:val="none"/>
          <w:lang w:val="en-US" w:eastAsia="zh-CN"/>
        </w:rPr>
        <w:t>美丽清溪建设任重道远</w:t>
      </w:r>
      <w:r>
        <w:tab/>
      </w:r>
      <w:r>
        <w:fldChar w:fldCharType="begin"/>
      </w:r>
      <w:r>
        <w:instrText xml:space="preserve"> PAGEREF _Toc19093 \h </w:instrText>
      </w:r>
      <w:r>
        <w:fldChar w:fldCharType="separate"/>
      </w:r>
      <w:r>
        <w:t>17</w:t>
      </w:r>
      <w:r>
        <w:fldChar w:fldCharType="end"/>
      </w:r>
      <w:r>
        <w:rPr>
          <w:rFonts w:ascii="Times New Roman" w:hAnsi="Times New Roman" w:cs="Times New Roman"/>
          <w:szCs w:val="28"/>
          <w:highlight w:val="none"/>
        </w:rPr>
        <w:fldChar w:fldCharType="end"/>
      </w:r>
    </w:p>
    <w:p w14:paraId="0F5604F6">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_Toc28220 </w:instrText>
      </w:r>
      <w:r>
        <w:rPr>
          <w:rFonts w:ascii="Times New Roman" w:hAnsi="Times New Roman" w:cs="Times New Roman"/>
          <w:szCs w:val="28"/>
          <w:highlight w:val="none"/>
        </w:rPr>
        <w:fldChar w:fldCharType="separate"/>
      </w:r>
      <w:r>
        <w:rPr>
          <w:rFonts w:hint="default" w:ascii="Times New Roman" w:hAnsi="Times New Roman" w:eastAsia="黑体" w:cs="Times New Roman"/>
          <w:highlight w:val="none"/>
          <w:lang w:val="en-US" w:eastAsia="zh-CN"/>
        </w:rPr>
        <w:t>第二章 规划总体要求</w:t>
      </w:r>
      <w:r>
        <w:tab/>
      </w:r>
      <w:r>
        <w:fldChar w:fldCharType="begin"/>
      </w:r>
      <w:r>
        <w:instrText xml:space="preserve"> PAGEREF _Toc28220 \h </w:instrText>
      </w:r>
      <w:r>
        <w:fldChar w:fldCharType="separate"/>
      </w:r>
      <w:r>
        <w:t>22</w:t>
      </w:r>
      <w:r>
        <w:fldChar w:fldCharType="end"/>
      </w:r>
      <w:r>
        <w:rPr>
          <w:rFonts w:ascii="Times New Roman" w:hAnsi="Times New Roman" w:cs="Times New Roman"/>
          <w:szCs w:val="28"/>
          <w:highlight w:val="none"/>
        </w:rPr>
        <w:fldChar w:fldCharType="end"/>
      </w:r>
    </w:p>
    <w:p w14:paraId="009E114B">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_Toc10322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 xml:space="preserve">第一节 </w:t>
      </w:r>
      <w:r>
        <w:rPr>
          <w:rFonts w:hint="default" w:ascii="Times New Roman" w:hAnsi="Times New Roman" w:eastAsia="楷体_GB2312" w:cs="Times New Roman"/>
          <w:bCs w:val="0"/>
          <w:snapToGrid w:val="0"/>
          <w:highlight w:val="none"/>
        </w:rPr>
        <w:t>指导思想</w:t>
      </w:r>
      <w:r>
        <w:tab/>
      </w:r>
      <w:r>
        <w:fldChar w:fldCharType="begin"/>
      </w:r>
      <w:r>
        <w:instrText xml:space="preserve"> PAGEREF _Toc10322 \h </w:instrText>
      </w:r>
      <w:r>
        <w:fldChar w:fldCharType="separate"/>
      </w:r>
      <w:r>
        <w:t>22</w:t>
      </w:r>
      <w:r>
        <w:fldChar w:fldCharType="end"/>
      </w:r>
      <w:r>
        <w:rPr>
          <w:rFonts w:ascii="Times New Roman" w:hAnsi="Times New Roman" w:cs="Times New Roman"/>
          <w:szCs w:val="28"/>
          <w:highlight w:val="none"/>
        </w:rPr>
        <w:fldChar w:fldCharType="end"/>
      </w:r>
    </w:p>
    <w:p w14:paraId="1490E41C">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_Toc15714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w:t>
      </w:r>
      <w:r>
        <w:rPr>
          <w:rFonts w:hint="default" w:ascii="Times New Roman" w:hAnsi="Times New Roman" w:eastAsia="楷体_GB2312" w:cs="Times New Roman"/>
          <w:bCs w:val="0"/>
          <w:snapToGrid w:val="0"/>
          <w:highlight w:val="none"/>
        </w:rPr>
        <w:t>二</w:t>
      </w:r>
      <w:r>
        <w:rPr>
          <w:rFonts w:hint="default" w:ascii="Times New Roman" w:hAnsi="Times New Roman" w:eastAsia="楷体_GB2312" w:cs="Times New Roman"/>
          <w:bCs w:val="0"/>
          <w:snapToGrid w:val="0"/>
          <w:highlight w:val="none"/>
          <w:lang w:val="en-US" w:eastAsia="zh-CN"/>
        </w:rPr>
        <w:t xml:space="preserve">节 </w:t>
      </w:r>
      <w:r>
        <w:rPr>
          <w:rFonts w:hint="default" w:ascii="Times New Roman" w:hAnsi="Times New Roman" w:eastAsia="楷体_GB2312" w:cs="Times New Roman"/>
          <w:bCs w:val="0"/>
          <w:snapToGrid w:val="0"/>
          <w:highlight w:val="none"/>
        </w:rPr>
        <w:t>基本原则</w:t>
      </w:r>
      <w:r>
        <w:tab/>
      </w:r>
      <w:r>
        <w:fldChar w:fldCharType="begin"/>
      </w:r>
      <w:r>
        <w:instrText xml:space="preserve"> PAGEREF _Toc15714 \h </w:instrText>
      </w:r>
      <w:r>
        <w:fldChar w:fldCharType="separate"/>
      </w:r>
      <w:r>
        <w:t>22</w:t>
      </w:r>
      <w:r>
        <w:fldChar w:fldCharType="end"/>
      </w:r>
      <w:r>
        <w:rPr>
          <w:rFonts w:ascii="Times New Roman" w:hAnsi="Times New Roman" w:cs="Times New Roman"/>
          <w:szCs w:val="28"/>
          <w:highlight w:val="none"/>
        </w:rPr>
        <w:fldChar w:fldCharType="end"/>
      </w:r>
    </w:p>
    <w:p w14:paraId="6DD91532">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_Toc23786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第三节 规划范围和期限</w:t>
      </w:r>
      <w:r>
        <w:tab/>
      </w:r>
      <w:r>
        <w:fldChar w:fldCharType="begin"/>
      </w:r>
      <w:r>
        <w:instrText xml:space="preserve"> PAGEREF _Toc23786 \h </w:instrText>
      </w:r>
      <w:r>
        <w:fldChar w:fldCharType="separate"/>
      </w:r>
      <w:r>
        <w:t>23</w:t>
      </w:r>
      <w:r>
        <w:fldChar w:fldCharType="end"/>
      </w:r>
      <w:r>
        <w:rPr>
          <w:rFonts w:ascii="Times New Roman" w:hAnsi="Times New Roman" w:cs="Times New Roman"/>
          <w:szCs w:val="28"/>
          <w:highlight w:val="none"/>
        </w:rPr>
        <w:fldChar w:fldCharType="end"/>
      </w:r>
    </w:p>
    <w:p w14:paraId="1727DA7A">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_Toc10266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第四节 规划目标与指标</w:t>
      </w:r>
      <w:r>
        <w:tab/>
      </w:r>
      <w:r>
        <w:fldChar w:fldCharType="begin"/>
      </w:r>
      <w:r>
        <w:instrText xml:space="preserve"> PAGEREF _Toc10266 \h </w:instrText>
      </w:r>
      <w:r>
        <w:fldChar w:fldCharType="separate"/>
      </w:r>
      <w:r>
        <w:t>24</w:t>
      </w:r>
      <w:r>
        <w:fldChar w:fldCharType="end"/>
      </w:r>
      <w:r>
        <w:rPr>
          <w:rFonts w:ascii="Times New Roman" w:hAnsi="Times New Roman" w:cs="Times New Roman"/>
          <w:szCs w:val="28"/>
          <w:highlight w:val="none"/>
        </w:rPr>
        <w:fldChar w:fldCharType="end"/>
      </w:r>
    </w:p>
    <w:p w14:paraId="621A6509">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_Toc14184 </w:instrText>
      </w:r>
      <w:r>
        <w:rPr>
          <w:rFonts w:ascii="Times New Roman" w:hAnsi="Times New Roman" w:cs="Times New Roman"/>
          <w:szCs w:val="28"/>
          <w:highlight w:val="none"/>
        </w:rPr>
        <w:fldChar w:fldCharType="separate"/>
      </w:r>
      <w:r>
        <w:rPr>
          <w:rFonts w:hint="default" w:ascii="Times New Roman" w:hAnsi="Times New Roman" w:eastAsia="黑体" w:cs="Times New Roman"/>
          <w:highlight w:val="none"/>
          <w:lang w:val="en-US" w:eastAsia="zh-CN"/>
        </w:rPr>
        <w:t>第三章 以绿色低碳理念为引领，推动经济高质量发展</w:t>
      </w:r>
      <w:r>
        <w:tab/>
      </w:r>
      <w:r>
        <w:fldChar w:fldCharType="begin"/>
      </w:r>
      <w:r>
        <w:instrText xml:space="preserve"> PAGEREF _Toc14184 \h </w:instrText>
      </w:r>
      <w:r>
        <w:fldChar w:fldCharType="separate"/>
      </w:r>
      <w:r>
        <w:t>29</w:t>
      </w:r>
      <w:r>
        <w:fldChar w:fldCharType="end"/>
      </w:r>
      <w:r>
        <w:rPr>
          <w:rFonts w:ascii="Times New Roman" w:hAnsi="Times New Roman" w:cs="Times New Roman"/>
          <w:szCs w:val="28"/>
          <w:highlight w:val="none"/>
        </w:rPr>
        <w:fldChar w:fldCharType="end"/>
      </w:r>
    </w:p>
    <w:p w14:paraId="0BB6C322">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_Toc11345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第一节 以绿色发展为引领，构建现代化产业体系</w:t>
      </w:r>
      <w:r>
        <w:tab/>
      </w:r>
      <w:r>
        <w:fldChar w:fldCharType="begin"/>
      </w:r>
      <w:r>
        <w:instrText xml:space="preserve"> PAGEREF _Toc11345 \h </w:instrText>
      </w:r>
      <w:r>
        <w:fldChar w:fldCharType="separate"/>
      </w:r>
      <w:r>
        <w:t>29</w:t>
      </w:r>
      <w:r>
        <w:fldChar w:fldCharType="end"/>
      </w:r>
      <w:r>
        <w:rPr>
          <w:rFonts w:ascii="Times New Roman" w:hAnsi="Times New Roman" w:cs="Times New Roman"/>
          <w:szCs w:val="28"/>
          <w:highlight w:val="none"/>
        </w:rPr>
        <w:fldChar w:fldCharType="end"/>
      </w:r>
    </w:p>
    <w:p w14:paraId="6C8C730D">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_Toc17610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第二节 深入推动产业结构转型，推进绿色循环生产</w:t>
      </w:r>
      <w:r>
        <w:tab/>
      </w:r>
      <w:r>
        <w:fldChar w:fldCharType="begin"/>
      </w:r>
      <w:r>
        <w:instrText xml:space="preserve"> PAGEREF _Toc17610 \h </w:instrText>
      </w:r>
      <w:r>
        <w:fldChar w:fldCharType="separate"/>
      </w:r>
      <w:r>
        <w:t>31</w:t>
      </w:r>
      <w:r>
        <w:fldChar w:fldCharType="end"/>
      </w:r>
      <w:r>
        <w:rPr>
          <w:rFonts w:ascii="Times New Roman" w:hAnsi="Times New Roman" w:cs="Times New Roman"/>
          <w:szCs w:val="28"/>
          <w:highlight w:val="none"/>
        </w:rPr>
        <w:fldChar w:fldCharType="end"/>
      </w:r>
    </w:p>
    <w:p w14:paraId="5B786427">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_Toc14005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第三节 提高资源能源利用效率，支持绿色技术创新</w:t>
      </w:r>
      <w:r>
        <w:tab/>
      </w:r>
      <w:r>
        <w:fldChar w:fldCharType="begin"/>
      </w:r>
      <w:r>
        <w:instrText xml:space="preserve"> PAGEREF _Toc14005 \h </w:instrText>
      </w:r>
      <w:r>
        <w:fldChar w:fldCharType="separate"/>
      </w:r>
      <w:r>
        <w:t>33</w:t>
      </w:r>
      <w:r>
        <w:fldChar w:fldCharType="end"/>
      </w:r>
      <w:r>
        <w:rPr>
          <w:rFonts w:ascii="Times New Roman" w:hAnsi="Times New Roman" w:cs="Times New Roman"/>
          <w:szCs w:val="28"/>
          <w:highlight w:val="none"/>
        </w:rPr>
        <w:fldChar w:fldCharType="end"/>
      </w:r>
    </w:p>
    <w:p w14:paraId="4AB71557">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_Toc3107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 xml:space="preserve">第四章 </w:t>
      </w:r>
      <w:r>
        <w:rPr>
          <w:rFonts w:hint="default" w:ascii="Times New Roman" w:hAnsi="Times New Roman" w:eastAsia="黑体" w:cs="Times New Roman"/>
          <w:highlight w:val="none"/>
          <w:lang w:val="en-US" w:eastAsia="zh-CN"/>
        </w:rPr>
        <w:t>协调</w:t>
      </w:r>
      <w:r>
        <w:rPr>
          <w:rFonts w:hint="default" w:ascii="Times New Roman" w:hAnsi="Times New Roman" w:eastAsia="黑体" w:cs="Times New Roman"/>
          <w:bCs/>
          <w:kern w:val="44"/>
          <w:szCs w:val="44"/>
          <w:highlight w:val="none"/>
          <w:lang w:val="en-US" w:eastAsia="zh-CN" w:bidi="ar-SA"/>
        </w:rPr>
        <w:t>减排，开展碳排放达峰行动</w:t>
      </w:r>
      <w:r>
        <w:tab/>
      </w:r>
      <w:r>
        <w:fldChar w:fldCharType="begin"/>
      </w:r>
      <w:r>
        <w:instrText xml:space="preserve"> PAGEREF _Toc3107 \h </w:instrText>
      </w:r>
      <w:r>
        <w:fldChar w:fldCharType="separate"/>
      </w:r>
      <w:r>
        <w:t>35</w:t>
      </w:r>
      <w:r>
        <w:fldChar w:fldCharType="end"/>
      </w:r>
      <w:r>
        <w:rPr>
          <w:rFonts w:ascii="Times New Roman" w:hAnsi="Times New Roman" w:cs="Times New Roman"/>
          <w:szCs w:val="28"/>
          <w:highlight w:val="none"/>
        </w:rPr>
        <w:fldChar w:fldCharType="end"/>
      </w:r>
    </w:p>
    <w:p w14:paraId="43605CEE">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_Toc12985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第一节 摸清碳排放基础情况，制定碳排放达峰路线</w:t>
      </w:r>
      <w:r>
        <w:tab/>
      </w:r>
      <w:r>
        <w:fldChar w:fldCharType="begin"/>
      </w:r>
      <w:r>
        <w:instrText xml:space="preserve"> PAGEREF _Toc12985 \h </w:instrText>
      </w:r>
      <w:r>
        <w:fldChar w:fldCharType="separate"/>
      </w:r>
      <w:r>
        <w:t>35</w:t>
      </w:r>
      <w:r>
        <w:fldChar w:fldCharType="end"/>
      </w:r>
      <w:r>
        <w:rPr>
          <w:rFonts w:ascii="Times New Roman" w:hAnsi="Times New Roman" w:cs="Times New Roman"/>
          <w:szCs w:val="28"/>
          <w:highlight w:val="none"/>
        </w:rPr>
        <w:fldChar w:fldCharType="end"/>
      </w:r>
    </w:p>
    <w:p w14:paraId="110C6BD5">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_Toc4353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highlight w:val="none"/>
          <w:lang w:val="en-US" w:eastAsia="zh-CN"/>
        </w:rPr>
        <w:t>第二节 加强应对气候变化与污</w:t>
      </w:r>
      <w:r>
        <w:rPr>
          <w:rFonts w:hint="default" w:ascii="Times New Roman" w:hAnsi="Times New Roman" w:eastAsia="楷体_GB2312" w:cs="Times New Roman"/>
          <w:snapToGrid w:val="0"/>
          <w:highlight w:val="none"/>
          <w:lang w:val="en-US" w:eastAsia="zh-CN"/>
        </w:rPr>
        <w:t>染减排协同治理</w:t>
      </w:r>
      <w:r>
        <w:tab/>
      </w:r>
      <w:r>
        <w:fldChar w:fldCharType="begin"/>
      </w:r>
      <w:r>
        <w:instrText xml:space="preserve"> PAGEREF _Toc4353 \h </w:instrText>
      </w:r>
      <w:r>
        <w:fldChar w:fldCharType="separate"/>
      </w:r>
      <w:r>
        <w:t>35</w:t>
      </w:r>
      <w:r>
        <w:fldChar w:fldCharType="end"/>
      </w:r>
      <w:r>
        <w:rPr>
          <w:rFonts w:ascii="Times New Roman" w:hAnsi="Times New Roman" w:cs="Times New Roman"/>
          <w:szCs w:val="28"/>
          <w:highlight w:val="none"/>
        </w:rPr>
        <w:fldChar w:fldCharType="end"/>
      </w:r>
    </w:p>
    <w:p w14:paraId="05E8B652">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_Toc27643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 xml:space="preserve">第五章 </w:t>
      </w:r>
      <w:r>
        <w:rPr>
          <w:rFonts w:hint="default" w:ascii="Times New Roman" w:hAnsi="Times New Roman" w:eastAsia="黑体" w:cs="Times New Roman"/>
          <w:highlight w:val="none"/>
          <w:lang w:val="en-US" w:eastAsia="zh-CN"/>
        </w:rPr>
        <w:t>深化污染防治，提升环境质量</w:t>
      </w:r>
      <w:r>
        <w:tab/>
      </w:r>
      <w:r>
        <w:fldChar w:fldCharType="begin"/>
      </w:r>
      <w:r>
        <w:instrText xml:space="preserve"> PAGEREF _Toc27643 \h </w:instrText>
      </w:r>
      <w:r>
        <w:fldChar w:fldCharType="separate"/>
      </w:r>
      <w:r>
        <w:t>40</w:t>
      </w:r>
      <w:r>
        <w:fldChar w:fldCharType="end"/>
      </w:r>
      <w:r>
        <w:rPr>
          <w:rFonts w:ascii="Times New Roman" w:hAnsi="Times New Roman" w:cs="Times New Roman"/>
          <w:szCs w:val="28"/>
          <w:highlight w:val="none"/>
        </w:rPr>
        <w:fldChar w:fldCharType="end"/>
      </w:r>
    </w:p>
    <w:p w14:paraId="43C55039">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_Toc30154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第一节 加强协同控制，持续提升大气环境质量</w:t>
      </w:r>
      <w:r>
        <w:tab/>
      </w:r>
      <w:r>
        <w:fldChar w:fldCharType="begin"/>
      </w:r>
      <w:r>
        <w:instrText xml:space="preserve"> PAGEREF _Toc30154 \h </w:instrText>
      </w:r>
      <w:r>
        <w:fldChar w:fldCharType="separate"/>
      </w:r>
      <w:r>
        <w:t>40</w:t>
      </w:r>
      <w:r>
        <w:fldChar w:fldCharType="end"/>
      </w:r>
      <w:r>
        <w:rPr>
          <w:rFonts w:ascii="Times New Roman" w:hAnsi="Times New Roman" w:cs="Times New Roman"/>
          <w:szCs w:val="28"/>
          <w:highlight w:val="none"/>
        </w:rPr>
        <w:fldChar w:fldCharType="end"/>
      </w:r>
    </w:p>
    <w:p w14:paraId="3236E402">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_Toc21402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highlight w:val="none"/>
          <w:lang w:val="en-US" w:eastAsia="zh-CN"/>
        </w:rPr>
        <w:t>第二节 系统治理，提升水体环境质量</w:t>
      </w:r>
      <w:r>
        <w:tab/>
      </w:r>
      <w:r>
        <w:fldChar w:fldCharType="begin"/>
      </w:r>
      <w:r>
        <w:instrText xml:space="preserve"> PAGEREF _Toc21402 \h </w:instrText>
      </w:r>
      <w:r>
        <w:fldChar w:fldCharType="separate"/>
      </w:r>
      <w:r>
        <w:t>45</w:t>
      </w:r>
      <w:r>
        <w:fldChar w:fldCharType="end"/>
      </w:r>
      <w:r>
        <w:rPr>
          <w:rFonts w:ascii="Times New Roman" w:hAnsi="Times New Roman" w:cs="Times New Roman"/>
          <w:szCs w:val="28"/>
          <w:highlight w:val="none"/>
        </w:rPr>
        <w:fldChar w:fldCharType="end"/>
      </w:r>
    </w:p>
    <w:p w14:paraId="357B1F3D">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_Toc9765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第三节 深化土壤污染防治，协同防控地下水污染</w:t>
      </w:r>
      <w:r>
        <w:tab/>
      </w:r>
      <w:r>
        <w:fldChar w:fldCharType="begin"/>
      </w:r>
      <w:r>
        <w:instrText xml:space="preserve"> PAGEREF _Toc9765 \h </w:instrText>
      </w:r>
      <w:r>
        <w:fldChar w:fldCharType="separate"/>
      </w:r>
      <w:r>
        <w:t>51</w:t>
      </w:r>
      <w:r>
        <w:fldChar w:fldCharType="end"/>
      </w:r>
      <w:r>
        <w:rPr>
          <w:rFonts w:ascii="Times New Roman" w:hAnsi="Times New Roman" w:cs="Times New Roman"/>
          <w:szCs w:val="28"/>
          <w:highlight w:val="none"/>
        </w:rPr>
        <w:fldChar w:fldCharType="end"/>
      </w:r>
    </w:p>
    <w:p w14:paraId="66F11ECE">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_Toc4476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szCs w:val="32"/>
          <w:highlight w:val="none"/>
        </w:rPr>
        <w:t>第四节 推动无废建设，系统开展固体废物治理</w:t>
      </w:r>
      <w:r>
        <w:tab/>
      </w:r>
      <w:r>
        <w:fldChar w:fldCharType="begin"/>
      </w:r>
      <w:r>
        <w:instrText xml:space="preserve"> PAGEREF _Toc4476 \h </w:instrText>
      </w:r>
      <w:r>
        <w:fldChar w:fldCharType="separate"/>
      </w:r>
      <w:r>
        <w:t>56</w:t>
      </w:r>
      <w:r>
        <w:fldChar w:fldCharType="end"/>
      </w:r>
      <w:r>
        <w:rPr>
          <w:rFonts w:ascii="Times New Roman" w:hAnsi="Times New Roman" w:cs="Times New Roman"/>
          <w:szCs w:val="28"/>
          <w:highlight w:val="none"/>
        </w:rPr>
        <w:fldChar w:fldCharType="end"/>
      </w:r>
    </w:p>
    <w:p w14:paraId="0E725331">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_Toc29117 </w:instrText>
      </w:r>
      <w:r>
        <w:rPr>
          <w:rFonts w:ascii="Times New Roman" w:hAnsi="Times New Roman" w:cs="Times New Roman"/>
          <w:szCs w:val="28"/>
          <w:highlight w:val="none"/>
        </w:rPr>
        <w:fldChar w:fldCharType="separate"/>
      </w:r>
      <w:r>
        <w:rPr>
          <w:rFonts w:hint="eastAsia" w:ascii="Times New Roman" w:hAnsi="Times New Roman" w:eastAsia="楷体_GB2312" w:cs="Times New Roman"/>
          <w:bCs w:val="0"/>
          <w:snapToGrid w:val="0"/>
          <w:lang w:val="en-US" w:eastAsia="zh-CN"/>
        </w:rPr>
        <w:t xml:space="preserve">第五节 </w:t>
      </w:r>
      <w:r>
        <w:rPr>
          <w:rFonts w:hint="default" w:ascii="Times New Roman" w:hAnsi="Times New Roman" w:eastAsia="楷体_GB2312" w:cs="Times New Roman"/>
          <w:bCs w:val="0"/>
          <w:snapToGrid w:val="0"/>
          <w:highlight w:val="none"/>
          <w:lang w:val="en-US" w:eastAsia="zh-CN"/>
        </w:rPr>
        <w:t>改善农村环境，助推</w:t>
      </w:r>
      <w:r>
        <w:rPr>
          <w:rFonts w:hint="default" w:ascii="Times New Roman" w:hAnsi="Times New Roman" w:eastAsia="楷体_GB2312" w:cs="Times New Roman"/>
          <w:bCs w:val="0"/>
          <w:snapToGrid w:val="0"/>
          <w:highlight w:val="none"/>
        </w:rPr>
        <w:t>“百千万工程”</w:t>
      </w:r>
      <w:r>
        <w:tab/>
      </w:r>
      <w:r>
        <w:fldChar w:fldCharType="begin"/>
      </w:r>
      <w:r>
        <w:instrText xml:space="preserve"> PAGEREF _Toc29117 \h </w:instrText>
      </w:r>
      <w:r>
        <w:fldChar w:fldCharType="separate"/>
      </w:r>
      <w:r>
        <w:t>65</w:t>
      </w:r>
      <w:r>
        <w:fldChar w:fldCharType="end"/>
      </w:r>
      <w:r>
        <w:rPr>
          <w:rFonts w:ascii="Times New Roman" w:hAnsi="Times New Roman" w:cs="Times New Roman"/>
          <w:szCs w:val="28"/>
          <w:highlight w:val="none"/>
        </w:rPr>
        <w:fldChar w:fldCharType="end"/>
      </w:r>
    </w:p>
    <w:p w14:paraId="4D06464F">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_Toc18588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第六章 同保共育，优化区域生态格局</w:t>
      </w:r>
      <w:r>
        <w:tab/>
      </w:r>
      <w:r>
        <w:fldChar w:fldCharType="begin"/>
      </w:r>
      <w:r>
        <w:instrText xml:space="preserve"> PAGEREF _Toc18588 \h </w:instrText>
      </w:r>
      <w:r>
        <w:fldChar w:fldCharType="separate"/>
      </w:r>
      <w:r>
        <w:t>68</w:t>
      </w:r>
      <w:r>
        <w:fldChar w:fldCharType="end"/>
      </w:r>
      <w:r>
        <w:rPr>
          <w:rFonts w:ascii="Times New Roman" w:hAnsi="Times New Roman" w:cs="Times New Roman"/>
          <w:szCs w:val="28"/>
          <w:highlight w:val="none"/>
        </w:rPr>
        <w:fldChar w:fldCharType="end"/>
      </w:r>
    </w:p>
    <w:p w14:paraId="36C14669">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_Toc458 </w:instrText>
      </w:r>
      <w:r>
        <w:rPr>
          <w:rFonts w:ascii="Times New Roman" w:hAnsi="Times New Roman" w:cs="Times New Roman"/>
          <w:szCs w:val="28"/>
          <w:highlight w:val="none"/>
        </w:rPr>
        <w:fldChar w:fldCharType="separate"/>
      </w:r>
      <w:r>
        <w:rPr>
          <w:rFonts w:ascii="Times New Roman" w:hAnsi="Times New Roman" w:eastAsia="楷体_GB2312" w:cs="Times New Roman"/>
          <w:kern w:val="0"/>
          <w:szCs w:val="32"/>
          <w:highlight w:val="none"/>
          <w:lang w:val="en-US" w:eastAsia="zh-CN" w:bidi="ar"/>
        </w:rPr>
        <w:t>第一节 提升生态系统质量和稳定性</w:t>
      </w:r>
      <w:r>
        <w:tab/>
      </w:r>
      <w:r>
        <w:fldChar w:fldCharType="begin"/>
      </w:r>
      <w:r>
        <w:instrText xml:space="preserve"> PAGEREF _Toc458 \h </w:instrText>
      </w:r>
      <w:r>
        <w:fldChar w:fldCharType="separate"/>
      </w:r>
      <w:r>
        <w:t>68</w:t>
      </w:r>
      <w:r>
        <w:fldChar w:fldCharType="end"/>
      </w:r>
      <w:r>
        <w:rPr>
          <w:rFonts w:ascii="Times New Roman" w:hAnsi="Times New Roman" w:cs="Times New Roman"/>
          <w:szCs w:val="28"/>
          <w:highlight w:val="none"/>
        </w:rPr>
        <w:fldChar w:fldCharType="end"/>
      </w:r>
    </w:p>
    <w:p w14:paraId="31783EAA">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_Toc28364 </w:instrText>
      </w:r>
      <w:r>
        <w:rPr>
          <w:rFonts w:ascii="Times New Roman" w:hAnsi="Times New Roman" w:cs="Times New Roman"/>
          <w:szCs w:val="28"/>
          <w:highlight w:val="none"/>
        </w:rPr>
        <w:fldChar w:fldCharType="separate"/>
      </w:r>
      <w:r>
        <w:rPr>
          <w:rFonts w:ascii="Times New Roman" w:hAnsi="Times New Roman" w:eastAsia="楷体_GB2312" w:cs="Times New Roman"/>
          <w:kern w:val="0"/>
          <w:szCs w:val="32"/>
          <w:highlight w:val="none"/>
          <w:lang w:val="en-US" w:eastAsia="zh-CN" w:bidi="ar"/>
        </w:rPr>
        <w:t xml:space="preserve">第二节 </w:t>
      </w:r>
      <w:r>
        <w:rPr>
          <w:rFonts w:hint="default" w:ascii="Times New Roman" w:hAnsi="Times New Roman" w:eastAsia="楷体_GB2312" w:cs="Times New Roman"/>
          <w:kern w:val="0"/>
          <w:szCs w:val="32"/>
          <w:highlight w:val="none"/>
          <w:lang w:val="en-US" w:eastAsia="zh-CN" w:bidi="ar"/>
        </w:rPr>
        <w:t>完善生态红线管理体系</w:t>
      </w:r>
      <w:r>
        <w:tab/>
      </w:r>
      <w:r>
        <w:fldChar w:fldCharType="begin"/>
      </w:r>
      <w:r>
        <w:instrText xml:space="preserve"> PAGEREF _Toc28364 \h </w:instrText>
      </w:r>
      <w:r>
        <w:fldChar w:fldCharType="separate"/>
      </w:r>
      <w:r>
        <w:t>68</w:t>
      </w:r>
      <w:r>
        <w:fldChar w:fldCharType="end"/>
      </w:r>
      <w:r>
        <w:rPr>
          <w:rFonts w:ascii="Times New Roman" w:hAnsi="Times New Roman" w:cs="Times New Roman"/>
          <w:szCs w:val="28"/>
          <w:highlight w:val="none"/>
        </w:rPr>
        <w:fldChar w:fldCharType="end"/>
      </w:r>
    </w:p>
    <w:p w14:paraId="1F9165B2">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_Toc10320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kern w:val="0"/>
          <w:szCs w:val="32"/>
          <w:highlight w:val="none"/>
          <w:lang w:val="en-US" w:eastAsia="zh-CN" w:bidi="ar"/>
        </w:rPr>
        <w:t>第三节 加强生物多样性保护</w:t>
      </w:r>
      <w:r>
        <w:tab/>
      </w:r>
      <w:r>
        <w:fldChar w:fldCharType="begin"/>
      </w:r>
      <w:r>
        <w:instrText xml:space="preserve"> PAGEREF _Toc10320 \h </w:instrText>
      </w:r>
      <w:r>
        <w:fldChar w:fldCharType="separate"/>
      </w:r>
      <w:r>
        <w:t>69</w:t>
      </w:r>
      <w:r>
        <w:fldChar w:fldCharType="end"/>
      </w:r>
      <w:r>
        <w:rPr>
          <w:rFonts w:ascii="Times New Roman" w:hAnsi="Times New Roman" w:cs="Times New Roman"/>
          <w:szCs w:val="28"/>
          <w:highlight w:val="none"/>
        </w:rPr>
        <w:fldChar w:fldCharType="end"/>
      </w:r>
    </w:p>
    <w:p w14:paraId="3347A2DE">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_Toc23448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第七章 强化风险防控，守牢环境安全底线</w:t>
      </w:r>
      <w:r>
        <w:tab/>
      </w:r>
      <w:r>
        <w:fldChar w:fldCharType="begin"/>
      </w:r>
      <w:r>
        <w:instrText xml:space="preserve"> PAGEREF _Toc23448 \h </w:instrText>
      </w:r>
      <w:r>
        <w:fldChar w:fldCharType="separate"/>
      </w:r>
      <w:r>
        <w:t>71</w:t>
      </w:r>
      <w:r>
        <w:fldChar w:fldCharType="end"/>
      </w:r>
      <w:r>
        <w:rPr>
          <w:rFonts w:ascii="Times New Roman" w:hAnsi="Times New Roman" w:cs="Times New Roman"/>
          <w:szCs w:val="28"/>
          <w:highlight w:val="none"/>
        </w:rPr>
        <w:fldChar w:fldCharType="end"/>
      </w:r>
    </w:p>
    <w:p w14:paraId="6313C14A">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_Toc15862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第一节 加强危险废物利用处置</w:t>
      </w:r>
      <w:r>
        <w:tab/>
      </w:r>
      <w:r>
        <w:fldChar w:fldCharType="begin"/>
      </w:r>
      <w:r>
        <w:instrText xml:space="preserve"> PAGEREF _Toc15862 \h </w:instrText>
      </w:r>
      <w:r>
        <w:fldChar w:fldCharType="separate"/>
      </w:r>
      <w:r>
        <w:t>71</w:t>
      </w:r>
      <w:r>
        <w:fldChar w:fldCharType="end"/>
      </w:r>
      <w:r>
        <w:rPr>
          <w:rFonts w:ascii="Times New Roman" w:hAnsi="Times New Roman" w:cs="Times New Roman"/>
          <w:szCs w:val="28"/>
          <w:highlight w:val="none"/>
        </w:rPr>
        <w:fldChar w:fldCharType="end"/>
      </w:r>
    </w:p>
    <w:p w14:paraId="78705B64">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_Toc3881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第二节 完善环境风险管理体系</w:t>
      </w:r>
      <w:r>
        <w:tab/>
      </w:r>
      <w:r>
        <w:fldChar w:fldCharType="begin"/>
      </w:r>
      <w:r>
        <w:instrText xml:space="preserve"> PAGEREF _Toc3881 \h </w:instrText>
      </w:r>
      <w:r>
        <w:fldChar w:fldCharType="separate"/>
      </w:r>
      <w:r>
        <w:t>71</w:t>
      </w:r>
      <w:r>
        <w:fldChar w:fldCharType="end"/>
      </w:r>
      <w:r>
        <w:rPr>
          <w:rFonts w:ascii="Times New Roman" w:hAnsi="Times New Roman" w:cs="Times New Roman"/>
          <w:szCs w:val="28"/>
          <w:highlight w:val="none"/>
        </w:rPr>
        <w:fldChar w:fldCharType="end"/>
      </w:r>
    </w:p>
    <w:p w14:paraId="5D543E8E">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_Toc11225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 xml:space="preserve">第八章 </w:t>
      </w:r>
      <w:r>
        <w:rPr>
          <w:rFonts w:hint="default" w:ascii="Times New Roman" w:hAnsi="Times New Roman" w:eastAsia="黑体" w:cs="Times New Roman"/>
          <w:spacing w:val="-23"/>
          <w:highlight w:val="none"/>
        </w:rPr>
        <w:t>构建现代化环境治理体系，提升生态环境治理能力</w:t>
      </w:r>
      <w:r>
        <w:tab/>
      </w:r>
      <w:r>
        <w:fldChar w:fldCharType="begin"/>
      </w:r>
      <w:r>
        <w:instrText xml:space="preserve"> PAGEREF _Toc11225 \h </w:instrText>
      </w:r>
      <w:r>
        <w:fldChar w:fldCharType="separate"/>
      </w:r>
      <w:r>
        <w:t>75</w:t>
      </w:r>
      <w:r>
        <w:fldChar w:fldCharType="end"/>
      </w:r>
      <w:r>
        <w:rPr>
          <w:rFonts w:ascii="Times New Roman" w:hAnsi="Times New Roman" w:cs="Times New Roman"/>
          <w:szCs w:val="28"/>
          <w:highlight w:val="none"/>
        </w:rPr>
        <w:fldChar w:fldCharType="end"/>
      </w:r>
    </w:p>
    <w:p w14:paraId="2FB3974B">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_Toc31066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第一节 完善管理制度，压实环境治理领导责任</w:t>
      </w:r>
      <w:r>
        <w:tab/>
      </w:r>
      <w:r>
        <w:fldChar w:fldCharType="begin"/>
      </w:r>
      <w:r>
        <w:instrText xml:space="preserve"> PAGEREF _Toc31066 \h </w:instrText>
      </w:r>
      <w:r>
        <w:fldChar w:fldCharType="separate"/>
      </w:r>
      <w:r>
        <w:t>75</w:t>
      </w:r>
      <w:r>
        <w:fldChar w:fldCharType="end"/>
      </w:r>
      <w:r>
        <w:rPr>
          <w:rFonts w:ascii="Times New Roman" w:hAnsi="Times New Roman" w:cs="Times New Roman"/>
          <w:szCs w:val="28"/>
          <w:highlight w:val="none"/>
        </w:rPr>
        <w:fldChar w:fldCharType="end"/>
      </w:r>
    </w:p>
    <w:p w14:paraId="1C5816FE">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_Toc26837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第二节 推进基础能力建设，提升环境监管力度</w:t>
      </w:r>
      <w:r>
        <w:tab/>
      </w:r>
      <w:r>
        <w:fldChar w:fldCharType="begin"/>
      </w:r>
      <w:r>
        <w:instrText xml:space="preserve"> PAGEREF _Toc26837 \h </w:instrText>
      </w:r>
      <w:r>
        <w:fldChar w:fldCharType="separate"/>
      </w:r>
      <w:r>
        <w:t>75</w:t>
      </w:r>
      <w:r>
        <w:fldChar w:fldCharType="end"/>
      </w:r>
      <w:r>
        <w:rPr>
          <w:rFonts w:ascii="Times New Roman" w:hAnsi="Times New Roman" w:cs="Times New Roman"/>
          <w:szCs w:val="28"/>
          <w:highlight w:val="none"/>
        </w:rPr>
        <w:fldChar w:fldCharType="end"/>
      </w:r>
    </w:p>
    <w:p w14:paraId="65574725">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_Toc2654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第三节 强化数字赋能，提升生态环境信息化水平</w:t>
      </w:r>
      <w:r>
        <w:tab/>
      </w:r>
      <w:r>
        <w:fldChar w:fldCharType="begin"/>
      </w:r>
      <w:r>
        <w:instrText xml:space="preserve"> PAGEREF _Toc2654 \h </w:instrText>
      </w:r>
      <w:r>
        <w:fldChar w:fldCharType="separate"/>
      </w:r>
      <w:r>
        <w:t>76</w:t>
      </w:r>
      <w:r>
        <w:fldChar w:fldCharType="end"/>
      </w:r>
      <w:r>
        <w:rPr>
          <w:rFonts w:ascii="Times New Roman" w:hAnsi="Times New Roman" w:cs="Times New Roman"/>
          <w:szCs w:val="28"/>
          <w:highlight w:val="none"/>
        </w:rPr>
        <w:fldChar w:fldCharType="end"/>
      </w:r>
    </w:p>
    <w:p w14:paraId="09A22A04">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_Toc11784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第四节 健全企业责任体系，提升源头治污水平</w:t>
      </w:r>
      <w:r>
        <w:tab/>
      </w:r>
      <w:r>
        <w:fldChar w:fldCharType="begin"/>
      </w:r>
      <w:r>
        <w:instrText xml:space="preserve"> PAGEREF _Toc11784 \h </w:instrText>
      </w:r>
      <w:r>
        <w:fldChar w:fldCharType="separate"/>
      </w:r>
      <w:r>
        <w:t>77</w:t>
      </w:r>
      <w:r>
        <w:fldChar w:fldCharType="end"/>
      </w:r>
      <w:r>
        <w:rPr>
          <w:rFonts w:ascii="Times New Roman" w:hAnsi="Times New Roman" w:cs="Times New Roman"/>
          <w:szCs w:val="28"/>
          <w:highlight w:val="none"/>
        </w:rPr>
        <w:fldChar w:fldCharType="end"/>
      </w:r>
    </w:p>
    <w:p w14:paraId="75449100">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_Toc24998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第五节 发挥市场机制，推进生态环境保护力度</w:t>
      </w:r>
      <w:r>
        <w:tab/>
      </w:r>
      <w:r>
        <w:fldChar w:fldCharType="begin"/>
      </w:r>
      <w:r>
        <w:instrText xml:space="preserve"> PAGEREF _Toc24998 \h </w:instrText>
      </w:r>
      <w:r>
        <w:fldChar w:fldCharType="separate"/>
      </w:r>
      <w:r>
        <w:t>78</w:t>
      </w:r>
      <w:r>
        <w:fldChar w:fldCharType="end"/>
      </w:r>
      <w:r>
        <w:rPr>
          <w:rFonts w:ascii="Times New Roman" w:hAnsi="Times New Roman" w:cs="Times New Roman"/>
          <w:szCs w:val="28"/>
          <w:highlight w:val="none"/>
        </w:rPr>
        <w:fldChar w:fldCharType="end"/>
      </w:r>
    </w:p>
    <w:p w14:paraId="3A5DE937">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_Toc1197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val="0"/>
          <w:snapToGrid w:val="0"/>
          <w:highlight w:val="none"/>
          <w:lang w:val="en-US" w:eastAsia="zh-CN"/>
        </w:rPr>
        <w:t>第六节 开展全民行动，积极践行绿色生活方式</w:t>
      </w:r>
      <w:r>
        <w:tab/>
      </w:r>
      <w:r>
        <w:fldChar w:fldCharType="begin"/>
      </w:r>
      <w:r>
        <w:instrText xml:space="preserve"> PAGEREF _Toc1197 \h </w:instrText>
      </w:r>
      <w:r>
        <w:fldChar w:fldCharType="separate"/>
      </w:r>
      <w:r>
        <w:t>78</w:t>
      </w:r>
      <w:r>
        <w:fldChar w:fldCharType="end"/>
      </w:r>
      <w:r>
        <w:rPr>
          <w:rFonts w:ascii="Times New Roman" w:hAnsi="Times New Roman" w:cs="Times New Roman"/>
          <w:szCs w:val="28"/>
          <w:highlight w:val="none"/>
        </w:rPr>
        <w:fldChar w:fldCharType="end"/>
      </w:r>
    </w:p>
    <w:p w14:paraId="6283C976">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_Toc21735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第九章 重点工程</w:t>
      </w:r>
      <w:r>
        <w:tab/>
      </w:r>
      <w:r>
        <w:fldChar w:fldCharType="begin"/>
      </w:r>
      <w:r>
        <w:instrText xml:space="preserve"> PAGEREF _Toc21735 \h </w:instrText>
      </w:r>
      <w:r>
        <w:fldChar w:fldCharType="separate"/>
      </w:r>
      <w:r>
        <w:t>80</w:t>
      </w:r>
      <w:r>
        <w:fldChar w:fldCharType="end"/>
      </w:r>
      <w:r>
        <w:rPr>
          <w:rFonts w:ascii="Times New Roman" w:hAnsi="Times New Roman" w:cs="Times New Roman"/>
          <w:szCs w:val="28"/>
          <w:highlight w:val="none"/>
        </w:rPr>
        <w:fldChar w:fldCharType="end"/>
      </w:r>
    </w:p>
    <w:p w14:paraId="3007F06A">
      <w:pPr>
        <w:pStyle w:val="22"/>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_Toc8055 </w:instrText>
      </w:r>
      <w:r>
        <w:rPr>
          <w:rFonts w:ascii="Times New Roman" w:hAnsi="Times New Roman" w:cs="Times New Roman"/>
          <w:szCs w:val="28"/>
          <w:highlight w:val="none"/>
        </w:rPr>
        <w:fldChar w:fldCharType="separate"/>
      </w:r>
      <w:r>
        <w:rPr>
          <w:rFonts w:hint="default" w:ascii="Times New Roman" w:hAnsi="Times New Roman" w:eastAsia="黑体" w:cs="Times New Roman"/>
          <w:bCs/>
          <w:kern w:val="44"/>
          <w:szCs w:val="44"/>
          <w:highlight w:val="none"/>
          <w:lang w:val="en-US" w:eastAsia="zh-CN" w:bidi="ar-SA"/>
        </w:rPr>
        <w:t>第十章 保障措施</w:t>
      </w:r>
      <w:r>
        <w:tab/>
      </w:r>
      <w:r>
        <w:fldChar w:fldCharType="begin"/>
      </w:r>
      <w:r>
        <w:instrText xml:space="preserve"> PAGEREF _Toc8055 \h </w:instrText>
      </w:r>
      <w:r>
        <w:fldChar w:fldCharType="separate"/>
      </w:r>
      <w:r>
        <w:t>83</w:t>
      </w:r>
      <w:r>
        <w:fldChar w:fldCharType="end"/>
      </w:r>
      <w:r>
        <w:rPr>
          <w:rFonts w:ascii="Times New Roman" w:hAnsi="Times New Roman" w:cs="Times New Roman"/>
          <w:szCs w:val="28"/>
          <w:highlight w:val="none"/>
        </w:rPr>
        <w:fldChar w:fldCharType="end"/>
      </w:r>
    </w:p>
    <w:p w14:paraId="774BA5A3">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_Toc6264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rPr>
        <w:t>第一节 强化组织领导，落实目标任务</w:t>
      </w:r>
      <w:r>
        <w:tab/>
      </w:r>
      <w:r>
        <w:fldChar w:fldCharType="begin"/>
      </w:r>
      <w:r>
        <w:instrText xml:space="preserve"> PAGEREF _Toc6264 \h </w:instrText>
      </w:r>
      <w:r>
        <w:fldChar w:fldCharType="separate"/>
      </w:r>
      <w:r>
        <w:t>83</w:t>
      </w:r>
      <w:r>
        <w:fldChar w:fldCharType="end"/>
      </w:r>
      <w:r>
        <w:rPr>
          <w:rFonts w:ascii="Times New Roman" w:hAnsi="Times New Roman" w:cs="Times New Roman"/>
          <w:szCs w:val="28"/>
          <w:highlight w:val="none"/>
        </w:rPr>
        <w:fldChar w:fldCharType="end"/>
      </w:r>
    </w:p>
    <w:p w14:paraId="5B907150">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_Toc17427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rPr>
        <w:t>第二节 强化资金保障，实施重大工程</w:t>
      </w:r>
      <w:r>
        <w:tab/>
      </w:r>
      <w:r>
        <w:fldChar w:fldCharType="begin"/>
      </w:r>
      <w:r>
        <w:instrText xml:space="preserve"> PAGEREF _Toc17427 \h </w:instrText>
      </w:r>
      <w:r>
        <w:fldChar w:fldCharType="separate"/>
      </w:r>
      <w:r>
        <w:t>83</w:t>
      </w:r>
      <w:r>
        <w:fldChar w:fldCharType="end"/>
      </w:r>
      <w:r>
        <w:rPr>
          <w:rFonts w:ascii="Times New Roman" w:hAnsi="Times New Roman" w:cs="Times New Roman"/>
          <w:szCs w:val="28"/>
          <w:highlight w:val="none"/>
        </w:rPr>
        <w:fldChar w:fldCharType="end"/>
      </w:r>
    </w:p>
    <w:p w14:paraId="19D4ED26">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_Toc23382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rPr>
        <w:t>第三节 强化人才保障，增强技术支撑</w:t>
      </w:r>
      <w:r>
        <w:tab/>
      </w:r>
      <w:r>
        <w:fldChar w:fldCharType="begin"/>
      </w:r>
      <w:r>
        <w:instrText xml:space="preserve"> PAGEREF _Toc23382 \h </w:instrText>
      </w:r>
      <w:r>
        <w:fldChar w:fldCharType="separate"/>
      </w:r>
      <w:r>
        <w:t>84</w:t>
      </w:r>
      <w:r>
        <w:fldChar w:fldCharType="end"/>
      </w:r>
      <w:r>
        <w:rPr>
          <w:rFonts w:ascii="Times New Roman" w:hAnsi="Times New Roman" w:cs="Times New Roman"/>
          <w:szCs w:val="28"/>
          <w:highlight w:val="none"/>
        </w:rPr>
        <w:fldChar w:fldCharType="end"/>
      </w:r>
    </w:p>
    <w:p w14:paraId="63C8FA71">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_Toc28034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rPr>
        <w:t>第四节 强化信息公开，推动社会监督</w:t>
      </w:r>
      <w:r>
        <w:tab/>
      </w:r>
      <w:r>
        <w:fldChar w:fldCharType="begin"/>
      </w:r>
      <w:r>
        <w:instrText xml:space="preserve"> PAGEREF _Toc28034 \h </w:instrText>
      </w:r>
      <w:r>
        <w:fldChar w:fldCharType="separate"/>
      </w:r>
      <w:r>
        <w:t>84</w:t>
      </w:r>
      <w:r>
        <w:fldChar w:fldCharType="end"/>
      </w:r>
      <w:r>
        <w:rPr>
          <w:rFonts w:ascii="Times New Roman" w:hAnsi="Times New Roman" w:cs="Times New Roman"/>
          <w:szCs w:val="28"/>
          <w:highlight w:val="none"/>
        </w:rPr>
        <w:fldChar w:fldCharType="end"/>
      </w:r>
    </w:p>
    <w:p w14:paraId="4745066F">
      <w:pPr>
        <w:pStyle w:val="26"/>
        <w:tabs>
          <w:tab w:val="right" w:leader="dot" w:pos="8306"/>
        </w:tabs>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_Toc31888 </w:instrText>
      </w:r>
      <w:r>
        <w:rPr>
          <w:rFonts w:ascii="Times New Roman" w:hAnsi="Times New Roman" w:cs="Times New Roman"/>
          <w:szCs w:val="28"/>
          <w:highlight w:val="none"/>
        </w:rPr>
        <w:fldChar w:fldCharType="separate"/>
      </w:r>
      <w:r>
        <w:rPr>
          <w:rFonts w:hint="default" w:ascii="Times New Roman" w:hAnsi="Times New Roman" w:eastAsia="楷体_GB2312" w:cs="Times New Roman"/>
          <w:bCs/>
          <w:snapToGrid w:val="0"/>
          <w:kern w:val="0"/>
          <w:szCs w:val="32"/>
          <w:highlight w:val="none"/>
        </w:rPr>
        <w:t>第五节 强化评估考核，促进规划实施</w:t>
      </w:r>
      <w:r>
        <w:tab/>
      </w:r>
      <w:r>
        <w:fldChar w:fldCharType="begin"/>
      </w:r>
      <w:r>
        <w:instrText xml:space="preserve"> PAGEREF _Toc31888 \h </w:instrText>
      </w:r>
      <w:r>
        <w:fldChar w:fldCharType="separate"/>
      </w:r>
      <w:r>
        <w:t>85</w:t>
      </w:r>
      <w:r>
        <w:fldChar w:fldCharType="end"/>
      </w:r>
      <w:r>
        <w:rPr>
          <w:rFonts w:ascii="Times New Roman" w:hAnsi="Times New Roman" w:cs="Times New Roman"/>
          <w:szCs w:val="28"/>
          <w:highlight w:val="none"/>
        </w:rPr>
        <w:fldChar w:fldCharType="end"/>
      </w:r>
    </w:p>
    <w:p w14:paraId="261892D0">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_Toc22112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表1</w:t>
      </w:r>
      <w:r>
        <w:rPr>
          <w:rFonts w:ascii="Times New Roman" w:hAnsi="Times New Roman" w:eastAsia="仿宋_GB2312" w:cs="Times New Roman"/>
          <w:szCs w:val="28"/>
          <w:highlight w:val="none"/>
        </w:rPr>
        <w:t xml:space="preserve"> 规划指标</w:t>
      </w:r>
      <w:r>
        <w:rPr>
          <w:rFonts w:hint="default" w:ascii="Times New Roman" w:hAnsi="Times New Roman" w:eastAsia="仿宋_GB2312" w:cs="Times New Roman"/>
          <w:szCs w:val="28"/>
          <w:highlight w:val="none"/>
        </w:rPr>
        <w:t>体系</w:t>
      </w:r>
      <w:r>
        <w:rPr>
          <w:szCs w:val="28"/>
          <w:highlight w:val="none"/>
        </w:rPr>
        <w:tab/>
      </w:r>
      <w:r>
        <w:rPr>
          <w:szCs w:val="28"/>
          <w:highlight w:val="none"/>
        </w:rPr>
        <w:fldChar w:fldCharType="begin"/>
      </w:r>
      <w:r>
        <w:rPr>
          <w:szCs w:val="28"/>
          <w:highlight w:val="none"/>
        </w:rPr>
        <w:instrText xml:space="preserve"> PAGEREF _Toc22112 \h </w:instrText>
      </w:r>
      <w:r>
        <w:rPr>
          <w:szCs w:val="28"/>
          <w:highlight w:val="none"/>
        </w:rPr>
        <w:fldChar w:fldCharType="separate"/>
      </w:r>
      <w:r>
        <w:rPr>
          <w:szCs w:val="28"/>
          <w:highlight w:val="none"/>
        </w:rPr>
        <w:t>86</w:t>
      </w:r>
      <w:r>
        <w:rPr>
          <w:szCs w:val="28"/>
          <w:highlight w:val="none"/>
        </w:rPr>
        <w:fldChar w:fldCharType="end"/>
      </w:r>
      <w:r>
        <w:rPr>
          <w:rFonts w:ascii="Times New Roman" w:hAnsi="Times New Roman" w:cs="Times New Roman"/>
          <w:szCs w:val="28"/>
          <w:highlight w:val="none"/>
        </w:rPr>
        <w:fldChar w:fldCharType="end"/>
      </w:r>
    </w:p>
    <w:p w14:paraId="07B81129">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_Toc27894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表2</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产业绿色发展重点工程</w:t>
      </w:r>
      <w:r>
        <w:rPr>
          <w:szCs w:val="28"/>
          <w:highlight w:val="none"/>
        </w:rPr>
        <w:tab/>
      </w:r>
      <w:r>
        <w:rPr>
          <w:szCs w:val="28"/>
          <w:highlight w:val="none"/>
        </w:rPr>
        <w:fldChar w:fldCharType="begin"/>
      </w:r>
      <w:r>
        <w:rPr>
          <w:szCs w:val="28"/>
          <w:highlight w:val="none"/>
        </w:rPr>
        <w:instrText xml:space="preserve"> PAGEREF _Toc27894 \h </w:instrText>
      </w:r>
      <w:r>
        <w:rPr>
          <w:szCs w:val="28"/>
          <w:highlight w:val="none"/>
        </w:rPr>
        <w:fldChar w:fldCharType="separate"/>
      </w:r>
      <w:r>
        <w:rPr>
          <w:szCs w:val="28"/>
          <w:highlight w:val="none"/>
        </w:rPr>
        <w:t>93</w:t>
      </w:r>
      <w:r>
        <w:rPr>
          <w:szCs w:val="28"/>
          <w:highlight w:val="none"/>
        </w:rPr>
        <w:fldChar w:fldCharType="end"/>
      </w:r>
      <w:r>
        <w:rPr>
          <w:rFonts w:ascii="Times New Roman" w:hAnsi="Times New Roman" w:cs="Times New Roman"/>
          <w:szCs w:val="28"/>
          <w:highlight w:val="none"/>
        </w:rPr>
        <w:fldChar w:fldCharType="end"/>
      </w:r>
    </w:p>
    <w:p w14:paraId="6D27A576">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_Toc21081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表3</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应对气候变化重点工程</w:t>
      </w:r>
      <w:r>
        <w:rPr>
          <w:szCs w:val="28"/>
          <w:highlight w:val="none"/>
        </w:rPr>
        <w:tab/>
      </w:r>
      <w:r>
        <w:rPr>
          <w:szCs w:val="28"/>
          <w:highlight w:val="none"/>
        </w:rPr>
        <w:fldChar w:fldCharType="begin"/>
      </w:r>
      <w:r>
        <w:rPr>
          <w:szCs w:val="28"/>
          <w:highlight w:val="none"/>
        </w:rPr>
        <w:instrText xml:space="preserve"> PAGEREF _Toc21081 \h </w:instrText>
      </w:r>
      <w:r>
        <w:rPr>
          <w:szCs w:val="28"/>
          <w:highlight w:val="none"/>
        </w:rPr>
        <w:fldChar w:fldCharType="separate"/>
      </w:r>
      <w:r>
        <w:rPr>
          <w:szCs w:val="28"/>
          <w:highlight w:val="none"/>
        </w:rPr>
        <w:t>94</w:t>
      </w:r>
      <w:r>
        <w:rPr>
          <w:szCs w:val="28"/>
          <w:highlight w:val="none"/>
        </w:rPr>
        <w:fldChar w:fldCharType="end"/>
      </w:r>
      <w:r>
        <w:rPr>
          <w:rFonts w:ascii="Times New Roman" w:hAnsi="Times New Roman" w:cs="Times New Roman"/>
          <w:szCs w:val="28"/>
          <w:highlight w:val="none"/>
        </w:rPr>
        <w:fldChar w:fldCharType="end"/>
      </w:r>
    </w:p>
    <w:p w14:paraId="78CDF4AA">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_Toc10030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表4</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环境质量改善及污染防治重点工程</w:t>
      </w:r>
      <w:r>
        <w:rPr>
          <w:szCs w:val="28"/>
          <w:highlight w:val="none"/>
        </w:rPr>
        <w:tab/>
      </w:r>
      <w:r>
        <w:rPr>
          <w:szCs w:val="28"/>
          <w:highlight w:val="none"/>
        </w:rPr>
        <w:fldChar w:fldCharType="begin"/>
      </w:r>
      <w:r>
        <w:rPr>
          <w:szCs w:val="28"/>
          <w:highlight w:val="none"/>
        </w:rPr>
        <w:instrText xml:space="preserve"> PAGEREF _Toc10030 \h </w:instrText>
      </w:r>
      <w:r>
        <w:rPr>
          <w:szCs w:val="28"/>
          <w:highlight w:val="none"/>
        </w:rPr>
        <w:fldChar w:fldCharType="separate"/>
      </w:r>
      <w:r>
        <w:rPr>
          <w:szCs w:val="28"/>
          <w:highlight w:val="none"/>
        </w:rPr>
        <w:t>95</w:t>
      </w:r>
      <w:r>
        <w:rPr>
          <w:szCs w:val="28"/>
          <w:highlight w:val="none"/>
        </w:rPr>
        <w:fldChar w:fldCharType="end"/>
      </w:r>
      <w:r>
        <w:rPr>
          <w:rFonts w:ascii="Times New Roman" w:hAnsi="Times New Roman" w:cs="Times New Roman"/>
          <w:szCs w:val="28"/>
          <w:highlight w:val="none"/>
        </w:rPr>
        <w:fldChar w:fldCharType="end"/>
      </w:r>
    </w:p>
    <w:p w14:paraId="7FF5FC18">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_Toc22623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表5</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生态保护及空间管控重点工程</w:t>
      </w:r>
      <w:r>
        <w:rPr>
          <w:szCs w:val="28"/>
          <w:highlight w:val="none"/>
        </w:rPr>
        <w:tab/>
      </w:r>
      <w:r>
        <w:rPr>
          <w:szCs w:val="28"/>
          <w:highlight w:val="none"/>
        </w:rPr>
        <w:fldChar w:fldCharType="begin"/>
      </w:r>
      <w:r>
        <w:rPr>
          <w:szCs w:val="28"/>
          <w:highlight w:val="none"/>
        </w:rPr>
        <w:instrText xml:space="preserve"> PAGEREF _Toc22623 \h </w:instrText>
      </w:r>
      <w:r>
        <w:rPr>
          <w:szCs w:val="28"/>
          <w:highlight w:val="none"/>
        </w:rPr>
        <w:fldChar w:fldCharType="separate"/>
      </w:r>
      <w:r>
        <w:rPr>
          <w:szCs w:val="28"/>
          <w:highlight w:val="none"/>
        </w:rPr>
        <w:t>100</w:t>
      </w:r>
      <w:r>
        <w:rPr>
          <w:szCs w:val="28"/>
          <w:highlight w:val="none"/>
        </w:rPr>
        <w:fldChar w:fldCharType="end"/>
      </w:r>
      <w:r>
        <w:rPr>
          <w:rFonts w:ascii="Times New Roman" w:hAnsi="Times New Roman" w:cs="Times New Roman"/>
          <w:szCs w:val="28"/>
          <w:highlight w:val="none"/>
        </w:rPr>
        <w:fldChar w:fldCharType="end"/>
      </w:r>
    </w:p>
    <w:p w14:paraId="09C698F8">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_Toc14765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表6</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环境风险防控重点工程</w:t>
      </w:r>
      <w:r>
        <w:rPr>
          <w:szCs w:val="28"/>
          <w:highlight w:val="none"/>
        </w:rPr>
        <w:tab/>
      </w:r>
      <w:r>
        <w:rPr>
          <w:szCs w:val="28"/>
          <w:highlight w:val="none"/>
        </w:rPr>
        <w:fldChar w:fldCharType="begin"/>
      </w:r>
      <w:r>
        <w:rPr>
          <w:szCs w:val="28"/>
          <w:highlight w:val="none"/>
        </w:rPr>
        <w:instrText xml:space="preserve"> PAGEREF _Toc14765 \h </w:instrText>
      </w:r>
      <w:r>
        <w:rPr>
          <w:szCs w:val="28"/>
          <w:highlight w:val="none"/>
        </w:rPr>
        <w:fldChar w:fldCharType="separate"/>
      </w:r>
      <w:r>
        <w:rPr>
          <w:szCs w:val="28"/>
          <w:highlight w:val="none"/>
        </w:rPr>
        <w:t>101</w:t>
      </w:r>
      <w:r>
        <w:rPr>
          <w:szCs w:val="28"/>
          <w:highlight w:val="none"/>
        </w:rPr>
        <w:fldChar w:fldCharType="end"/>
      </w:r>
      <w:r>
        <w:rPr>
          <w:rFonts w:ascii="Times New Roman" w:hAnsi="Times New Roman" w:cs="Times New Roman"/>
          <w:szCs w:val="28"/>
          <w:highlight w:val="none"/>
        </w:rPr>
        <w:fldChar w:fldCharType="end"/>
      </w:r>
    </w:p>
    <w:p w14:paraId="25D4D85C">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_Toc27475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表7</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生态环境治理能力建设重点工程</w:t>
      </w:r>
      <w:r>
        <w:rPr>
          <w:szCs w:val="28"/>
          <w:highlight w:val="none"/>
        </w:rPr>
        <w:tab/>
      </w:r>
      <w:r>
        <w:rPr>
          <w:szCs w:val="28"/>
          <w:highlight w:val="none"/>
        </w:rPr>
        <w:fldChar w:fldCharType="begin"/>
      </w:r>
      <w:r>
        <w:rPr>
          <w:szCs w:val="28"/>
          <w:highlight w:val="none"/>
        </w:rPr>
        <w:instrText xml:space="preserve"> PAGEREF _Toc27475 \h </w:instrText>
      </w:r>
      <w:r>
        <w:rPr>
          <w:szCs w:val="28"/>
          <w:highlight w:val="none"/>
        </w:rPr>
        <w:fldChar w:fldCharType="separate"/>
      </w:r>
      <w:r>
        <w:rPr>
          <w:szCs w:val="28"/>
          <w:highlight w:val="none"/>
        </w:rPr>
        <w:t>102</w:t>
      </w:r>
      <w:r>
        <w:rPr>
          <w:szCs w:val="28"/>
          <w:highlight w:val="none"/>
        </w:rPr>
        <w:fldChar w:fldCharType="end"/>
      </w:r>
      <w:r>
        <w:rPr>
          <w:rFonts w:ascii="Times New Roman" w:hAnsi="Times New Roman" w:cs="Times New Roman"/>
          <w:szCs w:val="28"/>
          <w:highlight w:val="none"/>
        </w:rPr>
        <w:fldChar w:fldCharType="end"/>
      </w:r>
    </w:p>
    <w:p w14:paraId="1F895364">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_Toc31003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图1</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清溪镇行政区划图</w:t>
      </w:r>
      <w:r>
        <w:rPr>
          <w:szCs w:val="28"/>
          <w:highlight w:val="none"/>
        </w:rPr>
        <w:tab/>
      </w:r>
      <w:r>
        <w:rPr>
          <w:szCs w:val="28"/>
          <w:highlight w:val="none"/>
        </w:rPr>
        <w:fldChar w:fldCharType="begin"/>
      </w:r>
      <w:r>
        <w:rPr>
          <w:szCs w:val="28"/>
          <w:highlight w:val="none"/>
        </w:rPr>
        <w:instrText xml:space="preserve"> PAGEREF _Toc31003 \h </w:instrText>
      </w:r>
      <w:r>
        <w:rPr>
          <w:szCs w:val="28"/>
          <w:highlight w:val="none"/>
        </w:rPr>
        <w:fldChar w:fldCharType="separate"/>
      </w:r>
      <w:r>
        <w:rPr>
          <w:szCs w:val="28"/>
          <w:highlight w:val="none"/>
        </w:rPr>
        <w:t>103</w:t>
      </w:r>
      <w:r>
        <w:rPr>
          <w:szCs w:val="28"/>
          <w:highlight w:val="none"/>
        </w:rPr>
        <w:fldChar w:fldCharType="end"/>
      </w:r>
      <w:r>
        <w:rPr>
          <w:rFonts w:ascii="Times New Roman" w:hAnsi="Times New Roman" w:cs="Times New Roman"/>
          <w:szCs w:val="28"/>
          <w:highlight w:val="none"/>
        </w:rPr>
        <w:fldChar w:fldCharType="end"/>
      </w:r>
    </w:p>
    <w:p w14:paraId="4025075A">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_Toc15688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图2</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清溪镇生态廊道布局图</w:t>
      </w:r>
      <w:r>
        <w:rPr>
          <w:szCs w:val="28"/>
          <w:highlight w:val="none"/>
        </w:rPr>
        <w:tab/>
      </w:r>
      <w:r>
        <w:rPr>
          <w:szCs w:val="28"/>
          <w:highlight w:val="none"/>
        </w:rPr>
        <w:fldChar w:fldCharType="begin"/>
      </w:r>
      <w:r>
        <w:rPr>
          <w:szCs w:val="28"/>
          <w:highlight w:val="none"/>
        </w:rPr>
        <w:instrText xml:space="preserve"> PAGEREF _Toc15688 \h </w:instrText>
      </w:r>
      <w:r>
        <w:rPr>
          <w:szCs w:val="28"/>
          <w:highlight w:val="none"/>
        </w:rPr>
        <w:fldChar w:fldCharType="separate"/>
      </w:r>
      <w:r>
        <w:rPr>
          <w:szCs w:val="28"/>
          <w:highlight w:val="none"/>
        </w:rPr>
        <w:t>104</w:t>
      </w:r>
      <w:r>
        <w:rPr>
          <w:szCs w:val="28"/>
          <w:highlight w:val="none"/>
        </w:rPr>
        <w:fldChar w:fldCharType="end"/>
      </w:r>
      <w:r>
        <w:rPr>
          <w:rFonts w:ascii="Times New Roman" w:hAnsi="Times New Roman" w:cs="Times New Roman"/>
          <w:szCs w:val="28"/>
          <w:highlight w:val="none"/>
        </w:rPr>
        <w:fldChar w:fldCharType="end"/>
      </w:r>
    </w:p>
    <w:p w14:paraId="17AB0DC5">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_Toc26407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图3</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清溪镇水环境监测断面分布图</w:t>
      </w:r>
      <w:r>
        <w:rPr>
          <w:szCs w:val="28"/>
          <w:highlight w:val="none"/>
        </w:rPr>
        <w:tab/>
      </w:r>
      <w:r>
        <w:rPr>
          <w:szCs w:val="28"/>
          <w:highlight w:val="none"/>
        </w:rPr>
        <w:fldChar w:fldCharType="begin"/>
      </w:r>
      <w:r>
        <w:rPr>
          <w:szCs w:val="28"/>
          <w:highlight w:val="none"/>
        </w:rPr>
        <w:instrText xml:space="preserve"> PAGEREF _Toc26407 \h </w:instrText>
      </w:r>
      <w:r>
        <w:rPr>
          <w:szCs w:val="28"/>
          <w:highlight w:val="none"/>
        </w:rPr>
        <w:fldChar w:fldCharType="separate"/>
      </w:r>
      <w:r>
        <w:rPr>
          <w:szCs w:val="28"/>
          <w:highlight w:val="none"/>
        </w:rPr>
        <w:t>105</w:t>
      </w:r>
      <w:r>
        <w:rPr>
          <w:szCs w:val="28"/>
          <w:highlight w:val="none"/>
        </w:rPr>
        <w:fldChar w:fldCharType="end"/>
      </w:r>
      <w:r>
        <w:rPr>
          <w:rFonts w:ascii="Times New Roman" w:hAnsi="Times New Roman" w:cs="Times New Roman"/>
          <w:szCs w:val="28"/>
          <w:highlight w:val="none"/>
        </w:rPr>
        <w:fldChar w:fldCharType="end"/>
      </w:r>
    </w:p>
    <w:p w14:paraId="2A78072A">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_Toc2438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图4</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清溪镇生态空间布局图</w:t>
      </w:r>
      <w:r>
        <w:rPr>
          <w:szCs w:val="28"/>
          <w:highlight w:val="none"/>
        </w:rPr>
        <w:tab/>
      </w:r>
      <w:r>
        <w:rPr>
          <w:szCs w:val="28"/>
          <w:highlight w:val="none"/>
        </w:rPr>
        <w:fldChar w:fldCharType="begin"/>
      </w:r>
      <w:r>
        <w:rPr>
          <w:szCs w:val="28"/>
          <w:highlight w:val="none"/>
        </w:rPr>
        <w:instrText xml:space="preserve"> PAGEREF _Toc2438 \h </w:instrText>
      </w:r>
      <w:r>
        <w:rPr>
          <w:szCs w:val="28"/>
          <w:highlight w:val="none"/>
        </w:rPr>
        <w:fldChar w:fldCharType="separate"/>
      </w:r>
      <w:r>
        <w:rPr>
          <w:szCs w:val="28"/>
          <w:highlight w:val="none"/>
        </w:rPr>
        <w:t>106</w:t>
      </w:r>
      <w:r>
        <w:rPr>
          <w:szCs w:val="28"/>
          <w:highlight w:val="none"/>
        </w:rPr>
        <w:fldChar w:fldCharType="end"/>
      </w:r>
      <w:r>
        <w:rPr>
          <w:rFonts w:ascii="Times New Roman" w:hAnsi="Times New Roman" w:cs="Times New Roman"/>
          <w:szCs w:val="28"/>
          <w:highlight w:val="none"/>
        </w:rPr>
        <w:fldChar w:fldCharType="end"/>
      </w:r>
    </w:p>
    <w:p w14:paraId="019D12C3">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_Toc30952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图5</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清溪镇地表水环境功能区划示意图</w:t>
      </w:r>
      <w:r>
        <w:rPr>
          <w:szCs w:val="28"/>
          <w:highlight w:val="none"/>
        </w:rPr>
        <w:tab/>
      </w:r>
      <w:r>
        <w:rPr>
          <w:szCs w:val="28"/>
          <w:highlight w:val="none"/>
        </w:rPr>
        <w:fldChar w:fldCharType="begin"/>
      </w:r>
      <w:r>
        <w:rPr>
          <w:szCs w:val="28"/>
          <w:highlight w:val="none"/>
        </w:rPr>
        <w:instrText xml:space="preserve"> PAGEREF _Toc30952 \h </w:instrText>
      </w:r>
      <w:r>
        <w:rPr>
          <w:szCs w:val="28"/>
          <w:highlight w:val="none"/>
        </w:rPr>
        <w:fldChar w:fldCharType="separate"/>
      </w:r>
      <w:r>
        <w:rPr>
          <w:szCs w:val="28"/>
          <w:highlight w:val="none"/>
        </w:rPr>
        <w:t>107</w:t>
      </w:r>
      <w:r>
        <w:rPr>
          <w:szCs w:val="28"/>
          <w:highlight w:val="none"/>
        </w:rPr>
        <w:fldChar w:fldCharType="end"/>
      </w:r>
      <w:r>
        <w:rPr>
          <w:rFonts w:ascii="Times New Roman" w:hAnsi="Times New Roman" w:cs="Times New Roman"/>
          <w:szCs w:val="28"/>
          <w:highlight w:val="none"/>
        </w:rPr>
        <w:fldChar w:fldCharType="end"/>
      </w:r>
    </w:p>
    <w:p w14:paraId="6E246ECF">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_Toc17394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图6</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清溪镇大气环境功能示意图</w:t>
      </w:r>
      <w:r>
        <w:rPr>
          <w:szCs w:val="28"/>
          <w:highlight w:val="none"/>
        </w:rPr>
        <w:tab/>
      </w:r>
      <w:r>
        <w:rPr>
          <w:szCs w:val="28"/>
          <w:highlight w:val="none"/>
        </w:rPr>
        <w:fldChar w:fldCharType="begin"/>
      </w:r>
      <w:r>
        <w:rPr>
          <w:szCs w:val="28"/>
          <w:highlight w:val="none"/>
        </w:rPr>
        <w:instrText xml:space="preserve"> PAGEREF _Toc17394 \h </w:instrText>
      </w:r>
      <w:r>
        <w:rPr>
          <w:szCs w:val="28"/>
          <w:highlight w:val="none"/>
        </w:rPr>
        <w:fldChar w:fldCharType="separate"/>
      </w:r>
      <w:r>
        <w:rPr>
          <w:szCs w:val="28"/>
          <w:highlight w:val="none"/>
        </w:rPr>
        <w:t>108</w:t>
      </w:r>
      <w:r>
        <w:rPr>
          <w:szCs w:val="28"/>
          <w:highlight w:val="none"/>
        </w:rPr>
        <w:fldChar w:fldCharType="end"/>
      </w:r>
      <w:r>
        <w:rPr>
          <w:rFonts w:ascii="Times New Roman" w:hAnsi="Times New Roman" w:cs="Times New Roman"/>
          <w:szCs w:val="28"/>
          <w:highlight w:val="none"/>
        </w:rPr>
        <w:fldChar w:fldCharType="end"/>
      </w:r>
    </w:p>
    <w:p w14:paraId="4A7C9C68">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_Toc304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图7</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清溪镇声环境功能区划图</w:t>
      </w:r>
      <w:r>
        <w:rPr>
          <w:szCs w:val="28"/>
          <w:highlight w:val="none"/>
        </w:rPr>
        <w:tab/>
      </w:r>
      <w:r>
        <w:rPr>
          <w:szCs w:val="28"/>
          <w:highlight w:val="none"/>
        </w:rPr>
        <w:fldChar w:fldCharType="begin"/>
      </w:r>
      <w:r>
        <w:rPr>
          <w:szCs w:val="28"/>
          <w:highlight w:val="none"/>
        </w:rPr>
        <w:instrText xml:space="preserve"> PAGEREF _Toc304 \h </w:instrText>
      </w:r>
      <w:r>
        <w:rPr>
          <w:szCs w:val="28"/>
          <w:highlight w:val="none"/>
        </w:rPr>
        <w:fldChar w:fldCharType="separate"/>
      </w:r>
      <w:r>
        <w:rPr>
          <w:szCs w:val="28"/>
          <w:highlight w:val="none"/>
        </w:rPr>
        <w:t>109</w:t>
      </w:r>
      <w:r>
        <w:rPr>
          <w:szCs w:val="28"/>
          <w:highlight w:val="none"/>
        </w:rPr>
        <w:fldChar w:fldCharType="end"/>
      </w:r>
      <w:r>
        <w:rPr>
          <w:rFonts w:ascii="Times New Roman" w:hAnsi="Times New Roman" w:cs="Times New Roman"/>
          <w:szCs w:val="28"/>
          <w:highlight w:val="none"/>
        </w:rPr>
        <w:fldChar w:fldCharType="end"/>
      </w:r>
    </w:p>
    <w:p w14:paraId="3F878F66">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_Toc26234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图8</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清溪镇污水处理设施规划分布示意图</w:t>
      </w:r>
      <w:r>
        <w:rPr>
          <w:szCs w:val="28"/>
          <w:highlight w:val="none"/>
        </w:rPr>
        <w:tab/>
      </w:r>
      <w:r>
        <w:rPr>
          <w:szCs w:val="28"/>
          <w:highlight w:val="none"/>
        </w:rPr>
        <w:fldChar w:fldCharType="begin"/>
      </w:r>
      <w:r>
        <w:rPr>
          <w:szCs w:val="28"/>
          <w:highlight w:val="none"/>
        </w:rPr>
        <w:instrText xml:space="preserve"> PAGEREF _Toc26234 \h </w:instrText>
      </w:r>
      <w:r>
        <w:rPr>
          <w:szCs w:val="28"/>
          <w:highlight w:val="none"/>
        </w:rPr>
        <w:fldChar w:fldCharType="separate"/>
      </w:r>
      <w:r>
        <w:rPr>
          <w:szCs w:val="28"/>
          <w:highlight w:val="none"/>
        </w:rPr>
        <w:t>110</w:t>
      </w:r>
      <w:r>
        <w:rPr>
          <w:szCs w:val="28"/>
          <w:highlight w:val="none"/>
        </w:rPr>
        <w:fldChar w:fldCharType="end"/>
      </w:r>
      <w:r>
        <w:rPr>
          <w:rFonts w:ascii="Times New Roman" w:hAnsi="Times New Roman" w:cs="Times New Roman"/>
          <w:szCs w:val="28"/>
          <w:highlight w:val="none"/>
        </w:rPr>
        <w:fldChar w:fldCharType="end"/>
      </w:r>
    </w:p>
    <w:p w14:paraId="71D8B244">
      <w:pPr>
        <w:pStyle w:val="26"/>
        <w:tabs>
          <w:tab w:val="right" w:leader="dot" w:pos="8306"/>
        </w:tabs>
        <w:rPr>
          <w:szCs w:val="28"/>
          <w:highlight w:val="none"/>
        </w:rPr>
      </w:pPr>
      <w:r>
        <w:rPr>
          <w:rFonts w:ascii="Times New Roman" w:hAnsi="Times New Roman" w:cs="Times New Roman"/>
          <w:szCs w:val="28"/>
          <w:highlight w:val="none"/>
        </w:rPr>
        <w:fldChar w:fldCharType="begin"/>
      </w:r>
      <w:r>
        <w:rPr>
          <w:rFonts w:ascii="Times New Roman" w:hAnsi="Times New Roman" w:cs="Times New Roman"/>
          <w:szCs w:val="28"/>
          <w:highlight w:val="none"/>
        </w:rPr>
        <w:instrText xml:space="preserve"> HYPERLINK \l _Toc19524 </w:instrText>
      </w:r>
      <w:r>
        <w:rPr>
          <w:rFonts w:ascii="Times New Roman" w:hAnsi="Times New Roman" w:cs="Times New Roman"/>
          <w:szCs w:val="28"/>
          <w:highlight w:val="none"/>
        </w:rPr>
        <w:fldChar w:fldCharType="separate"/>
      </w:r>
      <w:r>
        <w:rPr>
          <w:rFonts w:ascii="Times New Roman" w:hAnsi="Times New Roman" w:eastAsia="仿宋_GB2312" w:cs="Times New Roman"/>
          <w:szCs w:val="28"/>
          <w:highlight w:val="none"/>
        </w:rPr>
        <w:t>附</w:t>
      </w:r>
      <w:r>
        <w:rPr>
          <w:rFonts w:hint="default" w:ascii="Times New Roman" w:hAnsi="Times New Roman" w:eastAsia="仿宋_GB2312" w:cs="Times New Roman"/>
          <w:szCs w:val="28"/>
          <w:highlight w:val="none"/>
          <w:lang w:val="en-US" w:eastAsia="zh-CN"/>
        </w:rPr>
        <w:t>图9</w:t>
      </w:r>
      <w:r>
        <w:rPr>
          <w:rFonts w:ascii="Times New Roman" w:hAnsi="Times New Roman" w:eastAsia="仿宋_GB2312" w:cs="Times New Roman"/>
          <w:szCs w:val="28"/>
          <w:highlight w:val="none"/>
        </w:rPr>
        <w:t xml:space="preserve"> </w:t>
      </w:r>
      <w:r>
        <w:rPr>
          <w:rFonts w:hint="default" w:ascii="Times New Roman" w:hAnsi="Times New Roman" w:eastAsia="仿宋_GB2312" w:cs="Times New Roman"/>
          <w:szCs w:val="28"/>
          <w:highlight w:val="none"/>
          <w:lang w:val="en-US" w:eastAsia="zh-CN"/>
        </w:rPr>
        <w:t>清溪镇林地建设及质量提升规划布局图</w:t>
      </w:r>
      <w:r>
        <w:rPr>
          <w:szCs w:val="28"/>
          <w:highlight w:val="none"/>
        </w:rPr>
        <w:tab/>
      </w:r>
      <w:r>
        <w:rPr>
          <w:szCs w:val="28"/>
          <w:highlight w:val="none"/>
        </w:rPr>
        <w:fldChar w:fldCharType="begin"/>
      </w:r>
      <w:r>
        <w:rPr>
          <w:szCs w:val="28"/>
          <w:highlight w:val="none"/>
        </w:rPr>
        <w:instrText xml:space="preserve"> PAGEREF _Toc19524 \h </w:instrText>
      </w:r>
      <w:r>
        <w:rPr>
          <w:szCs w:val="28"/>
          <w:highlight w:val="none"/>
        </w:rPr>
        <w:fldChar w:fldCharType="separate"/>
      </w:r>
      <w:r>
        <w:rPr>
          <w:szCs w:val="28"/>
          <w:highlight w:val="none"/>
        </w:rPr>
        <w:t>111</w:t>
      </w:r>
      <w:r>
        <w:rPr>
          <w:szCs w:val="28"/>
          <w:highlight w:val="none"/>
        </w:rPr>
        <w:fldChar w:fldCharType="end"/>
      </w:r>
      <w:r>
        <w:rPr>
          <w:rFonts w:ascii="Times New Roman" w:hAnsi="Times New Roman" w:cs="Times New Roman"/>
          <w:szCs w:val="28"/>
          <w:highlight w:val="none"/>
        </w:rPr>
        <w:fldChar w:fldCharType="end"/>
      </w:r>
    </w:p>
    <w:p w14:paraId="47EB3FA0">
      <w:pPr>
        <w:pStyle w:val="22"/>
        <w:pageBreakBefore w:val="0"/>
        <w:tabs>
          <w:tab w:val="right" w:leader="dot" w:pos="8296"/>
        </w:tabs>
        <w:kinsoku/>
        <w:wordWrap/>
        <w:bidi w:val="0"/>
        <w:adjustRightInd w:val="0"/>
        <w:snapToGrid w:val="0"/>
        <w:spacing w:line="360" w:lineRule="auto"/>
        <w:rPr>
          <w:rFonts w:ascii="Times New Roman" w:hAnsi="Times New Roman" w:cs="Times New Roman"/>
          <w:highlight w:val="none"/>
        </w:rPr>
      </w:pPr>
      <w:r>
        <w:rPr>
          <w:rFonts w:ascii="Times New Roman" w:hAnsi="Times New Roman" w:cs="Times New Roman"/>
          <w:szCs w:val="28"/>
          <w:highlight w:val="none"/>
        </w:rPr>
        <w:fldChar w:fldCharType="end"/>
      </w:r>
    </w:p>
    <w:p w14:paraId="126924CB">
      <w:pPr>
        <w:pStyle w:val="3"/>
        <w:pageBreakBefore w:val="0"/>
        <w:kinsoku/>
        <w:wordWrap/>
        <w:bidi w:val="0"/>
        <w:spacing w:line="360" w:lineRule="auto"/>
        <w:rPr>
          <w:rFonts w:ascii="Times New Roman" w:hAnsi="Times New Roman" w:eastAsia="仿宋_GB2312" w:cs="Times New Roman"/>
          <w:kern w:val="2"/>
          <w:sz w:val="40"/>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bookmarkStart w:id="0" w:name="_Toc475439283"/>
    </w:p>
    <w:bookmarkEnd w:id="0"/>
    <w:p w14:paraId="7CE7E21D">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sz w:val="36"/>
          <w:highlight w:val="none"/>
          <w:lang w:val="en-US" w:eastAsia="zh-CN"/>
        </w:rPr>
      </w:pPr>
      <w:bookmarkStart w:id="1" w:name="_Toc3075"/>
      <w:bookmarkStart w:id="2" w:name="_Toc2845"/>
      <w:bookmarkStart w:id="3" w:name="_Toc21876"/>
      <w:bookmarkStart w:id="4" w:name="_Toc29877"/>
      <w:bookmarkStart w:id="5" w:name="_Toc4844"/>
      <w:bookmarkStart w:id="6" w:name="_Toc9351"/>
      <w:bookmarkStart w:id="7" w:name="_Toc10416"/>
      <w:bookmarkStart w:id="8" w:name="_Toc14341"/>
      <w:bookmarkStart w:id="9" w:name="_Toc1577"/>
      <w:bookmarkStart w:id="10" w:name="_Toc31145"/>
      <w:bookmarkStart w:id="11" w:name="_Toc25515"/>
      <w:r>
        <w:rPr>
          <w:rFonts w:hint="default" w:ascii="Times New Roman" w:hAnsi="Times New Roman" w:eastAsia="黑体" w:cs="Times New Roman"/>
          <w:b w:val="0"/>
          <w:sz w:val="36"/>
          <w:highlight w:val="none"/>
          <w:lang w:val="en-US" w:eastAsia="zh-CN"/>
        </w:rPr>
        <w:t>第一章 规划背景与形势</w:t>
      </w:r>
      <w:bookmarkEnd w:id="1"/>
      <w:bookmarkEnd w:id="2"/>
      <w:bookmarkEnd w:id="3"/>
      <w:bookmarkEnd w:id="4"/>
      <w:bookmarkEnd w:id="5"/>
      <w:bookmarkEnd w:id="6"/>
      <w:bookmarkEnd w:id="7"/>
      <w:bookmarkEnd w:id="8"/>
      <w:bookmarkEnd w:id="9"/>
      <w:bookmarkEnd w:id="10"/>
      <w:bookmarkEnd w:id="11"/>
    </w:p>
    <w:p w14:paraId="289C5440">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lang w:val="en-US" w:eastAsia="zh-CN"/>
        </w:rPr>
      </w:pPr>
      <w:bookmarkStart w:id="12" w:name="_Toc27876"/>
      <w:bookmarkStart w:id="13" w:name="_Toc13469"/>
      <w:bookmarkStart w:id="14" w:name="_Toc25658"/>
      <w:bookmarkStart w:id="15" w:name="_Toc2969"/>
      <w:bookmarkStart w:id="16" w:name="_Toc28277"/>
      <w:bookmarkStart w:id="17" w:name="_Toc28701"/>
      <w:bookmarkStart w:id="18" w:name="_Toc3875"/>
      <w:bookmarkStart w:id="19" w:name="_Toc14329"/>
      <w:bookmarkStart w:id="20" w:name="_Toc4838"/>
      <w:bookmarkStart w:id="21" w:name="_Toc2829"/>
      <w:bookmarkStart w:id="22" w:name="_Toc11619"/>
      <w:r>
        <w:rPr>
          <w:rFonts w:hint="default" w:ascii="Times New Roman" w:hAnsi="Times New Roman" w:eastAsia="楷体_GB2312" w:cs="Times New Roman"/>
          <w:b/>
          <w:bCs/>
          <w:snapToGrid w:val="0"/>
          <w:kern w:val="0"/>
          <w:sz w:val="32"/>
          <w:szCs w:val="32"/>
          <w:highlight w:val="none"/>
          <w:lang w:val="en-US" w:eastAsia="zh-CN"/>
        </w:rPr>
        <w:t xml:space="preserve">第一节 </w:t>
      </w:r>
      <w:bookmarkEnd w:id="12"/>
      <w:bookmarkEnd w:id="13"/>
      <w:bookmarkEnd w:id="14"/>
      <w:bookmarkEnd w:id="15"/>
      <w:bookmarkEnd w:id="16"/>
      <w:r>
        <w:rPr>
          <w:rFonts w:hint="eastAsia" w:eastAsia="楷体_GB2312" w:cs="Times New Roman"/>
          <w:b/>
          <w:bCs/>
          <w:snapToGrid w:val="0"/>
          <w:kern w:val="0"/>
          <w:sz w:val="32"/>
          <w:szCs w:val="32"/>
          <w:highlight w:val="none"/>
          <w:lang w:val="en-US" w:eastAsia="zh-CN"/>
        </w:rPr>
        <w:t>2017-2020年环境保护规划实施情况评估</w:t>
      </w:r>
      <w:bookmarkEnd w:id="17"/>
      <w:bookmarkEnd w:id="18"/>
      <w:bookmarkEnd w:id="19"/>
      <w:bookmarkEnd w:id="20"/>
      <w:bookmarkEnd w:id="21"/>
      <w:bookmarkEnd w:id="22"/>
    </w:p>
    <w:p w14:paraId="4636AE16">
      <w:pPr>
        <w:pStyle w:val="5"/>
        <w:pageBreakBefore w:val="0"/>
        <w:kinsoku/>
        <w:wordWrap/>
        <w:bidi w:val="0"/>
        <w:spacing w:beforeLines="0" w:afterLines="0" w:line="360" w:lineRule="auto"/>
        <w:ind w:firstLine="640" w:firstLineChars="200"/>
        <w:outlineLvl w:val="2"/>
        <w:rPr>
          <w:rFonts w:hint="eastAsia" w:ascii="黑体" w:hAnsi="黑体" w:eastAsia="黑体" w:cs="黑体"/>
          <w:b w:val="0"/>
          <w:sz w:val="32"/>
          <w:szCs w:val="32"/>
          <w:highlight w:val="none"/>
          <w:lang w:val="en-US" w:eastAsia="zh-CN"/>
        </w:rPr>
      </w:pPr>
      <w:r>
        <w:rPr>
          <w:rFonts w:hint="eastAsia" w:ascii="黑体" w:hAnsi="黑体" w:eastAsia="黑体" w:cs="黑体"/>
          <w:b w:val="0"/>
          <w:sz w:val="32"/>
          <w:szCs w:val="32"/>
          <w:highlight w:val="none"/>
          <w:lang w:val="en-US" w:eastAsia="zh-CN"/>
        </w:rPr>
        <w:t>一、工作回顾</w:t>
      </w:r>
    </w:p>
    <w:p w14:paraId="63D0E7E9">
      <w:pPr>
        <w:pageBreakBefore w:val="0"/>
        <w:kinsoku/>
        <w:wordWrap/>
        <w:bidi w:val="0"/>
        <w:spacing w:beforeLines="0" w:afterLines="0" w:line="360" w:lineRule="auto"/>
        <w:ind w:firstLine="640" w:firstLineChars="200"/>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2017-2020年</w:t>
      </w:r>
      <w:r>
        <w:rPr>
          <w:rFonts w:hint="default" w:ascii="Times New Roman" w:hAnsi="Times New Roman" w:eastAsia="仿宋_GB2312" w:cs="Times New Roman"/>
          <w:sz w:val="32"/>
          <w:szCs w:val="32"/>
          <w:highlight w:val="none"/>
          <w:lang w:val="en-US" w:eastAsia="zh-CN"/>
        </w:rPr>
        <w:t>，清溪镇深入贯彻</w:t>
      </w:r>
      <w:r>
        <w:rPr>
          <w:rFonts w:hint="eastAsia" w:ascii="Times New Roman" w:hAnsi="Times New Roman" w:eastAsia="仿宋_GB2312" w:cs="Times New Roman"/>
          <w:sz w:val="32"/>
          <w:szCs w:val="32"/>
          <w:highlight w:val="none"/>
          <w:lang w:val="en-US" w:eastAsia="zh-CN"/>
        </w:rPr>
        <w:t>落实</w:t>
      </w:r>
      <w:r>
        <w:rPr>
          <w:rFonts w:hint="default" w:ascii="Times New Roman" w:hAnsi="Times New Roman" w:eastAsia="仿宋_GB2312" w:cs="Times New Roman"/>
          <w:sz w:val="32"/>
          <w:szCs w:val="32"/>
          <w:highlight w:val="none"/>
          <w:lang w:val="en-US" w:eastAsia="zh-CN"/>
        </w:rPr>
        <w:t>习近平生态文明思想，始终把污染防治工作放在突出位置，生态环境保护工作取得重要进展，生态环境质量明显改善，环境监管能力有效提升。</w:t>
      </w:r>
    </w:p>
    <w:p w14:paraId="5219B437">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both"/>
        <w:textAlignment w:val="auto"/>
        <w:outlineLvl w:val="2"/>
        <w:rPr>
          <w:rFonts w:hint="eastAsia" w:ascii="楷体_GB2312" w:hAnsi="楷体_GB2312" w:eastAsia="楷体_GB2312" w:cs="楷体_GB2312"/>
          <w:b w:val="0"/>
          <w:bCs/>
          <w:sz w:val="32"/>
          <w:szCs w:val="32"/>
          <w:highlight w:val="none"/>
        </w:rPr>
      </w:pPr>
      <w:r>
        <w:rPr>
          <w:rFonts w:hint="eastAsia" w:ascii="楷体_GB2312" w:hAnsi="楷体_GB2312" w:eastAsia="楷体_GB2312" w:cs="楷体_GB2312"/>
          <w:b w:val="0"/>
          <w:bCs/>
          <w:sz w:val="32"/>
          <w:szCs w:val="32"/>
          <w:highlight w:val="none"/>
          <w:lang w:val="en-US" w:eastAsia="zh-CN"/>
        </w:rPr>
        <w:t>（一）</w:t>
      </w:r>
      <w:r>
        <w:rPr>
          <w:rFonts w:hint="eastAsia" w:ascii="楷体_GB2312" w:hAnsi="楷体_GB2312" w:eastAsia="楷体_GB2312" w:cs="楷体_GB2312"/>
          <w:b w:val="0"/>
          <w:bCs/>
          <w:sz w:val="32"/>
          <w:szCs w:val="32"/>
          <w:highlight w:val="none"/>
        </w:rPr>
        <w:t>攻坚克难，坚决打赢三大战役</w:t>
      </w:r>
    </w:p>
    <w:p w14:paraId="10C0CB62">
      <w:pPr>
        <w:pageBreakBefore w:val="0"/>
        <w:kinsoku/>
        <w:wordWrap/>
        <w:bidi w:val="0"/>
        <w:spacing w:beforeLines="0" w:afterLines="0" w:line="360" w:lineRule="auto"/>
        <w:ind w:firstLine="643" w:firstLineChars="200"/>
        <w:rPr>
          <w:rFonts w:hint="default" w:ascii="Times New Roman" w:hAnsi="Times New Roman" w:eastAsia="仿宋_GB2312" w:cs="Times New Roman"/>
          <w:b w:val="0"/>
          <w:bCs/>
          <w:sz w:val="32"/>
          <w:szCs w:val="32"/>
          <w:highlight w:val="none"/>
        </w:rPr>
      </w:pPr>
      <w:r>
        <w:rPr>
          <w:rFonts w:hint="default" w:ascii="Times New Roman" w:hAnsi="Times New Roman" w:eastAsia="仿宋_GB2312" w:cs="Times New Roman"/>
          <w:b/>
          <w:sz w:val="32"/>
          <w:szCs w:val="32"/>
          <w:highlight w:val="none"/>
        </w:rPr>
        <w:t>水体环境质量更加优良。</w:t>
      </w:r>
      <w:r>
        <w:rPr>
          <w:rFonts w:hint="default" w:ascii="Times New Roman" w:hAnsi="Times New Roman" w:eastAsia="仿宋_GB2312" w:cs="Times New Roman"/>
          <w:b w:val="0"/>
          <w:bCs/>
          <w:sz w:val="32"/>
          <w:szCs w:val="32"/>
          <w:highlight w:val="none"/>
        </w:rPr>
        <w:t>以前所未有的力度全面打响水污染治理攻坚战，扎实推进系统化治水工程，建成截污管网635公里全通水，完成197个非工业区地块、1521家工业厂房雨污分流改造，完成1553个排污口整治及2家污水处理厂提标工程。</w:t>
      </w:r>
      <w:r>
        <w:rPr>
          <w:rFonts w:hint="eastAsia" w:eastAsia="仿宋_GB2312" w:cs="Times New Roman"/>
          <w:b w:val="0"/>
          <w:bCs/>
          <w:sz w:val="32"/>
          <w:szCs w:val="32"/>
          <w:highlight w:val="none"/>
          <w:lang w:val="en-US" w:eastAsia="zh-CN"/>
        </w:rPr>
        <w:t>2020年，清溪镇基本完成13项重点工作，马滩断面全年稳定达到V类水目标，氨氮浓度均值为1.49mg/L，较2019年同期下降67.29%；总磷浓度均值为0.33mg/L，较2019年同期下降60.54%，完成全年稳定达标任务。其他10个市考断面水质亦呈逐年改善趋势，氨氮月均值同比下降33%-84%，总磷月均值同比下降31%-90%</w:t>
      </w:r>
      <w:r>
        <w:rPr>
          <w:rStyle w:val="35"/>
          <w:rFonts w:hint="eastAsia" w:eastAsia="仿宋_GB2312" w:cs="Times New Roman"/>
          <w:b w:val="0"/>
          <w:bCs/>
          <w:sz w:val="32"/>
          <w:szCs w:val="32"/>
          <w:highlight w:val="none"/>
          <w:lang w:val="en-US" w:eastAsia="zh-CN"/>
        </w:rPr>
        <w:footnoteReference w:id="0"/>
      </w:r>
      <w:r>
        <w:rPr>
          <w:rFonts w:hint="eastAsia" w:eastAsia="仿宋_GB2312" w:cs="Times New Roman"/>
          <w:b w:val="0"/>
          <w:bCs/>
          <w:sz w:val="32"/>
          <w:szCs w:val="32"/>
          <w:highlight w:val="none"/>
          <w:lang w:val="en-US" w:eastAsia="zh-CN"/>
        </w:rPr>
        <w:t>。</w:t>
      </w:r>
      <w:r>
        <w:rPr>
          <w:rFonts w:hint="default" w:ascii="Times New Roman" w:hAnsi="Times New Roman" w:eastAsia="仿宋_GB2312" w:cs="Times New Roman"/>
          <w:b w:val="0"/>
          <w:bCs/>
          <w:sz w:val="32"/>
          <w:szCs w:val="32"/>
          <w:highlight w:val="none"/>
        </w:rPr>
        <w:t>集中式饮用水源地水质达标率保持100%。</w:t>
      </w:r>
    </w:p>
    <w:p w14:paraId="26C4799D">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val="0"/>
          <w:sz w:val="32"/>
          <w:szCs w:val="32"/>
          <w:highlight w:val="none"/>
        </w:rPr>
        <w:t>大气环境质量持续向好。</w:t>
      </w:r>
      <w:r>
        <w:rPr>
          <w:rFonts w:hint="default" w:ascii="Times New Roman" w:hAnsi="Times New Roman" w:eastAsia="仿宋_GB2312" w:cs="Times New Roman"/>
          <w:b w:val="0"/>
          <w:bCs/>
          <w:sz w:val="32"/>
          <w:szCs w:val="32"/>
          <w:highlight w:val="none"/>
        </w:rPr>
        <w:t>以更高的标准推进蓝天净土保卫战，制定实施蓝天保卫战16项措施，开展“散乱污”企业、VOCs企业、生物质成型燃料锅炉等专项整治行动，大力治理泥头车和砂石运输车辆“扬撒滴漏”问题</w:t>
      </w:r>
      <w:r>
        <w:rPr>
          <w:rFonts w:hint="eastAsia"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累计整治“散乱污”企业2252家、治理VOCs企业182家，</w:t>
      </w:r>
      <w:r>
        <w:rPr>
          <w:rFonts w:hint="eastAsia" w:eastAsia="仿宋_GB2312" w:cs="Times New Roman"/>
          <w:b w:val="0"/>
          <w:bCs/>
          <w:sz w:val="32"/>
          <w:szCs w:val="32"/>
          <w:highlight w:val="none"/>
          <w:lang w:val="en-US" w:eastAsia="zh-CN"/>
        </w:rPr>
        <w:t>2020年，</w:t>
      </w:r>
      <w:r>
        <w:rPr>
          <w:rFonts w:hint="default" w:ascii="Times New Roman" w:hAnsi="Times New Roman" w:eastAsia="仿宋_GB2312" w:cs="Times New Roman"/>
          <w:b w:val="0"/>
          <w:bCs/>
          <w:sz w:val="32"/>
          <w:szCs w:val="32"/>
          <w:highlight w:val="none"/>
        </w:rPr>
        <w:t>空气质量达标天数占比提升至91.</w:t>
      </w:r>
      <w:r>
        <w:rPr>
          <w:rFonts w:hint="eastAsia" w:eastAsia="仿宋_GB2312" w:cs="Times New Roman"/>
          <w:b w:val="0"/>
          <w:bCs/>
          <w:sz w:val="32"/>
          <w:szCs w:val="32"/>
          <w:highlight w:val="none"/>
          <w:lang w:val="en-US" w:eastAsia="zh-CN"/>
        </w:rPr>
        <w:t>2</w:t>
      </w:r>
      <w:r>
        <w:rPr>
          <w:rFonts w:hint="default" w:ascii="Times New Roman" w:hAnsi="Times New Roman" w:eastAsia="仿宋_GB2312" w:cs="Times New Roman"/>
          <w:b w:val="0"/>
          <w:bCs/>
          <w:sz w:val="32"/>
          <w:szCs w:val="32"/>
          <w:highlight w:val="none"/>
        </w:rPr>
        <w:t>%，比2017年多22天，PM2.5平均浓度比2017年下降</w:t>
      </w:r>
      <w:r>
        <w:rPr>
          <w:rFonts w:hint="eastAsia" w:eastAsia="仿宋_GB2312" w:cs="Times New Roman"/>
          <w:b w:val="0"/>
          <w:bCs/>
          <w:sz w:val="32"/>
          <w:szCs w:val="32"/>
          <w:highlight w:val="none"/>
          <w:lang w:val="en-US" w:eastAsia="zh-CN"/>
        </w:rPr>
        <w:t>38.5</w:t>
      </w:r>
      <w:r>
        <w:rPr>
          <w:rFonts w:hint="default" w:ascii="Times New Roman" w:hAnsi="Times New Roman" w:eastAsia="仿宋_GB2312" w:cs="Times New Roman"/>
          <w:b w:val="0"/>
          <w:bCs/>
          <w:sz w:val="32"/>
          <w:szCs w:val="32"/>
          <w:highlight w:val="none"/>
        </w:rPr>
        <w:t>%，空气质量在市内排名中长期名列前茅。</w:t>
      </w:r>
    </w:p>
    <w:p w14:paraId="38DE1F3F">
      <w:pPr>
        <w:pageBreakBefore w:val="0"/>
        <w:kinsoku/>
        <w:wordWrap/>
        <w:bidi w:val="0"/>
        <w:spacing w:beforeLines="0" w:afterLines="0" w:line="360" w:lineRule="auto"/>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val="0"/>
          <w:sz w:val="32"/>
          <w:szCs w:val="32"/>
          <w:highlight w:val="none"/>
        </w:rPr>
        <w:t>土壤和固废污染防治有序推进。</w:t>
      </w:r>
      <w:r>
        <w:rPr>
          <w:rFonts w:hint="default" w:ascii="Times New Roman" w:hAnsi="Times New Roman" w:eastAsia="仿宋_GB2312" w:cs="Times New Roman"/>
          <w:b w:val="0"/>
          <w:bCs/>
          <w:sz w:val="32"/>
          <w:szCs w:val="32"/>
          <w:highlight w:val="none"/>
        </w:rPr>
        <w:t>顺利完成罗马垃圾填埋场综合治理工程，渗滤液污染物、臭气浓度等四项指标明显下降</w:t>
      </w:r>
      <w:r>
        <w:rPr>
          <w:rFonts w:hint="eastAsia"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全镇新增生活垃圾全部外运焚烧处理，镇级厨余垃圾处理中心正式运营，居民社区、清厦村、荔横村、上元村、土桥村、松岗村、铁场村、长山头村8个村</w:t>
      </w:r>
      <w:r>
        <w:rPr>
          <w:rFonts w:hint="eastAsia"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社区</w:t>
      </w:r>
      <w:r>
        <w:rPr>
          <w:rFonts w:hint="eastAsia" w:eastAsia="仿宋_GB2312" w:cs="Times New Roman"/>
          <w:b w:val="0"/>
          <w:bCs/>
          <w:sz w:val="32"/>
          <w:szCs w:val="32"/>
          <w:highlight w:val="none"/>
          <w:lang w:eastAsia="zh-CN"/>
        </w:rPr>
        <w:t>）</w:t>
      </w:r>
      <w:r>
        <w:rPr>
          <w:rFonts w:hint="default" w:ascii="Times New Roman" w:hAnsi="Times New Roman" w:eastAsia="仿宋_GB2312" w:cs="Times New Roman"/>
          <w:b w:val="0"/>
          <w:bCs/>
          <w:sz w:val="32"/>
          <w:szCs w:val="32"/>
          <w:highlight w:val="none"/>
        </w:rPr>
        <w:t>已建成生活垃圾分类处理系统。大力推进危险废物申报登记，2020年申报企业837家，申报率为82.38%，比2016年提高42%。</w:t>
      </w:r>
    </w:p>
    <w:p w14:paraId="1AD350E1">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both"/>
        <w:textAlignment w:val="auto"/>
        <w:outlineLvl w:val="2"/>
        <w:rPr>
          <w:rFonts w:hint="eastAsia" w:ascii="楷体_GB2312" w:hAnsi="楷体_GB2312" w:eastAsia="楷体_GB2312" w:cs="楷体_GB2312"/>
          <w:b w:val="0"/>
          <w:bCs/>
          <w:sz w:val="32"/>
          <w:szCs w:val="32"/>
          <w:highlight w:val="none"/>
          <w:lang w:val="en-US" w:eastAsia="zh-CN"/>
        </w:rPr>
      </w:pPr>
      <w:r>
        <w:rPr>
          <w:rFonts w:hint="eastAsia" w:ascii="楷体_GB2312" w:hAnsi="楷体_GB2312" w:eastAsia="楷体_GB2312" w:cs="楷体_GB2312"/>
          <w:b w:val="0"/>
          <w:bCs/>
          <w:sz w:val="32"/>
          <w:szCs w:val="32"/>
          <w:highlight w:val="none"/>
          <w:lang w:val="en-US" w:eastAsia="zh-CN"/>
        </w:rPr>
        <w:t>（二）严抓调控监管，巩固提升管控新常态</w:t>
      </w:r>
    </w:p>
    <w:p w14:paraId="465B589F">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kern w:val="0"/>
          <w:sz w:val="32"/>
          <w:szCs w:val="32"/>
          <w:highlight w:val="none"/>
        </w:rPr>
        <w:t>严抓环评审批促源头减排。</w:t>
      </w:r>
      <w:r>
        <w:rPr>
          <w:rFonts w:hint="default" w:ascii="Times New Roman" w:hAnsi="Times New Roman" w:eastAsia="仿宋_GB2312" w:cs="Times New Roman"/>
          <w:kern w:val="0"/>
          <w:sz w:val="32"/>
          <w:szCs w:val="32"/>
          <w:highlight w:val="none"/>
        </w:rPr>
        <w:t>严格执行</w:t>
      </w:r>
      <w:r>
        <w:rPr>
          <w:rFonts w:hint="default" w:ascii="Times New Roman" w:hAnsi="Times New Roman" w:eastAsia="仿宋_GB2312" w:cs="Times New Roman"/>
          <w:kern w:val="0"/>
          <w:sz w:val="32"/>
          <w:szCs w:val="32"/>
          <w:highlight w:val="none"/>
          <w:lang w:val="en-US" w:eastAsia="zh-CN"/>
        </w:rPr>
        <w:t>上级部门下达</w:t>
      </w:r>
      <w:r>
        <w:rPr>
          <w:rFonts w:hint="default" w:ascii="Times New Roman" w:hAnsi="Times New Roman" w:eastAsia="仿宋_GB2312" w:cs="Times New Roman"/>
          <w:kern w:val="0"/>
          <w:sz w:val="32"/>
          <w:szCs w:val="32"/>
          <w:highlight w:val="none"/>
        </w:rPr>
        <w:t>的审批原则和要求，坚持完善环评审批集体讨论制度，严禁金属表面处理、漂染、印花、洗水、造纸等重点污染行业准入，源头有效削减污染物排放量，从严控制污染增量。</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kern w:val="0"/>
          <w:sz w:val="32"/>
          <w:szCs w:val="32"/>
          <w:highlight w:val="none"/>
          <w:lang w:val="en-US" w:eastAsia="zh-CN"/>
        </w:rPr>
        <w:t>清溪</w:t>
      </w:r>
      <w:r>
        <w:rPr>
          <w:rFonts w:hint="default" w:ascii="Times New Roman" w:hAnsi="Times New Roman" w:eastAsia="仿宋_GB2312" w:cs="Times New Roman"/>
          <w:sz w:val="32"/>
          <w:szCs w:val="32"/>
          <w:highlight w:val="none"/>
        </w:rPr>
        <w:t>镇应办理环评企业620家，实际办理565家，审批率91%。其中，核发审批报告表552份，协助市生态环境局审批环评报告表13份；全年完成减排化学需氧量6501.78吨、氨氮排放总量836.42吨，超额完成年度减排任务。</w:t>
      </w:r>
    </w:p>
    <w:p w14:paraId="2152EC7B">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严抓排污许可（排污证明）及辐射许可发</w:t>
      </w:r>
      <w:r>
        <w:rPr>
          <w:rFonts w:hint="default" w:ascii="Times New Roman" w:hAnsi="Times New Roman" w:eastAsia="仿宋_GB2312" w:cs="Times New Roman"/>
          <w:b/>
          <w:sz w:val="32"/>
          <w:szCs w:val="32"/>
          <w:highlight w:val="none"/>
          <w:lang w:val="en-US" w:eastAsia="zh-CN"/>
        </w:rPr>
        <w:t>证质量</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sz w:val="32"/>
          <w:szCs w:val="32"/>
          <w:highlight w:val="none"/>
        </w:rPr>
        <w:t>严格贯彻落实《排污许可管理条例》，按照“应发尽发、应管尽管”的</w:t>
      </w:r>
      <w:r>
        <w:rPr>
          <w:rFonts w:hint="default" w:ascii="Times New Roman" w:hAnsi="Times New Roman" w:eastAsia="仿宋_GB2312" w:cs="Times New Roman"/>
          <w:sz w:val="32"/>
          <w:szCs w:val="32"/>
          <w:highlight w:val="none"/>
          <w:lang w:val="en-US" w:eastAsia="zh-CN"/>
        </w:rPr>
        <w:t>工作原则</w:t>
      </w:r>
      <w:r>
        <w:rPr>
          <w:rFonts w:hint="default" w:ascii="Times New Roman" w:hAnsi="Times New Roman" w:eastAsia="仿宋_GB2312" w:cs="Times New Roman"/>
          <w:sz w:val="32"/>
          <w:szCs w:val="32"/>
          <w:highlight w:val="none"/>
        </w:rPr>
        <w:t>，实现全镇固定污染源排污许可管理全覆盖。</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sz w:val="32"/>
          <w:szCs w:val="32"/>
          <w:highlight w:val="none"/>
          <w:lang w:val="en-US" w:eastAsia="zh-CN"/>
        </w:rPr>
        <w:t>全</w:t>
      </w:r>
      <w:r>
        <w:rPr>
          <w:rFonts w:hint="default" w:ascii="Times New Roman" w:hAnsi="Times New Roman" w:eastAsia="仿宋_GB2312" w:cs="Times New Roman"/>
          <w:sz w:val="32"/>
          <w:szCs w:val="32"/>
          <w:highlight w:val="none"/>
        </w:rPr>
        <w:t>镇核发排污许可证148份，辐射安全许可证1份，完成排污登记企业3987家。</w:t>
      </w:r>
    </w:p>
    <w:p w14:paraId="1EC6894C">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持续推进危险废物规范化管理工作。</w:t>
      </w:r>
      <w:r>
        <w:rPr>
          <w:rFonts w:hint="default" w:ascii="Times New Roman" w:hAnsi="Times New Roman" w:eastAsia="仿宋_GB2312" w:cs="Times New Roman"/>
          <w:sz w:val="32"/>
          <w:szCs w:val="32"/>
          <w:highlight w:val="none"/>
        </w:rPr>
        <w:t>深化重点监管源和一般监管源危险废物产生单位规范化管理，指导</w:t>
      </w:r>
      <w:r>
        <w:rPr>
          <w:rFonts w:hint="default" w:ascii="Times New Roman" w:hAnsi="Times New Roman" w:eastAsia="仿宋_GB2312" w:cs="Times New Roman"/>
          <w:sz w:val="32"/>
          <w:szCs w:val="32"/>
          <w:highlight w:val="none"/>
          <w:lang w:val="en-US" w:eastAsia="zh-CN"/>
        </w:rPr>
        <w:t>督促企业</w:t>
      </w:r>
      <w:r>
        <w:rPr>
          <w:rFonts w:hint="default" w:ascii="Times New Roman" w:hAnsi="Times New Roman" w:eastAsia="仿宋_GB2312" w:cs="Times New Roman"/>
          <w:sz w:val="32"/>
          <w:szCs w:val="32"/>
          <w:highlight w:val="none"/>
        </w:rPr>
        <w:t>健全内部管理制度，加强环境风险</w:t>
      </w:r>
      <w:r>
        <w:rPr>
          <w:rFonts w:hint="default" w:ascii="Times New Roman" w:hAnsi="Times New Roman" w:eastAsia="仿宋_GB2312" w:cs="Times New Roman"/>
          <w:sz w:val="32"/>
          <w:szCs w:val="32"/>
          <w:highlight w:val="none"/>
          <w:lang w:val="en-US" w:eastAsia="zh-CN"/>
        </w:rPr>
        <w:t>管控能力</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监督执行</w:t>
      </w:r>
      <w:r>
        <w:rPr>
          <w:rFonts w:hint="default" w:ascii="Times New Roman" w:hAnsi="Times New Roman" w:eastAsia="仿宋_GB2312" w:cs="Times New Roman"/>
          <w:sz w:val="32"/>
          <w:szCs w:val="32"/>
          <w:highlight w:val="none"/>
        </w:rPr>
        <w:t>危险废物标识管理、转移联单制度，建立危险废物管理台账</w:t>
      </w:r>
      <w:r>
        <w:rPr>
          <w:rFonts w:hint="default" w:ascii="Times New Roman" w:hAnsi="Times New Roman" w:eastAsia="仿宋_GB2312" w:cs="Times New Roman"/>
          <w:sz w:val="32"/>
          <w:szCs w:val="32"/>
          <w:highlight w:val="none"/>
          <w:lang w:eastAsia="zh-CN"/>
        </w:rPr>
        <w:t>。</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sz w:val="32"/>
          <w:szCs w:val="32"/>
          <w:highlight w:val="none"/>
          <w:lang w:val="en-US" w:eastAsia="zh-CN"/>
        </w:rPr>
        <w:t>全</w:t>
      </w:r>
      <w:r>
        <w:rPr>
          <w:rFonts w:hint="default" w:ascii="Times New Roman" w:hAnsi="Times New Roman" w:eastAsia="仿宋_GB2312" w:cs="Times New Roman"/>
          <w:sz w:val="32"/>
          <w:szCs w:val="32"/>
          <w:highlight w:val="none"/>
        </w:rPr>
        <w:t>镇审批企业固体废物转移申请共646家次，转移固体废物处置量共5441.2吨，现场核查重点危险废物规范化管理单位40</w:t>
      </w:r>
      <w:r>
        <w:rPr>
          <w:rFonts w:hint="default" w:ascii="Times New Roman" w:hAnsi="Times New Roman" w:eastAsia="仿宋_GB2312" w:cs="Times New Roman"/>
          <w:sz w:val="32"/>
          <w:szCs w:val="32"/>
          <w:highlight w:val="none"/>
          <w:lang w:val="en-US" w:eastAsia="zh-CN"/>
        </w:rPr>
        <w:t>余</w:t>
      </w:r>
      <w:r>
        <w:rPr>
          <w:rFonts w:hint="default" w:ascii="Times New Roman" w:hAnsi="Times New Roman" w:eastAsia="仿宋_GB2312" w:cs="Times New Roman"/>
          <w:sz w:val="32"/>
          <w:szCs w:val="32"/>
          <w:highlight w:val="none"/>
        </w:rPr>
        <w:t>家。</w:t>
      </w:r>
    </w:p>
    <w:p w14:paraId="5600995E">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借力科技手段提升环境监管效率。</w:t>
      </w:r>
      <w:r>
        <w:rPr>
          <w:rFonts w:hint="default" w:ascii="Times New Roman" w:hAnsi="Times New Roman" w:eastAsia="仿宋_GB2312" w:cs="Times New Roman"/>
          <w:sz w:val="32"/>
          <w:szCs w:val="32"/>
          <w:highlight w:val="none"/>
        </w:rPr>
        <w:t>推动全镇25</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家</w:t>
      </w:r>
      <w:r>
        <w:rPr>
          <w:rFonts w:hint="default" w:ascii="Times New Roman" w:hAnsi="Times New Roman" w:eastAsia="仿宋_GB2312" w:cs="Times New Roman"/>
          <w:sz w:val="32"/>
          <w:szCs w:val="32"/>
          <w:highlight w:val="none"/>
        </w:rPr>
        <w:t>企业接入重点污染源在线监控平台，实现信息化精准监管和24小时在线监控。推动全镇321家涉水企业安装工业用水智能化水表，根据环评报告</w:t>
      </w:r>
      <w:r>
        <w:rPr>
          <w:rFonts w:hint="default" w:ascii="Times New Roman" w:hAnsi="Times New Roman" w:eastAsia="仿宋_GB2312" w:cs="Times New Roman"/>
          <w:sz w:val="32"/>
          <w:szCs w:val="32"/>
          <w:highlight w:val="none"/>
          <w:lang w:val="en-US" w:eastAsia="zh-CN"/>
        </w:rPr>
        <w:t>定额</w:t>
      </w:r>
      <w:r>
        <w:rPr>
          <w:rFonts w:hint="default" w:ascii="Times New Roman" w:hAnsi="Times New Roman" w:eastAsia="仿宋_GB2312" w:cs="Times New Roman"/>
          <w:sz w:val="32"/>
          <w:szCs w:val="32"/>
          <w:highlight w:val="none"/>
        </w:rPr>
        <w:t>供给用水，</w:t>
      </w:r>
      <w:r>
        <w:rPr>
          <w:rFonts w:hint="default" w:ascii="Times New Roman" w:hAnsi="Times New Roman" w:eastAsia="仿宋_GB2312" w:cs="Times New Roman"/>
          <w:sz w:val="32"/>
          <w:szCs w:val="32"/>
          <w:highlight w:val="none"/>
          <w:lang w:val="en-US" w:eastAsia="zh-CN"/>
        </w:rPr>
        <w:t>引导</w:t>
      </w:r>
      <w:r>
        <w:rPr>
          <w:rFonts w:hint="default" w:ascii="Times New Roman" w:hAnsi="Times New Roman" w:eastAsia="仿宋_GB2312" w:cs="Times New Roman"/>
          <w:sz w:val="32"/>
          <w:szCs w:val="32"/>
          <w:highlight w:val="none"/>
        </w:rPr>
        <w:t>企业</w:t>
      </w:r>
      <w:r>
        <w:rPr>
          <w:rFonts w:hint="default" w:ascii="Times New Roman" w:hAnsi="Times New Roman" w:eastAsia="仿宋_GB2312" w:cs="Times New Roman"/>
          <w:sz w:val="32"/>
          <w:szCs w:val="32"/>
          <w:highlight w:val="none"/>
          <w:lang w:val="en-US" w:eastAsia="zh-CN"/>
        </w:rPr>
        <w:t>中水</w:t>
      </w:r>
      <w:r>
        <w:rPr>
          <w:rFonts w:hint="default" w:ascii="Times New Roman" w:hAnsi="Times New Roman" w:eastAsia="仿宋_GB2312" w:cs="Times New Roman"/>
          <w:sz w:val="32"/>
          <w:szCs w:val="32"/>
          <w:highlight w:val="none"/>
        </w:rPr>
        <w:t>回用，</w:t>
      </w:r>
      <w:r>
        <w:rPr>
          <w:rFonts w:hint="default" w:ascii="Times New Roman" w:hAnsi="Times New Roman" w:eastAsia="仿宋_GB2312" w:cs="Times New Roman"/>
          <w:sz w:val="32"/>
          <w:szCs w:val="32"/>
          <w:highlight w:val="none"/>
          <w:lang w:val="en-US" w:eastAsia="zh-CN"/>
        </w:rPr>
        <w:t>有效</w:t>
      </w:r>
      <w:r>
        <w:rPr>
          <w:rFonts w:hint="default" w:ascii="Times New Roman" w:hAnsi="Times New Roman" w:eastAsia="仿宋_GB2312" w:cs="Times New Roman"/>
          <w:sz w:val="32"/>
          <w:szCs w:val="32"/>
          <w:highlight w:val="none"/>
        </w:rPr>
        <w:t>提升环境</w:t>
      </w:r>
      <w:r>
        <w:rPr>
          <w:rFonts w:hint="default" w:ascii="Times New Roman" w:hAnsi="Times New Roman" w:eastAsia="仿宋_GB2312" w:cs="Times New Roman"/>
          <w:sz w:val="32"/>
          <w:szCs w:val="32"/>
          <w:highlight w:val="none"/>
          <w:lang w:val="en-US" w:eastAsia="zh-CN"/>
        </w:rPr>
        <w:t>监管效率和</w:t>
      </w:r>
      <w:r>
        <w:rPr>
          <w:rFonts w:hint="default" w:ascii="Times New Roman" w:hAnsi="Times New Roman" w:eastAsia="仿宋_GB2312" w:cs="Times New Roman"/>
          <w:sz w:val="32"/>
          <w:szCs w:val="32"/>
          <w:highlight w:val="none"/>
        </w:rPr>
        <w:t>治理水平。</w:t>
      </w:r>
    </w:p>
    <w:p w14:paraId="4A2FB7A6">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制定“三攻坚、两依托”强力措施。</w:t>
      </w:r>
      <w:r>
        <w:rPr>
          <w:rFonts w:hint="default" w:ascii="Times New Roman" w:hAnsi="Times New Roman" w:eastAsia="仿宋_GB2312" w:cs="Times New Roman"/>
          <w:color w:val="000000"/>
          <w:sz w:val="32"/>
          <w:szCs w:val="32"/>
          <w:highlight w:val="none"/>
        </w:rPr>
        <w:t>制定并出台“三攻坚、两依托”强力措施，推动</w:t>
      </w:r>
      <w:r>
        <w:rPr>
          <w:rFonts w:hint="default" w:ascii="Times New Roman" w:hAnsi="Times New Roman" w:eastAsia="仿宋_GB2312" w:cs="Times New Roman"/>
          <w:color w:val="000000"/>
          <w:sz w:val="32"/>
          <w:szCs w:val="32"/>
          <w:highlight w:val="none"/>
          <w:lang w:val="en-US" w:eastAsia="zh-CN"/>
        </w:rPr>
        <w:t>清溪</w:t>
      </w:r>
      <w:r>
        <w:rPr>
          <w:rFonts w:hint="default" w:ascii="Times New Roman" w:hAnsi="Times New Roman" w:eastAsia="仿宋_GB2312" w:cs="Times New Roman"/>
          <w:color w:val="000000"/>
          <w:sz w:val="32"/>
          <w:szCs w:val="32"/>
          <w:highlight w:val="none"/>
        </w:rPr>
        <w:t>镇生态环境保护工作再上新台阶。其中，“三攻坚”是指《清溪镇污染防治攻坚战2020年攻坚方案》（</w:t>
      </w:r>
      <w:r>
        <w:rPr>
          <w:rFonts w:hint="default" w:ascii="Times New Roman" w:hAnsi="Times New Roman" w:eastAsia="仿宋_GB2312" w:cs="Times New Roman"/>
          <w:color w:val="000000"/>
          <w:sz w:val="32"/>
          <w:szCs w:val="22"/>
          <w:highlight w:val="none"/>
        </w:rPr>
        <w:t>清环委〔2020〕8号</w:t>
      </w:r>
      <w:r>
        <w:rPr>
          <w:rFonts w:hint="default" w:ascii="Times New Roman" w:hAnsi="Times New Roman" w:eastAsia="仿宋_GB2312" w:cs="Times New Roman"/>
          <w:color w:val="000000"/>
          <w:sz w:val="32"/>
          <w:szCs w:val="32"/>
          <w:highlight w:val="none"/>
        </w:rPr>
        <w:t>）、《清溪镇蓝天保卫战2020年攻坚方案》（</w:t>
      </w:r>
      <w:r>
        <w:rPr>
          <w:rFonts w:hint="default" w:ascii="Times New Roman" w:hAnsi="Times New Roman" w:eastAsia="仿宋_GB2312" w:cs="Times New Roman"/>
          <w:color w:val="000000"/>
          <w:sz w:val="32"/>
          <w:szCs w:val="22"/>
          <w:highlight w:val="none"/>
        </w:rPr>
        <w:t>清环委〔2020〕9号</w:t>
      </w:r>
      <w:r>
        <w:rPr>
          <w:rFonts w:hint="default" w:ascii="Times New Roman" w:hAnsi="Times New Roman" w:eastAsia="仿宋_GB2312" w:cs="Times New Roman"/>
          <w:color w:val="000000"/>
          <w:sz w:val="32"/>
          <w:szCs w:val="32"/>
          <w:highlight w:val="none"/>
        </w:rPr>
        <w:t>）、《清溪镇石马河流域水环境精准治理与达标攻坚行动方案》（</w:t>
      </w:r>
      <w:r>
        <w:rPr>
          <w:rFonts w:hint="default" w:ascii="Times New Roman" w:hAnsi="Times New Roman" w:eastAsia="仿宋_GB2312" w:cs="Times New Roman"/>
          <w:color w:val="000000"/>
          <w:sz w:val="32"/>
          <w:szCs w:val="22"/>
          <w:highlight w:val="none"/>
        </w:rPr>
        <w:t>清水治现函〔2020〕71号</w:t>
      </w:r>
      <w:r>
        <w:rPr>
          <w:rFonts w:hint="default" w:ascii="Times New Roman" w:hAnsi="Times New Roman" w:eastAsia="仿宋_GB2312" w:cs="Times New Roman"/>
          <w:color w:val="000000"/>
          <w:sz w:val="32"/>
          <w:szCs w:val="32"/>
          <w:highlight w:val="none"/>
        </w:rPr>
        <w:t>）；“两依托”是指依托环保宣传阵地建设、创新宣传措施做法，以及依托现代化生态环境监管执法手段、创新人防技防措施，进一步加强生态环境执法及宣传教育工作。</w:t>
      </w:r>
    </w:p>
    <w:p w14:paraId="3B1CF9A6">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both"/>
        <w:textAlignment w:val="auto"/>
        <w:outlineLvl w:val="2"/>
        <w:rPr>
          <w:rFonts w:hint="eastAsia" w:ascii="楷体_GB2312" w:hAnsi="楷体_GB2312" w:eastAsia="楷体_GB2312" w:cs="楷体_GB2312"/>
          <w:b w:val="0"/>
          <w:bCs/>
          <w:sz w:val="32"/>
          <w:szCs w:val="32"/>
          <w:highlight w:val="none"/>
          <w:lang w:val="en-US" w:eastAsia="zh-CN"/>
        </w:rPr>
      </w:pPr>
      <w:r>
        <w:rPr>
          <w:rFonts w:hint="eastAsia" w:ascii="楷体_GB2312" w:hAnsi="楷体_GB2312" w:eastAsia="楷体_GB2312" w:cs="楷体_GB2312"/>
          <w:b w:val="0"/>
          <w:bCs/>
          <w:sz w:val="32"/>
          <w:szCs w:val="32"/>
          <w:highlight w:val="none"/>
          <w:lang w:val="en-US" w:eastAsia="zh-CN"/>
        </w:rPr>
        <w:t>（三）严抓执法监管，专项整治取得新成效</w:t>
      </w:r>
    </w:p>
    <w:p w14:paraId="4CF9876F">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强化环境信访</w:t>
      </w:r>
      <w:r>
        <w:rPr>
          <w:rFonts w:hint="default" w:ascii="Times New Roman" w:hAnsi="Times New Roman" w:eastAsia="仿宋_GB2312" w:cs="Times New Roman"/>
          <w:b/>
          <w:sz w:val="32"/>
          <w:szCs w:val="32"/>
          <w:highlight w:val="none"/>
          <w:lang w:val="en-US" w:eastAsia="zh-CN"/>
        </w:rPr>
        <w:t>工作机制</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sz w:val="32"/>
          <w:szCs w:val="32"/>
          <w:highlight w:val="none"/>
        </w:rPr>
        <w:t>充分发挥群众监督优势，创新环境信访快速反应、调处机制，加强生态环境专管员队伍建设，实行环保网格化管理</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全面强化联防联动执法监管，建立环保部门主导、部门联合参与、村居配合、群众监督的“四元”环境监管新机制，从严督促整改落实，确保信访问题得到及时、妥善解决，切实维护群众环境权益。</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sz w:val="32"/>
          <w:szCs w:val="32"/>
          <w:highlight w:val="none"/>
          <w:lang w:val="en-US" w:eastAsia="zh-CN"/>
        </w:rPr>
        <w:t>清溪生态环境分局</w:t>
      </w:r>
      <w:r>
        <w:rPr>
          <w:rFonts w:hint="default" w:ascii="Times New Roman" w:hAnsi="Times New Roman" w:eastAsia="仿宋_GB2312" w:cs="Times New Roman"/>
          <w:color w:val="auto"/>
          <w:sz w:val="32"/>
          <w:szCs w:val="32"/>
          <w:highlight w:val="none"/>
        </w:rPr>
        <w:t>全年信访案件量同比</w:t>
      </w:r>
      <w:r>
        <w:rPr>
          <w:rFonts w:hint="eastAsia" w:eastAsia="仿宋_GB2312" w:cs="Times New Roman"/>
          <w:color w:val="auto"/>
          <w:sz w:val="32"/>
          <w:szCs w:val="32"/>
          <w:highlight w:val="none"/>
          <w:lang w:val="en-US" w:eastAsia="zh-CN"/>
        </w:rPr>
        <w:t>上年度</w:t>
      </w:r>
      <w:r>
        <w:rPr>
          <w:rFonts w:hint="default" w:ascii="Times New Roman" w:hAnsi="Times New Roman" w:eastAsia="仿宋_GB2312" w:cs="Times New Roman"/>
          <w:color w:val="auto"/>
          <w:sz w:val="32"/>
          <w:szCs w:val="32"/>
          <w:highlight w:val="none"/>
        </w:rPr>
        <w:t>下降13.2%，</w:t>
      </w:r>
      <w:r>
        <w:rPr>
          <w:rFonts w:hint="default" w:ascii="Times New Roman" w:hAnsi="Times New Roman" w:eastAsia="仿宋_GB2312" w:cs="Times New Roman"/>
          <w:sz w:val="32"/>
          <w:szCs w:val="32"/>
          <w:highlight w:val="none"/>
          <w:lang w:val="en-US" w:eastAsia="zh-CN"/>
        </w:rPr>
        <w:t>以信访案件为依托的创新执法机制取得显著成效</w:t>
      </w:r>
      <w:r>
        <w:rPr>
          <w:rFonts w:hint="default" w:ascii="Times New Roman" w:hAnsi="Times New Roman" w:eastAsia="仿宋_GB2312" w:cs="Times New Roman"/>
          <w:sz w:val="32"/>
          <w:szCs w:val="32"/>
          <w:highlight w:val="none"/>
        </w:rPr>
        <w:t>。</w:t>
      </w:r>
    </w:p>
    <w:p w14:paraId="693201AC">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从严执法震慑环境违法行为。</w:t>
      </w:r>
      <w:r>
        <w:rPr>
          <w:rFonts w:hint="default" w:ascii="Times New Roman" w:hAnsi="Times New Roman" w:eastAsia="仿宋_GB2312" w:cs="Times New Roman"/>
          <w:sz w:val="32"/>
          <w:szCs w:val="32"/>
          <w:highlight w:val="none"/>
        </w:rPr>
        <w:t>严格环境执法监管，不断增强生态环保执法震慑成效。对</w:t>
      </w:r>
      <w:r>
        <w:rPr>
          <w:rFonts w:hint="default" w:ascii="Times New Roman" w:hAnsi="Times New Roman" w:eastAsia="仿宋_GB2312" w:cs="Times New Roman"/>
          <w:sz w:val="32"/>
          <w:szCs w:val="32"/>
          <w:highlight w:val="none"/>
          <w:lang w:val="en-US" w:eastAsia="zh-CN"/>
        </w:rPr>
        <w:t>环境</w:t>
      </w:r>
      <w:r>
        <w:rPr>
          <w:rFonts w:hint="default" w:ascii="Times New Roman" w:hAnsi="Times New Roman" w:eastAsia="仿宋_GB2312" w:cs="Times New Roman"/>
          <w:sz w:val="32"/>
          <w:szCs w:val="32"/>
          <w:highlight w:val="none"/>
        </w:rPr>
        <w:t>违法</w:t>
      </w:r>
      <w:r>
        <w:rPr>
          <w:rFonts w:hint="default" w:ascii="Times New Roman" w:hAnsi="Times New Roman" w:eastAsia="仿宋_GB2312" w:cs="Times New Roman"/>
          <w:sz w:val="32"/>
          <w:szCs w:val="32"/>
          <w:highlight w:val="none"/>
          <w:lang w:val="en-US" w:eastAsia="zh-CN"/>
        </w:rPr>
        <w:t>行为</w:t>
      </w:r>
      <w:r>
        <w:rPr>
          <w:rFonts w:hint="default" w:ascii="Times New Roman" w:hAnsi="Times New Roman" w:eastAsia="仿宋_GB2312" w:cs="Times New Roman"/>
          <w:sz w:val="32"/>
          <w:szCs w:val="32"/>
          <w:highlight w:val="none"/>
        </w:rPr>
        <w:t>，制作“双笔录”立案查处，坚决实行同案同罚。</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color w:val="auto"/>
          <w:sz w:val="32"/>
          <w:szCs w:val="32"/>
          <w:highlight w:val="none"/>
        </w:rPr>
        <w:t>立案查处环境违法行为270宗，查封违法企业43家，移送涉嫌环境犯罪案件至公安部门8宗。</w:t>
      </w:r>
      <w:r>
        <w:rPr>
          <w:rFonts w:hint="default" w:ascii="Times New Roman" w:hAnsi="Times New Roman" w:eastAsia="仿宋_GB2312" w:cs="Times New Roman"/>
          <w:sz w:val="32"/>
          <w:szCs w:val="32"/>
          <w:highlight w:val="none"/>
        </w:rPr>
        <w:t>对已下发责令改正违法行为决定书和行政处罚决定书的企业</w:t>
      </w:r>
      <w:r>
        <w:rPr>
          <w:rFonts w:hint="default" w:ascii="Times New Roman" w:hAnsi="Times New Roman" w:eastAsia="仿宋_GB2312" w:cs="Times New Roman"/>
          <w:sz w:val="32"/>
          <w:szCs w:val="32"/>
          <w:highlight w:val="none"/>
          <w:lang w:val="en-US" w:eastAsia="zh-CN"/>
        </w:rPr>
        <w:t>定期开展</w:t>
      </w:r>
      <w:r>
        <w:rPr>
          <w:rFonts w:hint="default" w:ascii="Times New Roman" w:hAnsi="Times New Roman" w:eastAsia="仿宋_GB2312" w:cs="Times New Roman"/>
          <w:sz w:val="32"/>
          <w:szCs w:val="32"/>
          <w:highlight w:val="none"/>
        </w:rPr>
        <w:t>后督察，有效遏制环境违法行为。</w:t>
      </w:r>
    </w:p>
    <w:p w14:paraId="3C534A9C">
      <w:pPr>
        <w:pageBreakBefore w:val="0"/>
        <w:kinsoku/>
        <w:wordWrap/>
        <w:bidi w:val="0"/>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强化人防监管队伍建设。</w:t>
      </w:r>
      <w:r>
        <w:rPr>
          <w:rFonts w:hint="default" w:ascii="Times New Roman" w:hAnsi="Times New Roman" w:eastAsia="仿宋_GB2312" w:cs="Times New Roman"/>
          <w:sz w:val="32"/>
          <w:szCs w:val="32"/>
          <w:highlight w:val="none"/>
        </w:rPr>
        <w:t>成立生态环境分局执法队伍、环境专管员队伍、联合监管督导队伍、“智网工程”巡查队伍，形成违法必究、执法必严的严管态势。</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sz w:val="32"/>
          <w:szCs w:val="32"/>
          <w:highlight w:val="none"/>
          <w:lang w:val="en-US" w:eastAsia="zh-CN"/>
        </w:rPr>
        <w:t>清溪</w:t>
      </w:r>
      <w:r>
        <w:rPr>
          <w:rFonts w:hint="default" w:ascii="Times New Roman" w:hAnsi="Times New Roman" w:eastAsia="仿宋_GB2312" w:cs="Times New Roman"/>
          <w:sz w:val="32"/>
          <w:szCs w:val="32"/>
          <w:highlight w:val="none"/>
        </w:rPr>
        <w:t>镇4支环境监管队伍共发现并移交生态环境分局违法线索1229条，完成生态环境管控任务7829宗次，发现环境违法线索357余条并实施了多部门联合打击。</w:t>
      </w:r>
    </w:p>
    <w:p w14:paraId="7DBB0B4D">
      <w:pPr>
        <w:pageBreakBefore w:val="0"/>
        <w:kinsoku/>
        <w:wordWrap/>
        <w:bidi w:val="0"/>
        <w:spacing w:beforeLines="0" w:afterLines="0" w:line="360" w:lineRule="auto"/>
        <w:ind w:firstLine="643" w:firstLineChars="200"/>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从严从密开展环境监察专项行动。</w:t>
      </w:r>
      <w:r>
        <w:rPr>
          <w:rFonts w:hint="default" w:ascii="Times New Roman" w:hAnsi="Times New Roman" w:eastAsia="仿宋_GB2312" w:cs="Times New Roman"/>
          <w:sz w:val="32"/>
          <w:szCs w:val="32"/>
          <w:highlight w:val="none"/>
        </w:rPr>
        <w:t>高频</w:t>
      </w:r>
      <w:r>
        <w:rPr>
          <w:rFonts w:hint="eastAsia" w:eastAsia="仿宋_GB2312" w:cs="Times New Roman"/>
          <w:sz w:val="32"/>
          <w:szCs w:val="32"/>
          <w:highlight w:val="none"/>
          <w:lang w:eastAsia="zh-CN"/>
        </w:rPr>
        <w:t>开展</w:t>
      </w:r>
      <w:r>
        <w:rPr>
          <w:rFonts w:hint="default" w:ascii="Times New Roman" w:hAnsi="Times New Roman" w:eastAsia="仿宋_GB2312" w:cs="Times New Roman"/>
          <w:sz w:val="32"/>
          <w:szCs w:val="32"/>
          <w:highlight w:val="none"/>
        </w:rPr>
        <w:t>断面水质考核、“散乱污”企业和排污口整治、水质提升百日攻坚、蓝天保卫战百日冲刺等专项整治行动，聚焦关键区域、流域和突出环境问题开展专项执法，重点加大沿河区域和涉水涉气污染源的执法监管力度，并依托环境违法有奖举报、科技监管、第三方环保监管等力量，保持高压态势</w:t>
      </w:r>
      <w:r>
        <w:rPr>
          <w:rFonts w:hint="default" w:ascii="Times New Roman" w:hAnsi="Times New Roman" w:eastAsia="仿宋_GB2312" w:cs="Times New Roman"/>
          <w:color w:val="auto"/>
          <w:sz w:val="32"/>
          <w:szCs w:val="32"/>
          <w:highlight w:val="none"/>
        </w:rPr>
        <w:t>。</w:t>
      </w:r>
    </w:p>
    <w:p w14:paraId="26A9E10A">
      <w:pPr>
        <w:pageBreakBefore w:val="0"/>
        <w:kinsoku/>
        <w:wordWrap/>
        <w:bidi w:val="0"/>
        <w:spacing w:beforeLines="0" w:afterLines="0" w:line="360" w:lineRule="auto"/>
        <w:ind w:firstLine="643" w:firstLineChars="200"/>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b/>
          <w:sz w:val="32"/>
          <w:szCs w:val="32"/>
          <w:highlight w:val="none"/>
        </w:rPr>
        <w:t>全面提升精准执法水平。</w:t>
      </w:r>
      <w:r>
        <w:rPr>
          <w:rFonts w:hint="default" w:ascii="Times New Roman" w:hAnsi="Times New Roman" w:eastAsia="仿宋_GB2312" w:cs="Times New Roman"/>
          <w:sz w:val="32"/>
          <w:szCs w:val="32"/>
          <w:highlight w:val="none"/>
        </w:rPr>
        <w:t>全面列装</w:t>
      </w:r>
      <w:r>
        <w:rPr>
          <w:rFonts w:hint="default" w:ascii="Times New Roman" w:hAnsi="Times New Roman" w:eastAsia="仿宋_GB2312" w:cs="Times New Roman"/>
          <w:sz w:val="32"/>
          <w:szCs w:val="32"/>
          <w:highlight w:val="none"/>
          <w:lang w:val="en-US" w:eastAsia="zh-CN"/>
        </w:rPr>
        <w:t>并应用</w:t>
      </w:r>
      <w:r>
        <w:rPr>
          <w:rFonts w:hint="default" w:ascii="Times New Roman" w:hAnsi="Times New Roman" w:eastAsia="仿宋_GB2312" w:cs="Times New Roman"/>
          <w:sz w:val="32"/>
          <w:szCs w:val="32"/>
          <w:highlight w:val="none"/>
        </w:rPr>
        <w:t>水质快速测试工具包，成功侦破16宗超标排放废水非法案件、10宗偷排生产废水案件；全面配备VOCs便携式快速检测仪，准确、科学地测定废气污染物的浓度值，判定企业活性炭是否饱和、UV灯是否起作用、废气收集是否完全等情况；全面布控管网监测仪，</w:t>
      </w:r>
      <w:r>
        <w:rPr>
          <w:rFonts w:hint="default" w:ascii="Times New Roman" w:hAnsi="Times New Roman" w:eastAsia="仿宋_GB2312" w:cs="Times New Roman"/>
          <w:color w:val="000000"/>
          <w:sz w:val="32"/>
          <w:szCs w:val="32"/>
          <w:highlight w:val="none"/>
        </w:rPr>
        <w:t>通过pH、电导率为主导的传感器对</w:t>
      </w:r>
      <w:r>
        <w:rPr>
          <w:rFonts w:hint="eastAsia" w:eastAsia="仿宋_GB2312" w:cs="Times New Roman"/>
          <w:color w:val="000000"/>
          <w:sz w:val="32"/>
          <w:szCs w:val="32"/>
          <w:highlight w:val="none"/>
          <w:lang w:eastAsia="zh-CN"/>
        </w:rPr>
        <w:t>污水处理厂</w:t>
      </w:r>
      <w:r>
        <w:rPr>
          <w:rFonts w:hint="default" w:ascii="Times New Roman" w:hAnsi="Times New Roman" w:eastAsia="仿宋_GB2312" w:cs="Times New Roman"/>
          <w:color w:val="000000"/>
          <w:sz w:val="32"/>
          <w:szCs w:val="32"/>
          <w:highlight w:val="none"/>
        </w:rPr>
        <w:t>进水管网节点进行24小时监测，在发现进水异常时快速定位偷排企业，实现精准打击偷排超排行为。</w:t>
      </w:r>
    </w:p>
    <w:p w14:paraId="11D60CD5">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both"/>
        <w:textAlignment w:val="auto"/>
        <w:outlineLvl w:val="2"/>
        <w:rPr>
          <w:rFonts w:hint="eastAsia" w:ascii="楷体_GB2312" w:hAnsi="楷体_GB2312" w:eastAsia="楷体_GB2312" w:cs="楷体_GB2312"/>
          <w:b w:val="0"/>
          <w:bCs/>
          <w:sz w:val="32"/>
          <w:szCs w:val="32"/>
          <w:highlight w:val="none"/>
          <w:lang w:val="en-US" w:eastAsia="zh-CN"/>
        </w:rPr>
      </w:pPr>
      <w:r>
        <w:rPr>
          <w:rFonts w:hint="eastAsia" w:ascii="楷体_GB2312" w:hAnsi="楷体_GB2312" w:eastAsia="楷体_GB2312" w:cs="楷体_GB2312"/>
          <w:b w:val="0"/>
          <w:bCs/>
          <w:sz w:val="32"/>
          <w:szCs w:val="32"/>
          <w:highlight w:val="none"/>
          <w:lang w:val="en-US" w:eastAsia="zh-CN"/>
        </w:rPr>
        <w:t>（四）常抓宣传教育，生态文明焕发新气象</w:t>
      </w:r>
    </w:p>
    <w:p w14:paraId="09BD287D">
      <w:pPr>
        <w:pageBreakBefore w:val="0"/>
        <w:numPr>
          <w:ilvl w:val="0"/>
          <w:numId w:val="0"/>
        </w:numPr>
        <w:kinsoku/>
        <w:wordWrap/>
        <w:bidi w:val="0"/>
        <w:spacing w:beforeLines="0" w:afterLines="0"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通过依托环保宣传阵地建设和经验做法推广，全面加强生态环境宣传教育工作。</w:t>
      </w:r>
      <w:r>
        <w:rPr>
          <w:rFonts w:hint="eastAsia" w:eastAsia="仿宋_GB2312" w:cs="Times New Roman"/>
          <w:sz w:val="32"/>
          <w:szCs w:val="32"/>
          <w:highlight w:val="none"/>
          <w:lang w:val="en-US" w:eastAsia="zh-CN"/>
        </w:rPr>
        <w:t>2020年</w:t>
      </w:r>
      <w:r>
        <w:rPr>
          <w:rFonts w:hint="default" w:ascii="Times New Roman" w:hAnsi="Times New Roman" w:eastAsia="仿宋_GB2312" w:cs="Times New Roman"/>
          <w:sz w:val="32"/>
          <w:szCs w:val="32"/>
          <w:highlight w:val="none"/>
        </w:rPr>
        <w:t>召开全市生态环境宣传教育工作（清溪）分享会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新建“清溪环保文化长廊”</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制作</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2020年清溪镇生态环境宣传教育工作纪实</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《清溪生态环境监管执法能力“大阅兵”》宣传片和《坚决打好污染防治攻坚战（2018-2020）》宣传画册，并在网络、电视等媒体推广</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形成全民关注生态环境保护的良好氛围</w:t>
      </w:r>
      <w:r>
        <w:rPr>
          <w:rFonts w:hint="default" w:ascii="Times New Roman" w:hAnsi="Times New Roman" w:eastAsia="仿宋_GB2312" w:cs="Times New Roman"/>
          <w:sz w:val="32"/>
          <w:szCs w:val="32"/>
          <w:highlight w:val="none"/>
        </w:rPr>
        <w:t>。</w:t>
      </w:r>
    </w:p>
    <w:p w14:paraId="786496AE">
      <w:pPr>
        <w:pStyle w:val="5"/>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both"/>
        <w:textAlignment w:val="auto"/>
        <w:outlineLvl w:val="2"/>
        <w:rPr>
          <w:rFonts w:hint="eastAsia" w:ascii="楷体_GB2312" w:hAnsi="楷体_GB2312" w:eastAsia="楷体_GB2312" w:cs="楷体_GB2312"/>
          <w:b w:val="0"/>
          <w:bCs/>
          <w:sz w:val="32"/>
          <w:szCs w:val="32"/>
          <w:highlight w:val="none"/>
          <w:lang w:val="en-US" w:eastAsia="zh-CN"/>
        </w:rPr>
      </w:pPr>
      <w:r>
        <w:rPr>
          <w:rFonts w:hint="eastAsia" w:ascii="楷体_GB2312" w:hAnsi="楷体_GB2312" w:eastAsia="楷体_GB2312" w:cs="楷体_GB2312"/>
          <w:b w:val="0"/>
          <w:bCs/>
          <w:sz w:val="32"/>
          <w:szCs w:val="32"/>
          <w:highlight w:val="none"/>
          <w:lang w:val="en-US" w:eastAsia="zh-CN"/>
        </w:rPr>
        <w:t>（五）常抓作风建设，环保队伍展现新作为</w:t>
      </w:r>
    </w:p>
    <w:p w14:paraId="7179DD3A">
      <w:pPr>
        <w:pStyle w:val="28"/>
        <w:pageBreakBefore w:val="0"/>
        <w:widowControl w:val="0"/>
        <w:kinsoku/>
        <w:wordWrap/>
        <w:bidi w:val="0"/>
        <w:spacing w:before="0" w:beforeLines="0" w:beforeAutospacing="0" w:after="0" w:afterLines="0" w:afterAutospacing="0" w:line="360" w:lineRule="auto"/>
        <w:ind w:firstLine="64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加强制度和队伍建设</w:t>
      </w:r>
      <w:r>
        <w:rPr>
          <w:rFonts w:hint="default" w:ascii="Times New Roman" w:hAnsi="Times New Roman" w:eastAsia="仿宋_GB2312" w:cs="Times New Roman"/>
          <w:kern w:val="2"/>
          <w:sz w:val="32"/>
          <w:szCs w:val="32"/>
          <w:highlight w:val="none"/>
        </w:rPr>
        <w:t>。建立</w:t>
      </w:r>
      <w:r>
        <w:rPr>
          <w:rFonts w:hint="default" w:ascii="Times New Roman" w:hAnsi="Times New Roman" w:eastAsia="仿宋_GB2312" w:cs="Times New Roman"/>
          <w:sz w:val="32"/>
          <w:szCs w:val="32"/>
          <w:highlight w:val="none"/>
        </w:rPr>
        <w:t>完善内部管理制度，调整股室人员分工，深化完善审批集体讨论制度、周末及节假日值班制度，积极调动全体人员工作积极性和增强责任感，全面提升执行力。积极</w:t>
      </w:r>
      <w:r>
        <w:rPr>
          <w:rFonts w:hint="default" w:ascii="Times New Roman" w:hAnsi="Times New Roman" w:eastAsia="仿宋_GB2312" w:cs="Times New Roman"/>
          <w:sz w:val="32"/>
          <w:szCs w:val="32"/>
          <w:highlight w:val="none"/>
          <w:lang w:val="en-US" w:eastAsia="zh-CN"/>
        </w:rPr>
        <w:t>组织或</w:t>
      </w:r>
      <w:r>
        <w:rPr>
          <w:rFonts w:hint="default" w:ascii="Times New Roman" w:hAnsi="Times New Roman" w:eastAsia="仿宋_GB2312" w:cs="Times New Roman"/>
          <w:sz w:val="32"/>
          <w:szCs w:val="32"/>
          <w:highlight w:val="none"/>
        </w:rPr>
        <w:t>参加执法监管、环保法律法规等各类业务培训工作，不断规范完善办事指南、办事程序、时限要求、服务承诺等，全面提高工作人员的整体素质、服务水平和执法水平，着力提高队伍素质、凝聚力和活力。</w:t>
      </w:r>
    </w:p>
    <w:p w14:paraId="3CC9C07F">
      <w:pPr>
        <w:pStyle w:val="28"/>
        <w:pageBreakBefore w:val="0"/>
        <w:widowControl w:val="0"/>
        <w:kinsoku/>
        <w:wordWrap/>
        <w:bidi w:val="0"/>
        <w:spacing w:before="0" w:beforeLines="0" w:beforeAutospacing="0" w:after="0" w:afterLines="0" w:afterAutospacing="0" w:line="360" w:lineRule="auto"/>
        <w:ind w:firstLine="643" w:firstLineChars="200"/>
        <w:jc w:val="both"/>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深入开展作风建设和廉政建设。</w:t>
      </w:r>
      <w:r>
        <w:rPr>
          <w:rFonts w:hint="default" w:ascii="Times New Roman" w:hAnsi="Times New Roman" w:eastAsia="仿宋_GB2312" w:cs="Times New Roman"/>
          <w:sz w:val="32"/>
          <w:szCs w:val="32"/>
          <w:highlight w:val="none"/>
        </w:rPr>
        <w:t>开展“不忘初心、牢记使命”主题教育、观看反腐败专题警示片等活动，深入开展作风建设和廉政建设，着力培育纪律严明、令行禁止的廉政作风，坚持不懈用习近平生态文明思想武装头脑、指导实践、推动工作。</w:t>
      </w:r>
    </w:p>
    <w:p w14:paraId="282E36F4">
      <w:pPr>
        <w:pStyle w:val="28"/>
        <w:pageBreakBefore w:val="0"/>
        <w:widowControl w:val="0"/>
        <w:kinsoku/>
        <w:wordWrap/>
        <w:bidi w:val="0"/>
        <w:spacing w:before="0" w:beforeLines="0" w:beforeAutospacing="0" w:after="0" w:afterLines="0" w:afterAutospacing="0" w:line="360" w:lineRule="auto"/>
        <w:ind w:firstLine="643" w:firstLineChars="200"/>
        <w:jc w:val="both"/>
        <w:rPr>
          <w:rFonts w:hint="default" w:ascii="Times New Roman" w:hAnsi="Times New Roman" w:eastAsia="黑体" w:cs="Times New Roman"/>
          <w:color w:val="000000"/>
          <w:sz w:val="32"/>
          <w:szCs w:val="32"/>
          <w:highlight w:val="none"/>
        </w:rPr>
      </w:pPr>
      <w:r>
        <w:rPr>
          <w:rFonts w:hint="default" w:ascii="Times New Roman" w:hAnsi="Times New Roman" w:eastAsia="仿宋_GB2312" w:cs="Times New Roman"/>
          <w:b/>
          <w:sz w:val="32"/>
          <w:szCs w:val="32"/>
          <w:highlight w:val="none"/>
        </w:rPr>
        <w:t>扎实推进生态环境领域扫黑除恶专项斗争工作。</w:t>
      </w:r>
      <w:r>
        <w:rPr>
          <w:rFonts w:hint="default" w:ascii="Times New Roman" w:hAnsi="Times New Roman" w:eastAsia="仿宋_GB2312" w:cs="Times New Roman"/>
          <w:sz w:val="32"/>
          <w:szCs w:val="32"/>
          <w:highlight w:val="none"/>
        </w:rPr>
        <w:t>多形式、多渠道</w:t>
      </w:r>
      <w:r>
        <w:rPr>
          <w:rFonts w:hint="default" w:ascii="Times New Roman" w:hAnsi="Times New Roman" w:eastAsia="仿宋_GB2312" w:cs="Times New Roman"/>
          <w:sz w:val="32"/>
          <w:szCs w:val="32"/>
          <w:highlight w:val="none"/>
          <w:lang w:val="en-US" w:eastAsia="zh-CN"/>
        </w:rPr>
        <w:t>配合</w:t>
      </w:r>
      <w:r>
        <w:rPr>
          <w:rFonts w:hint="default" w:ascii="Times New Roman" w:hAnsi="Times New Roman" w:eastAsia="仿宋_GB2312" w:cs="Times New Roman"/>
          <w:sz w:val="32"/>
          <w:szCs w:val="32"/>
          <w:highlight w:val="none"/>
        </w:rPr>
        <w:t>扫黑除恶专项斗争工作，</w:t>
      </w:r>
      <w:r>
        <w:rPr>
          <w:rFonts w:hint="default" w:ascii="Times New Roman" w:hAnsi="Times New Roman" w:eastAsia="仿宋_GB2312" w:cs="Times New Roman"/>
          <w:sz w:val="32"/>
          <w:szCs w:val="32"/>
          <w:highlight w:val="none"/>
          <w:lang w:val="en-US" w:eastAsia="zh-CN"/>
        </w:rPr>
        <w:t>常态化</w:t>
      </w:r>
      <w:r>
        <w:rPr>
          <w:rFonts w:hint="default" w:ascii="Times New Roman" w:hAnsi="Times New Roman" w:eastAsia="仿宋_GB2312" w:cs="Times New Roman"/>
          <w:sz w:val="32"/>
          <w:szCs w:val="32"/>
          <w:highlight w:val="none"/>
        </w:rPr>
        <w:t>专题</w:t>
      </w:r>
      <w:r>
        <w:rPr>
          <w:rFonts w:hint="default" w:ascii="Times New Roman" w:hAnsi="Times New Roman" w:eastAsia="仿宋_GB2312" w:cs="Times New Roman"/>
          <w:sz w:val="32"/>
          <w:szCs w:val="32"/>
          <w:highlight w:val="none"/>
          <w:lang w:val="en-US" w:eastAsia="zh-CN"/>
        </w:rPr>
        <w:t>研究</w:t>
      </w:r>
      <w:r>
        <w:rPr>
          <w:rFonts w:hint="default" w:ascii="Times New Roman" w:hAnsi="Times New Roman" w:eastAsia="仿宋_GB2312" w:cs="Times New Roman"/>
          <w:sz w:val="32"/>
          <w:szCs w:val="32"/>
          <w:highlight w:val="none"/>
        </w:rPr>
        <w:t>，调动人民群众参与的积极性和主动性</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积极摸排生态环境领域涉黑涉恶的违法犯罪线索</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建立健全长效</w:t>
      </w:r>
      <w:r>
        <w:rPr>
          <w:rFonts w:hint="default" w:ascii="Times New Roman" w:hAnsi="Times New Roman" w:eastAsia="仿宋_GB2312" w:cs="Times New Roman"/>
          <w:sz w:val="32"/>
          <w:szCs w:val="32"/>
          <w:highlight w:val="none"/>
          <w:lang w:val="en-US" w:eastAsia="zh-CN"/>
        </w:rPr>
        <w:t>监管</w:t>
      </w:r>
      <w:r>
        <w:rPr>
          <w:rFonts w:hint="default" w:ascii="Times New Roman" w:hAnsi="Times New Roman" w:eastAsia="仿宋_GB2312" w:cs="Times New Roman"/>
          <w:sz w:val="32"/>
          <w:szCs w:val="32"/>
          <w:highlight w:val="none"/>
        </w:rPr>
        <w:t>机制</w:t>
      </w:r>
      <w:r>
        <w:rPr>
          <w:rFonts w:hint="default" w:ascii="Times New Roman" w:hAnsi="Times New Roman" w:eastAsia="仿宋_GB2312" w:cs="Times New Roman"/>
          <w:sz w:val="32"/>
          <w:szCs w:val="32"/>
          <w:highlight w:val="none"/>
          <w:lang w:eastAsia="zh-CN"/>
        </w:rPr>
        <w:t>。</w:t>
      </w:r>
    </w:p>
    <w:p w14:paraId="575ECE4B">
      <w:pPr>
        <w:pStyle w:val="5"/>
        <w:pageBreakBefore w:val="0"/>
        <w:numPr>
          <w:ilvl w:val="0"/>
          <w:numId w:val="2"/>
        </w:numPr>
        <w:kinsoku/>
        <w:wordWrap/>
        <w:bidi w:val="0"/>
        <w:spacing w:beforeLines="0" w:afterLines="0" w:line="360" w:lineRule="auto"/>
        <w:ind w:firstLine="640" w:firstLineChars="200"/>
        <w:outlineLvl w:val="2"/>
        <w:rPr>
          <w:rFonts w:hint="eastAsia" w:ascii="黑体" w:hAnsi="黑体" w:eastAsia="黑体" w:cs="黑体"/>
          <w:b w:val="0"/>
          <w:sz w:val="32"/>
          <w:szCs w:val="32"/>
          <w:highlight w:val="none"/>
          <w:lang w:val="en-US" w:eastAsia="zh-CN"/>
        </w:rPr>
      </w:pPr>
      <w:bookmarkStart w:id="23" w:name="_Toc898"/>
      <w:bookmarkStart w:id="24" w:name="_Toc29726"/>
      <w:bookmarkStart w:id="25" w:name="_Toc2150"/>
      <w:bookmarkStart w:id="26" w:name="_Toc21134"/>
      <w:r>
        <w:rPr>
          <w:rFonts w:hint="eastAsia" w:ascii="黑体" w:hAnsi="黑体" w:eastAsia="黑体" w:cs="黑体"/>
          <w:b w:val="0"/>
          <w:sz w:val="32"/>
          <w:szCs w:val="32"/>
          <w:highlight w:val="none"/>
          <w:lang w:val="en-US" w:eastAsia="zh-CN"/>
        </w:rPr>
        <w:t>规划指标完成情况</w:t>
      </w:r>
    </w:p>
    <w:p w14:paraId="44E8FAF7">
      <w:pPr>
        <w:spacing w:beforeLines="0" w:afterLines="0" w:line="360" w:lineRule="auto"/>
        <w:ind w:firstLine="640" w:firstLineChars="200"/>
        <w:rPr>
          <w:rFonts w:hint="default" w:eastAsia="仿宋_GB2312"/>
          <w:bCs/>
          <w:sz w:val="32"/>
          <w:szCs w:val="32"/>
          <w:highlight w:val="none"/>
        </w:rPr>
      </w:pPr>
      <w:r>
        <w:rPr>
          <w:rFonts w:hint="default" w:eastAsia="仿宋_GB2312"/>
          <w:bCs/>
          <w:sz w:val="32"/>
          <w:szCs w:val="32"/>
          <w:highlight w:val="none"/>
        </w:rPr>
        <w:t>根据《东莞市清溪镇环境保护规划修编（2017-2020）》，规划指标体系分为5类32项，分别是环境质量控制指标12项，主要为反映水、气、声、土壤环境质量状况的指标；总量控制指标5项；环境基础设施建设指标7项；生态文明建设指标6项；环境宣传和管理2项。</w:t>
      </w:r>
      <w:r>
        <w:rPr>
          <w:rFonts w:hint="eastAsia" w:eastAsia="仿宋_GB2312"/>
          <w:bCs/>
          <w:sz w:val="32"/>
          <w:szCs w:val="32"/>
          <w:highlight w:val="none"/>
          <w:lang w:val="en-US" w:eastAsia="zh-CN"/>
        </w:rPr>
        <w:t>对比</w:t>
      </w:r>
      <w:r>
        <w:rPr>
          <w:rFonts w:hint="default" w:eastAsia="仿宋_GB2312"/>
          <w:bCs/>
          <w:sz w:val="32"/>
          <w:szCs w:val="32"/>
          <w:highlight w:val="none"/>
        </w:rPr>
        <w:t>2020年</w:t>
      </w:r>
      <w:r>
        <w:rPr>
          <w:rFonts w:hint="eastAsia" w:eastAsia="仿宋_GB2312"/>
          <w:bCs/>
          <w:sz w:val="32"/>
          <w:szCs w:val="32"/>
          <w:highlight w:val="none"/>
          <w:lang w:val="en-US" w:eastAsia="zh-CN"/>
        </w:rPr>
        <w:t>现状值可知</w:t>
      </w:r>
      <w:r>
        <w:rPr>
          <w:rFonts w:hint="default" w:eastAsia="仿宋_GB2312"/>
          <w:bCs/>
          <w:sz w:val="32"/>
          <w:szCs w:val="32"/>
          <w:highlight w:val="none"/>
        </w:rPr>
        <w:t>，</w:t>
      </w:r>
      <w:r>
        <w:rPr>
          <w:rFonts w:hint="eastAsia" w:eastAsia="仿宋_GB2312"/>
          <w:bCs/>
          <w:sz w:val="32"/>
          <w:szCs w:val="32"/>
          <w:highlight w:val="none"/>
          <w:lang w:val="en-US" w:eastAsia="zh-CN"/>
        </w:rPr>
        <w:t>32项指标已完成指标27项，未完成指标2项，无法评价指标3项。除去无统计数据外，规划末期指标总体完成率为90.0%，各指标完成情况见表1.1-1</w:t>
      </w:r>
      <w:r>
        <w:rPr>
          <w:rFonts w:hint="default" w:eastAsia="仿宋_GB2312"/>
          <w:bCs/>
          <w:sz w:val="32"/>
          <w:szCs w:val="32"/>
          <w:highlight w:val="none"/>
        </w:rPr>
        <w:t>。</w:t>
      </w:r>
    </w:p>
    <w:p w14:paraId="4741451D">
      <w:pPr>
        <w:spacing w:beforeLines="0" w:afterLines="0" w:line="360" w:lineRule="auto"/>
        <w:ind w:firstLine="640" w:firstLineChars="200"/>
        <w:rPr>
          <w:rFonts w:hint="eastAsia" w:eastAsia="仿宋_GB2312"/>
          <w:bCs/>
          <w:sz w:val="32"/>
          <w:szCs w:val="32"/>
          <w:highlight w:val="none"/>
          <w:lang w:val="en-US" w:eastAsia="zh-CN"/>
        </w:rPr>
      </w:pPr>
      <w:r>
        <w:rPr>
          <w:rFonts w:hint="eastAsia" w:eastAsia="仿宋_GB2312"/>
          <w:bCs/>
          <w:sz w:val="32"/>
          <w:szCs w:val="32"/>
          <w:highlight w:val="none"/>
          <w:lang w:val="en-US" w:eastAsia="zh-CN"/>
        </w:rPr>
        <w:t>对未完成指标进行分析：</w:t>
      </w:r>
    </w:p>
    <w:p w14:paraId="6517C826">
      <w:pPr>
        <w:numPr>
          <w:ilvl w:val="-1"/>
          <w:numId w:val="0"/>
        </w:numPr>
        <w:spacing w:beforeLines="0" w:afterLines="0" w:line="360" w:lineRule="auto"/>
        <w:ind w:firstLine="640" w:firstLineChars="200"/>
        <w:rPr>
          <w:rFonts w:hint="eastAsia" w:eastAsia="仿宋_GB2312"/>
          <w:bCs/>
          <w:sz w:val="32"/>
          <w:szCs w:val="32"/>
          <w:highlight w:val="none"/>
          <w:lang w:val="en-US" w:eastAsia="zh-CN"/>
        </w:rPr>
      </w:pPr>
      <w:r>
        <w:rPr>
          <w:rFonts w:hint="eastAsia" w:eastAsia="仿宋_GB2312"/>
          <w:bCs/>
          <w:sz w:val="32"/>
          <w:szCs w:val="32"/>
          <w:highlight w:val="none"/>
          <w:lang w:val="en-US" w:eastAsia="zh-CN"/>
        </w:rPr>
        <w:t>1.“</w:t>
      </w:r>
      <w:r>
        <w:rPr>
          <w:rFonts w:hint="eastAsia" w:eastAsia="仿宋_GB2312"/>
          <w:bCs/>
          <w:sz w:val="32"/>
          <w:szCs w:val="32"/>
          <w:highlight w:val="none"/>
        </w:rPr>
        <w:t>城市空气质量优良天数比例</w:t>
      </w:r>
      <w:r>
        <w:rPr>
          <w:rFonts w:hint="eastAsia" w:eastAsia="仿宋_GB2312"/>
          <w:bCs/>
          <w:sz w:val="32"/>
          <w:szCs w:val="32"/>
          <w:highlight w:val="none"/>
          <w:lang w:eastAsia="zh-CN"/>
        </w:rPr>
        <w:t>”</w:t>
      </w:r>
      <w:r>
        <w:rPr>
          <w:rFonts w:hint="eastAsia" w:eastAsia="仿宋_GB2312"/>
          <w:bCs/>
          <w:sz w:val="32"/>
          <w:szCs w:val="32"/>
          <w:highlight w:val="none"/>
          <w:lang w:val="en-US" w:eastAsia="zh-CN"/>
        </w:rPr>
        <w:t>未完成原因：指标设定过于严格较难实现。2017-2020年，清溪镇针对提升区域环境空气质量，统筹开展了</w:t>
      </w:r>
      <w:r>
        <w:rPr>
          <w:rFonts w:hint="eastAsia" w:eastAsia="仿宋_GB2312"/>
          <w:bCs/>
          <w:sz w:val="32"/>
          <w:szCs w:val="32"/>
          <w:highlight w:val="none"/>
        </w:rPr>
        <w:t>产业能源结构</w:t>
      </w:r>
      <w:r>
        <w:rPr>
          <w:rFonts w:hint="eastAsia" w:eastAsia="仿宋_GB2312"/>
          <w:bCs/>
          <w:sz w:val="32"/>
          <w:szCs w:val="32"/>
          <w:highlight w:val="none"/>
          <w:lang w:val="en-US" w:eastAsia="zh-CN"/>
        </w:rPr>
        <w:t>优化</w:t>
      </w:r>
      <w:r>
        <w:rPr>
          <w:rFonts w:hint="eastAsia" w:eastAsia="仿宋_GB2312"/>
          <w:bCs/>
          <w:sz w:val="32"/>
          <w:szCs w:val="32"/>
          <w:highlight w:val="none"/>
          <w:lang w:eastAsia="zh-CN"/>
        </w:rPr>
        <w:t>、</w:t>
      </w:r>
      <w:r>
        <w:rPr>
          <w:rFonts w:hint="eastAsia" w:eastAsia="仿宋_GB2312"/>
          <w:bCs/>
          <w:sz w:val="32"/>
          <w:szCs w:val="32"/>
          <w:highlight w:val="none"/>
        </w:rPr>
        <w:t>调整交通运输结构</w:t>
      </w:r>
      <w:r>
        <w:rPr>
          <w:rFonts w:hint="eastAsia" w:eastAsia="仿宋_GB2312"/>
          <w:bCs/>
          <w:sz w:val="32"/>
          <w:szCs w:val="32"/>
          <w:highlight w:val="none"/>
          <w:lang w:val="en-US" w:eastAsia="zh-CN"/>
        </w:rPr>
        <w:t>调整</w:t>
      </w:r>
      <w:r>
        <w:rPr>
          <w:rFonts w:hint="eastAsia" w:eastAsia="仿宋_GB2312"/>
          <w:bCs/>
          <w:sz w:val="32"/>
          <w:szCs w:val="32"/>
          <w:highlight w:val="none"/>
          <w:lang w:eastAsia="zh-CN"/>
        </w:rPr>
        <w:t>、</w:t>
      </w:r>
      <w:r>
        <w:rPr>
          <w:rFonts w:hint="eastAsia" w:eastAsia="仿宋_GB2312"/>
          <w:bCs/>
          <w:sz w:val="32"/>
          <w:szCs w:val="32"/>
          <w:highlight w:val="none"/>
        </w:rPr>
        <w:t>深化工业源和生活源治理</w:t>
      </w:r>
      <w:r>
        <w:rPr>
          <w:rFonts w:hint="eastAsia" w:eastAsia="仿宋_GB2312"/>
          <w:bCs/>
          <w:sz w:val="32"/>
          <w:szCs w:val="32"/>
          <w:highlight w:val="none"/>
          <w:lang w:eastAsia="zh-CN"/>
        </w:rPr>
        <w:t>、</w:t>
      </w:r>
      <w:r>
        <w:rPr>
          <w:rFonts w:hint="eastAsia" w:eastAsia="仿宋_GB2312"/>
          <w:bCs/>
          <w:sz w:val="32"/>
          <w:szCs w:val="32"/>
          <w:highlight w:val="none"/>
        </w:rPr>
        <w:t>强化移动源治理等</w:t>
      </w:r>
      <w:r>
        <w:rPr>
          <w:rFonts w:hint="eastAsia" w:eastAsia="仿宋_GB2312"/>
          <w:bCs/>
          <w:sz w:val="32"/>
          <w:szCs w:val="32"/>
          <w:highlight w:val="none"/>
          <w:lang w:val="en-US" w:eastAsia="zh-CN"/>
        </w:rPr>
        <w:t>多</w:t>
      </w:r>
      <w:r>
        <w:rPr>
          <w:rFonts w:hint="eastAsia" w:eastAsia="仿宋_GB2312"/>
          <w:bCs/>
          <w:sz w:val="32"/>
          <w:szCs w:val="32"/>
          <w:highlight w:val="none"/>
        </w:rPr>
        <w:t>方面治污工作，</w:t>
      </w:r>
      <w:r>
        <w:rPr>
          <w:rFonts w:hint="eastAsia" w:eastAsia="仿宋_GB2312"/>
          <w:bCs/>
          <w:sz w:val="32"/>
          <w:szCs w:val="32"/>
          <w:highlight w:val="none"/>
          <w:lang w:val="en-US" w:eastAsia="zh-CN"/>
        </w:rPr>
        <w:t>2020年清溪镇</w:t>
      </w:r>
      <w:r>
        <w:rPr>
          <w:rFonts w:hint="eastAsia" w:eastAsia="仿宋_GB2312"/>
          <w:bCs/>
          <w:sz w:val="32"/>
          <w:szCs w:val="32"/>
          <w:highlight w:val="none"/>
        </w:rPr>
        <w:t>全年有效监测天数</w:t>
      </w:r>
      <w:r>
        <w:rPr>
          <w:rFonts w:hint="eastAsia" w:eastAsia="仿宋_GB2312"/>
          <w:bCs/>
          <w:sz w:val="32"/>
          <w:szCs w:val="32"/>
          <w:highlight w:val="none"/>
          <w:lang w:val="en-US" w:eastAsia="zh-CN"/>
        </w:rPr>
        <w:t>为353天，环境空气质量优良天数为322天，优良天数比例达到91.2%。</w:t>
      </w:r>
      <w:r>
        <w:rPr>
          <w:rFonts w:hint="eastAsia" w:eastAsia="仿宋_GB2312"/>
          <w:bCs/>
          <w:sz w:val="32"/>
          <w:szCs w:val="32"/>
          <w:highlight w:val="none"/>
        </w:rPr>
        <w:t>根据</w:t>
      </w:r>
      <w:r>
        <w:rPr>
          <w:rFonts w:hint="eastAsia" w:eastAsia="仿宋_GB2312"/>
          <w:bCs/>
          <w:sz w:val="32"/>
          <w:szCs w:val="32"/>
          <w:highlight w:val="none"/>
          <w:lang w:val="en-US" w:eastAsia="zh-CN"/>
        </w:rPr>
        <w:t>东莞市</w:t>
      </w:r>
      <w:r>
        <w:rPr>
          <w:rFonts w:hint="eastAsia" w:eastAsia="仿宋_GB2312"/>
          <w:bCs/>
          <w:sz w:val="32"/>
          <w:szCs w:val="32"/>
          <w:highlight w:val="none"/>
        </w:rPr>
        <w:t>市政府下达的约束性指标任务，2020年全市空气质量优良天数比例达到90%以上，</w:t>
      </w:r>
      <w:r>
        <w:rPr>
          <w:rFonts w:hint="eastAsia" w:eastAsia="仿宋_GB2312"/>
          <w:bCs/>
          <w:sz w:val="32"/>
          <w:szCs w:val="32"/>
          <w:highlight w:val="none"/>
          <w:lang w:val="en-US" w:eastAsia="zh-CN"/>
        </w:rPr>
        <w:t>清溪镇</w:t>
      </w:r>
      <w:r>
        <w:rPr>
          <w:rFonts w:hint="eastAsia" w:eastAsia="仿宋_GB2312"/>
          <w:bCs/>
          <w:sz w:val="32"/>
          <w:szCs w:val="32"/>
          <w:highlight w:val="none"/>
        </w:rPr>
        <w:t>根据有关文件精神并结合全镇实际，制定出台了《清溪镇蓝天保卫战2020年攻坚方案》</w:t>
      </w:r>
      <w:r>
        <w:rPr>
          <w:rFonts w:hint="eastAsia" w:eastAsia="仿宋_GB2312"/>
          <w:bCs/>
          <w:sz w:val="32"/>
          <w:szCs w:val="32"/>
          <w:highlight w:val="none"/>
          <w:lang w:eastAsia="zh-CN"/>
        </w:rPr>
        <w:t>，</w:t>
      </w:r>
      <w:r>
        <w:rPr>
          <w:rFonts w:hint="eastAsia" w:eastAsia="仿宋_GB2312"/>
          <w:bCs/>
          <w:sz w:val="32"/>
          <w:szCs w:val="32"/>
          <w:highlight w:val="none"/>
        </w:rPr>
        <w:t>明确了清溪镇2020年空气质量改善目标任务</w:t>
      </w:r>
      <w:r>
        <w:rPr>
          <w:rFonts w:hint="eastAsia" w:eastAsia="仿宋_GB2312"/>
          <w:bCs/>
          <w:sz w:val="32"/>
          <w:szCs w:val="32"/>
          <w:highlight w:val="none"/>
          <w:lang w:eastAsia="zh-CN"/>
        </w:rPr>
        <w:t>，</w:t>
      </w:r>
      <w:r>
        <w:rPr>
          <w:rFonts w:hint="eastAsia" w:eastAsia="仿宋_GB2312"/>
          <w:bCs/>
          <w:sz w:val="32"/>
          <w:szCs w:val="32"/>
          <w:highlight w:val="none"/>
          <w:lang w:val="en-US" w:eastAsia="zh-CN"/>
        </w:rPr>
        <w:t>其中</w:t>
      </w:r>
      <w:r>
        <w:rPr>
          <w:rFonts w:hint="eastAsia" w:eastAsia="仿宋_GB2312"/>
          <w:bCs/>
          <w:sz w:val="32"/>
          <w:szCs w:val="32"/>
          <w:highlight w:val="none"/>
        </w:rPr>
        <w:t>空气质量优良天数比例≥91%。</w:t>
      </w:r>
      <w:r>
        <w:rPr>
          <w:rFonts w:hint="eastAsia" w:eastAsia="仿宋_GB2312"/>
          <w:bCs/>
          <w:sz w:val="32"/>
          <w:szCs w:val="32"/>
          <w:highlight w:val="none"/>
          <w:lang w:val="en-US" w:eastAsia="zh-CN"/>
        </w:rPr>
        <w:t>虽然2020年清溪镇空气质量优良天数比例对比2020年目标值有一定差距，但达到了上级下达的空气质量改善目标。</w:t>
      </w:r>
    </w:p>
    <w:p w14:paraId="54D3D18A">
      <w:pPr>
        <w:numPr>
          <w:ilvl w:val="-1"/>
          <w:numId w:val="0"/>
        </w:numPr>
        <w:spacing w:beforeLines="0" w:afterLines="0" w:line="360" w:lineRule="auto"/>
        <w:ind w:firstLine="640" w:firstLineChars="200"/>
        <w:rPr>
          <w:rFonts w:hint="eastAsia" w:eastAsia="仿宋_GB2312"/>
          <w:bCs/>
          <w:sz w:val="32"/>
          <w:szCs w:val="32"/>
          <w:highlight w:val="none"/>
          <w:lang w:val="en-US" w:eastAsia="zh-CN"/>
        </w:rPr>
      </w:pPr>
      <w:r>
        <w:rPr>
          <w:rFonts w:hint="eastAsia" w:eastAsia="仿宋_GB2312"/>
          <w:bCs/>
          <w:sz w:val="32"/>
          <w:szCs w:val="32"/>
          <w:highlight w:val="none"/>
          <w:lang w:val="en-US" w:eastAsia="zh-CN"/>
        </w:rPr>
        <w:t>2.</w:t>
      </w:r>
      <w:r>
        <w:rPr>
          <w:rFonts w:hint="eastAsia" w:eastAsia="仿宋_GB2312"/>
          <w:bCs/>
          <w:sz w:val="32"/>
          <w:szCs w:val="32"/>
          <w:highlight w:val="none"/>
          <w:lang w:eastAsia="zh-CN"/>
        </w:rPr>
        <w:t>“</w:t>
      </w:r>
      <w:r>
        <w:rPr>
          <w:rFonts w:hint="default" w:eastAsia="仿宋_GB2312"/>
          <w:bCs/>
          <w:sz w:val="32"/>
          <w:szCs w:val="32"/>
          <w:highlight w:val="none"/>
        </w:rPr>
        <w:t>土壤污染治理修复项目</w:t>
      </w:r>
      <w:r>
        <w:rPr>
          <w:rFonts w:hint="eastAsia" w:eastAsia="仿宋_GB2312"/>
          <w:bCs/>
          <w:sz w:val="32"/>
          <w:szCs w:val="32"/>
          <w:highlight w:val="none"/>
          <w:lang w:eastAsia="zh-CN"/>
        </w:rPr>
        <w:t>”</w:t>
      </w:r>
      <w:r>
        <w:rPr>
          <w:rFonts w:hint="eastAsia" w:eastAsia="仿宋_GB2312"/>
          <w:bCs/>
          <w:sz w:val="32"/>
          <w:szCs w:val="32"/>
          <w:highlight w:val="none"/>
          <w:lang w:val="en-US" w:eastAsia="zh-CN"/>
        </w:rPr>
        <w:t>未完成原因：根据2018至2021年东莞市清溪镇49个污染识别地块统计数据，29个地块不作强制性要求开展土壤污染状况调查，20个地块已完成初步调查，均不属于污染地块。清溪镇建设用地土壤环境质量总体良好，暂未发现其他污染地块，因此未开展该项目。</w:t>
      </w:r>
    </w:p>
    <w:p w14:paraId="02E052F0">
      <w:pPr>
        <w:adjustRightInd/>
        <w:snapToGrid/>
        <w:spacing w:beforeLines="0" w:afterLines="0" w:line="240" w:lineRule="auto"/>
        <w:ind w:firstLine="0" w:firstLineChars="0"/>
        <w:jc w:val="center"/>
        <w:rPr>
          <w:rFonts w:hint="eastAsia" w:cs="Times New Roman"/>
          <w:b/>
          <w:kern w:val="2"/>
          <w:sz w:val="24"/>
          <w:szCs w:val="24"/>
          <w:highlight w:val="none"/>
        </w:rPr>
      </w:pPr>
      <w:r>
        <w:rPr>
          <w:rFonts w:hint="eastAsia" w:eastAsia="仿宋_GB2312" w:cs="Times New Roman"/>
          <w:b/>
          <w:kern w:val="2"/>
          <w:sz w:val="24"/>
          <w:szCs w:val="24"/>
          <w:highlight w:val="none"/>
        </w:rPr>
        <w:t xml:space="preserve">表 </w:t>
      </w:r>
      <w:r>
        <w:rPr>
          <w:rFonts w:hint="eastAsia" w:cs="Times New Roman"/>
          <w:b/>
          <w:kern w:val="2"/>
          <w:sz w:val="24"/>
          <w:szCs w:val="24"/>
          <w:highlight w:val="none"/>
        </w:rPr>
        <w:fldChar w:fldCharType="begin"/>
      </w:r>
      <w:r>
        <w:rPr>
          <w:rFonts w:hint="eastAsia" w:cs="Times New Roman"/>
          <w:b/>
          <w:kern w:val="2"/>
          <w:sz w:val="24"/>
          <w:szCs w:val="24"/>
          <w:highlight w:val="none"/>
        </w:rPr>
        <w:instrText xml:space="preserve"> STYLEREF 2 \s </w:instrText>
      </w:r>
      <w:r>
        <w:rPr>
          <w:rFonts w:hint="eastAsia" w:cs="Times New Roman"/>
          <w:b/>
          <w:kern w:val="2"/>
          <w:sz w:val="24"/>
          <w:szCs w:val="24"/>
          <w:highlight w:val="none"/>
        </w:rPr>
        <w:fldChar w:fldCharType="separate"/>
      </w:r>
      <w:r>
        <w:rPr>
          <w:rFonts w:hint="eastAsia" w:cs="Times New Roman"/>
          <w:b/>
          <w:kern w:val="2"/>
          <w:sz w:val="24"/>
          <w:szCs w:val="24"/>
          <w:highlight w:val="none"/>
          <w:lang w:val="en-US" w:eastAsia="zh-CN"/>
        </w:rPr>
        <w:t>1</w:t>
      </w:r>
      <w:r>
        <w:rPr>
          <w:rFonts w:hint="eastAsia" w:cs="Times New Roman"/>
          <w:b/>
          <w:kern w:val="2"/>
          <w:sz w:val="24"/>
          <w:szCs w:val="24"/>
          <w:highlight w:val="none"/>
        </w:rPr>
        <w:t>.1</w:t>
      </w:r>
      <w:r>
        <w:rPr>
          <w:rFonts w:hint="eastAsia" w:cs="Times New Roman"/>
          <w:b/>
          <w:kern w:val="2"/>
          <w:sz w:val="24"/>
          <w:szCs w:val="24"/>
          <w:highlight w:val="none"/>
        </w:rPr>
        <w:fldChar w:fldCharType="end"/>
      </w:r>
      <w:r>
        <w:rPr>
          <w:rFonts w:hint="eastAsia" w:cs="Times New Roman"/>
          <w:b/>
          <w:kern w:val="2"/>
          <w:sz w:val="24"/>
          <w:szCs w:val="24"/>
          <w:highlight w:val="none"/>
        </w:rPr>
        <w:t>-</w:t>
      </w:r>
      <w:r>
        <w:rPr>
          <w:rFonts w:hint="eastAsia" w:cs="Times New Roman"/>
          <w:b/>
          <w:kern w:val="2"/>
          <w:sz w:val="24"/>
          <w:szCs w:val="24"/>
          <w:highlight w:val="none"/>
        </w:rPr>
        <w:fldChar w:fldCharType="begin"/>
      </w:r>
      <w:r>
        <w:rPr>
          <w:rFonts w:hint="eastAsia" w:cs="Times New Roman"/>
          <w:b/>
          <w:kern w:val="2"/>
          <w:sz w:val="24"/>
          <w:szCs w:val="24"/>
          <w:highlight w:val="none"/>
        </w:rPr>
        <w:instrText xml:space="preserve"> SEQ </w:instrText>
      </w:r>
      <w:r>
        <w:rPr>
          <w:rFonts w:hint="eastAsia" w:eastAsia="仿宋_GB2312" w:cs="Times New Roman"/>
          <w:b/>
          <w:kern w:val="2"/>
          <w:sz w:val="24"/>
          <w:szCs w:val="24"/>
          <w:highlight w:val="none"/>
        </w:rPr>
        <w:instrText xml:space="preserve">表 \* ARABIC \s 2 </w:instrText>
      </w:r>
      <w:r>
        <w:rPr>
          <w:rFonts w:hint="eastAsia" w:eastAsia="仿宋_GB2312" w:cs="Times New Roman"/>
          <w:b/>
          <w:kern w:val="2"/>
          <w:sz w:val="24"/>
          <w:szCs w:val="24"/>
          <w:highlight w:val="none"/>
        </w:rPr>
        <w:fldChar w:fldCharType="separate"/>
      </w:r>
      <w:r>
        <w:rPr>
          <w:rFonts w:hint="eastAsia" w:cs="Times New Roman"/>
          <w:b/>
          <w:kern w:val="2"/>
          <w:sz w:val="24"/>
          <w:szCs w:val="24"/>
          <w:highlight w:val="none"/>
        </w:rPr>
        <w:t>1</w:t>
      </w:r>
      <w:r>
        <w:rPr>
          <w:rFonts w:hint="eastAsia" w:cs="Times New Roman"/>
          <w:b/>
          <w:kern w:val="2"/>
          <w:sz w:val="24"/>
          <w:szCs w:val="24"/>
          <w:highlight w:val="none"/>
        </w:rPr>
        <w:fldChar w:fldCharType="end"/>
      </w:r>
      <w:r>
        <w:rPr>
          <w:rFonts w:hint="eastAsia" w:cs="Times New Roman"/>
          <w:b/>
          <w:kern w:val="2"/>
          <w:sz w:val="24"/>
          <w:szCs w:val="24"/>
          <w:highlight w:val="none"/>
        </w:rPr>
        <w:t xml:space="preserve"> </w:t>
      </w:r>
      <w:r>
        <w:rPr>
          <w:rFonts w:hint="eastAsia" w:eastAsia="仿宋_GB2312" w:cs="Times New Roman"/>
          <w:b/>
          <w:kern w:val="2"/>
          <w:sz w:val="24"/>
          <w:szCs w:val="24"/>
          <w:highlight w:val="none"/>
        </w:rPr>
        <w:t>清溪镇环境保护规划修编（2017-2020）指标完成情况一览表</w:t>
      </w:r>
    </w:p>
    <w:tbl>
      <w:tblPr>
        <w:tblStyle w:val="30"/>
        <w:tblW w:w="10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26"/>
        <w:gridCol w:w="567"/>
        <w:gridCol w:w="2828"/>
        <w:gridCol w:w="992"/>
        <w:gridCol w:w="993"/>
        <w:gridCol w:w="1064"/>
        <w:gridCol w:w="1101"/>
        <w:gridCol w:w="947"/>
        <w:gridCol w:w="1034"/>
      </w:tblGrid>
      <w:tr w14:paraId="04B9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993" w:type="dxa"/>
            <w:gridSpan w:val="2"/>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617CE55">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类别</w:t>
            </w:r>
          </w:p>
        </w:tc>
        <w:tc>
          <w:tcPr>
            <w:tcW w:w="56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3E80742">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序号</w:t>
            </w:r>
          </w:p>
        </w:tc>
        <w:tc>
          <w:tcPr>
            <w:tcW w:w="282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EE71297">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指标名称</w:t>
            </w:r>
          </w:p>
        </w:tc>
        <w:tc>
          <w:tcPr>
            <w:tcW w:w="99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2F4A709">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单位</w:t>
            </w:r>
          </w:p>
        </w:tc>
        <w:tc>
          <w:tcPr>
            <w:tcW w:w="99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815007D">
            <w:pPr>
              <w:spacing w:beforeLines="0" w:afterLines="0"/>
              <w:ind w:firstLine="0" w:firstLineChars="0"/>
              <w:jc w:val="center"/>
              <w:rPr>
                <w:rFonts w:hint="default" w:cs="Times New Roman"/>
                <w:b/>
                <w:bCs/>
                <w:sz w:val="24"/>
                <w:szCs w:val="24"/>
                <w:highlight w:val="none"/>
                <w:lang w:val="en-GB"/>
              </w:rPr>
            </w:pPr>
            <w:r>
              <w:rPr>
                <w:rFonts w:hint="default" w:cs="Times New Roman"/>
                <w:b/>
                <w:bCs/>
                <w:sz w:val="24"/>
                <w:szCs w:val="24"/>
                <w:highlight w:val="none"/>
                <w:lang w:val="en-GB"/>
              </w:rPr>
              <w:t>201</w:t>
            </w:r>
            <w:r>
              <w:rPr>
                <w:rFonts w:hint="default" w:cs="Times New Roman"/>
                <w:b/>
                <w:bCs/>
                <w:sz w:val="24"/>
                <w:szCs w:val="24"/>
                <w:highlight w:val="none"/>
              </w:rPr>
              <w:t>6</w:t>
            </w:r>
            <w:r>
              <w:rPr>
                <w:rFonts w:hint="default" w:eastAsia="仿宋_GB2312" w:cs="Times New Roman"/>
                <w:b/>
                <w:bCs/>
                <w:sz w:val="24"/>
                <w:szCs w:val="24"/>
                <w:highlight w:val="none"/>
                <w:lang w:val="en-GB"/>
              </w:rPr>
              <w:t>年现状值</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A8CD3F">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目标值</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F852EF">
            <w:pPr>
              <w:spacing w:beforeLines="0" w:afterLines="0"/>
              <w:ind w:firstLine="0" w:firstLineChars="0"/>
              <w:jc w:val="center"/>
              <w:rPr>
                <w:rFonts w:hint="default" w:cs="Times New Roman"/>
                <w:b/>
                <w:bCs/>
                <w:sz w:val="24"/>
                <w:szCs w:val="24"/>
                <w:highlight w:val="none"/>
              </w:rPr>
            </w:pPr>
            <w:r>
              <w:rPr>
                <w:rFonts w:hint="eastAsia" w:eastAsia="仿宋_GB2312" w:cs="Times New Roman"/>
                <w:b/>
                <w:bCs/>
                <w:sz w:val="24"/>
                <w:szCs w:val="24"/>
                <w:highlight w:val="none"/>
                <w:lang w:val="en-US" w:eastAsia="zh-CN"/>
              </w:rPr>
              <w:t>指标</w:t>
            </w:r>
            <w:r>
              <w:rPr>
                <w:rFonts w:hint="default" w:eastAsia="仿宋_GB2312" w:cs="Times New Roman"/>
                <w:b/>
                <w:bCs/>
                <w:sz w:val="24"/>
                <w:szCs w:val="24"/>
                <w:highlight w:val="none"/>
              </w:rPr>
              <w:t>完成情况</w:t>
            </w:r>
          </w:p>
        </w:tc>
        <w:tc>
          <w:tcPr>
            <w:tcW w:w="94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CD78583">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指标</w:t>
            </w:r>
          </w:p>
          <w:p w14:paraId="415AB67F">
            <w:pPr>
              <w:spacing w:beforeLines="0" w:afterLines="0"/>
              <w:ind w:firstLine="0" w:firstLineChars="0"/>
              <w:jc w:val="center"/>
              <w:rPr>
                <w:rFonts w:hint="default" w:cs="Times New Roman"/>
                <w:b/>
                <w:bCs/>
                <w:sz w:val="24"/>
                <w:szCs w:val="24"/>
                <w:highlight w:val="none"/>
                <w:lang w:val="en-GB"/>
              </w:rPr>
            </w:pPr>
            <w:r>
              <w:rPr>
                <w:rFonts w:hint="default" w:eastAsia="仿宋_GB2312" w:cs="Times New Roman"/>
                <w:b/>
                <w:bCs/>
                <w:sz w:val="24"/>
                <w:szCs w:val="24"/>
                <w:highlight w:val="none"/>
                <w:lang w:val="en-GB"/>
              </w:rPr>
              <w:t>属性</w:t>
            </w:r>
          </w:p>
        </w:tc>
        <w:tc>
          <w:tcPr>
            <w:tcW w:w="103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5BC7D8E">
            <w:pPr>
              <w:spacing w:beforeLines="0" w:afterLines="0"/>
              <w:ind w:firstLine="0" w:firstLineChars="0"/>
              <w:jc w:val="center"/>
              <w:rPr>
                <w:rFonts w:hint="default" w:eastAsia="仿宋_GB2312" w:cs="Times New Roman"/>
                <w:b/>
                <w:bCs/>
                <w:sz w:val="24"/>
                <w:szCs w:val="24"/>
                <w:highlight w:val="none"/>
              </w:rPr>
            </w:pPr>
            <w:r>
              <w:rPr>
                <w:rFonts w:hint="default" w:eastAsia="仿宋_GB2312" w:cs="Times New Roman"/>
                <w:b/>
                <w:bCs/>
                <w:sz w:val="24"/>
                <w:szCs w:val="24"/>
                <w:highlight w:val="none"/>
              </w:rPr>
              <w:t>完成</w:t>
            </w:r>
          </w:p>
          <w:p w14:paraId="6E0851D0">
            <w:pPr>
              <w:spacing w:beforeLines="0" w:afterLines="0"/>
              <w:ind w:firstLine="0" w:firstLineChars="0"/>
              <w:jc w:val="center"/>
              <w:rPr>
                <w:rFonts w:hint="default" w:cs="Times New Roman"/>
                <w:b/>
                <w:bCs/>
                <w:sz w:val="24"/>
                <w:szCs w:val="24"/>
                <w:highlight w:val="none"/>
              </w:rPr>
            </w:pPr>
            <w:r>
              <w:rPr>
                <w:rFonts w:hint="default" w:eastAsia="仿宋_GB2312" w:cs="Times New Roman"/>
                <w:b/>
                <w:bCs/>
                <w:sz w:val="24"/>
                <w:szCs w:val="24"/>
                <w:highlight w:val="none"/>
              </w:rPr>
              <w:t>情况</w:t>
            </w:r>
          </w:p>
        </w:tc>
      </w:tr>
      <w:tr w14:paraId="15EE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blHeader/>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1DDBF93">
            <w:pPr>
              <w:spacing w:beforeLines="0" w:afterLines="0"/>
              <w:ind w:firstLine="0" w:firstLineChars="0"/>
              <w:jc w:val="center"/>
              <w:rPr>
                <w:rFonts w:hint="default" w:cs="Times New Roman"/>
                <w:sz w:val="24"/>
                <w:szCs w:val="24"/>
                <w:highlight w:val="none"/>
                <w:lang w:val="en-GB"/>
              </w:rPr>
            </w:pPr>
          </w:p>
        </w:tc>
        <w:tc>
          <w:tcPr>
            <w:tcW w:w="5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39D1BB2">
            <w:pPr>
              <w:spacing w:beforeLines="0" w:afterLines="0"/>
              <w:ind w:firstLine="0" w:firstLineChars="0"/>
              <w:jc w:val="center"/>
              <w:rPr>
                <w:rFonts w:hint="default" w:cs="Times New Roman"/>
                <w:sz w:val="24"/>
                <w:szCs w:val="24"/>
                <w:highlight w:val="none"/>
                <w:lang w:val="en-GB"/>
              </w:rPr>
            </w:pPr>
          </w:p>
        </w:tc>
        <w:tc>
          <w:tcPr>
            <w:tcW w:w="282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5B81CD4">
            <w:pPr>
              <w:spacing w:beforeLines="0" w:afterLines="0"/>
              <w:ind w:firstLine="0" w:firstLineChars="0"/>
              <w:jc w:val="center"/>
              <w:rPr>
                <w:rFonts w:hint="default" w:cs="Times New Roman"/>
                <w:sz w:val="24"/>
                <w:szCs w:val="24"/>
                <w:highlight w:val="none"/>
                <w:lang w:val="en-GB"/>
              </w:rPr>
            </w:pPr>
          </w:p>
        </w:tc>
        <w:tc>
          <w:tcPr>
            <w:tcW w:w="99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4C0BC48">
            <w:pPr>
              <w:spacing w:beforeLines="0" w:afterLines="0"/>
              <w:ind w:firstLine="0" w:firstLineChars="0"/>
              <w:jc w:val="center"/>
              <w:rPr>
                <w:rFonts w:hint="default" w:cs="Times New Roman"/>
                <w:sz w:val="24"/>
                <w:szCs w:val="24"/>
                <w:highlight w:val="none"/>
                <w:lang w:val="en-GB"/>
              </w:rPr>
            </w:pPr>
          </w:p>
        </w:tc>
        <w:tc>
          <w:tcPr>
            <w:tcW w:w="99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F50260">
            <w:pPr>
              <w:spacing w:beforeLines="0" w:afterLines="0"/>
              <w:ind w:firstLine="0" w:firstLineChars="0"/>
              <w:jc w:val="center"/>
              <w:rPr>
                <w:rFonts w:hint="default" w:cs="Times New Roman"/>
                <w:sz w:val="24"/>
                <w:szCs w:val="24"/>
                <w:highlight w:val="none"/>
                <w:lang w:val="en-GB"/>
              </w:rPr>
            </w:pP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4D07F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2020</w:t>
            </w:r>
            <w:r>
              <w:rPr>
                <w:rFonts w:hint="default" w:eastAsia="仿宋_GB2312" w:cs="Times New Roman"/>
                <w:sz w:val="24"/>
                <w:szCs w:val="24"/>
                <w:highlight w:val="none"/>
                <w:lang w:val="en-GB"/>
              </w:rPr>
              <w:t>年</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top"/>
          </w:tcPr>
          <w:p w14:paraId="29EE32D3">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2020</w:t>
            </w:r>
            <w:r>
              <w:rPr>
                <w:rFonts w:hint="default" w:eastAsia="仿宋_GB2312" w:cs="Times New Roman"/>
                <w:sz w:val="24"/>
                <w:szCs w:val="24"/>
                <w:highlight w:val="none"/>
              </w:rPr>
              <w:t>年</w:t>
            </w:r>
          </w:p>
          <w:p w14:paraId="02C8C86D">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完成值</w:t>
            </w:r>
          </w:p>
        </w:tc>
        <w:tc>
          <w:tcPr>
            <w:tcW w:w="947"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D6C8F74">
            <w:pPr>
              <w:spacing w:beforeLines="0" w:afterLines="0"/>
              <w:ind w:firstLine="0" w:firstLineChars="0"/>
              <w:jc w:val="center"/>
              <w:rPr>
                <w:rFonts w:hint="default" w:cs="Times New Roman"/>
                <w:sz w:val="24"/>
                <w:szCs w:val="24"/>
                <w:highlight w:val="none"/>
                <w:lang w:val="en-GB"/>
              </w:rPr>
            </w:pPr>
          </w:p>
        </w:tc>
        <w:tc>
          <w:tcPr>
            <w:tcW w:w="1034"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7802161">
            <w:pPr>
              <w:spacing w:beforeLines="0" w:afterLines="0"/>
              <w:ind w:firstLine="0" w:firstLineChars="0"/>
              <w:jc w:val="center"/>
              <w:rPr>
                <w:rFonts w:hint="default" w:cs="Times New Roman"/>
                <w:sz w:val="24"/>
                <w:szCs w:val="24"/>
                <w:highlight w:val="none"/>
                <w:lang w:val="en-GB"/>
              </w:rPr>
            </w:pPr>
          </w:p>
        </w:tc>
      </w:tr>
      <w:tr w14:paraId="6540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restart"/>
            <w:tcBorders>
              <w:top w:val="single" w:color="auto" w:sz="4" w:space="0"/>
              <w:left w:val="single" w:color="auto" w:sz="4" w:space="0"/>
              <w:right w:val="single" w:color="auto" w:sz="4" w:space="0"/>
              <w:tl2br w:val="nil"/>
              <w:tr2bl w:val="nil"/>
            </w:tcBorders>
            <w:noWrap w:val="0"/>
            <w:vAlign w:val="center"/>
          </w:tcPr>
          <w:p w14:paraId="5F25CD72">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环境质量</w:t>
            </w:r>
          </w:p>
        </w:tc>
        <w:tc>
          <w:tcPr>
            <w:tcW w:w="42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0D72902">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大气</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4D9589">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2A3F0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城市空气质量优良天数比例</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1D581F">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B4945E">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F00305">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92</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0CBEC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91.2</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38B6F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E69EAF">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未完成</w:t>
            </w:r>
          </w:p>
        </w:tc>
      </w:tr>
      <w:tr w14:paraId="0734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04CF7462">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C7586D1">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27FDD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792F2A">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PM</w:t>
            </w:r>
            <w:r>
              <w:rPr>
                <w:rFonts w:hint="default" w:cs="Times New Roman"/>
                <w:sz w:val="24"/>
                <w:szCs w:val="24"/>
                <w:highlight w:val="none"/>
                <w:vertAlign w:val="subscript"/>
              </w:rPr>
              <w:t>2.5</w:t>
            </w:r>
            <w:r>
              <w:rPr>
                <w:rFonts w:hint="default" w:eastAsia="仿宋_GB2312" w:cs="Times New Roman"/>
                <w:sz w:val="24"/>
                <w:szCs w:val="24"/>
                <w:highlight w:val="none"/>
              </w:rPr>
              <w:t>年平均浓度</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8825ED">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μg/m</w:t>
            </w:r>
            <w:r>
              <w:rPr>
                <w:rFonts w:hint="default" w:cs="Times New Roman"/>
                <w:sz w:val="24"/>
                <w:szCs w:val="24"/>
                <w:highlight w:val="none"/>
                <w:vertAlign w:val="superscript"/>
              </w:rPr>
              <w:t>3</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AD8E0E">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694DD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≤33</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BB25A5">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16</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A3D115">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BB3F7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60A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69F67DF0">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06B1A5F">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E6D169">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3</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45DCBC">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PM</w:t>
            </w:r>
            <w:r>
              <w:rPr>
                <w:rFonts w:hint="default" w:cs="Times New Roman"/>
                <w:sz w:val="24"/>
                <w:szCs w:val="24"/>
                <w:highlight w:val="none"/>
                <w:vertAlign w:val="subscript"/>
              </w:rPr>
              <w:t>10</w:t>
            </w:r>
            <w:r>
              <w:rPr>
                <w:rFonts w:hint="default" w:eastAsia="仿宋_GB2312" w:cs="Times New Roman"/>
                <w:sz w:val="24"/>
                <w:szCs w:val="24"/>
                <w:highlight w:val="none"/>
              </w:rPr>
              <w:t>年平均浓度</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165C0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μg/m</w:t>
            </w:r>
            <w:r>
              <w:rPr>
                <w:rFonts w:hint="default" w:cs="Times New Roman"/>
                <w:sz w:val="24"/>
                <w:szCs w:val="24"/>
                <w:highlight w:val="none"/>
                <w:vertAlign w:val="superscript"/>
              </w:rPr>
              <w:t>3</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DC9DC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9BD784">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≤48</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B6846D">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32</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42C48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A0B34D">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410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2A0FCD1B">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26FFF96">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10653B">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4</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EF8641">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臭氧浓度年评价值</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74B3BC">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μg/m</w:t>
            </w:r>
            <w:r>
              <w:rPr>
                <w:rFonts w:hint="default" w:cs="Times New Roman"/>
                <w:sz w:val="24"/>
                <w:szCs w:val="24"/>
                <w:highlight w:val="none"/>
                <w:vertAlign w:val="superscript"/>
              </w:rPr>
              <w:t>3</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4B8A1D">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51D0EF">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160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39753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156</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FDB42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820622">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65E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50470922">
            <w:pPr>
              <w:spacing w:beforeLines="0" w:afterLines="0"/>
              <w:ind w:firstLine="0" w:firstLineChars="0"/>
              <w:jc w:val="center"/>
              <w:rPr>
                <w:rFonts w:hint="default" w:cs="Times New Roman"/>
                <w:sz w:val="24"/>
                <w:szCs w:val="24"/>
                <w:highlight w:val="none"/>
                <w:lang w:val="en-GB"/>
              </w:rPr>
            </w:pPr>
          </w:p>
        </w:tc>
        <w:tc>
          <w:tcPr>
            <w:tcW w:w="426" w:type="dxa"/>
            <w:vMerge w:val="restart"/>
            <w:tcBorders>
              <w:top w:val="single" w:color="auto" w:sz="4" w:space="0"/>
              <w:left w:val="single" w:color="auto" w:sz="4" w:space="0"/>
              <w:right w:val="single" w:color="auto" w:sz="4" w:space="0"/>
              <w:tl2br w:val="nil"/>
              <w:tr2bl w:val="nil"/>
            </w:tcBorders>
            <w:noWrap w:val="0"/>
            <w:vAlign w:val="center"/>
          </w:tcPr>
          <w:p w14:paraId="25B55A81">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水</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FA48F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5</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786228">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集中式饮用水源水质达标率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508ED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93E49D">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B9EDFE">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FF8646">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5B0659">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16EC7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EC5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2E97AA1E">
            <w:pPr>
              <w:spacing w:beforeLines="0" w:afterLines="0"/>
              <w:ind w:firstLine="0" w:firstLineChars="0"/>
              <w:jc w:val="center"/>
              <w:rPr>
                <w:rFonts w:hint="default" w:cs="Times New Roman"/>
                <w:sz w:val="24"/>
                <w:szCs w:val="24"/>
                <w:highlight w:val="none"/>
                <w:lang w:val="en-GB"/>
              </w:rPr>
            </w:pPr>
          </w:p>
        </w:tc>
        <w:tc>
          <w:tcPr>
            <w:tcW w:w="426" w:type="dxa"/>
            <w:vMerge w:val="continue"/>
            <w:tcBorders>
              <w:left w:val="single" w:color="auto" w:sz="4" w:space="0"/>
              <w:right w:val="single" w:color="auto" w:sz="4" w:space="0"/>
              <w:tl2br w:val="nil"/>
              <w:tr2bl w:val="nil"/>
            </w:tcBorders>
            <w:noWrap w:val="0"/>
            <w:vAlign w:val="center"/>
          </w:tcPr>
          <w:p w14:paraId="0D83A9AB">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E7609E">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6</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0C9CC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地表水水质优良（达到或优于Ⅲ类）比例</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CC35F3">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82220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55.6</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1ABAA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≥57.1</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E8A621">
            <w:pPr>
              <w:spacing w:beforeLines="0" w:afterLines="0"/>
              <w:ind w:firstLine="0" w:firstLineChars="0"/>
              <w:jc w:val="center"/>
              <w:rPr>
                <w:rFonts w:hint="default" w:eastAsia="宋体" w:cs="Times New Roman"/>
                <w:sz w:val="24"/>
                <w:szCs w:val="24"/>
                <w:highlight w:val="none"/>
                <w:lang w:val="en-US" w:eastAsia="zh-CN"/>
              </w:rPr>
            </w:pPr>
            <w:r>
              <w:rPr>
                <w:rFonts w:hint="eastAsia" w:cs="Times New Roman"/>
                <w:sz w:val="24"/>
                <w:szCs w:val="24"/>
                <w:highlight w:val="none"/>
                <w:lang w:val="en-US" w:eastAsia="zh-CN"/>
              </w:rPr>
              <w:t>57.1</w:t>
            </w:r>
            <w:r>
              <w:rPr>
                <w:rFonts w:hint="default" w:eastAsia="仿宋_GB2312" w:cs="Times New Roman"/>
                <w:sz w:val="24"/>
                <w:szCs w:val="24"/>
                <w:highlight w:val="none"/>
                <w:lang w:val="en-US" w:eastAsia="zh-CN"/>
              </w:rPr>
              <w:t>（不计溶解氧）</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76E3A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A4B1F2">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完成</w:t>
            </w:r>
          </w:p>
        </w:tc>
      </w:tr>
      <w:tr w14:paraId="650A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58E5E751">
            <w:pPr>
              <w:spacing w:beforeLines="0" w:afterLines="0"/>
              <w:ind w:firstLine="0" w:firstLineChars="0"/>
              <w:jc w:val="center"/>
              <w:rPr>
                <w:rFonts w:hint="default" w:cs="Times New Roman"/>
                <w:sz w:val="24"/>
                <w:szCs w:val="24"/>
                <w:highlight w:val="none"/>
                <w:lang w:val="en-GB"/>
              </w:rPr>
            </w:pPr>
          </w:p>
        </w:tc>
        <w:tc>
          <w:tcPr>
            <w:tcW w:w="426" w:type="dxa"/>
            <w:vMerge w:val="continue"/>
            <w:tcBorders>
              <w:left w:val="single" w:color="auto" w:sz="4" w:space="0"/>
              <w:right w:val="single" w:color="auto" w:sz="4" w:space="0"/>
              <w:tl2br w:val="nil"/>
              <w:tr2bl w:val="nil"/>
            </w:tcBorders>
            <w:noWrap w:val="0"/>
            <w:vAlign w:val="center"/>
          </w:tcPr>
          <w:p w14:paraId="36C0B850">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1C74C4">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7</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ADD0AD">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划定地表水环境功能区的水体断面劣于Ⅴ类比例</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EA15D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1F246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C50644">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0F54BD">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49FA0F">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79EAC7">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703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6C201F6D">
            <w:pPr>
              <w:spacing w:beforeLines="0" w:afterLines="0"/>
              <w:ind w:firstLine="0" w:firstLineChars="0"/>
              <w:jc w:val="center"/>
              <w:rPr>
                <w:rFonts w:hint="default" w:cs="Times New Roman"/>
                <w:sz w:val="24"/>
                <w:szCs w:val="24"/>
                <w:highlight w:val="none"/>
                <w:lang w:val="en-GB"/>
              </w:rPr>
            </w:pPr>
          </w:p>
        </w:tc>
        <w:tc>
          <w:tcPr>
            <w:tcW w:w="426" w:type="dxa"/>
            <w:vMerge w:val="continue"/>
            <w:tcBorders>
              <w:left w:val="single" w:color="auto" w:sz="4" w:space="0"/>
              <w:bottom w:val="single" w:color="auto" w:sz="4" w:space="0"/>
              <w:right w:val="single" w:color="auto" w:sz="4" w:space="0"/>
              <w:tl2br w:val="nil"/>
              <w:tr2bl w:val="nil"/>
            </w:tcBorders>
            <w:noWrap w:val="0"/>
            <w:vAlign w:val="center"/>
          </w:tcPr>
          <w:p w14:paraId="486FA415">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145658">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8</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AA2EE2">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城市建成区黑臭水体比例</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92C2DC">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E83BDB">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049DC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961D82">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D72D9A">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8C0F7D">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A25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290F5DF9">
            <w:pPr>
              <w:spacing w:beforeLines="0" w:afterLines="0"/>
              <w:ind w:firstLine="0" w:firstLineChars="0"/>
              <w:jc w:val="center"/>
              <w:rPr>
                <w:rFonts w:hint="default" w:cs="Times New Roman"/>
                <w:sz w:val="24"/>
                <w:szCs w:val="24"/>
                <w:highlight w:val="none"/>
                <w:lang w:val="en-GB"/>
              </w:rPr>
            </w:pPr>
          </w:p>
        </w:tc>
        <w:tc>
          <w:tcPr>
            <w:tcW w:w="42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EF8B943">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噪声</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9A5255">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9</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7540BD">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区域环境噪声平均值</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C8F958">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dB</w:t>
            </w:r>
            <w:r>
              <w:rPr>
                <w:rFonts w:hint="default" w:eastAsia="仿宋_GB2312" w:cs="Times New Roman"/>
                <w:sz w:val="24"/>
                <w:szCs w:val="24"/>
                <w:highlight w:val="none"/>
                <w:lang w:val="en-GB"/>
              </w:rPr>
              <w:t>（A）</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60732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55</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E0D9F8">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55</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BB2E07">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662632">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E2B2E5">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r>
      <w:tr w14:paraId="3AAF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53B588C4">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89A2AA5">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C4ADE5">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4BBCE3">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交通干线噪声平均值</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22284A">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dB</w:t>
            </w:r>
            <w:r>
              <w:rPr>
                <w:rFonts w:hint="default" w:eastAsia="仿宋_GB2312" w:cs="Times New Roman"/>
                <w:sz w:val="24"/>
                <w:szCs w:val="24"/>
                <w:highlight w:val="none"/>
                <w:lang w:val="en-GB"/>
              </w:rPr>
              <w:t>（A）</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7E4A92">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65</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F5E556">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65</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CC33D5">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9F6F3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7D20AC">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r>
      <w:tr w14:paraId="1127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right w:val="single" w:color="auto" w:sz="4" w:space="0"/>
              <w:tl2br w:val="nil"/>
              <w:tr2bl w:val="nil"/>
            </w:tcBorders>
            <w:noWrap w:val="0"/>
            <w:vAlign w:val="center"/>
          </w:tcPr>
          <w:p w14:paraId="43800FA7">
            <w:pPr>
              <w:spacing w:beforeLines="0" w:afterLines="0"/>
              <w:ind w:firstLine="0" w:firstLineChars="0"/>
              <w:jc w:val="center"/>
              <w:rPr>
                <w:rFonts w:hint="default" w:cs="Times New Roman"/>
                <w:sz w:val="24"/>
                <w:szCs w:val="24"/>
                <w:highlight w:val="none"/>
                <w:lang w:val="en-GB"/>
              </w:rPr>
            </w:pPr>
          </w:p>
        </w:tc>
        <w:tc>
          <w:tcPr>
            <w:tcW w:w="42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64A0416">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土壤</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D9D67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11</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CDAD83">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受污染耕地安全利用率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EAC18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10A01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79F492">
            <w:pPr>
              <w:spacing w:beforeLines="0" w:afterLines="0" w:line="300" w:lineRule="exact"/>
              <w:ind w:firstLine="0" w:firstLineChars="0"/>
              <w:jc w:val="center"/>
              <w:rPr>
                <w:rFonts w:hint="default" w:cs="Times New Roman"/>
                <w:sz w:val="24"/>
                <w:szCs w:val="24"/>
                <w:highlight w:val="none"/>
              </w:rPr>
            </w:pPr>
            <w:r>
              <w:rPr>
                <w:rFonts w:hint="default" w:cs="Times New Roman"/>
                <w:sz w:val="24"/>
                <w:szCs w:val="24"/>
                <w:highlight w:val="none"/>
              </w:rPr>
              <w:t>&gt;90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F0AD1A">
            <w:pPr>
              <w:spacing w:beforeLines="0" w:afterLines="0" w:line="300" w:lineRule="exact"/>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0584E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3F17D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0A43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left w:val="single" w:color="auto" w:sz="4" w:space="0"/>
              <w:bottom w:val="single" w:color="auto" w:sz="4" w:space="0"/>
              <w:right w:val="single" w:color="auto" w:sz="4" w:space="0"/>
              <w:tl2br w:val="nil"/>
              <w:tr2bl w:val="nil"/>
            </w:tcBorders>
            <w:noWrap w:val="0"/>
            <w:vAlign w:val="center"/>
          </w:tcPr>
          <w:p w14:paraId="4E3D088D">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4B1F9AA">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43DF3B">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12</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21C1D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污染地块安全利用率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26045C">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B0D813">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1F2D88">
            <w:pPr>
              <w:spacing w:beforeLines="0" w:afterLines="0" w:line="300" w:lineRule="exact"/>
              <w:ind w:firstLine="0" w:firstLineChars="0"/>
              <w:jc w:val="center"/>
              <w:rPr>
                <w:rFonts w:hint="default" w:cs="Times New Roman"/>
                <w:sz w:val="24"/>
                <w:szCs w:val="24"/>
                <w:highlight w:val="none"/>
              </w:rPr>
            </w:pPr>
            <w:r>
              <w:rPr>
                <w:rFonts w:hint="default" w:cs="Times New Roman"/>
                <w:sz w:val="24"/>
                <w:szCs w:val="24"/>
                <w:highlight w:val="none"/>
              </w:rPr>
              <w:t>&gt;90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D49FD1">
            <w:pPr>
              <w:spacing w:beforeLines="0" w:afterLines="0" w:line="300" w:lineRule="exact"/>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8C82D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053895">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430B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5860242">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总量控制</w:t>
            </w:r>
          </w:p>
        </w:tc>
        <w:tc>
          <w:tcPr>
            <w:tcW w:w="42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A67B08F">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废水</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363344">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13</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BAD3F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化学需氧量排放量</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4C72BA">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万吨</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321F24">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0.3434</w:t>
            </w:r>
          </w:p>
        </w:tc>
        <w:tc>
          <w:tcPr>
            <w:tcW w:w="1064"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7BF9D4E">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控制在东莞市下达指标值内</w:t>
            </w:r>
          </w:p>
        </w:tc>
        <w:tc>
          <w:tcPr>
            <w:tcW w:w="1101"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5C4E966">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控制在东莞市下达指标值内</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E3D3B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E9E5C8">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39BA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A27143D">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DB7B5A">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6FABB9">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14</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57A2B7">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氨氮排放量</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4B3DBD">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万吨</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AD6DC6">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0.0512</w:t>
            </w:r>
          </w:p>
        </w:tc>
        <w:tc>
          <w:tcPr>
            <w:tcW w:w="10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7ABCE3">
            <w:pPr>
              <w:spacing w:beforeLines="0" w:afterLines="0"/>
              <w:ind w:firstLine="0" w:firstLineChars="0"/>
              <w:jc w:val="center"/>
              <w:rPr>
                <w:rFonts w:hint="default" w:cs="Times New Roman"/>
                <w:sz w:val="24"/>
                <w:szCs w:val="24"/>
                <w:highlight w:val="none"/>
                <w:lang w:val="en-GB"/>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0250466">
            <w:pPr>
              <w:spacing w:beforeLines="0" w:afterLines="0"/>
              <w:ind w:firstLine="0" w:firstLineChars="0"/>
              <w:jc w:val="center"/>
              <w:rPr>
                <w:rFonts w:hint="default" w:cs="Times New Roman"/>
                <w:sz w:val="24"/>
                <w:szCs w:val="24"/>
                <w:highlight w:val="none"/>
                <w:lang w:val="en-GB"/>
              </w:rPr>
            </w:pP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20F2C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DFFCE7">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21C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61D1C4B">
            <w:pPr>
              <w:spacing w:beforeLines="0" w:afterLines="0"/>
              <w:ind w:firstLine="0" w:firstLineChars="0"/>
              <w:jc w:val="center"/>
              <w:rPr>
                <w:rFonts w:hint="default" w:cs="Times New Roman"/>
                <w:sz w:val="24"/>
                <w:szCs w:val="24"/>
                <w:highlight w:val="none"/>
                <w:lang w:val="en-GB"/>
              </w:rPr>
            </w:pPr>
          </w:p>
        </w:tc>
        <w:tc>
          <w:tcPr>
            <w:tcW w:w="42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1FD8ACC">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废气</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4583F1">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15</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5D2563">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二氧化硫排放量</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82581B">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万吨</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09702F">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0.1374</w:t>
            </w:r>
          </w:p>
        </w:tc>
        <w:tc>
          <w:tcPr>
            <w:tcW w:w="10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C772B4B">
            <w:pPr>
              <w:spacing w:beforeLines="0" w:afterLines="0"/>
              <w:ind w:firstLine="0" w:firstLineChars="0"/>
              <w:jc w:val="center"/>
              <w:rPr>
                <w:rFonts w:hint="default" w:cs="Times New Roman"/>
                <w:sz w:val="24"/>
                <w:szCs w:val="24"/>
                <w:highlight w:val="none"/>
                <w:lang w:val="en-GB"/>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F3B7CF">
            <w:pPr>
              <w:spacing w:beforeLines="0" w:afterLines="0"/>
              <w:ind w:firstLine="0" w:firstLineChars="0"/>
              <w:jc w:val="center"/>
              <w:rPr>
                <w:rFonts w:hint="default" w:cs="Times New Roman"/>
                <w:sz w:val="24"/>
                <w:szCs w:val="24"/>
                <w:highlight w:val="none"/>
                <w:lang w:val="en-GB"/>
              </w:rPr>
            </w:pP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9A681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F97C5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8E5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DB6DF1C">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7A48714">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193C90">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16</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BD408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氮氧化物排放量</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BBD40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万吨</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D60F66">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0.0246</w:t>
            </w:r>
          </w:p>
        </w:tc>
        <w:tc>
          <w:tcPr>
            <w:tcW w:w="10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D75B940">
            <w:pPr>
              <w:spacing w:beforeLines="0" w:afterLines="0"/>
              <w:ind w:firstLine="0" w:firstLineChars="0"/>
              <w:jc w:val="center"/>
              <w:rPr>
                <w:rFonts w:hint="default" w:cs="Times New Roman"/>
                <w:sz w:val="24"/>
                <w:szCs w:val="24"/>
                <w:highlight w:val="none"/>
                <w:lang w:val="en-GB"/>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5D9E53">
            <w:pPr>
              <w:spacing w:beforeLines="0" w:afterLines="0"/>
              <w:ind w:firstLine="0" w:firstLineChars="0"/>
              <w:jc w:val="center"/>
              <w:rPr>
                <w:rFonts w:hint="default" w:cs="Times New Roman"/>
                <w:sz w:val="24"/>
                <w:szCs w:val="24"/>
                <w:highlight w:val="none"/>
                <w:lang w:val="en-GB"/>
              </w:rPr>
            </w:pP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E1E2C1">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5290B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32B5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6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0ACBD64">
            <w:pPr>
              <w:spacing w:beforeLines="0" w:afterLines="0"/>
              <w:ind w:firstLine="0" w:firstLineChars="0"/>
              <w:jc w:val="center"/>
              <w:rPr>
                <w:rFonts w:hint="default" w:cs="Times New Roman"/>
                <w:sz w:val="24"/>
                <w:szCs w:val="24"/>
                <w:highlight w:val="none"/>
                <w:lang w:val="en-GB"/>
              </w:rPr>
            </w:pPr>
          </w:p>
        </w:tc>
        <w:tc>
          <w:tcPr>
            <w:tcW w:w="42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0AF1E9B">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1FB755">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17</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7C13A3">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rPr>
              <w:t>VOCs</w:t>
            </w:r>
            <w:r>
              <w:rPr>
                <w:rFonts w:hint="default" w:eastAsia="仿宋_GB2312" w:cs="Times New Roman"/>
                <w:sz w:val="24"/>
                <w:szCs w:val="24"/>
                <w:highlight w:val="none"/>
              </w:rPr>
              <w:t>排放总量</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F42C43">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万吨</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A28E24">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0.0267</w:t>
            </w:r>
          </w:p>
        </w:tc>
        <w:tc>
          <w:tcPr>
            <w:tcW w:w="1064"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58C088A">
            <w:pPr>
              <w:spacing w:beforeLines="0" w:afterLines="0"/>
              <w:ind w:firstLine="0" w:firstLineChars="0"/>
              <w:jc w:val="center"/>
              <w:rPr>
                <w:rFonts w:hint="default" w:cs="Times New Roman"/>
                <w:sz w:val="24"/>
                <w:szCs w:val="24"/>
                <w:highlight w:val="none"/>
                <w:lang w:val="en-GB"/>
              </w:rPr>
            </w:pPr>
          </w:p>
        </w:tc>
        <w:tc>
          <w:tcPr>
            <w:tcW w:w="1101"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2DD9709">
            <w:pPr>
              <w:spacing w:beforeLines="0" w:afterLines="0"/>
              <w:ind w:firstLine="0" w:firstLineChars="0"/>
              <w:jc w:val="center"/>
              <w:rPr>
                <w:rFonts w:hint="default" w:cs="Times New Roman"/>
                <w:sz w:val="24"/>
                <w:szCs w:val="24"/>
                <w:highlight w:val="none"/>
                <w:lang w:val="en-GB"/>
              </w:rPr>
            </w:pP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3EEBB8">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4E3A8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454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69CDCF8">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环境基础设施建设</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D0657D">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18</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DA30FE">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城镇生活污水处理率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2C1FD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68F36D2">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90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2F877A">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97</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DB4D8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97</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F482F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554DC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1088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FDEFE1">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A631EB">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19</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DDF7D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城镇生活垃圾无害化处理率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6EDAE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46F97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2647D7">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1E541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2AE99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1719A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ADE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FA57C60">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C65CFE">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20</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DF8B55">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工业固体废弃物综合利用率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85F95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FFF2F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89</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6B72A1">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93</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7A16C3">
            <w:pPr>
              <w:spacing w:beforeLines="0" w:afterLines="0"/>
              <w:ind w:firstLine="0" w:firstLineChars="0"/>
              <w:jc w:val="center"/>
              <w:rPr>
                <w:rFonts w:hint="default" w:eastAsia="宋体" w:cs="Times New Roman"/>
                <w:sz w:val="24"/>
                <w:szCs w:val="24"/>
                <w:highlight w:val="none"/>
                <w:lang w:val="en-US" w:eastAsia="zh-CN"/>
              </w:rPr>
            </w:pPr>
            <w:r>
              <w:rPr>
                <w:rFonts w:hint="eastAsia" w:cs="Times New Roman"/>
                <w:sz w:val="24"/>
                <w:szCs w:val="24"/>
                <w:highlight w:val="none"/>
                <w:lang w:val="en-US" w:eastAsia="zh-CN"/>
              </w:rPr>
              <w:t>94.7</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A14D4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FC8FF2">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11A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73F87D1">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9CDC21">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21</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03410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危险废物处理处置率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4FF02B">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529743">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25B45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16632C">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4F73C1">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3AF93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6A44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3C7A086">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B422F1">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22</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4A329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应当实施强制性清洁生产企业通过审核率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319B0C">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46F3E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65</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CD9662">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75</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3980F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3A607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AC58FB">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23D7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92A3334">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9A313C">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23</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F9DAE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土壤污染治理修复项目</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7EE0F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项</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1943F7">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3A08F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A08B6A">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14EA5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D6C18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未完成</w:t>
            </w:r>
          </w:p>
        </w:tc>
      </w:tr>
      <w:tr w14:paraId="16A1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332ECC3">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70ADEC">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24</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1644B2">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环保投资占GDP比重</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CE3C0F">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2C637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3.2</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D2A5D5">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4</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B9E41D">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C2FC3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031A4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w:t>
            </w:r>
          </w:p>
        </w:tc>
      </w:tr>
      <w:tr w14:paraId="39FA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6005892">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生态文明建设</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BF5FEF">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25</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843995">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森林覆盖率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99370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82783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55.6</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7646C6">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56</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B1EF89">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61%</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924B23">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4FBFA0">
            <w:pPr>
              <w:spacing w:beforeLines="0" w:afterLines="0"/>
              <w:ind w:firstLine="0" w:firstLineChars="0"/>
              <w:rPr>
                <w:rFonts w:hint="default" w:cs="Times New Roman"/>
                <w:sz w:val="24"/>
                <w:szCs w:val="24"/>
                <w:highlight w:val="none"/>
              </w:rPr>
            </w:pPr>
            <w:r>
              <w:rPr>
                <w:rFonts w:hint="default" w:eastAsia="仿宋_GB2312" w:cs="Times New Roman"/>
                <w:sz w:val="24"/>
                <w:szCs w:val="24"/>
                <w:highlight w:val="none"/>
              </w:rPr>
              <w:t>已完成</w:t>
            </w:r>
          </w:p>
        </w:tc>
      </w:tr>
      <w:tr w14:paraId="085F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B30B7EE">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4D8E07">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26</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9FE6DA">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森林公园陆域面积占全镇陆地面积比例</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0816A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2433A8">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46.5</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62034A">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53.0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37D86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53.0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E19A5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48A46B">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708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65ECE4">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111A15">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27</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C91F53">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建成区绿化覆盖率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924D4A">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856BD3">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41.4</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992F2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50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E55CBB">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50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0A64A3">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627602">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9E1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142CB6">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DB4ACD">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28</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077E85">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人均公园绿地面积</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446603">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lang w:val="en-GB"/>
              </w:rPr>
              <w:t>m</w:t>
            </w:r>
            <w:r>
              <w:rPr>
                <w:rFonts w:hint="default" w:cs="Times New Roman"/>
                <w:sz w:val="24"/>
                <w:szCs w:val="24"/>
                <w:highlight w:val="none"/>
                <w:vertAlign w:val="superscript"/>
                <w:lang w:val="en-GB"/>
              </w:rPr>
              <w:t>2</w:t>
            </w:r>
            <w:r>
              <w:rPr>
                <w:rFonts w:hint="default" w:eastAsia="仿宋_GB2312" w:cs="Times New Roman"/>
                <w:sz w:val="24"/>
                <w:szCs w:val="24"/>
                <w:highlight w:val="none"/>
              </w:rPr>
              <w:t>/人</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7C8D22">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19.7</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0E9C6F">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22</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AE03E7">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28</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AF263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0E10E1">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BDF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E8B614">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3522D2">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29</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959347">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镇重点企业环境信息公开率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3ACFB0">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lang w:val="en-GB"/>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983E5B">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E3F1E5">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100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8CB596">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A60D8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0C3918">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45F4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154073">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E3922B">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30</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C676AB">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公众对城市环境的满意率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DCD8E8">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lang w:val="en-GB"/>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E5809A">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66.7</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6F8859">
            <w:pPr>
              <w:spacing w:beforeLines="0" w:afterLines="0"/>
              <w:ind w:firstLine="0" w:firstLineChars="0"/>
              <w:jc w:val="center"/>
              <w:rPr>
                <w:rFonts w:hint="default" w:cs="Times New Roman"/>
                <w:sz w:val="24"/>
                <w:szCs w:val="24"/>
                <w:highlight w:val="none"/>
              </w:rPr>
            </w:pPr>
            <w:r>
              <w:rPr>
                <w:rFonts w:hint="default" w:cs="Times New Roman"/>
                <w:sz w:val="24"/>
                <w:szCs w:val="24"/>
                <w:highlight w:val="none"/>
              </w:rPr>
              <w:t>90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70976C">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90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F324A1">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预期性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7F06A4">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53D1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93" w:type="dxa"/>
            <w:gridSpan w:val="2"/>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8426B6E">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环境宣传和管理</w:t>
            </w: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DDF25A">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31</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85B986">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中小学环境教育普及率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1F7313">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395F8D">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100</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2B4803">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C06D08">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73D5BC">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6D012E">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r w14:paraId="17AE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93" w:type="dxa"/>
            <w:gridSpan w:val="2"/>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3C6252">
            <w:pPr>
              <w:spacing w:beforeLines="0" w:afterLines="0"/>
              <w:ind w:firstLine="0" w:firstLineChars="0"/>
              <w:jc w:val="center"/>
              <w:rPr>
                <w:rFonts w:hint="default" w:cs="Times New Roman"/>
                <w:sz w:val="24"/>
                <w:szCs w:val="24"/>
                <w:highlight w:val="none"/>
                <w:lang w:val="en-GB"/>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9F2B3C">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32</w:t>
            </w:r>
          </w:p>
        </w:tc>
        <w:tc>
          <w:tcPr>
            <w:tcW w:w="282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2BD8CB">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lang w:val="en-GB"/>
              </w:rPr>
              <w:t>建设项目“三同时”执行合格率</w:t>
            </w:r>
          </w:p>
        </w:tc>
        <w:tc>
          <w:tcPr>
            <w:tcW w:w="9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5A694A">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w:t>
            </w:r>
          </w:p>
        </w:tc>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E68848">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88.7</w:t>
            </w:r>
          </w:p>
        </w:tc>
        <w:tc>
          <w:tcPr>
            <w:tcW w:w="106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D5799E">
            <w:pPr>
              <w:spacing w:beforeLines="0" w:afterLines="0"/>
              <w:ind w:firstLine="0" w:firstLineChars="0"/>
              <w:jc w:val="center"/>
              <w:rPr>
                <w:rFonts w:hint="default" w:cs="Times New Roman"/>
                <w:sz w:val="24"/>
                <w:szCs w:val="24"/>
                <w:highlight w:val="none"/>
                <w:lang w:val="en-GB"/>
              </w:rPr>
            </w:pPr>
            <w:r>
              <w:rPr>
                <w:rFonts w:hint="default" w:cs="Times New Roman"/>
                <w:sz w:val="24"/>
                <w:szCs w:val="24"/>
                <w:highlight w:val="none"/>
                <w:lang w:val="en-GB"/>
              </w:rPr>
              <w:t>100</w:t>
            </w:r>
          </w:p>
        </w:tc>
        <w:tc>
          <w:tcPr>
            <w:tcW w:w="11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2E29A3">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100</w:t>
            </w:r>
          </w:p>
        </w:tc>
        <w:tc>
          <w:tcPr>
            <w:tcW w:w="94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C9BE9A">
            <w:pPr>
              <w:spacing w:beforeLines="0" w:afterLines="0"/>
              <w:ind w:firstLine="0" w:firstLineChars="0"/>
              <w:jc w:val="center"/>
              <w:rPr>
                <w:rFonts w:hint="default" w:cs="Times New Roman"/>
                <w:sz w:val="24"/>
                <w:szCs w:val="24"/>
                <w:highlight w:val="none"/>
                <w:lang w:val="en-GB"/>
              </w:rPr>
            </w:pPr>
            <w:r>
              <w:rPr>
                <w:rFonts w:hint="default" w:eastAsia="仿宋_GB2312" w:cs="Times New Roman"/>
                <w:sz w:val="24"/>
                <w:szCs w:val="24"/>
                <w:highlight w:val="none"/>
              </w:rPr>
              <w:t>约束性</w:t>
            </w:r>
          </w:p>
        </w:tc>
        <w:tc>
          <w:tcPr>
            <w:tcW w:w="103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9242E0">
            <w:pPr>
              <w:spacing w:beforeLines="0" w:afterLines="0"/>
              <w:ind w:firstLine="0" w:firstLineChars="0"/>
              <w:jc w:val="center"/>
              <w:rPr>
                <w:rFonts w:hint="default" w:cs="Times New Roman"/>
                <w:sz w:val="24"/>
                <w:szCs w:val="24"/>
                <w:highlight w:val="none"/>
              </w:rPr>
            </w:pPr>
            <w:r>
              <w:rPr>
                <w:rFonts w:hint="default" w:eastAsia="仿宋_GB2312" w:cs="Times New Roman"/>
                <w:sz w:val="24"/>
                <w:szCs w:val="24"/>
                <w:highlight w:val="none"/>
              </w:rPr>
              <w:t>已完成</w:t>
            </w:r>
          </w:p>
        </w:tc>
      </w:tr>
    </w:tbl>
    <w:p w14:paraId="76D86731">
      <w:pPr>
        <w:pageBreakBefore w:val="0"/>
        <w:numPr>
          <w:ilvl w:val="0"/>
          <w:numId w:val="0"/>
        </w:numPr>
        <w:kinsoku/>
        <w:wordWrap/>
        <w:bidi w:val="0"/>
        <w:spacing w:beforeLines="0" w:afterLines="0" w:line="360" w:lineRule="auto"/>
        <w:ind w:firstLine="420" w:firstLineChars="200"/>
        <w:outlineLvl w:val="9"/>
        <w:rPr>
          <w:rFonts w:hint="eastAsia" w:eastAsia="仿宋_GB2312"/>
          <w:bCs/>
          <w:szCs w:val="21"/>
          <w:highlight w:val="none"/>
          <w:vertAlign w:val="baseline"/>
          <w:lang w:val="en-US" w:eastAsia="zh-CN"/>
        </w:rPr>
      </w:pPr>
      <w:r>
        <w:rPr>
          <w:rFonts w:hint="eastAsia" w:ascii="Times New Roman" w:hAnsi="Times New Roman" w:eastAsia="仿宋_GB2312" w:cs="Times New Roman"/>
          <w:b w:val="0"/>
          <w:bCs/>
          <w:sz w:val="21"/>
          <w:szCs w:val="21"/>
          <w:highlight w:val="none"/>
          <w:lang w:val="en-US" w:eastAsia="zh-CN"/>
        </w:rPr>
        <w:t>注</w:t>
      </w:r>
      <w:r>
        <w:rPr>
          <w:rFonts w:hint="eastAsia" w:eastAsia="仿宋_GB2312" w:cs="Times New Roman"/>
          <w:b w:val="0"/>
          <w:bCs/>
          <w:sz w:val="21"/>
          <w:szCs w:val="21"/>
          <w:highlight w:val="none"/>
          <w:lang w:val="en-US" w:eastAsia="zh-CN"/>
        </w:rPr>
        <w:t>1</w:t>
      </w:r>
      <w:r>
        <w:rPr>
          <w:rFonts w:hint="eastAsia" w:ascii="Times New Roman" w:hAnsi="Times New Roman" w:eastAsia="仿宋_GB2312" w:cs="Times New Roman"/>
          <w:b w:val="0"/>
          <w:bCs/>
          <w:sz w:val="21"/>
          <w:szCs w:val="21"/>
          <w:highlight w:val="none"/>
          <w:lang w:val="en-US" w:eastAsia="zh-CN"/>
        </w:rPr>
        <w:t>：</w:t>
      </w:r>
      <w:r>
        <w:rPr>
          <w:rFonts w:hint="eastAsia" w:eastAsia="仿宋_GB2312" w:cs="Times New Roman"/>
          <w:b w:val="0"/>
          <w:bCs/>
          <w:sz w:val="21"/>
          <w:szCs w:val="21"/>
          <w:highlight w:val="none"/>
          <w:lang w:val="en-US" w:eastAsia="zh-CN"/>
        </w:rPr>
        <w:t>表格中涉及的“2016年现状值”和“2020年目标值”均来源于</w:t>
      </w:r>
      <w:r>
        <w:rPr>
          <w:rFonts w:hint="eastAsia" w:eastAsia="仿宋_GB2312"/>
          <w:bCs/>
          <w:szCs w:val="21"/>
          <w:highlight w:val="none"/>
          <w:vertAlign w:val="baseline"/>
          <w:lang w:val="en-US" w:eastAsia="zh-CN"/>
        </w:rPr>
        <w:t>《东莞市清溪镇环境保护规划（2017~2020年）》，“2020年完成值”来源于</w:t>
      </w:r>
      <w:r>
        <w:rPr>
          <w:rFonts w:hint="eastAsia" w:ascii="Times New Roman" w:hAnsi="Times New Roman" w:eastAsia="仿宋_GB2312" w:cs="Times New Roman"/>
          <w:color w:val="auto"/>
          <w:highlight w:val="none"/>
          <w:lang w:val="en-US" w:eastAsia="zh-CN"/>
        </w:rPr>
        <w:t>生态环境部门统计数据</w:t>
      </w:r>
      <w:r>
        <w:rPr>
          <w:rFonts w:hint="eastAsia" w:eastAsia="仿宋_GB2312"/>
          <w:bCs/>
          <w:szCs w:val="21"/>
          <w:highlight w:val="none"/>
          <w:vertAlign w:val="baseline"/>
          <w:lang w:val="en-US" w:eastAsia="zh-CN"/>
        </w:rPr>
        <w:t>。</w:t>
      </w:r>
    </w:p>
    <w:p w14:paraId="3EEF02C6">
      <w:pPr>
        <w:pageBreakBefore w:val="0"/>
        <w:numPr>
          <w:ilvl w:val="0"/>
          <w:numId w:val="0"/>
        </w:numPr>
        <w:kinsoku/>
        <w:wordWrap/>
        <w:bidi w:val="0"/>
        <w:spacing w:beforeLines="0" w:afterLines="0" w:line="360" w:lineRule="auto"/>
        <w:ind w:firstLine="420" w:firstLineChars="200"/>
        <w:outlineLvl w:val="9"/>
        <w:rPr>
          <w:rFonts w:hint="eastAsia" w:ascii="Times New Roman" w:hAnsi="Times New Roman" w:eastAsia="仿宋_GB2312" w:cs="Times New Roman"/>
          <w:b w:val="0"/>
          <w:bCs/>
          <w:sz w:val="21"/>
          <w:szCs w:val="21"/>
          <w:highlight w:val="none"/>
          <w:lang w:val="en-US" w:eastAsia="zh-CN"/>
        </w:rPr>
      </w:pPr>
      <w:r>
        <w:rPr>
          <w:rFonts w:hint="eastAsia" w:eastAsia="仿宋_GB2312"/>
          <w:bCs/>
          <w:szCs w:val="21"/>
          <w:highlight w:val="none"/>
          <w:lang w:val="en-US" w:eastAsia="zh-CN"/>
        </w:rPr>
        <w:t>注2：</w:t>
      </w:r>
      <w:r>
        <w:rPr>
          <w:rFonts w:hint="eastAsia" w:eastAsia="仿宋_GB2312"/>
          <w:bCs/>
          <w:szCs w:val="21"/>
          <w:highlight w:val="none"/>
          <w:vertAlign w:val="baseline"/>
          <w:lang w:val="en-US" w:eastAsia="zh-CN"/>
        </w:rPr>
        <w:t>《东莞市清溪镇环境保护规划（2017~2020年）》中的</w:t>
      </w:r>
      <w:r>
        <w:rPr>
          <w:rFonts w:hint="eastAsia" w:eastAsia="仿宋_GB2312"/>
          <w:bCs/>
          <w:szCs w:val="21"/>
          <w:highlight w:val="none"/>
          <w:lang w:val="en-US" w:eastAsia="zh-CN"/>
        </w:rPr>
        <w:t>“</w:t>
      </w:r>
      <w:r>
        <w:rPr>
          <w:rFonts w:hint="default" w:eastAsia="仿宋_GB2312"/>
          <w:bCs/>
          <w:szCs w:val="21"/>
          <w:highlight w:val="none"/>
        </w:rPr>
        <w:t>地表水水质优良（达到或优于Ⅲ类）比例</w:t>
      </w:r>
      <w:r>
        <w:rPr>
          <w:rFonts w:hint="eastAsia" w:eastAsia="仿宋_GB2312"/>
          <w:bCs/>
          <w:szCs w:val="21"/>
          <w:highlight w:val="none"/>
          <w:lang w:eastAsia="zh-CN"/>
        </w:rPr>
        <w:t>”</w:t>
      </w:r>
      <w:r>
        <w:rPr>
          <w:rFonts w:hint="eastAsia" w:eastAsia="仿宋_GB2312"/>
          <w:bCs/>
          <w:szCs w:val="21"/>
          <w:highlight w:val="none"/>
          <w:lang w:val="en-US" w:eastAsia="zh-CN"/>
        </w:rPr>
        <w:t>指标基准年值和目标值沿用《</w:t>
      </w:r>
      <w:r>
        <w:rPr>
          <w:rFonts w:hint="eastAsia" w:eastAsia="仿宋_GB2312"/>
          <w:bCs/>
          <w:szCs w:val="21"/>
          <w:highlight w:val="none"/>
        </w:rPr>
        <w:t>东莞市环境保护和生态建设“十三五”规划</w:t>
      </w:r>
      <w:r>
        <w:rPr>
          <w:rFonts w:hint="eastAsia" w:eastAsia="仿宋_GB2312"/>
          <w:bCs/>
          <w:szCs w:val="21"/>
          <w:highlight w:val="none"/>
          <w:lang w:eastAsia="zh-CN"/>
        </w:rPr>
        <w:t>》</w:t>
      </w:r>
      <w:r>
        <w:rPr>
          <w:rFonts w:hint="eastAsia" w:eastAsia="仿宋_GB2312"/>
          <w:bCs/>
          <w:szCs w:val="21"/>
          <w:highlight w:val="none"/>
          <w:lang w:val="en-US" w:eastAsia="zh-CN"/>
        </w:rPr>
        <w:t>数据，因此2020年完成值沿用</w:t>
      </w:r>
      <w:r>
        <w:rPr>
          <w:rFonts w:hint="eastAsia" w:eastAsia="仿宋_GB2312"/>
          <w:bCs/>
          <w:szCs w:val="21"/>
          <w:highlight w:val="none"/>
        </w:rPr>
        <w:t>《东莞市</w:t>
      </w:r>
      <w:r>
        <w:rPr>
          <w:rFonts w:hint="eastAsia" w:eastAsia="仿宋_GB2312"/>
          <w:bCs/>
          <w:szCs w:val="21"/>
          <w:highlight w:val="none"/>
          <w:lang w:val="en-US" w:eastAsia="zh-CN"/>
        </w:rPr>
        <w:t>生态环境保护</w:t>
      </w:r>
      <w:r>
        <w:rPr>
          <w:rFonts w:hint="eastAsia" w:eastAsia="仿宋_GB2312"/>
          <w:bCs/>
          <w:szCs w:val="21"/>
          <w:highlight w:val="none"/>
        </w:rPr>
        <w:t>“十</w:t>
      </w:r>
      <w:r>
        <w:rPr>
          <w:rFonts w:hint="eastAsia" w:eastAsia="仿宋_GB2312"/>
          <w:bCs/>
          <w:szCs w:val="21"/>
          <w:highlight w:val="none"/>
          <w:lang w:val="en-US" w:eastAsia="zh-CN"/>
        </w:rPr>
        <w:t>四</w:t>
      </w:r>
      <w:r>
        <w:rPr>
          <w:rFonts w:hint="eastAsia" w:eastAsia="仿宋_GB2312"/>
          <w:bCs/>
          <w:szCs w:val="21"/>
          <w:highlight w:val="none"/>
        </w:rPr>
        <w:t>五”规划》</w:t>
      </w:r>
      <w:r>
        <w:rPr>
          <w:rFonts w:hint="eastAsia" w:eastAsia="仿宋_GB2312"/>
          <w:bCs/>
          <w:szCs w:val="21"/>
          <w:highlight w:val="none"/>
          <w:lang w:val="en-US" w:eastAsia="zh-CN"/>
        </w:rPr>
        <w:t>该指标完成</w:t>
      </w:r>
      <w:r>
        <w:rPr>
          <w:rFonts w:hint="eastAsia" w:eastAsia="仿宋_GB2312"/>
          <w:bCs/>
          <w:szCs w:val="21"/>
          <w:highlight w:val="none"/>
        </w:rPr>
        <w:t>数据</w:t>
      </w:r>
      <w:r>
        <w:rPr>
          <w:rFonts w:hint="eastAsia" w:eastAsia="仿宋_GB2312"/>
          <w:bCs/>
          <w:szCs w:val="21"/>
          <w:highlight w:val="none"/>
          <w:lang w:eastAsia="zh-CN"/>
        </w:rPr>
        <w:t>。</w:t>
      </w:r>
    </w:p>
    <w:p w14:paraId="2C9EBF20">
      <w:pPr>
        <w:pStyle w:val="5"/>
        <w:pageBreakBefore w:val="0"/>
        <w:kinsoku/>
        <w:wordWrap/>
        <w:bidi w:val="0"/>
        <w:spacing w:beforeLines="0" w:afterLines="0" w:line="360" w:lineRule="auto"/>
        <w:ind w:firstLine="640" w:firstLineChars="200"/>
        <w:outlineLvl w:val="2"/>
        <w:rPr>
          <w:rFonts w:hint="eastAsia" w:ascii="黑体" w:hAnsi="黑体" w:eastAsia="黑体" w:cs="黑体"/>
          <w:b w:val="0"/>
          <w:sz w:val="32"/>
          <w:szCs w:val="32"/>
          <w:highlight w:val="none"/>
          <w:lang w:val="en-US" w:eastAsia="zh-CN"/>
        </w:rPr>
      </w:pPr>
      <w:r>
        <w:rPr>
          <w:rFonts w:hint="eastAsia" w:ascii="黑体" w:hAnsi="黑体" w:eastAsia="黑体" w:cs="黑体"/>
          <w:b w:val="0"/>
          <w:sz w:val="32"/>
          <w:szCs w:val="32"/>
          <w:highlight w:val="none"/>
          <w:lang w:val="en-US" w:eastAsia="zh-CN"/>
        </w:rPr>
        <w:t>三、重点工程完成情况</w:t>
      </w:r>
    </w:p>
    <w:p w14:paraId="2ABA1627">
      <w:pPr>
        <w:spacing w:beforeLines="0" w:afterLines="0" w:line="360" w:lineRule="auto"/>
        <w:ind w:firstLine="640" w:firstLineChars="200"/>
        <w:rPr>
          <w:rFonts w:hint="default" w:eastAsia="仿宋_GB2312"/>
          <w:bCs/>
          <w:sz w:val="32"/>
          <w:szCs w:val="32"/>
          <w:highlight w:val="none"/>
        </w:rPr>
      </w:pPr>
      <w:r>
        <w:rPr>
          <w:rFonts w:hint="eastAsia" w:eastAsia="仿宋_GB2312"/>
          <w:bCs/>
          <w:sz w:val="32"/>
          <w:szCs w:val="32"/>
          <w:highlight w:val="none"/>
          <w:lang w:val="en-US" w:eastAsia="zh-CN"/>
        </w:rPr>
        <w:t>规划设置</w:t>
      </w:r>
      <w:r>
        <w:rPr>
          <w:rFonts w:hint="default" w:eastAsia="仿宋_GB2312"/>
          <w:bCs/>
          <w:sz w:val="32"/>
          <w:szCs w:val="32"/>
          <w:highlight w:val="none"/>
        </w:rPr>
        <w:t>水环境、大气环境、</w:t>
      </w:r>
      <w:r>
        <w:rPr>
          <w:rFonts w:hint="eastAsia" w:eastAsia="仿宋_GB2312"/>
          <w:bCs/>
          <w:sz w:val="32"/>
          <w:szCs w:val="32"/>
          <w:highlight w:val="none"/>
          <w:lang w:val="en-US" w:eastAsia="zh-CN"/>
        </w:rPr>
        <w:t>土壤环境、海绵城市建设</w:t>
      </w:r>
      <w:r>
        <w:rPr>
          <w:rFonts w:hint="default" w:eastAsia="仿宋_GB2312"/>
          <w:bCs/>
          <w:sz w:val="32"/>
          <w:szCs w:val="32"/>
          <w:highlight w:val="none"/>
        </w:rPr>
        <w:t>、生态保护等各类重点工程共</w:t>
      </w:r>
      <w:r>
        <w:rPr>
          <w:rFonts w:hint="eastAsia" w:eastAsia="仿宋_GB2312"/>
          <w:bCs/>
          <w:sz w:val="32"/>
          <w:szCs w:val="32"/>
          <w:highlight w:val="none"/>
          <w:lang w:eastAsia="zh-CN"/>
        </w:rPr>
        <w:t>4</w:t>
      </w:r>
      <w:r>
        <w:rPr>
          <w:rFonts w:hint="eastAsia" w:eastAsia="仿宋_GB2312"/>
          <w:bCs/>
          <w:sz w:val="32"/>
          <w:szCs w:val="32"/>
          <w:highlight w:val="none"/>
          <w:lang w:val="en-US" w:eastAsia="zh-CN"/>
        </w:rPr>
        <w:t>2</w:t>
      </w:r>
      <w:r>
        <w:rPr>
          <w:rFonts w:hint="default" w:eastAsia="仿宋_GB2312"/>
          <w:bCs/>
          <w:sz w:val="32"/>
          <w:szCs w:val="32"/>
          <w:highlight w:val="none"/>
        </w:rPr>
        <w:t>项</w:t>
      </w:r>
      <w:r>
        <w:rPr>
          <w:rFonts w:hint="eastAsia" w:eastAsia="仿宋_GB2312"/>
          <w:bCs/>
          <w:sz w:val="32"/>
          <w:szCs w:val="32"/>
          <w:highlight w:val="none"/>
          <w:lang w:eastAsia="zh-CN"/>
        </w:rPr>
        <w:t>，</w:t>
      </w:r>
      <w:r>
        <w:rPr>
          <w:rFonts w:hint="eastAsia" w:eastAsia="仿宋_GB2312"/>
          <w:bCs/>
          <w:sz w:val="32"/>
          <w:szCs w:val="32"/>
          <w:highlight w:val="none"/>
          <w:lang w:val="en-US" w:eastAsia="zh-CN"/>
        </w:rPr>
        <w:t>详见表1.1-2</w:t>
      </w:r>
      <w:r>
        <w:rPr>
          <w:rFonts w:hint="default" w:eastAsia="仿宋_GB2312"/>
          <w:bCs/>
          <w:sz w:val="32"/>
          <w:szCs w:val="32"/>
          <w:highlight w:val="none"/>
        </w:rPr>
        <w:t>。截至</w:t>
      </w:r>
      <w:r>
        <w:rPr>
          <w:rFonts w:hint="eastAsia" w:eastAsia="仿宋_GB2312"/>
          <w:bCs/>
          <w:sz w:val="32"/>
          <w:szCs w:val="32"/>
          <w:highlight w:val="none"/>
          <w:lang w:val="en-US" w:eastAsia="zh-CN"/>
        </w:rPr>
        <w:t>2020年末</w:t>
      </w:r>
      <w:r>
        <w:rPr>
          <w:rFonts w:hint="default" w:eastAsia="仿宋_GB2312"/>
          <w:bCs/>
          <w:sz w:val="32"/>
          <w:szCs w:val="32"/>
          <w:highlight w:val="none"/>
        </w:rPr>
        <w:t>，</w:t>
      </w:r>
      <w:r>
        <w:rPr>
          <w:rFonts w:hint="eastAsia" w:eastAsia="仿宋_GB2312"/>
          <w:bCs/>
          <w:sz w:val="32"/>
          <w:szCs w:val="32"/>
          <w:highlight w:val="none"/>
          <w:lang w:val="en-US" w:eastAsia="zh-CN"/>
        </w:rPr>
        <w:t>共完成</w:t>
      </w:r>
      <w:r>
        <w:rPr>
          <w:rFonts w:hint="eastAsia" w:eastAsia="仿宋_GB2312"/>
          <w:bCs/>
          <w:sz w:val="32"/>
          <w:szCs w:val="32"/>
          <w:highlight w:val="none"/>
          <w:lang w:eastAsia="zh-CN"/>
        </w:rPr>
        <w:t>3</w:t>
      </w:r>
      <w:r>
        <w:rPr>
          <w:rFonts w:hint="eastAsia" w:eastAsia="仿宋_GB2312"/>
          <w:bCs/>
          <w:sz w:val="32"/>
          <w:szCs w:val="32"/>
          <w:highlight w:val="none"/>
          <w:lang w:val="en-US" w:eastAsia="zh-CN"/>
        </w:rPr>
        <w:t>7</w:t>
      </w:r>
      <w:r>
        <w:rPr>
          <w:rFonts w:hint="default" w:eastAsia="仿宋_GB2312"/>
          <w:bCs/>
          <w:sz w:val="32"/>
          <w:szCs w:val="32"/>
          <w:highlight w:val="none"/>
        </w:rPr>
        <w:t>项重点工程，占比8</w:t>
      </w:r>
      <w:r>
        <w:rPr>
          <w:rFonts w:hint="eastAsia" w:eastAsia="仿宋_GB2312"/>
          <w:bCs/>
          <w:sz w:val="32"/>
          <w:szCs w:val="32"/>
          <w:highlight w:val="none"/>
          <w:lang w:eastAsia="zh-CN"/>
        </w:rPr>
        <w:t>8</w:t>
      </w:r>
      <w:r>
        <w:rPr>
          <w:rFonts w:hint="default" w:eastAsia="仿宋_GB2312"/>
          <w:bCs/>
          <w:sz w:val="32"/>
          <w:szCs w:val="32"/>
          <w:highlight w:val="none"/>
        </w:rPr>
        <w:t>%</w:t>
      </w:r>
      <w:r>
        <w:rPr>
          <w:rFonts w:hint="eastAsia" w:eastAsia="仿宋_GB2312"/>
          <w:bCs/>
          <w:sz w:val="32"/>
          <w:szCs w:val="32"/>
          <w:highlight w:val="none"/>
          <w:lang w:eastAsia="zh-CN"/>
        </w:rPr>
        <w:t>，1</w:t>
      </w:r>
      <w:r>
        <w:rPr>
          <w:rFonts w:hint="default" w:eastAsia="仿宋_GB2312"/>
          <w:bCs/>
          <w:sz w:val="32"/>
          <w:szCs w:val="32"/>
          <w:highlight w:val="none"/>
        </w:rPr>
        <w:t>项工程</w:t>
      </w:r>
      <w:r>
        <w:rPr>
          <w:rFonts w:hint="eastAsia" w:eastAsia="仿宋_GB2312"/>
          <w:bCs/>
          <w:sz w:val="32"/>
          <w:szCs w:val="32"/>
          <w:highlight w:val="none"/>
          <w:lang w:eastAsia="zh-CN"/>
        </w:rPr>
        <w:t>（</w:t>
      </w:r>
      <w:r>
        <w:rPr>
          <w:rFonts w:hint="eastAsia" w:eastAsia="仿宋_GB2312"/>
          <w:bCs/>
          <w:sz w:val="32"/>
          <w:szCs w:val="32"/>
          <w:highlight w:val="none"/>
          <w:lang w:val="en-US" w:eastAsia="zh-CN"/>
        </w:rPr>
        <w:t>厦坭污水处理厂二期工程</w:t>
      </w:r>
      <w:r>
        <w:rPr>
          <w:rFonts w:hint="eastAsia" w:eastAsia="仿宋_GB2312"/>
          <w:bCs/>
          <w:sz w:val="32"/>
          <w:szCs w:val="32"/>
          <w:highlight w:val="none"/>
          <w:lang w:eastAsia="zh-CN"/>
        </w:rPr>
        <w:t>）</w:t>
      </w:r>
      <w:r>
        <w:rPr>
          <w:rFonts w:hint="eastAsia" w:eastAsia="仿宋_GB2312"/>
          <w:bCs/>
          <w:sz w:val="32"/>
          <w:szCs w:val="32"/>
          <w:highlight w:val="none"/>
          <w:lang w:val="en-US" w:eastAsia="zh-CN"/>
        </w:rPr>
        <w:t>持续</w:t>
      </w:r>
      <w:r>
        <w:rPr>
          <w:rFonts w:hint="default" w:eastAsia="仿宋_GB2312"/>
          <w:bCs/>
          <w:sz w:val="32"/>
          <w:szCs w:val="32"/>
          <w:highlight w:val="none"/>
        </w:rPr>
        <w:t>推进</w:t>
      </w:r>
      <w:r>
        <w:rPr>
          <w:rFonts w:hint="eastAsia" w:eastAsia="仿宋_GB2312"/>
          <w:bCs/>
          <w:sz w:val="32"/>
          <w:szCs w:val="32"/>
          <w:highlight w:val="none"/>
          <w:lang w:eastAsia="zh-CN"/>
        </w:rPr>
        <w:t>，</w:t>
      </w:r>
      <w:r>
        <w:rPr>
          <w:rFonts w:hint="eastAsia" w:eastAsia="仿宋_GB2312"/>
          <w:bCs/>
          <w:sz w:val="32"/>
          <w:szCs w:val="32"/>
          <w:highlight w:val="none"/>
          <w:lang w:val="en-US" w:eastAsia="zh-CN"/>
        </w:rPr>
        <w:t>1项指标无法评价（</w:t>
      </w:r>
      <w:r>
        <w:rPr>
          <w:rFonts w:hint="eastAsia" w:eastAsia="仿宋_GB2312"/>
          <w:bCs/>
          <w:sz w:val="32"/>
          <w:szCs w:val="32"/>
          <w:highlight w:val="none"/>
        </w:rPr>
        <w:t>生态文明建设规划和生态资产评估</w:t>
      </w:r>
      <w:r>
        <w:rPr>
          <w:rFonts w:hint="eastAsia" w:eastAsia="仿宋_GB2312"/>
          <w:bCs/>
          <w:sz w:val="32"/>
          <w:szCs w:val="32"/>
          <w:highlight w:val="none"/>
          <w:lang w:val="en-US" w:eastAsia="zh-CN"/>
        </w:rPr>
        <w:t>），3</w:t>
      </w:r>
      <w:r>
        <w:rPr>
          <w:rFonts w:hint="default" w:eastAsia="仿宋_GB2312"/>
          <w:bCs/>
          <w:sz w:val="32"/>
          <w:szCs w:val="32"/>
          <w:highlight w:val="none"/>
        </w:rPr>
        <w:t>项重点工程</w:t>
      </w:r>
      <w:r>
        <w:rPr>
          <w:rFonts w:hint="eastAsia" w:eastAsia="仿宋_GB2312"/>
          <w:bCs/>
          <w:sz w:val="32"/>
          <w:szCs w:val="32"/>
          <w:highlight w:val="none"/>
          <w:lang w:val="en-US" w:eastAsia="zh-CN"/>
        </w:rPr>
        <w:t>未完成</w:t>
      </w:r>
      <w:r>
        <w:rPr>
          <w:rFonts w:hint="eastAsia" w:eastAsia="仿宋_GB2312"/>
          <w:bCs/>
          <w:sz w:val="32"/>
          <w:szCs w:val="32"/>
          <w:highlight w:val="none"/>
          <w:lang w:eastAsia="zh-CN"/>
        </w:rPr>
        <w:t>，</w:t>
      </w:r>
      <w:r>
        <w:rPr>
          <w:rFonts w:hint="default" w:eastAsia="仿宋_GB2312"/>
          <w:bCs/>
          <w:sz w:val="32"/>
          <w:szCs w:val="32"/>
          <w:highlight w:val="none"/>
        </w:rPr>
        <w:t>未完成原因说明</w:t>
      </w:r>
      <w:r>
        <w:rPr>
          <w:rFonts w:hint="eastAsia" w:eastAsia="仿宋_GB2312"/>
          <w:bCs/>
          <w:sz w:val="32"/>
          <w:szCs w:val="32"/>
          <w:highlight w:val="none"/>
          <w:lang w:val="en-US" w:eastAsia="zh-CN"/>
        </w:rPr>
        <w:t>如下</w:t>
      </w:r>
      <w:r>
        <w:rPr>
          <w:rFonts w:hint="default" w:eastAsia="仿宋_GB2312"/>
          <w:bCs/>
          <w:sz w:val="32"/>
          <w:szCs w:val="32"/>
          <w:highlight w:val="none"/>
        </w:rPr>
        <w:t>：</w:t>
      </w:r>
    </w:p>
    <w:p w14:paraId="35E33806">
      <w:pPr>
        <w:numPr>
          <w:ilvl w:val="0"/>
          <w:numId w:val="0"/>
        </w:numPr>
        <w:spacing w:line="360" w:lineRule="auto"/>
        <w:ind w:firstLine="640" w:firstLineChars="200"/>
        <w:rPr>
          <w:rFonts w:hint="default" w:eastAsia="仿宋_GB2312"/>
          <w:bCs/>
          <w:sz w:val="32"/>
          <w:szCs w:val="32"/>
          <w:highlight w:val="none"/>
        </w:rPr>
      </w:pPr>
      <w:r>
        <w:rPr>
          <w:rFonts w:hint="default" w:eastAsia="仿宋_GB2312"/>
          <w:bCs/>
          <w:sz w:val="32"/>
          <w:szCs w:val="32"/>
          <w:highlight w:val="none"/>
        </w:rPr>
        <w:t>1.</w:t>
      </w:r>
      <w:r>
        <w:rPr>
          <w:rFonts w:hint="eastAsia" w:eastAsia="仿宋_GB2312"/>
          <w:bCs/>
          <w:sz w:val="32"/>
          <w:szCs w:val="32"/>
          <w:highlight w:val="none"/>
          <w:lang w:eastAsia="zh-CN"/>
        </w:rPr>
        <w:t>“</w:t>
      </w:r>
      <w:r>
        <w:rPr>
          <w:rFonts w:hint="default" w:eastAsia="仿宋_GB2312"/>
          <w:bCs/>
          <w:sz w:val="32"/>
          <w:szCs w:val="32"/>
          <w:highlight w:val="none"/>
        </w:rPr>
        <w:t>长山头污水处理厂三期</w:t>
      </w:r>
      <w:r>
        <w:rPr>
          <w:rFonts w:hint="eastAsia" w:eastAsia="仿宋_GB2312"/>
          <w:bCs/>
          <w:sz w:val="32"/>
          <w:szCs w:val="32"/>
          <w:highlight w:val="none"/>
          <w:lang w:eastAsia="zh-CN"/>
        </w:rPr>
        <w:t>”</w:t>
      </w:r>
      <w:r>
        <w:rPr>
          <w:rFonts w:hint="eastAsia" w:eastAsia="仿宋_GB2312"/>
          <w:bCs/>
          <w:sz w:val="32"/>
          <w:szCs w:val="32"/>
          <w:highlight w:val="none"/>
          <w:lang w:val="en-US" w:eastAsia="zh-CN"/>
        </w:rPr>
        <w:t>工程（扩建4.4万吨/日处理规模）</w:t>
      </w:r>
      <w:r>
        <w:rPr>
          <w:rFonts w:hint="eastAsia" w:eastAsia="仿宋_GB2312"/>
          <w:bCs/>
          <w:sz w:val="32"/>
          <w:szCs w:val="32"/>
          <w:highlight w:val="none"/>
          <w:lang w:eastAsia="zh-CN"/>
        </w:rPr>
        <w:t>：</w:t>
      </w:r>
      <w:r>
        <w:rPr>
          <w:rFonts w:hint="eastAsia" w:eastAsia="仿宋_GB2312"/>
          <w:bCs/>
          <w:sz w:val="32"/>
          <w:szCs w:val="32"/>
          <w:highlight w:val="none"/>
          <w:lang w:val="en-US" w:eastAsia="zh-CN"/>
        </w:rPr>
        <w:t>2019年，清溪镇建设完成</w:t>
      </w:r>
      <w:r>
        <w:rPr>
          <w:rFonts w:hint="default" w:eastAsia="仿宋_GB2312"/>
          <w:bCs/>
          <w:sz w:val="32"/>
          <w:szCs w:val="32"/>
          <w:highlight w:val="none"/>
        </w:rPr>
        <w:t>长山头污水</w:t>
      </w:r>
      <w:r>
        <w:rPr>
          <w:rFonts w:hint="eastAsia" w:eastAsia="仿宋_GB2312"/>
          <w:bCs/>
          <w:sz w:val="32"/>
          <w:szCs w:val="32"/>
          <w:highlight w:val="none"/>
          <w:lang w:val="en-US" w:eastAsia="zh-CN"/>
        </w:rPr>
        <w:t>处理厂二期工程，一二期合计设计</w:t>
      </w:r>
      <w:r>
        <w:rPr>
          <w:rFonts w:hint="default" w:eastAsia="仿宋_GB2312"/>
          <w:bCs/>
          <w:sz w:val="32"/>
          <w:szCs w:val="32"/>
          <w:highlight w:val="none"/>
        </w:rPr>
        <w:t>处理能力7.0万吨/天，</w:t>
      </w:r>
      <w:r>
        <w:rPr>
          <w:rFonts w:hint="eastAsia" w:eastAsia="仿宋_GB2312"/>
          <w:bCs/>
          <w:sz w:val="32"/>
          <w:szCs w:val="32"/>
          <w:highlight w:val="none"/>
          <w:lang w:val="en-US" w:eastAsia="zh-CN"/>
        </w:rPr>
        <w:t>虽然在雨季</w:t>
      </w:r>
      <w:r>
        <w:rPr>
          <w:rFonts w:hint="default" w:eastAsia="仿宋_GB2312"/>
          <w:bCs/>
          <w:sz w:val="32"/>
          <w:szCs w:val="32"/>
          <w:highlight w:val="none"/>
        </w:rPr>
        <w:t>部分月份</w:t>
      </w:r>
      <w:r>
        <w:rPr>
          <w:rFonts w:hint="eastAsia" w:eastAsia="仿宋_GB2312"/>
          <w:bCs/>
          <w:sz w:val="32"/>
          <w:szCs w:val="32"/>
          <w:highlight w:val="none"/>
          <w:lang w:val="en-US" w:eastAsia="zh-CN"/>
        </w:rPr>
        <w:t>会出现</w:t>
      </w:r>
      <w:r>
        <w:rPr>
          <w:rFonts w:hint="default" w:eastAsia="仿宋_GB2312"/>
          <w:bCs/>
          <w:sz w:val="32"/>
          <w:szCs w:val="32"/>
          <w:highlight w:val="none"/>
        </w:rPr>
        <w:t>超负荷</w:t>
      </w:r>
      <w:r>
        <w:rPr>
          <w:rFonts w:hint="eastAsia" w:eastAsia="仿宋_GB2312"/>
          <w:bCs/>
          <w:sz w:val="32"/>
          <w:szCs w:val="32"/>
          <w:highlight w:val="none"/>
          <w:lang w:val="en-US" w:eastAsia="zh-CN"/>
        </w:rPr>
        <w:t>状态</w:t>
      </w:r>
      <w:r>
        <w:rPr>
          <w:rFonts w:hint="default" w:eastAsia="仿宋_GB2312"/>
          <w:bCs/>
          <w:sz w:val="32"/>
          <w:szCs w:val="32"/>
          <w:highlight w:val="none"/>
        </w:rPr>
        <w:t>，</w:t>
      </w:r>
      <w:r>
        <w:rPr>
          <w:rFonts w:hint="eastAsia" w:eastAsia="仿宋_GB2312"/>
          <w:bCs/>
          <w:sz w:val="32"/>
          <w:szCs w:val="32"/>
          <w:highlight w:val="none"/>
          <w:lang w:val="en-US" w:eastAsia="zh-CN"/>
        </w:rPr>
        <w:t>但</w:t>
      </w:r>
      <w:r>
        <w:rPr>
          <w:rFonts w:hint="default" w:eastAsia="仿宋_GB2312"/>
          <w:bCs/>
          <w:sz w:val="32"/>
          <w:szCs w:val="32"/>
          <w:highlight w:val="none"/>
        </w:rPr>
        <w:t>主要原因</w:t>
      </w:r>
      <w:r>
        <w:rPr>
          <w:rFonts w:hint="eastAsia" w:eastAsia="仿宋_GB2312"/>
          <w:bCs/>
          <w:sz w:val="32"/>
          <w:szCs w:val="32"/>
          <w:highlight w:val="none"/>
          <w:lang w:val="en-US" w:eastAsia="zh-CN"/>
        </w:rPr>
        <w:t>是</w:t>
      </w:r>
      <w:r>
        <w:rPr>
          <w:rFonts w:hint="default" w:eastAsia="仿宋_GB2312"/>
          <w:bCs/>
          <w:sz w:val="32"/>
          <w:szCs w:val="32"/>
          <w:highlight w:val="none"/>
        </w:rPr>
        <w:t>配套污水管网建设不到位，区域雨污分流管网占比较小</w:t>
      </w:r>
      <w:r>
        <w:rPr>
          <w:rFonts w:hint="eastAsia" w:eastAsia="仿宋_GB2312"/>
          <w:bCs/>
          <w:sz w:val="32"/>
          <w:szCs w:val="32"/>
          <w:highlight w:val="none"/>
          <w:lang w:val="en-US" w:eastAsia="zh-CN"/>
        </w:rPr>
        <w:t>导致</w:t>
      </w:r>
      <w:r>
        <w:rPr>
          <w:rFonts w:hint="eastAsia" w:eastAsia="仿宋_GB2312"/>
          <w:bCs/>
          <w:sz w:val="32"/>
          <w:szCs w:val="32"/>
          <w:highlight w:val="none"/>
          <w:lang w:eastAsia="zh-CN"/>
        </w:rPr>
        <w:t>。</w:t>
      </w:r>
      <w:r>
        <w:rPr>
          <w:rFonts w:hint="eastAsia" w:eastAsia="仿宋_GB2312"/>
          <w:bCs/>
          <w:sz w:val="32"/>
          <w:szCs w:val="32"/>
          <w:highlight w:val="none"/>
          <w:lang w:val="en-US" w:eastAsia="zh-CN"/>
        </w:rPr>
        <w:t>考虑到进一步扩容</w:t>
      </w:r>
      <w:r>
        <w:rPr>
          <w:rFonts w:hint="default" w:eastAsia="仿宋_GB2312"/>
          <w:bCs/>
          <w:sz w:val="32"/>
          <w:szCs w:val="32"/>
          <w:highlight w:val="none"/>
        </w:rPr>
        <w:t>需要具有可用的土地资源，基建投资大，周期长，同时非雨季时很可能无法达到满负荷运行，运行成本较高</w:t>
      </w:r>
      <w:r>
        <w:rPr>
          <w:rFonts w:hint="eastAsia" w:eastAsia="仿宋_GB2312"/>
          <w:bCs/>
          <w:sz w:val="32"/>
          <w:szCs w:val="32"/>
          <w:highlight w:val="none"/>
          <w:lang w:val="en-US" w:eastAsia="zh-CN"/>
        </w:rPr>
        <w:t>等问题，清溪镇以问题为导向，重点开展了区域</w:t>
      </w:r>
      <w:r>
        <w:rPr>
          <w:rFonts w:hint="default" w:eastAsia="仿宋_GB2312"/>
          <w:bCs/>
          <w:sz w:val="32"/>
          <w:szCs w:val="32"/>
          <w:highlight w:val="none"/>
        </w:rPr>
        <w:t>雨污、清污分流工作</w:t>
      </w:r>
      <w:r>
        <w:rPr>
          <w:rFonts w:hint="eastAsia" w:eastAsia="仿宋_GB2312"/>
          <w:bCs/>
          <w:sz w:val="32"/>
          <w:szCs w:val="32"/>
          <w:highlight w:val="none"/>
          <w:lang w:eastAsia="zh-CN"/>
        </w:rPr>
        <w:t>，</w:t>
      </w:r>
      <w:r>
        <w:rPr>
          <w:rFonts w:hint="eastAsia" w:eastAsia="仿宋_GB2312"/>
          <w:bCs/>
          <w:sz w:val="32"/>
          <w:szCs w:val="32"/>
          <w:highlight w:val="none"/>
          <w:lang w:val="en-US" w:eastAsia="zh-CN"/>
        </w:rPr>
        <w:t>未开展长山头污水处理厂三期建设工程</w:t>
      </w:r>
      <w:r>
        <w:rPr>
          <w:rFonts w:hint="default" w:eastAsia="仿宋_GB2312"/>
          <w:bCs/>
          <w:sz w:val="32"/>
          <w:szCs w:val="32"/>
          <w:highlight w:val="none"/>
        </w:rPr>
        <w:t>。</w:t>
      </w:r>
    </w:p>
    <w:p w14:paraId="78EA8FDB">
      <w:pPr>
        <w:spacing w:beforeLines="0" w:afterLines="0" w:line="360" w:lineRule="auto"/>
        <w:ind w:firstLine="640" w:firstLineChars="200"/>
        <w:rPr>
          <w:rFonts w:hint="eastAsia" w:eastAsia="仿宋_GB2312"/>
          <w:bCs/>
          <w:sz w:val="32"/>
          <w:szCs w:val="32"/>
          <w:highlight w:val="none"/>
          <w:lang w:eastAsia="zh-CN"/>
        </w:rPr>
      </w:pPr>
      <w:r>
        <w:rPr>
          <w:rFonts w:hint="eastAsia" w:eastAsia="仿宋_GB2312"/>
          <w:bCs/>
          <w:sz w:val="32"/>
          <w:szCs w:val="32"/>
          <w:highlight w:val="none"/>
          <w:lang w:eastAsia="zh-CN"/>
        </w:rPr>
        <w:t>2</w:t>
      </w:r>
      <w:r>
        <w:rPr>
          <w:rFonts w:hint="default" w:eastAsia="仿宋_GB2312"/>
          <w:bCs/>
          <w:sz w:val="32"/>
          <w:szCs w:val="32"/>
          <w:highlight w:val="none"/>
        </w:rPr>
        <w:t>.</w:t>
      </w:r>
      <w:r>
        <w:rPr>
          <w:rFonts w:hint="eastAsia" w:eastAsia="仿宋_GB2312"/>
          <w:bCs/>
          <w:sz w:val="32"/>
          <w:szCs w:val="32"/>
          <w:highlight w:val="none"/>
          <w:lang w:eastAsia="zh-CN"/>
        </w:rPr>
        <w:t>“</w:t>
      </w:r>
      <w:r>
        <w:rPr>
          <w:rFonts w:hint="eastAsia" w:eastAsia="仿宋_GB2312"/>
          <w:bCs/>
          <w:sz w:val="32"/>
          <w:szCs w:val="32"/>
          <w:highlight w:val="none"/>
        </w:rPr>
        <w:t>清溪镇生活垃圾处理工程</w:t>
      </w:r>
      <w:r>
        <w:rPr>
          <w:rFonts w:hint="eastAsia" w:eastAsia="仿宋_GB2312"/>
          <w:bCs/>
          <w:sz w:val="32"/>
          <w:szCs w:val="32"/>
          <w:highlight w:val="none"/>
          <w:lang w:eastAsia="zh-CN"/>
        </w:rPr>
        <w:t>”：</w:t>
      </w:r>
      <w:r>
        <w:rPr>
          <w:rFonts w:hint="eastAsia" w:eastAsia="仿宋_GB2312"/>
          <w:bCs/>
          <w:sz w:val="32"/>
          <w:szCs w:val="32"/>
          <w:highlight w:val="none"/>
          <w:lang w:val="en-US" w:eastAsia="zh-CN"/>
        </w:rPr>
        <w:t>该工程主要建设内容为</w:t>
      </w:r>
      <w:r>
        <w:rPr>
          <w:rFonts w:hint="eastAsia" w:eastAsia="仿宋_GB2312"/>
          <w:bCs/>
          <w:sz w:val="32"/>
          <w:szCs w:val="32"/>
          <w:highlight w:val="none"/>
        </w:rPr>
        <w:t>建设垃圾焚烧发电厂</w:t>
      </w:r>
      <w:r>
        <w:rPr>
          <w:rFonts w:hint="eastAsia" w:eastAsia="仿宋_GB2312"/>
          <w:bCs/>
          <w:sz w:val="32"/>
          <w:szCs w:val="32"/>
          <w:highlight w:val="none"/>
          <w:lang w:eastAsia="zh-CN"/>
        </w:rPr>
        <w:t>，</w:t>
      </w:r>
      <w:r>
        <w:rPr>
          <w:rFonts w:hint="default" w:eastAsia="仿宋_GB2312"/>
          <w:bCs/>
          <w:sz w:val="32"/>
          <w:szCs w:val="32"/>
          <w:highlight w:val="none"/>
        </w:rPr>
        <w:t>因土地、社会风险等</w:t>
      </w:r>
      <w:r>
        <w:rPr>
          <w:rFonts w:hint="eastAsia" w:eastAsia="仿宋_GB2312"/>
          <w:bCs/>
          <w:sz w:val="32"/>
          <w:szCs w:val="32"/>
          <w:highlight w:val="none"/>
          <w:lang w:val="en-US" w:eastAsia="zh-CN"/>
        </w:rPr>
        <w:t>多</w:t>
      </w:r>
      <w:r>
        <w:rPr>
          <w:rFonts w:hint="default" w:eastAsia="仿宋_GB2312"/>
          <w:bCs/>
          <w:sz w:val="32"/>
          <w:szCs w:val="32"/>
          <w:highlight w:val="none"/>
        </w:rPr>
        <w:t>种原因，未</w:t>
      </w:r>
      <w:r>
        <w:rPr>
          <w:rFonts w:hint="eastAsia" w:eastAsia="仿宋_GB2312"/>
          <w:bCs/>
          <w:sz w:val="32"/>
          <w:szCs w:val="32"/>
          <w:highlight w:val="none"/>
          <w:lang w:val="en-US" w:eastAsia="zh-CN"/>
        </w:rPr>
        <w:t>开展该项工程</w:t>
      </w:r>
      <w:r>
        <w:rPr>
          <w:rFonts w:hint="default" w:eastAsia="仿宋_GB2312"/>
          <w:bCs/>
          <w:sz w:val="32"/>
          <w:szCs w:val="32"/>
          <w:highlight w:val="none"/>
        </w:rPr>
        <w:t>。</w:t>
      </w:r>
      <w:r>
        <w:rPr>
          <w:rFonts w:hint="eastAsia" w:eastAsia="仿宋_GB2312"/>
          <w:bCs/>
          <w:sz w:val="32"/>
          <w:szCs w:val="32"/>
          <w:highlight w:val="none"/>
          <w:lang w:val="en-US" w:eastAsia="zh-CN"/>
        </w:rPr>
        <w:t>2017-2020年，清溪镇</w:t>
      </w:r>
      <w:r>
        <w:rPr>
          <w:rFonts w:hint="eastAsia" w:eastAsia="仿宋_GB2312"/>
          <w:bCs/>
          <w:sz w:val="32"/>
          <w:szCs w:val="32"/>
          <w:highlight w:val="none"/>
        </w:rPr>
        <w:t>顺利完成罗马垃圾填埋场综合治理工程，渗滤液污染物、臭气浓度等四项指标明显下降。全镇新增生活垃圾全部外运焚烧处理，镇级厨余垃圾处理中心正式运营，居民社区、清厦村、荔横村</w:t>
      </w:r>
      <w:r>
        <w:rPr>
          <w:rFonts w:hint="eastAsia" w:eastAsia="仿宋_GB2312"/>
          <w:bCs/>
          <w:sz w:val="32"/>
          <w:szCs w:val="32"/>
          <w:highlight w:val="none"/>
          <w:lang w:val="en-US" w:eastAsia="zh-CN"/>
        </w:rPr>
        <w:t>等</w:t>
      </w:r>
      <w:r>
        <w:rPr>
          <w:rFonts w:hint="eastAsia" w:eastAsia="仿宋_GB2312"/>
          <w:bCs/>
          <w:sz w:val="32"/>
          <w:szCs w:val="32"/>
          <w:highlight w:val="none"/>
        </w:rPr>
        <w:t>8个村</w:t>
      </w:r>
      <w:r>
        <w:rPr>
          <w:rFonts w:hint="eastAsia" w:eastAsia="仿宋_GB2312"/>
          <w:bCs/>
          <w:sz w:val="32"/>
          <w:szCs w:val="32"/>
          <w:highlight w:val="none"/>
          <w:lang w:eastAsia="zh-CN"/>
        </w:rPr>
        <w:t>（</w:t>
      </w:r>
      <w:r>
        <w:rPr>
          <w:rFonts w:hint="eastAsia" w:eastAsia="仿宋_GB2312"/>
          <w:bCs/>
          <w:sz w:val="32"/>
          <w:szCs w:val="32"/>
          <w:highlight w:val="none"/>
        </w:rPr>
        <w:t>社区</w:t>
      </w:r>
      <w:r>
        <w:rPr>
          <w:rFonts w:hint="eastAsia" w:eastAsia="仿宋_GB2312"/>
          <w:bCs/>
          <w:sz w:val="32"/>
          <w:szCs w:val="32"/>
          <w:highlight w:val="none"/>
          <w:lang w:eastAsia="zh-CN"/>
        </w:rPr>
        <w:t>）</w:t>
      </w:r>
      <w:r>
        <w:rPr>
          <w:rFonts w:hint="eastAsia" w:eastAsia="仿宋_GB2312"/>
          <w:bCs/>
          <w:sz w:val="32"/>
          <w:szCs w:val="32"/>
          <w:highlight w:val="none"/>
        </w:rPr>
        <w:t>已建成生活垃圾分类处理系统</w:t>
      </w:r>
      <w:r>
        <w:rPr>
          <w:rFonts w:hint="eastAsia" w:eastAsia="仿宋_GB2312"/>
          <w:bCs/>
          <w:sz w:val="32"/>
          <w:szCs w:val="32"/>
          <w:highlight w:val="none"/>
          <w:lang w:eastAsia="zh-CN"/>
        </w:rPr>
        <w:t>。</w:t>
      </w:r>
      <w:r>
        <w:rPr>
          <w:rFonts w:hint="eastAsia" w:eastAsia="仿宋_GB2312"/>
          <w:bCs/>
          <w:sz w:val="32"/>
          <w:szCs w:val="32"/>
          <w:highlight w:val="none"/>
        </w:rPr>
        <w:t>清溪镇</w:t>
      </w:r>
      <w:r>
        <w:rPr>
          <w:rFonts w:hint="eastAsia" w:eastAsia="仿宋_GB2312"/>
          <w:bCs/>
          <w:sz w:val="32"/>
          <w:szCs w:val="32"/>
          <w:highlight w:val="none"/>
          <w:lang w:val="en-US" w:eastAsia="zh-CN"/>
        </w:rPr>
        <w:t>持续</w:t>
      </w:r>
      <w:r>
        <w:rPr>
          <w:rFonts w:hint="eastAsia" w:eastAsia="仿宋_GB2312"/>
          <w:bCs/>
          <w:sz w:val="32"/>
          <w:szCs w:val="32"/>
          <w:highlight w:val="none"/>
        </w:rPr>
        <w:t>加强生活垃圾规范化处理</w:t>
      </w:r>
      <w:r>
        <w:rPr>
          <w:rFonts w:hint="eastAsia" w:eastAsia="仿宋_GB2312"/>
          <w:bCs/>
          <w:sz w:val="32"/>
          <w:szCs w:val="32"/>
          <w:highlight w:val="none"/>
          <w:lang w:eastAsia="zh-CN"/>
        </w:rPr>
        <w:t>，</w:t>
      </w:r>
      <w:r>
        <w:rPr>
          <w:rFonts w:hint="eastAsia" w:eastAsia="仿宋_GB2312"/>
          <w:bCs/>
          <w:sz w:val="32"/>
          <w:szCs w:val="32"/>
          <w:highlight w:val="none"/>
        </w:rPr>
        <w:t>生活垃圾无害化处理率达</w:t>
      </w:r>
      <w:r>
        <w:rPr>
          <w:rFonts w:hint="eastAsia" w:eastAsia="仿宋_GB2312"/>
          <w:bCs/>
          <w:sz w:val="32"/>
          <w:szCs w:val="32"/>
          <w:highlight w:val="none"/>
          <w:lang w:val="en-US" w:eastAsia="zh-CN"/>
        </w:rPr>
        <w:t>到</w:t>
      </w:r>
      <w:r>
        <w:rPr>
          <w:rFonts w:hint="eastAsia" w:eastAsia="仿宋_GB2312"/>
          <w:bCs/>
          <w:sz w:val="32"/>
          <w:szCs w:val="32"/>
          <w:highlight w:val="none"/>
        </w:rPr>
        <w:t>100%</w:t>
      </w:r>
      <w:r>
        <w:rPr>
          <w:rFonts w:hint="eastAsia" w:eastAsia="仿宋_GB2312"/>
          <w:bCs/>
          <w:sz w:val="32"/>
          <w:szCs w:val="32"/>
          <w:highlight w:val="none"/>
          <w:lang w:eastAsia="zh-CN"/>
        </w:rPr>
        <w:t>。</w:t>
      </w:r>
    </w:p>
    <w:p w14:paraId="06EAFFB4">
      <w:pPr>
        <w:spacing w:beforeLines="0" w:afterLines="0" w:line="360" w:lineRule="auto"/>
        <w:ind w:firstLine="640" w:firstLineChars="200"/>
        <w:rPr>
          <w:rFonts w:hint="eastAsia" w:eastAsia="仿宋_GB2312"/>
          <w:bCs/>
          <w:sz w:val="32"/>
          <w:szCs w:val="32"/>
          <w:highlight w:val="none"/>
        </w:rPr>
      </w:pPr>
      <w:r>
        <w:rPr>
          <w:rFonts w:hint="eastAsia" w:eastAsia="仿宋_GB2312"/>
          <w:bCs/>
          <w:sz w:val="32"/>
          <w:szCs w:val="32"/>
          <w:highlight w:val="none"/>
          <w:lang w:val="en-US" w:eastAsia="zh-CN"/>
        </w:rPr>
        <w:t>3.“污染土壤治理与修复示范”：根据2018至2021年东莞市清溪镇49个污染识别地块统计数据，29个地块不作强制性要求开展土壤污染状况调查，20个地块已完成初步调查，均不属于污染地块。清溪镇建设用地土壤环境质量总体良好，暂未发现其他污染地块，因此未开展该工程。</w:t>
      </w:r>
    </w:p>
    <w:p w14:paraId="00D624C7">
      <w:pPr>
        <w:pStyle w:val="11"/>
        <w:spacing w:beforeLines="0" w:after="0" w:afterLines="0" w:line="312" w:lineRule="auto"/>
        <w:ind w:firstLine="480"/>
        <w:jc w:val="center"/>
        <w:rPr>
          <w:rFonts w:hint="eastAsia" w:ascii="Times New Roman" w:hAnsi="Times New Roman" w:eastAsia="仿宋_GB2312"/>
          <w:b/>
          <w:color w:val="auto"/>
          <w:kern w:val="2"/>
          <w:sz w:val="24"/>
          <w:szCs w:val="24"/>
          <w:highlight w:val="none"/>
        </w:rPr>
      </w:pPr>
      <w:r>
        <w:rPr>
          <w:rFonts w:hint="eastAsia" w:eastAsia="仿宋_GB2312"/>
          <w:b/>
          <w:color w:val="auto"/>
          <w:kern w:val="2"/>
          <w:sz w:val="24"/>
          <w:szCs w:val="24"/>
          <w:highlight w:val="none"/>
          <w:lang w:val="en-US" w:eastAsia="zh-CN"/>
        </w:rPr>
        <w:t xml:space="preserve">表1.1-2 </w:t>
      </w:r>
      <w:r>
        <w:rPr>
          <w:rFonts w:hint="eastAsia" w:eastAsia="仿宋_GB2312"/>
          <w:b/>
          <w:color w:val="auto"/>
          <w:kern w:val="2"/>
          <w:highlight w:val="none"/>
        </w:rPr>
        <w:t>清溪镇环境保护规划修编（2017-2020）</w:t>
      </w:r>
      <w:r>
        <w:rPr>
          <w:rFonts w:hint="eastAsia" w:ascii="Times New Roman" w:hAnsi="Times New Roman" w:eastAsia="仿宋_GB2312"/>
          <w:b/>
          <w:color w:val="auto"/>
          <w:kern w:val="2"/>
          <w:sz w:val="24"/>
          <w:szCs w:val="24"/>
          <w:highlight w:val="none"/>
        </w:rPr>
        <w:t>重点工程</w:t>
      </w:r>
      <w:r>
        <w:rPr>
          <w:rFonts w:hint="eastAsia" w:eastAsia="仿宋_GB2312"/>
          <w:b/>
          <w:color w:val="auto"/>
          <w:kern w:val="2"/>
          <w:sz w:val="24"/>
          <w:szCs w:val="24"/>
          <w:highlight w:val="none"/>
          <w:lang w:val="en-US" w:eastAsia="zh-CN"/>
        </w:rPr>
        <w:t>完成情况</w:t>
      </w:r>
      <w:r>
        <w:rPr>
          <w:rFonts w:hint="eastAsia" w:ascii="Times New Roman" w:hAnsi="Times New Roman" w:eastAsia="仿宋_GB2312"/>
          <w:b/>
          <w:color w:val="auto"/>
          <w:kern w:val="2"/>
          <w:sz w:val="24"/>
          <w:szCs w:val="24"/>
          <w:highlight w:val="none"/>
        </w:rPr>
        <w:t>一览表</w:t>
      </w:r>
    </w:p>
    <w:tbl>
      <w:tblPr>
        <w:tblStyle w:val="30"/>
        <w:tblW w:w="97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929"/>
        <w:gridCol w:w="2547"/>
        <w:gridCol w:w="1077"/>
        <w:gridCol w:w="2148"/>
        <w:gridCol w:w="1064"/>
      </w:tblGrid>
      <w:tr w14:paraId="45D8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jc w:val="center"/>
        </w:trPr>
        <w:tc>
          <w:tcPr>
            <w:tcW w:w="9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74B4A84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一</w:t>
            </w:r>
          </w:p>
        </w:tc>
        <w:tc>
          <w:tcPr>
            <w:tcW w:w="8765" w:type="dxa"/>
            <w:gridSpan w:val="5"/>
            <w:tcBorders>
              <w:top w:val="single" w:color="000000" w:sz="8" w:space="0"/>
              <w:left w:val="single" w:color="000000" w:sz="4" w:space="0"/>
              <w:bottom w:val="single" w:color="000000" w:sz="4" w:space="0"/>
              <w:right w:val="single" w:color="000000" w:sz="8" w:space="0"/>
            </w:tcBorders>
            <w:shd w:val="clear" w:color="auto" w:fill="auto"/>
            <w:vAlign w:val="center"/>
          </w:tcPr>
          <w:p w14:paraId="01D0BED7">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饮用水源保护工程</w:t>
            </w:r>
          </w:p>
        </w:tc>
      </w:tr>
      <w:tr w14:paraId="76B1F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96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6173904C">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F19E05">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项目名称</w:t>
            </w:r>
          </w:p>
        </w:tc>
        <w:tc>
          <w:tcPr>
            <w:tcW w:w="36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958CC">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主要建设内容</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96C3A">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14A44E10">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1218C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 w:hRule="atLeast"/>
          <w:jc w:val="center"/>
        </w:trPr>
        <w:tc>
          <w:tcPr>
            <w:tcW w:w="96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02B2E1C0">
            <w:pPr>
              <w:jc w:val="center"/>
              <w:rPr>
                <w:rFonts w:hint="default" w:ascii="Times New Roman" w:hAnsi="Times New Roman" w:eastAsia="仿宋_GB2312" w:cs="Times New Roman"/>
                <w:b/>
                <w:bCs/>
                <w:i w:val="0"/>
                <w:iCs w:val="0"/>
                <w:color w:val="000000"/>
                <w:sz w:val="21"/>
                <w:szCs w:val="21"/>
                <w:highlight w:val="none"/>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1E9BD">
            <w:pPr>
              <w:jc w:val="center"/>
              <w:rPr>
                <w:rFonts w:hint="default" w:ascii="Times New Roman" w:hAnsi="Times New Roman" w:eastAsia="仿宋_GB2312" w:cs="Times New Roman"/>
                <w:b/>
                <w:bCs/>
                <w:i w:val="0"/>
                <w:iCs w:val="0"/>
                <w:color w:val="000000"/>
                <w:sz w:val="21"/>
                <w:szCs w:val="21"/>
                <w:highlight w:val="none"/>
                <w:u w:val="none"/>
              </w:rPr>
            </w:pPr>
          </w:p>
        </w:tc>
        <w:tc>
          <w:tcPr>
            <w:tcW w:w="36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7709A">
            <w:pPr>
              <w:jc w:val="center"/>
              <w:rPr>
                <w:rFonts w:hint="default" w:ascii="Times New Roman" w:hAnsi="Times New Roman" w:eastAsia="仿宋_GB2312" w:cs="Times New Roman"/>
                <w:b/>
                <w:bCs/>
                <w:i w:val="0"/>
                <w:iCs w:val="0"/>
                <w:color w:val="000000"/>
                <w:sz w:val="21"/>
                <w:szCs w:val="21"/>
                <w:highlight w:val="none"/>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F61AA">
            <w:pPr>
              <w:jc w:val="center"/>
              <w:rPr>
                <w:rFonts w:hint="default" w:ascii="Times New Roman" w:hAnsi="Times New Roman" w:eastAsia="仿宋_GB2312" w:cs="Times New Roman"/>
                <w:b/>
                <w:bCs/>
                <w:i w:val="0"/>
                <w:iCs w:val="0"/>
                <w:color w:val="000000"/>
                <w:sz w:val="21"/>
                <w:szCs w:val="21"/>
                <w:highlight w:val="none"/>
                <w:u w:val="none"/>
              </w:rPr>
            </w:pPr>
          </w:p>
        </w:tc>
        <w:tc>
          <w:tcPr>
            <w:tcW w:w="106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3FB1DBD1">
            <w:pPr>
              <w:jc w:val="center"/>
              <w:rPr>
                <w:rFonts w:hint="default" w:ascii="Times New Roman" w:hAnsi="Times New Roman" w:eastAsia="仿宋_GB2312" w:cs="Times New Roman"/>
                <w:b/>
                <w:bCs/>
                <w:i w:val="0"/>
                <w:iCs w:val="0"/>
                <w:color w:val="000000"/>
                <w:sz w:val="21"/>
                <w:szCs w:val="21"/>
                <w:highlight w:val="none"/>
                <w:u w:val="none"/>
              </w:rPr>
            </w:pPr>
          </w:p>
        </w:tc>
      </w:tr>
      <w:tr w14:paraId="3C9E2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98BC81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482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饮用水源水库标准化建设</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F1B48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在陆域一级保护区边界建设围网、定界桩、悬挂警示标识</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F5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镇农林水务办、镇环保分局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BDD1D4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30FD3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6C8B3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36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护岸林和水源涵养林建设</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F04DA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种植乡土树种为主的护岸林和水源涵养林</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841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镇农林水务办、镇环保分局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81BED6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7CDB1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526EBF">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二</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center"/>
          </w:tcPr>
          <w:p w14:paraId="733EED8B">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污水处理厂和截污管网工程</w:t>
            </w:r>
          </w:p>
        </w:tc>
      </w:tr>
      <w:tr w14:paraId="226D4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33D2ACD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50C88">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项目名称</w:t>
            </w:r>
          </w:p>
        </w:tc>
        <w:tc>
          <w:tcPr>
            <w:tcW w:w="36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0FD85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主要建设内容</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837D7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2D37A2F4">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1208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5E7BD5EB">
            <w:pPr>
              <w:jc w:val="center"/>
              <w:rPr>
                <w:rFonts w:hint="default" w:ascii="Times New Roman" w:hAnsi="Times New Roman" w:eastAsia="仿宋_GB2312" w:cs="Times New Roman"/>
                <w:b/>
                <w:bCs/>
                <w:i w:val="0"/>
                <w:iCs w:val="0"/>
                <w:color w:val="000000"/>
                <w:sz w:val="21"/>
                <w:szCs w:val="21"/>
                <w:highlight w:val="none"/>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C71E8">
            <w:pPr>
              <w:jc w:val="center"/>
              <w:rPr>
                <w:rFonts w:hint="default" w:ascii="Times New Roman" w:hAnsi="Times New Roman" w:eastAsia="仿宋_GB2312" w:cs="Times New Roman"/>
                <w:b/>
                <w:bCs/>
                <w:i w:val="0"/>
                <w:iCs w:val="0"/>
                <w:color w:val="000000"/>
                <w:sz w:val="21"/>
                <w:szCs w:val="21"/>
                <w:highlight w:val="none"/>
                <w:u w:val="none"/>
              </w:rPr>
            </w:pPr>
          </w:p>
        </w:tc>
        <w:tc>
          <w:tcPr>
            <w:tcW w:w="36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94BD4">
            <w:pPr>
              <w:jc w:val="center"/>
              <w:rPr>
                <w:rFonts w:hint="default" w:ascii="Times New Roman" w:hAnsi="Times New Roman" w:eastAsia="仿宋_GB2312" w:cs="Times New Roman"/>
                <w:b/>
                <w:bCs/>
                <w:i w:val="0"/>
                <w:iCs w:val="0"/>
                <w:color w:val="000000"/>
                <w:sz w:val="21"/>
                <w:szCs w:val="21"/>
                <w:highlight w:val="none"/>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CFD3CD">
            <w:pPr>
              <w:jc w:val="center"/>
              <w:rPr>
                <w:rFonts w:hint="default" w:ascii="Times New Roman" w:hAnsi="Times New Roman" w:eastAsia="仿宋_GB2312" w:cs="Times New Roman"/>
                <w:b/>
                <w:bCs/>
                <w:i w:val="0"/>
                <w:iCs w:val="0"/>
                <w:color w:val="000000"/>
                <w:sz w:val="21"/>
                <w:szCs w:val="21"/>
                <w:highlight w:val="none"/>
                <w:u w:val="none"/>
              </w:rPr>
            </w:pPr>
          </w:p>
        </w:tc>
        <w:tc>
          <w:tcPr>
            <w:tcW w:w="106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0101F27F">
            <w:pPr>
              <w:jc w:val="center"/>
              <w:rPr>
                <w:rFonts w:hint="default" w:ascii="Times New Roman" w:hAnsi="Times New Roman" w:eastAsia="仿宋_GB2312" w:cs="Times New Roman"/>
                <w:b/>
                <w:bCs/>
                <w:i w:val="0"/>
                <w:iCs w:val="0"/>
                <w:color w:val="000000"/>
                <w:sz w:val="21"/>
                <w:szCs w:val="21"/>
                <w:highlight w:val="none"/>
                <w:u w:val="none"/>
              </w:rPr>
            </w:pPr>
          </w:p>
        </w:tc>
      </w:tr>
      <w:tr w14:paraId="3B404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974C83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ED4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长山头污水处理厂二期工程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A1F2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扩建2.0万吨/日处理规模（正在建设中）</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7B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B70B7F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1B7E3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E34B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4</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ED10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长山头污水处理厂三期工程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91815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扩建4.4万吨/日处理规模</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740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F7A89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未完成</w:t>
            </w:r>
          </w:p>
        </w:tc>
      </w:tr>
      <w:tr w14:paraId="4096C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225D11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5</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851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长山头污水处理厂提标改造工程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4D6A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将原来处理厂提标改造（从一级B提至一级A）</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78D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DA5B7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3628E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A64FEE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6</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E2C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厦坭污水处理厂二期工程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EFC64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处理规模扩建6.7万吨/日</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72A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88D61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eastAsia" w:ascii="Times New Roman" w:hAnsi="Times New Roman" w:eastAsia="仿宋_GB2312" w:cs="Times New Roman"/>
                <w:i w:val="0"/>
                <w:iCs w:val="0"/>
                <w:color w:val="000000"/>
                <w:kern w:val="0"/>
                <w:sz w:val="21"/>
                <w:szCs w:val="21"/>
                <w:highlight w:val="none"/>
                <w:u w:val="none"/>
                <w:lang w:val="en-US" w:eastAsia="zh-CN" w:bidi="ar"/>
              </w:rPr>
              <w:t>持续</w:t>
            </w:r>
            <w:r>
              <w:rPr>
                <w:rFonts w:hint="default" w:ascii="Times New Roman" w:hAnsi="Times New Roman" w:eastAsia="仿宋_GB2312" w:cs="Times New Roman"/>
                <w:i w:val="0"/>
                <w:iCs w:val="0"/>
                <w:color w:val="000000"/>
                <w:kern w:val="0"/>
                <w:sz w:val="21"/>
                <w:szCs w:val="21"/>
                <w:highlight w:val="none"/>
                <w:u w:val="none"/>
                <w:lang w:val="en-US" w:eastAsia="zh-CN" w:bidi="ar"/>
              </w:rPr>
              <w:t>推进</w:t>
            </w:r>
          </w:p>
        </w:tc>
      </w:tr>
      <w:tr w14:paraId="7DD0B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F48B5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7</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52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夏坭污水处理厂提标改造工程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44C15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将原来处理厂提标改造（从一级B提至一级A）</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57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4235F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12D27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422E1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8</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22A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中水回用工程（处理厂及管网）</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E5D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厦坭和长山头污水处理厂出水分别新建2000吨/日和 6000吨/日中水处理厂，并建设管网11km</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96F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61466C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49ACE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1238D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9</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D50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清溪镇截污次支管网近期工程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E92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分四期建设截污次支管网</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BFC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6D355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1F2B8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B6EA1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10</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12C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铁场村分散式污水处理设施及配套截污管网工程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8DCDA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新建分散式污水处理设施一座</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EAE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镇重点项目办、镇环保分局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5F383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0B08A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7B818C3F">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三</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top"/>
          </w:tcPr>
          <w:p w14:paraId="60446E5F">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河道整治工程</w:t>
            </w:r>
          </w:p>
        </w:tc>
      </w:tr>
      <w:tr w14:paraId="2D4A9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368B158">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B45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工程名称</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BE547">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主要建设内容</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4FB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0ECA4CD">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6A8AE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977DE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30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茅輋水库下游河道整治工程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A2BA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52C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B3837F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29941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E0AD7F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3C0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茅輋水库排洪渠和三坑水库排洪渠整治</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44A5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3C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24919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2D623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BB4A7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13</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304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石马河干流综合整治工程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C1E7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299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FB2C1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22926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3"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64424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14</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57F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石马河干流瓶颈段河道整治工程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6995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4A1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7E311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4A964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1"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EF542E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15</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B72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清溪河下游河段整治工程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A4D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817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D6DBF0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2F97C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17FEF4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16</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DCF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青皇排水渠整治工程二期</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6572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63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8EC923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65160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38D69E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17</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C3B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谢坑水整治工程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AF0E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06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6726C5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4B77F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1"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B5AC82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18</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3F4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莲塘支渠整治工程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07C5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507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A28FA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03AF1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0CDCD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19</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B1B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莲塘渠整治工程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D9E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EBD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6C218D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35D75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2006C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20</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166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青皇河整治工程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FF1A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12D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88DFE9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54DAC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609225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4D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龙潭水整治工程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14A3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339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6B4EF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1C203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C518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CFD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天生湖水整治工程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D4201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623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0C8125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5313C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1EE0E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23</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0E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冷水坑水整治工程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3FE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A27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0FB2D8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57991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7"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24DC7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24</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18F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大利渠整治工程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0B655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FBD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6BC7E8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5B779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3"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7A053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25</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6F3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三星渠整治工程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2353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截污、清淤、堤岸修复、活水</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78E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镇水务工程建设运营中心、镇环保分局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63632E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13CFA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FAACEDC">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四</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center"/>
          </w:tcPr>
          <w:p w14:paraId="12C33A70">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海绵城市建设规划</w:t>
            </w:r>
          </w:p>
        </w:tc>
      </w:tr>
      <w:tr w14:paraId="3BF8A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65D58C3F">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0A6AB">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工程名称</w:t>
            </w:r>
          </w:p>
        </w:tc>
        <w:tc>
          <w:tcPr>
            <w:tcW w:w="25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CF43A">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主要建设内容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15E3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整治目标</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824B9">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4580E071">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5474C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4F118133">
            <w:pPr>
              <w:jc w:val="center"/>
              <w:rPr>
                <w:rFonts w:hint="default" w:ascii="Times New Roman" w:hAnsi="Times New Roman" w:eastAsia="仿宋_GB2312" w:cs="Times New Roman"/>
                <w:b/>
                <w:bCs/>
                <w:i w:val="0"/>
                <w:iCs w:val="0"/>
                <w:color w:val="000000"/>
                <w:sz w:val="21"/>
                <w:szCs w:val="21"/>
                <w:highlight w:val="none"/>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C6F4B">
            <w:pPr>
              <w:jc w:val="center"/>
              <w:rPr>
                <w:rFonts w:hint="default" w:ascii="Times New Roman" w:hAnsi="Times New Roman" w:eastAsia="仿宋_GB2312" w:cs="Times New Roman"/>
                <w:b/>
                <w:bCs/>
                <w:i w:val="0"/>
                <w:iCs w:val="0"/>
                <w:color w:val="000000"/>
                <w:sz w:val="21"/>
                <w:szCs w:val="21"/>
                <w:highlight w:val="none"/>
                <w:u w:val="none"/>
              </w:rPr>
            </w:pPr>
          </w:p>
        </w:tc>
        <w:tc>
          <w:tcPr>
            <w:tcW w:w="25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33904">
            <w:pPr>
              <w:jc w:val="center"/>
              <w:rPr>
                <w:rFonts w:hint="default" w:ascii="Times New Roman" w:hAnsi="Times New Roman" w:eastAsia="仿宋_GB2312" w:cs="Times New Roman"/>
                <w:b/>
                <w:bCs/>
                <w:i w:val="0"/>
                <w:iCs w:val="0"/>
                <w:color w:val="000000"/>
                <w:sz w:val="21"/>
                <w:szCs w:val="21"/>
                <w:highlight w:val="none"/>
                <w:u w:val="none"/>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4E18D">
            <w:pPr>
              <w:jc w:val="center"/>
              <w:rPr>
                <w:rFonts w:hint="default" w:ascii="Times New Roman" w:hAnsi="Times New Roman" w:eastAsia="仿宋_GB2312" w:cs="Times New Roman"/>
                <w:b/>
                <w:bCs/>
                <w:i w:val="0"/>
                <w:iCs w:val="0"/>
                <w:color w:val="000000"/>
                <w:sz w:val="21"/>
                <w:szCs w:val="21"/>
                <w:highlight w:val="none"/>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3E76F">
            <w:pPr>
              <w:jc w:val="center"/>
              <w:rPr>
                <w:rFonts w:hint="default" w:ascii="Times New Roman" w:hAnsi="Times New Roman" w:eastAsia="仿宋_GB2312" w:cs="Times New Roman"/>
                <w:b/>
                <w:bCs/>
                <w:i w:val="0"/>
                <w:iCs w:val="0"/>
                <w:color w:val="000000"/>
                <w:sz w:val="21"/>
                <w:szCs w:val="21"/>
                <w:highlight w:val="none"/>
                <w:u w:val="none"/>
              </w:rPr>
            </w:pPr>
          </w:p>
        </w:tc>
        <w:tc>
          <w:tcPr>
            <w:tcW w:w="106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3E3EDFDE">
            <w:pPr>
              <w:jc w:val="center"/>
              <w:rPr>
                <w:rFonts w:hint="default" w:ascii="Times New Roman" w:hAnsi="Times New Roman" w:eastAsia="仿宋_GB2312" w:cs="Times New Roman"/>
                <w:b/>
                <w:bCs/>
                <w:i w:val="0"/>
                <w:iCs w:val="0"/>
                <w:color w:val="000000"/>
                <w:sz w:val="21"/>
                <w:szCs w:val="21"/>
                <w:highlight w:val="none"/>
                <w:u w:val="none"/>
              </w:rPr>
            </w:pPr>
          </w:p>
        </w:tc>
      </w:tr>
      <w:tr w14:paraId="6BFC2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AF1CB9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26</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A32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海绵城市建设规划</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F6E4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编制海绵城市建设规划</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A3B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镇农林水务办</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A4488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5C87F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6166B10">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五</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center"/>
          </w:tcPr>
          <w:p w14:paraId="1534008A">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大气污染防治工程</w:t>
            </w:r>
          </w:p>
        </w:tc>
      </w:tr>
      <w:tr w14:paraId="1EC82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180F3393">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序号</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ECAF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工程名称</w:t>
            </w:r>
          </w:p>
        </w:tc>
        <w:tc>
          <w:tcPr>
            <w:tcW w:w="25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FABA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主要建设内容</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3FB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整治目标</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3CAEA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负责单位</w:t>
            </w:r>
          </w:p>
        </w:tc>
        <w:tc>
          <w:tcPr>
            <w:tcW w:w="106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28910A83">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5CCC4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2D78DD44">
            <w:pPr>
              <w:jc w:val="center"/>
              <w:rPr>
                <w:rFonts w:hint="default" w:ascii="Times New Roman" w:hAnsi="Times New Roman" w:eastAsia="仿宋_GB2312" w:cs="Times New Roman"/>
                <w:b/>
                <w:bCs/>
                <w:i w:val="0"/>
                <w:iCs w:val="0"/>
                <w:color w:val="000000"/>
                <w:sz w:val="21"/>
                <w:szCs w:val="21"/>
                <w:highlight w:val="none"/>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1AE70">
            <w:pPr>
              <w:jc w:val="center"/>
              <w:rPr>
                <w:rFonts w:hint="default" w:ascii="Times New Roman" w:hAnsi="Times New Roman" w:eastAsia="仿宋_GB2312" w:cs="Times New Roman"/>
                <w:i w:val="0"/>
                <w:iCs w:val="0"/>
                <w:color w:val="000000"/>
                <w:sz w:val="21"/>
                <w:szCs w:val="21"/>
                <w:highlight w:val="none"/>
                <w:u w:val="none"/>
              </w:rPr>
            </w:pPr>
          </w:p>
        </w:tc>
        <w:tc>
          <w:tcPr>
            <w:tcW w:w="25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9FC24">
            <w:pPr>
              <w:jc w:val="center"/>
              <w:rPr>
                <w:rFonts w:hint="default" w:ascii="Times New Roman" w:hAnsi="Times New Roman" w:eastAsia="仿宋_GB2312" w:cs="Times New Roman"/>
                <w:i w:val="0"/>
                <w:iCs w:val="0"/>
                <w:color w:val="000000"/>
                <w:sz w:val="21"/>
                <w:szCs w:val="21"/>
                <w:highlight w:val="none"/>
                <w:u w:val="none"/>
              </w:rPr>
            </w:pP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4BDE3">
            <w:pPr>
              <w:jc w:val="center"/>
              <w:rPr>
                <w:rFonts w:hint="default" w:ascii="Times New Roman" w:hAnsi="Times New Roman" w:eastAsia="仿宋_GB2312" w:cs="Times New Roman"/>
                <w:i w:val="0"/>
                <w:iCs w:val="0"/>
                <w:color w:val="000000"/>
                <w:sz w:val="21"/>
                <w:szCs w:val="21"/>
                <w:highlight w:val="none"/>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D3422">
            <w:pPr>
              <w:jc w:val="center"/>
              <w:rPr>
                <w:rFonts w:hint="default" w:ascii="Times New Roman" w:hAnsi="Times New Roman" w:eastAsia="仿宋_GB2312" w:cs="Times New Roman"/>
                <w:i w:val="0"/>
                <w:iCs w:val="0"/>
                <w:color w:val="000000"/>
                <w:sz w:val="21"/>
                <w:szCs w:val="21"/>
                <w:highlight w:val="none"/>
                <w:u w:val="none"/>
              </w:rPr>
            </w:pPr>
          </w:p>
        </w:tc>
        <w:tc>
          <w:tcPr>
            <w:tcW w:w="106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4C52F50C">
            <w:pPr>
              <w:jc w:val="center"/>
              <w:rPr>
                <w:rFonts w:hint="default" w:ascii="Times New Roman" w:hAnsi="Times New Roman" w:eastAsia="仿宋_GB2312" w:cs="Times New Roman"/>
                <w:b/>
                <w:bCs/>
                <w:i w:val="0"/>
                <w:iCs w:val="0"/>
                <w:color w:val="000000"/>
                <w:sz w:val="21"/>
                <w:szCs w:val="21"/>
                <w:highlight w:val="none"/>
                <w:u w:val="none"/>
              </w:rPr>
            </w:pPr>
          </w:p>
        </w:tc>
      </w:tr>
      <w:tr w14:paraId="57F3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2"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555276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27</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C6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锅炉专项整治</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90E3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锅炉专项整治规划、督促落实和加强管理</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765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453F78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已完成（根据市局任务持续推进）</w:t>
            </w:r>
          </w:p>
        </w:tc>
      </w:tr>
      <w:tr w14:paraId="4D665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918C79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28</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30F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高污染排放车辆淘汰专项整治</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896B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高污染排放车辆淘汰专项整治规划、督促落实和加强管理</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6B9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0939C0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已完成（根据市局任务持续推进）</w:t>
            </w:r>
          </w:p>
        </w:tc>
      </w:tr>
      <w:tr w14:paraId="031E3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BA250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29</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3EC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VOCs污染专项整治</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E33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VOCs污染专项整治规划、督促落实和加强管理</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C95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85461F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已完成（根据市局任务持续推进）</w:t>
            </w:r>
          </w:p>
        </w:tc>
      </w:tr>
      <w:tr w14:paraId="47CD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3FCC781B">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六</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top"/>
          </w:tcPr>
          <w:p w14:paraId="7123284E">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固体废物污染防治工程</w:t>
            </w:r>
          </w:p>
        </w:tc>
      </w:tr>
      <w:tr w14:paraId="4A9B9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27FDED77">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57122">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工程名称</w:t>
            </w:r>
          </w:p>
        </w:tc>
        <w:tc>
          <w:tcPr>
            <w:tcW w:w="36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4085B">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主要建设内容</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4D69B">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17520B9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36F81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1488FD54">
            <w:pPr>
              <w:jc w:val="center"/>
              <w:rPr>
                <w:rFonts w:hint="default" w:ascii="Times New Roman" w:hAnsi="Times New Roman" w:eastAsia="仿宋_GB2312" w:cs="Times New Roman"/>
                <w:b/>
                <w:bCs/>
                <w:i w:val="0"/>
                <w:iCs w:val="0"/>
                <w:color w:val="000000"/>
                <w:sz w:val="21"/>
                <w:szCs w:val="21"/>
                <w:highlight w:val="none"/>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E6B97">
            <w:pPr>
              <w:jc w:val="center"/>
              <w:rPr>
                <w:rFonts w:hint="default" w:ascii="Times New Roman" w:hAnsi="Times New Roman" w:eastAsia="仿宋_GB2312" w:cs="Times New Roman"/>
                <w:b/>
                <w:bCs/>
                <w:i w:val="0"/>
                <w:iCs w:val="0"/>
                <w:color w:val="000000"/>
                <w:sz w:val="21"/>
                <w:szCs w:val="21"/>
                <w:highlight w:val="none"/>
                <w:u w:val="none"/>
              </w:rPr>
            </w:pPr>
          </w:p>
        </w:tc>
        <w:tc>
          <w:tcPr>
            <w:tcW w:w="36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82D43">
            <w:pPr>
              <w:jc w:val="center"/>
              <w:rPr>
                <w:rFonts w:hint="default" w:ascii="Times New Roman" w:hAnsi="Times New Roman" w:eastAsia="仿宋_GB2312" w:cs="Times New Roman"/>
                <w:b/>
                <w:bCs/>
                <w:i w:val="0"/>
                <w:iCs w:val="0"/>
                <w:color w:val="000000"/>
                <w:sz w:val="21"/>
                <w:szCs w:val="21"/>
                <w:highlight w:val="none"/>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A27ED">
            <w:pPr>
              <w:jc w:val="center"/>
              <w:rPr>
                <w:rFonts w:hint="default" w:ascii="Times New Roman" w:hAnsi="Times New Roman" w:eastAsia="仿宋_GB2312" w:cs="Times New Roman"/>
                <w:b/>
                <w:bCs/>
                <w:i w:val="0"/>
                <w:iCs w:val="0"/>
                <w:color w:val="000000"/>
                <w:sz w:val="21"/>
                <w:szCs w:val="21"/>
                <w:highlight w:val="none"/>
                <w:u w:val="none"/>
              </w:rPr>
            </w:pPr>
          </w:p>
        </w:tc>
        <w:tc>
          <w:tcPr>
            <w:tcW w:w="106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08902AC2">
            <w:pPr>
              <w:jc w:val="center"/>
              <w:rPr>
                <w:rFonts w:hint="default" w:ascii="Times New Roman" w:hAnsi="Times New Roman" w:eastAsia="仿宋_GB2312" w:cs="Times New Roman"/>
                <w:b/>
                <w:bCs/>
                <w:i w:val="0"/>
                <w:iCs w:val="0"/>
                <w:color w:val="000000"/>
                <w:sz w:val="21"/>
                <w:szCs w:val="21"/>
                <w:highlight w:val="none"/>
                <w:u w:val="none"/>
              </w:rPr>
            </w:pPr>
          </w:p>
        </w:tc>
      </w:tr>
      <w:tr w14:paraId="72D9F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DAA1A1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30</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87E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罗马垃圾填埋场应急整治工程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5D58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填埋场封场处理，垃圾渗滤液处理设施建设</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F9B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镇公用事业服务中心、镇环保分局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DEC0D5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4340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9"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4AF10C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10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清溪镇生活垃圾处理工程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2A46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建设垃圾焚烧发电厂</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00A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镇公用事业服务中心、镇环保分局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99F7B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未完成</w:t>
            </w:r>
          </w:p>
        </w:tc>
      </w:tr>
      <w:tr w14:paraId="5EC8C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779460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3D8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清溪镇再生资源回收站</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05CC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回收利用工业固体废弃物及生活垃圾中有用成分</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DF26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镇公用事业服务中心、镇环保分局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25A96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已完成（市场主导）</w:t>
            </w:r>
          </w:p>
        </w:tc>
      </w:tr>
      <w:tr w14:paraId="7576C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D57C5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33</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29E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建筑废弃物处理工程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38158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建设建筑垃圾接收堆放场地</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CAD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镇公用事业服务中心、镇环保分局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B48850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已完成（市场主导）</w:t>
            </w:r>
          </w:p>
        </w:tc>
      </w:tr>
      <w:tr w14:paraId="70DB8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56486F26">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七</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top"/>
          </w:tcPr>
          <w:p w14:paraId="35F7B200">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土壤污染调查与防治工程</w:t>
            </w:r>
          </w:p>
        </w:tc>
      </w:tr>
      <w:tr w14:paraId="561D5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DEA5B2F">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D091">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项目名称</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E5534">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主要内容</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1AD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AE1399E">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54EC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2"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D6F56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34</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ADA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清溪镇农用地土壤环境质量详细调查</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34B0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全镇农用土壤环境现状及污染状况调查</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16F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F6B7EC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已完成（配合市局完成相关工作）</w:t>
            </w:r>
          </w:p>
        </w:tc>
      </w:tr>
      <w:tr w14:paraId="0C60D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2"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FAC98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35</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C9B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清溪镇重点行业在产企业用地土壤环境质量调查和污染地块名录及其开发利用的负面清单</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CC7E3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完成清溪镇重点行业在产企业用地土壤环境质量调查，制定清溪镇污染地块名录及其开发利用的负面清单</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3CE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80EE9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已完成（配合市局完成相关工作）</w:t>
            </w:r>
          </w:p>
        </w:tc>
      </w:tr>
      <w:tr w14:paraId="26F05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958B7B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36</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35D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污染土壤治理与修复示范</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09B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在镇内筛选一处典型污染土壤（农用地或工业用地）进行治理与修复示范</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2960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FFC32B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lang w:val="en-US" w:eastAsia="zh-CN"/>
              </w:rPr>
            </w:pPr>
            <w:r>
              <w:rPr>
                <w:rFonts w:hint="default" w:ascii="Times New Roman" w:hAnsi="Times New Roman" w:eastAsia="仿宋_GB2312" w:cs="Times New Roman"/>
                <w:i w:val="0"/>
                <w:iCs w:val="0"/>
                <w:color w:val="000000"/>
                <w:sz w:val="21"/>
                <w:szCs w:val="21"/>
                <w:highlight w:val="none"/>
                <w:u w:val="none"/>
                <w:lang w:val="en-US" w:eastAsia="zh-CN"/>
              </w:rPr>
              <w:t>未完成</w:t>
            </w:r>
          </w:p>
        </w:tc>
      </w:tr>
      <w:tr w14:paraId="17A0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4BD60F91">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八</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top"/>
          </w:tcPr>
          <w:p w14:paraId="2ADD1D81">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生态环境保护与建设工程</w:t>
            </w:r>
          </w:p>
        </w:tc>
      </w:tr>
      <w:tr w14:paraId="709E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96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4CDC5F1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序号</w:t>
            </w:r>
          </w:p>
        </w:tc>
        <w:tc>
          <w:tcPr>
            <w:tcW w:w="1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083933">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项目名称</w:t>
            </w:r>
          </w:p>
        </w:tc>
        <w:tc>
          <w:tcPr>
            <w:tcW w:w="362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0EAF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主要内容</w:t>
            </w:r>
          </w:p>
        </w:tc>
        <w:tc>
          <w:tcPr>
            <w:tcW w:w="2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8722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负责单位</w:t>
            </w:r>
          </w:p>
        </w:tc>
        <w:tc>
          <w:tcPr>
            <w:tcW w:w="1064" w:type="dxa"/>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53B437E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完成情况</w:t>
            </w:r>
          </w:p>
        </w:tc>
      </w:tr>
      <w:tr w14:paraId="2229D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375A118E">
            <w:pPr>
              <w:jc w:val="center"/>
              <w:rPr>
                <w:rFonts w:hint="default" w:ascii="Times New Roman" w:hAnsi="Times New Roman" w:eastAsia="仿宋_GB2312" w:cs="Times New Roman"/>
                <w:i w:val="0"/>
                <w:iCs w:val="0"/>
                <w:color w:val="000000"/>
                <w:sz w:val="21"/>
                <w:szCs w:val="21"/>
                <w:highlight w:val="none"/>
                <w:u w:val="none"/>
              </w:rPr>
            </w:pPr>
          </w:p>
        </w:tc>
        <w:tc>
          <w:tcPr>
            <w:tcW w:w="1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01D66">
            <w:pPr>
              <w:jc w:val="center"/>
              <w:rPr>
                <w:rFonts w:hint="default" w:ascii="Times New Roman" w:hAnsi="Times New Roman" w:eastAsia="仿宋_GB2312" w:cs="Times New Roman"/>
                <w:i w:val="0"/>
                <w:iCs w:val="0"/>
                <w:color w:val="000000"/>
                <w:sz w:val="21"/>
                <w:szCs w:val="21"/>
                <w:highlight w:val="none"/>
                <w:u w:val="none"/>
              </w:rPr>
            </w:pPr>
          </w:p>
        </w:tc>
        <w:tc>
          <w:tcPr>
            <w:tcW w:w="362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87543">
            <w:pPr>
              <w:jc w:val="center"/>
              <w:rPr>
                <w:rFonts w:hint="default" w:ascii="Times New Roman" w:hAnsi="Times New Roman" w:eastAsia="仿宋_GB2312" w:cs="Times New Roman"/>
                <w:i w:val="0"/>
                <w:iCs w:val="0"/>
                <w:color w:val="000000"/>
                <w:sz w:val="21"/>
                <w:szCs w:val="21"/>
                <w:highlight w:val="none"/>
                <w:u w:val="none"/>
              </w:rPr>
            </w:pPr>
          </w:p>
        </w:tc>
        <w:tc>
          <w:tcPr>
            <w:tcW w:w="2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2EE1B">
            <w:pPr>
              <w:jc w:val="center"/>
              <w:rPr>
                <w:rFonts w:hint="default" w:ascii="Times New Roman" w:hAnsi="Times New Roman" w:eastAsia="仿宋_GB2312" w:cs="Times New Roman"/>
                <w:i w:val="0"/>
                <w:iCs w:val="0"/>
                <w:color w:val="000000"/>
                <w:sz w:val="21"/>
                <w:szCs w:val="21"/>
                <w:highlight w:val="none"/>
                <w:u w:val="none"/>
              </w:rPr>
            </w:pPr>
          </w:p>
        </w:tc>
        <w:tc>
          <w:tcPr>
            <w:tcW w:w="1064" w:type="dxa"/>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3A93084C">
            <w:pPr>
              <w:jc w:val="center"/>
              <w:rPr>
                <w:rFonts w:hint="default" w:ascii="Times New Roman" w:hAnsi="Times New Roman" w:eastAsia="仿宋_GB2312" w:cs="Times New Roman"/>
                <w:i w:val="0"/>
                <w:iCs w:val="0"/>
                <w:color w:val="000000"/>
                <w:sz w:val="21"/>
                <w:szCs w:val="21"/>
                <w:highlight w:val="none"/>
                <w:u w:val="none"/>
              </w:rPr>
            </w:pPr>
          </w:p>
        </w:tc>
      </w:tr>
      <w:tr w14:paraId="58410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2"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218D7E1">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37</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7068">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乡镇</w:t>
            </w:r>
            <w:r>
              <w:rPr>
                <w:rFonts w:hint="eastAsia" w:eastAsia="仿宋_GB2312" w:cs="Times New Roman"/>
                <w:i w:val="0"/>
                <w:iCs w:val="0"/>
                <w:color w:val="000000"/>
                <w:kern w:val="0"/>
                <w:sz w:val="21"/>
                <w:szCs w:val="21"/>
                <w:highlight w:val="none"/>
                <w:u w:val="none"/>
                <w:lang w:val="en-US" w:eastAsia="zh-CN" w:bidi="ar"/>
              </w:rPr>
              <w:t>地</w:t>
            </w:r>
            <w:r>
              <w:rPr>
                <w:rFonts w:hint="default" w:ascii="Times New Roman" w:hAnsi="Times New Roman" w:eastAsia="仿宋_GB2312" w:cs="Times New Roman"/>
                <w:i w:val="0"/>
                <w:iCs w:val="0"/>
                <w:color w:val="000000"/>
                <w:kern w:val="0"/>
                <w:sz w:val="21"/>
                <w:szCs w:val="21"/>
                <w:highlight w:val="none"/>
                <w:u w:val="none"/>
                <w:lang w:val="en-US" w:eastAsia="zh-CN" w:bidi="ar"/>
              </w:rPr>
              <w:t>绿化美化工程管理费用</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B66CD">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统筹清溪镇的绿化美化规划及实施</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7BDC">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镇公用事业服务中心、镇环保分局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5AC31F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3CF52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4"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14F89B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38</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A6F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清溪镇公园建设和重点生态目标保护</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D2897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新建石马河生态公园、九乡公园、清溪湖公园、体育公园、青湖公园、土桥文化公园、香山公园，扩建清溪生态农业产业园、石壁山公园、中心公园，完善现有清溪森林公园和山水天地森林公园建设；对清溪镇内珍稀动植物和古树古木进行规划保护，筹建生态保护区</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AB25">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镇公用事业服务中心、镇环保分局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556205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75134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675E3174">
            <w:pPr>
              <w:keepNext w:val="0"/>
              <w:keepLines w:val="0"/>
              <w:widowControl/>
              <w:suppressLineNumbers w:val="0"/>
              <w:jc w:val="center"/>
              <w:textAlignment w:val="top"/>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39</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F452">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绿色通道及两侧山地绿化工程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427AE">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沿镇区河道建设滨水绿地或湿地及两侧山地绿化</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C1387">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镇农林水务办、镇环保分局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9B18AE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5F0DD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8CCB9F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40</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F8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生态示范村建设工程</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8486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建设5个生态示范村</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584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EF56EE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tr w14:paraId="477AB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4B65D5F5">
            <w:pPr>
              <w:keepNext w:val="0"/>
              <w:keepLines w:val="0"/>
              <w:widowControl/>
              <w:suppressLineNumbers w:val="0"/>
              <w:jc w:val="center"/>
              <w:textAlignment w:val="top"/>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41</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199A">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生态文明建设规划和生态资产评估</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0D5BB">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编制清溪镇生态文明建设规划和生态资产评估报告</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51E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top"/>
          </w:tcPr>
          <w:p w14:paraId="7BBA9D59">
            <w:pPr>
              <w:keepNext w:val="0"/>
              <w:keepLines w:val="0"/>
              <w:widowControl/>
              <w:suppressLineNumbers w:val="0"/>
              <w:jc w:val="center"/>
              <w:textAlignment w:val="top"/>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w:t>
            </w:r>
          </w:p>
        </w:tc>
      </w:tr>
      <w:tr w14:paraId="64CA6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top"/>
          </w:tcPr>
          <w:p w14:paraId="6DA81171">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九</w:t>
            </w:r>
          </w:p>
        </w:tc>
        <w:tc>
          <w:tcPr>
            <w:tcW w:w="8765" w:type="dxa"/>
            <w:gridSpan w:val="5"/>
            <w:tcBorders>
              <w:top w:val="single" w:color="000000" w:sz="4" w:space="0"/>
              <w:left w:val="single" w:color="000000" w:sz="4" w:space="0"/>
              <w:bottom w:val="single" w:color="000000" w:sz="4" w:space="0"/>
              <w:right w:val="single" w:color="000000" w:sz="8" w:space="0"/>
            </w:tcBorders>
            <w:shd w:val="clear" w:color="auto" w:fill="auto"/>
            <w:vAlign w:val="top"/>
          </w:tcPr>
          <w:p w14:paraId="06BBF700">
            <w:pPr>
              <w:keepNext w:val="0"/>
              <w:keepLines w:val="0"/>
              <w:widowControl/>
              <w:suppressLineNumbers w:val="0"/>
              <w:jc w:val="center"/>
              <w:textAlignment w:val="top"/>
              <w:rPr>
                <w:rFonts w:hint="default" w:ascii="Times New Roman" w:hAnsi="Times New Roman" w:eastAsia="仿宋_GB2312" w:cs="Times New Roman"/>
                <w:b/>
                <w:bCs/>
                <w:i w:val="0"/>
                <w:iCs w:val="0"/>
                <w:color w:val="000000"/>
                <w:sz w:val="21"/>
                <w:szCs w:val="21"/>
                <w:highlight w:val="none"/>
                <w:u w:val="none"/>
              </w:rPr>
            </w:pPr>
            <w:r>
              <w:rPr>
                <w:rStyle w:val="76"/>
                <w:rFonts w:hint="default" w:ascii="Times New Roman" w:hAnsi="Times New Roman" w:eastAsia="仿宋_GB2312" w:cs="Times New Roman"/>
                <w:highlight w:val="none"/>
                <w:lang w:val="en-US" w:eastAsia="zh-CN" w:bidi="ar"/>
              </w:rPr>
              <w:t>环境管理能力建设</w:t>
            </w:r>
          </w:p>
        </w:tc>
      </w:tr>
      <w:tr w14:paraId="718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A24817A">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序号</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0FD1">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项目名称</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7333F">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主要内容</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008F">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负责单位</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9EE74E6">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sz w:val="21"/>
                <w:szCs w:val="21"/>
                <w:highlight w:val="none"/>
                <w:u w:val="none"/>
              </w:rPr>
            </w:pPr>
            <w:r>
              <w:rPr>
                <w:rFonts w:hint="default" w:ascii="Times New Roman" w:hAnsi="Times New Roman" w:eastAsia="仿宋_GB2312" w:cs="Times New Roman"/>
                <w:b/>
                <w:bCs/>
                <w:i w:val="0"/>
                <w:iCs w:val="0"/>
                <w:color w:val="000000"/>
                <w:kern w:val="0"/>
                <w:sz w:val="21"/>
                <w:szCs w:val="21"/>
                <w:highlight w:val="none"/>
                <w:u w:val="none"/>
                <w:lang w:val="en-US" w:eastAsia="zh-CN" w:bidi="ar"/>
              </w:rPr>
              <w:t>完成情况</w:t>
            </w:r>
          </w:p>
        </w:tc>
      </w:tr>
      <w:tr w14:paraId="4DD39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jc w:val="center"/>
        </w:trPr>
        <w:tc>
          <w:tcPr>
            <w:tcW w:w="96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1FCE34">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42</w:t>
            </w:r>
          </w:p>
        </w:tc>
        <w:tc>
          <w:tcPr>
            <w:tcW w:w="19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D07F">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镇区基本环境监测能力建设</w:t>
            </w:r>
          </w:p>
        </w:tc>
        <w:tc>
          <w:tcPr>
            <w:tcW w:w="36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6E8A9">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建设具备基本监测能力的监测站</w:t>
            </w:r>
          </w:p>
        </w:tc>
        <w:tc>
          <w:tcPr>
            <w:tcW w:w="2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F0C6">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镇环保分局</w:t>
            </w:r>
          </w:p>
        </w:tc>
        <w:tc>
          <w:tcPr>
            <w:tcW w:w="1064"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E4C7D90">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highlight w:val="none"/>
                <w:u w:val="none"/>
              </w:rPr>
            </w:pPr>
            <w:r>
              <w:rPr>
                <w:rFonts w:hint="default" w:ascii="Times New Roman" w:hAnsi="Times New Roman" w:eastAsia="仿宋_GB2312" w:cs="Times New Roman"/>
                <w:i w:val="0"/>
                <w:iCs w:val="0"/>
                <w:color w:val="000000"/>
                <w:kern w:val="0"/>
                <w:sz w:val="21"/>
                <w:szCs w:val="21"/>
                <w:highlight w:val="none"/>
                <w:u w:val="none"/>
                <w:lang w:val="en-US" w:eastAsia="zh-CN" w:bidi="ar"/>
              </w:rPr>
              <w:t>已完成</w:t>
            </w:r>
          </w:p>
        </w:tc>
      </w:tr>
      <w:bookmarkEnd w:id="23"/>
      <w:bookmarkEnd w:id="24"/>
      <w:bookmarkEnd w:id="25"/>
      <w:bookmarkEnd w:id="26"/>
    </w:tbl>
    <w:p w14:paraId="47E1449C">
      <w:pPr>
        <w:keepNext/>
        <w:keepLines/>
        <w:numPr>
          <w:ilvl w:val="0"/>
          <w:numId w:val="3"/>
        </w:numPr>
        <w:spacing w:before="435" w:beforeLines="100" w:after="108" w:afterLines="25"/>
        <w:ind w:firstLine="0" w:firstLineChars="0"/>
        <w:jc w:val="center"/>
        <w:outlineLvl w:val="1"/>
        <w:rPr>
          <w:rFonts w:hint="eastAsia" w:eastAsia="楷体_GB2312" w:cs="Times New Roman"/>
          <w:b/>
          <w:bCs/>
          <w:snapToGrid w:val="0"/>
          <w:kern w:val="0"/>
          <w:sz w:val="32"/>
          <w:szCs w:val="32"/>
          <w:highlight w:val="none"/>
          <w:lang w:val="en-US" w:eastAsia="zh-CN"/>
        </w:rPr>
      </w:pPr>
      <w:bookmarkStart w:id="27" w:name="_Toc21847"/>
      <w:bookmarkStart w:id="28" w:name="_Toc7921"/>
      <w:r>
        <w:rPr>
          <w:rFonts w:hint="eastAsia" w:eastAsia="楷体_GB2312" w:cs="Times New Roman"/>
          <w:b/>
          <w:bCs/>
          <w:snapToGrid w:val="0"/>
          <w:kern w:val="0"/>
          <w:sz w:val="32"/>
          <w:szCs w:val="32"/>
          <w:highlight w:val="none"/>
          <w:lang w:val="en-US" w:eastAsia="zh-CN"/>
        </w:rPr>
        <w:t>2021-2023年工作进展</w:t>
      </w:r>
      <w:bookmarkEnd w:id="27"/>
      <w:bookmarkEnd w:id="28"/>
    </w:p>
    <w:p w14:paraId="5148A509">
      <w:pPr>
        <w:keepNext w:val="0"/>
        <w:keepLines w:val="0"/>
        <w:spacing w:before="0" w:beforeLines="-2147483648" w:after="0" w:afterLines="-2147483648" w:line="360" w:lineRule="auto"/>
        <w:ind w:firstLine="640" w:firstLineChars="200"/>
        <w:jc w:val="left"/>
        <w:outlineLvl w:val="9"/>
        <w:rPr>
          <w:rFonts w:hint="default" w:eastAsia="仿宋_GB2312"/>
          <w:b w:val="0"/>
          <w:bCs/>
          <w:sz w:val="32"/>
          <w:szCs w:val="32"/>
          <w:highlight w:val="none"/>
        </w:rPr>
      </w:pPr>
      <w:r>
        <w:rPr>
          <w:rFonts w:hint="default" w:eastAsia="仿宋_GB2312"/>
          <w:b w:val="0"/>
          <w:bCs/>
          <w:sz w:val="32"/>
          <w:szCs w:val="32"/>
          <w:highlight w:val="none"/>
        </w:rPr>
        <w:t>2021年，清溪镇突出优先排污口截污、工业排污整治、面源污染防治、截污管网通水、加强监管执法“五个优先”行动，建成897.2公里截污管网并通水，完成197个非工业区地块、1521家工业厂房雨污分流改造、1562个排污口整治及2家污水处理厂提标工程，在全市率先建立“1+3”生态环境保护长效机制，运行环保在线监控平台，全面落实镇村组三级“河长制”。生态文旅增添底蕴。推进石马河干流清溪段防洪景观提升碧道工程，完成清溪大道、清溪河上游、清溪银瓶山森林公园入园道路等景观提升工程以及11.68公里碧道建设，被认定一条“广东省森林旅游特色线路”，成功创建“广东省全域旅游示范区”，获评广东省森林小镇、广东十大绿美森林小镇、国家森林乡村。开展美丽宜居村、特色精品村建设，推动长山头、罗马打造特色连片美丽幸福村居、大埔和大利打造都市精品农业示范点、荔横打造“洁净城市”示范村、三中村打造生态宜居示范点，完成52个精致街头小景和6个口袋公园改造工程。加强环境卫生治理，罗马垃圾填埋场完成封场整治，罗马大型生活垃圾转运站建成投用，全镇新增生活垃圾全部外运焚烧处理，镇级厨余垃圾处理中心正式运营；创新实施“城管工作站+网格化保洁”“30分钟垃圾处理机制”“路（巷）长+管养公司制”，大力推进“厕所革命”和生活垃圾分类，新建和升级精品公厕30座，“1+1”示范片区内垃圾分类设施系统建设基本到位。</w:t>
      </w:r>
    </w:p>
    <w:p w14:paraId="7147220C">
      <w:pPr>
        <w:keepNext w:val="0"/>
        <w:keepLines w:val="0"/>
        <w:spacing w:before="0" w:beforeLines="-2147483648" w:after="0" w:afterLines="-2147483648" w:line="360" w:lineRule="auto"/>
        <w:ind w:firstLine="640" w:firstLineChars="200"/>
        <w:jc w:val="left"/>
        <w:outlineLvl w:val="9"/>
        <w:rPr>
          <w:rFonts w:hint="default" w:eastAsia="仿宋_GB2312"/>
          <w:b w:val="0"/>
          <w:bCs/>
          <w:sz w:val="32"/>
          <w:szCs w:val="32"/>
          <w:highlight w:val="none"/>
        </w:rPr>
      </w:pPr>
      <w:r>
        <w:rPr>
          <w:rFonts w:hint="default" w:eastAsia="仿宋_GB2312"/>
          <w:b w:val="0"/>
          <w:bCs/>
          <w:sz w:val="32"/>
          <w:szCs w:val="32"/>
          <w:highlight w:val="none"/>
        </w:rPr>
        <w:t>2022年清溪镇厦坭污水处理厂二期项目顺利动工，完成市定</w:t>
      </w:r>
      <w:r>
        <w:rPr>
          <w:rFonts w:hint="eastAsia" w:eastAsia="仿宋_GB2312"/>
          <w:b w:val="0"/>
          <w:bCs/>
          <w:sz w:val="32"/>
          <w:szCs w:val="32"/>
          <w:highlight w:val="none"/>
          <w:lang w:val="en-US" w:eastAsia="zh-CN"/>
        </w:rPr>
        <w:t>内河涌</w:t>
      </w:r>
      <w:r>
        <w:rPr>
          <w:rFonts w:hint="default" w:eastAsia="仿宋_GB2312"/>
          <w:b w:val="0"/>
          <w:bCs/>
          <w:sz w:val="32"/>
          <w:szCs w:val="32"/>
          <w:highlight w:val="none"/>
        </w:rPr>
        <w:t>水质任务目标，空气优良天数达到332天，生态环境持续改善。顺利通过国家卫生镇复审，成功创建“广东省园林城镇”，建成松岗松柏墩公园、荔横路滨河公园等12个口袋公园，完成清林路交通岛、清溪湖高速出入口等9个街头小景的改造建设。新建12座城市服务驿站</w:t>
      </w:r>
      <w:r>
        <w:rPr>
          <w:rFonts w:hint="eastAsia" w:eastAsia="仿宋_GB2312"/>
          <w:b w:val="0"/>
          <w:bCs/>
          <w:sz w:val="32"/>
          <w:szCs w:val="32"/>
          <w:highlight w:val="none"/>
          <w:lang w:eastAsia="zh-CN"/>
        </w:rPr>
        <w:t>，让</w:t>
      </w:r>
      <w:r>
        <w:rPr>
          <w:rFonts w:hint="default" w:eastAsia="仿宋_GB2312"/>
          <w:b w:val="0"/>
          <w:bCs/>
          <w:sz w:val="32"/>
          <w:szCs w:val="32"/>
          <w:highlight w:val="none"/>
        </w:rPr>
        <w:t>城市更有温度。统筹推进农村人居环境整治和美丽圩镇建设，19个村（社区）达到“示范圩镇”标准，美丽宜居村创建率达100%。</w:t>
      </w:r>
    </w:p>
    <w:p w14:paraId="179D1396">
      <w:pPr>
        <w:keepNext w:val="0"/>
        <w:keepLines w:val="0"/>
        <w:spacing w:before="0" w:beforeLines="-2147483648" w:after="0" w:afterLines="-2147483648" w:line="360" w:lineRule="auto"/>
        <w:ind w:firstLine="640" w:firstLineChars="200"/>
        <w:jc w:val="left"/>
        <w:outlineLvl w:val="9"/>
        <w:rPr>
          <w:rFonts w:hint="default" w:eastAsia="仿宋_GB2312"/>
          <w:b w:val="0"/>
          <w:bCs/>
          <w:sz w:val="32"/>
          <w:szCs w:val="32"/>
          <w:highlight w:val="none"/>
          <w:lang w:val="en-US" w:eastAsia="zh-CN"/>
        </w:rPr>
      </w:pPr>
      <w:r>
        <w:rPr>
          <w:rFonts w:hint="default" w:eastAsia="仿宋_GB2312"/>
          <w:b w:val="0"/>
          <w:bCs/>
          <w:sz w:val="32"/>
          <w:szCs w:val="32"/>
          <w:highlight w:val="none"/>
        </w:rPr>
        <w:t>2023年清溪镇全面落实中央生态环境保护督察整改任务，厦坭污水处理厂二期工程完成主体结构，完成6.5公里清溪湖碧道提升，清溪水获评“东莞市美丽河湖”，全年空气质量优良天数比例达96</w:t>
      </w:r>
      <w:r>
        <w:rPr>
          <w:rFonts w:hint="eastAsia" w:eastAsia="仿宋_GB2312"/>
          <w:b w:val="0"/>
          <w:bCs/>
          <w:sz w:val="32"/>
          <w:szCs w:val="32"/>
          <w:highlight w:val="none"/>
          <w:lang w:val="en-US" w:eastAsia="zh-CN"/>
        </w:rPr>
        <w:t>.0</w:t>
      </w:r>
      <w:r>
        <w:rPr>
          <w:rFonts w:hint="default" w:eastAsia="仿宋_GB2312"/>
          <w:b w:val="0"/>
          <w:bCs/>
          <w:sz w:val="32"/>
          <w:szCs w:val="32"/>
          <w:highlight w:val="none"/>
        </w:rPr>
        <w:t>%，综合指数连续多年稳居全市第一。农村人居环境全面提升。突出完成美丽圩镇“七个一”建设，示范带动全镇人居环境提升，19个村（社区）达到“示范圩镇”标准，美丽宜居村创建率达100%。认真抓好省农房建设试点工作，完成农房风貌提升84栋，“微改造”存量农房420户。聚焦乡镇建设及和美乡村工作重点，建成1条垃圾分类精品示范路线，打造全市首个垃圾分类智能化投放点。绿美生态建设全面推进。投资5138万元高标准打造大王山森林公园绿美广东生态建设示范点，大王山古树群入选全国“双百”古树名单。精准推动森林生态提质增效，完成5408亩林分优化、3101亩森林抚育硬任务，完成全镇587株古树名木精准监测和复壮养护。</w:t>
      </w:r>
    </w:p>
    <w:p w14:paraId="510AB2CE">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lang w:val="en-US" w:eastAsia="zh-CN"/>
        </w:rPr>
      </w:pPr>
      <w:bookmarkStart w:id="29" w:name="_Toc11245"/>
      <w:bookmarkStart w:id="30" w:name="_Toc99"/>
      <w:bookmarkStart w:id="31" w:name="_Toc8735"/>
      <w:bookmarkStart w:id="32" w:name="_Toc6507"/>
      <w:bookmarkStart w:id="33" w:name="_Toc9476"/>
      <w:bookmarkStart w:id="34" w:name="_Toc32330"/>
      <w:bookmarkStart w:id="35" w:name="_Toc9731"/>
      <w:bookmarkStart w:id="36" w:name="_Toc19093"/>
      <w:bookmarkStart w:id="37" w:name="_Toc6675"/>
      <w:bookmarkStart w:id="38" w:name="_Toc5019"/>
      <w:r>
        <w:rPr>
          <w:rFonts w:hint="default" w:ascii="Times New Roman" w:hAnsi="Times New Roman" w:eastAsia="楷体_GB2312" w:cs="Times New Roman"/>
          <w:b/>
          <w:bCs/>
          <w:snapToGrid w:val="0"/>
          <w:kern w:val="0"/>
          <w:sz w:val="32"/>
          <w:szCs w:val="32"/>
          <w:highlight w:val="none"/>
          <w:lang w:val="en-US" w:eastAsia="zh-CN"/>
        </w:rPr>
        <w:t xml:space="preserve">第三节 </w:t>
      </w:r>
      <w:r>
        <w:rPr>
          <w:rFonts w:hint="default" w:eastAsia="楷体_GB2312"/>
          <w:b/>
          <w:bCs/>
          <w:snapToGrid w:val="0"/>
          <w:kern w:val="0"/>
          <w:sz w:val="32"/>
          <w:szCs w:val="32"/>
          <w:highlight w:val="none"/>
        </w:rPr>
        <w:t>锚定美丽中国</w:t>
      </w:r>
      <w:r>
        <w:rPr>
          <w:rFonts w:hint="eastAsia" w:eastAsia="楷体_GB2312"/>
          <w:b/>
          <w:bCs/>
          <w:snapToGrid w:val="0"/>
          <w:kern w:val="0"/>
          <w:sz w:val="32"/>
          <w:szCs w:val="32"/>
          <w:highlight w:val="none"/>
          <w:lang w:eastAsia="zh-CN"/>
        </w:rPr>
        <w:t>，</w:t>
      </w:r>
      <w:r>
        <w:rPr>
          <w:rFonts w:hint="default" w:ascii="Times New Roman" w:hAnsi="Times New Roman" w:eastAsia="楷体_GB2312" w:cs="Times New Roman"/>
          <w:b/>
          <w:bCs/>
          <w:snapToGrid w:val="0"/>
          <w:kern w:val="0"/>
          <w:sz w:val="32"/>
          <w:szCs w:val="32"/>
          <w:highlight w:val="none"/>
          <w:lang w:val="en-US" w:eastAsia="zh-CN"/>
        </w:rPr>
        <w:t>美丽清溪建设任重道远</w:t>
      </w:r>
      <w:bookmarkEnd w:id="29"/>
      <w:bookmarkEnd w:id="30"/>
      <w:bookmarkEnd w:id="31"/>
      <w:bookmarkEnd w:id="32"/>
      <w:bookmarkEnd w:id="33"/>
      <w:bookmarkEnd w:id="34"/>
      <w:bookmarkEnd w:id="35"/>
      <w:bookmarkEnd w:id="36"/>
      <w:bookmarkEnd w:id="37"/>
      <w:bookmarkEnd w:id="38"/>
    </w:p>
    <w:p w14:paraId="4F98F51D">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rPr>
      </w:pPr>
      <w:r>
        <w:rPr>
          <w:rFonts w:hint="eastAsia" w:ascii="黑体" w:hAnsi="黑体" w:eastAsia="黑体" w:cs="黑体"/>
          <w:b w:val="0"/>
          <w:bCs/>
          <w:highlight w:val="none"/>
          <w:lang w:val="en-US" w:eastAsia="zh-CN"/>
        </w:rPr>
        <w:t>一、</w:t>
      </w:r>
      <w:r>
        <w:rPr>
          <w:rFonts w:hint="eastAsia" w:ascii="黑体" w:hAnsi="黑体" w:eastAsia="黑体" w:cs="黑体"/>
          <w:b w:val="0"/>
          <w:highlight w:val="none"/>
        </w:rPr>
        <w:t>深刻领会美丽中国战略部署</w:t>
      </w:r>
    </w:p>
    <w:p w14:paraId="28B4CC4E">
      <w:pPr>
        <w:pageBreakBefore w:val="0"/>
        <w:kinsoku/>
        <w:wordWrap/>
        <w:bidi w:val="0"/>
        <w:spacing w:line="360" w:lineRule="auto"/>
        <w:ind w:firstLine="640" w:firstLineChars="200"/>
        <w:rPr>
          <w:rFonts w:hint="eastAsia" w:eastAsia="仿宋_GB2312"/>
          <w:bCs/>
          <w:sz w:val="32"/>
          <w:szCs w:val="32"/>
          <w:highlight w:val="none"/>
        </w:rPr>
      </w:pPr>
      <w:r>
        <w:rPr>
          <w:rFonts w:hint="eastAsia" w:eastAsia="仿宋_GB2312"/>
          <w:bCs/>
          <w:sz w:val="32"/>
          <w:szCs w:val="32"/>
          <w:highlight w:val="none"/>
        </w:rPr>
        <w:t>党的十八大以来，以习近平同志为核心的党中央把生态文明建设作为关系中华民族永续发展的根本大计，开展了一系列开创性工作，美丽中国建设迈出重大步伐。党的二十大报告明确提出，以中国式现代化全面推进中华民族伟大复兴。中央经济工作会议强调，必须把推进中国式现代化作为最大的政治。人与自然和谐共生是中国式现代化的本质要求之一。</w:t>
      </w:r>
    </w:p>
    <w:p w14:paraId="1DFD0BE3">
      <w:pPr>
        <w:pageBreakBefore w:val="0"/>
        <w:kinsoku/>
        <w:wordWrap/>
        <w:bidi w:val="0"/>
        <w:spacing w:line="360" w:lineRule="auto"/>
        <w:ind w:firstLine="640" w:firstLineChars="200"/>
        <w:rPr>
          <w:rFonts w:hint="eastAsia" w:eastAsia="仿宋_GB2312"/>
          <w:bCs/>
          <w:sz w:val="32"/>
          <w:szCs w:val="32"/>
          <w:highlight w:val="none"/>
        </w:rPr>
      </w:pPr>
      <w:r>
        <w:rPr>
          <w:rFonts w:hint="eastAsia" w:eastAsia="仿宋_GB2312"/>
          <w:bCs/>
          <w:sz w:val="32"/>
          <w:szCs w:val="32"/>
          <w:highlight w:val="none"/>
        </w:rPr>
        <w:t>全国生态环境保护大会强调</w:t>
      </w:r>
      <w:r>
        <w:rPr>
          <w:rFonts w:hint="eastAsia" w:eastAsia="仿宋_GB2312"/>
          <w:bCs/>
          <w:sz w:val="32"/>
          <w:szCs w:val="32"/>
          <w:highlight w:val="none"/>
          <w:lang w:eastAsia="zh-CN"/>
        </w:rPr>
        <w:t>，</w:t>
      </w:r>
      <w:r>
        <w:rPr>
          <w:rFonts w:hint="eastAsia" w:eastAsia="仿宋_GB2312"/>
          <w:bCs/>
          <w:sz w:val="32"/>
          <w:szCs w:val="32"/>
          <w:highlight w:val="none"/>
        </w:rPr>
        <w:t>今后5年是美丽中国建设的重要时期，要深入贯彻</w:t>
      </w:r>
      <w:r>
        <w:rPr>
          <w:rFonts w:hint="eastAsia" w:eastAsia="仿宋_GB2312"/>
          <w:bCs/>
          <w:sz w:val="32"/>
          <w:szCs w:val="32"/>
          <w:highlight w:val="none"/>
          <w:lang w:eastAsia="zh-CN"/>
        </w:rPr>
        <w:t>习近平</w:t>
      </w:r>
      <w:r>
        <w:rPr>
          <w:rFonts w:hint="eastAsia" w:eastAsia="仿宋_GB2312"/>
          <w:bCs/>
          <w:sz w:val="32"/>
          <w:szCs w:val="32"/>
          <w:highlight w:val="none"/>
        </w:rPr>
        <w:t>生态文明思想，坚持以人民为中心，牢固树立和践行绿水青山就是金山银山的理念，把建设美丽中国摆在强国建设、民族复兴的突出位置，推动城乡人居环境明显改善、美丽中国建设取得显著成效，以高品质生态环境支撑高质量发展，加快推进人与自然和谐共生的现代化。</w:t>
      </w:r>
    </w:p>
    <w:p w14:paraId="25B874CC">
      <w:pPr>
        <w:pageBreakBefore w:val="0"/>
        <w:kinsoku/>
        <w:wordWrap/>
        <w:bidi w:val="0"/>
        <w:spacing w:line="360" w:lineRule="auto"/>
        <w:ind w:firstLine="640" w:firstLineChars="200"/>
        <w:rPr>
          <w:rFonts w:hint="default" w:eastAsia="仿宋_GB2312"/>
          <w:bCs/>
          <w:sz w:val="32"/>
          <w:szCs w:val="32"/>
          <w:highlight w:val="none"/>
        </w:rPr>
      </w:pPr>
      <w:r>
        <w:rPr>
          <w:rFonts w:hint="default" w:eastAsia="仿宋_GB2312"/>
          <w:b w:val="0"/>
          <w:bCs/>
          <w:sz w:val="32"/>
          <w:szCs w:val="32"/>
          <w:highlight w:val="none"/>
        </w:rPr>
        <w:t>《中共中央、国务院关于全面推进美丽中国建设的意见》</w:t>
      </w:r>
      <w:r>
        <w:rPr>
          <w:rFonts w:hint="eastAsia" w:eastAsia="仿宋_GB2312"/>
          <w:b w:val="0"/>
          <w:bCs/>
          <w:sz w:val="32"/>
          <w:szCs w:val="32"/>
          <w:highlight w:val="none"/>
          <w:lang w:eastAsia="zh-CN"/>
        </w:rPr>
        <w:t>（</w:t>
      </w:r>
      <w:r>
        <w:rPr>
          <w:rFonts w:hint="eastAsia" w:eastAsia="仿宋_GB2312"/>
          <w:b w:val="0"/>
          <w:bCs/>
          <w:sz w:val="32"/>
          <w:szCs w:val="32"/>
          <w:highlight w:val="none"/>
          <w:lang w:val="en-US" w:eastAsia="zh-CN"/>
        </w:rPr>
        <w:t>以下简称《意见》</w:t>
      </w:r>
      <w:r>
        <w:rPr>
          <w:rFonts w:hint="eastAsia" w:eastAsia="仿宋_GB2312"/>
          <w:b w:val="0"/>
          <w:bCs/>
          <w:sz w:val="32"/>
          <w:szCs w:val="32"/>
          <w:highlight w:val="none"/>
          <w:lang w:eastAsia="zh-CN"/>
        </w:rPr>
        <w:t>），</w:t>
      </w:r>
      <w:r>
        <w:rPr>
          <w:rFonts w:hint="default" w:eastAsia="仿宋_GB2312"/>
          <w:b w:val="0"/>
          <w:bCs/>
          <w:sz w:val="32"/>
          <w:szCs w:val="32"/>
          <w:highlight w:val="none"/>
        </w:rPr>
        <w:t>将建设美丽中国作为全面建设社会主义现代化国家的重要目标，对美丽中国建设的目标路径、重点任务和重大政策提出了细化方案。</w:t>
      </w:r>
      <w:r>
        <w:rPr>
          <w:rFonts w:hint="default" w:eastAsia="仿宋_GB2312"/>
          <w:bCs/>
          <w:sz w:val="32"/>
          <w:szCs w:val="32"/>
          <w:highlight w:val="none"/>
        </w:rPr>
        <w:t>《意见》共包含10个方面33条，明确了分三个阶段全面建成美丽中国，分别是到2027年美丽中国建设成效显著，到2035年美丽中国目标基本实现，到本世纪中叶美丽中国全面建成。主要目标是：到2027年，绿色低碳发展深入推进，主要污染物排放总量持续减少，生态环境质量持续提升，国土空间开发保护格局得到优化。到2035年，广泛形成绿色生产生活方式，碳排放达峰后稳中有降，生态环境根本好转，国土空间开发保护新格局全面形成。展望本世纪中叶，生态文明全面提升，绿色发展方式和生活方式全面形成，重点领域实现深度脱碳，生态环境健康优美。《意见》系统提出了加快发展方式绿色转型、推进污染防治攻坚、提升生态系统多样性稳定性和持续性、守牢美丽中国建设安全底线、打造美丽中国建设示范样板、开展美丽中国建设全民行动、健全美丽中国建设保障体系7个方面的重点任务。</w:t>
      </w:r>
    </w:p>
    <w:p w14:paraId="2BB9BDE2">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rPr>
      </w:pPr>
      <w:r>
        <w:rPr>
          <w:rFonts w:hint="eastAsia" w:ascii="黑体" w:hAnsi="黑体" w:eastAsia="黑体" w:cs="黑体"/>
          <w:b w:val="0"/>
          <w:bCs/>
          <w:highlight w:val="none"/>
          <w:lang w:val="en-US" w:eastAsia="zh-CN"/>
        </w:rPr>
        <w:t>二、</w:t>
      </w:r>
      <w:r>
        <w:rPr>
          <w:rFonts w:hint="eastAsia" w:ascii="黑体" w:hAnsi="黑体" w:eastAsia="黑体" w:cs="黑体"/>
          <w:b w:val="0"/>
          <w:bCs/>
          <w:highlight w:val="none"/>
        </w:rPr>
        <w:t>坚决扛起政治责任，全面推进美丽</w:t>
      </w:r>
      <w:r>
        <w:rPr>
          <w:rFonts w:hint="eastAsia" w:ascii="黑体" w:hAnsi="黑体" w:eastAsia="黑体" w:cs="黑体"/>
          <w:b w:val="0"/>
          <w:bCs/>
          <w:highlight w:val="none"/>
          <w:lang w:val="en-US" w:eastAsia="zh-CN"/>
        </w:rPr>
        <w:t>清溪</w:t>
      </w:r>
      <w:r>
        <w:rPr>
          <w:rFonts w:hint="eastAsia" w:ascii="黑体" w:hAnsi="黑体" w:eastAsia="黑体" w:cs="黑体"/>
          <w:b w:val="0"/>
          <w:bCs/>
          <w:highlight w:val="none"/>
        </w:rPr>
        <w:t>建设</w:t>
      </w:r>
    </w:p>
    <w:p w14:paraId="18984FCC">
      <w:pPr>
        <w:pageBreakBefore w:val="0"/>
        <w:kinsoku/>
        <w:wordWrap/>
        <w:bidi w:val="0"/>
        <w:spacing w:line="360" w:lineRule="auto"/>
        <w:ind w:firstLine="640" w:firstLineChars="200"/>
        <w:rPr>
          <w:rFonts w:hint="eastAsia" w:eastAsia="仿宋_GB2312"/>
          <w:bCs/>
          <w:sz w:val="32"/>
          <w:szCs w:val="32"/>
          <w:highlight w:val="none"/>
        </w:rPr>
      </w:pPr>
      <w:r>
        <w:rPr>
          <w:rFonts w:hint="eastAsia" w:eastAsia="仿宋_GB2312"/>
          <w:bCs/>
          <w:sz w:val="32"/>
          <w:szCs w:val="32"/>
          <w:highlight w:val="none"/>
          <w:lang w:val="en-US" w:eastAsia="zh-CN"/>
        </w:rPr>
        <w:t>广东</w:t>
      </w:r>
      <w:r>
        <w:rPr>
          <w:rFonts w:hint="eastAsia" w:eastAsia="仿宋_GB2312"/>
          <w:bCs/>
          <w:sz w:val="32"/>
          <w:szCs w:val="32"/>
          <w:highlight w:val="none"/>
        </w:rPr>
        <w:t>省锚定“走在前列”总目标和高质量发展首要任务，全面落实省委“1310”具体部署，以绿美广东生态建设为引领，持续深入打好污染防治攻坚战，协同推进降碳减污扩绿增长，以高水平保护促进高质量发展。对标美丽中国先行区的目标要求，全面深化粤港澳生态环境保护工作，携手推动国际一流美丽湾区建设取得更大进展。一方面，创新谋划共建美丽湾区合作路径。在美丽蓝天、美丽河湖、美丽海湾、美丽城市、美丽乡村、美丽园区等多维度开展示范建设。另一方面，创新推动重点领域规则衔接、机制对接。聚焦大气污染联防联控、海洋环境保护、应对气候变化、固体废物协同处置等重点领域，推动联合发布大湾区空气质量健康指数（AQHI）等。另外</w:t>
      </w:r>
      <w:r>
        <w:rPr>
          <w:rFonts w:hint="eastAsia" w:eastAsia="仿宋_GB2312"/>
          <w:bCs/>
          <w:sz w:val="32"/>
          <w:szCs w:val="32"/>
          <w:highlight w:val="none"/>
          <w:lang w:eastAsia="zh-CN"/>
        </w:rPr>
        <w:t>，</w:t>
      </w:r>
      <w:r>
        <w:rPr>
          <w:rFonts w:hint="eastAsia" w:eastAsia="仿宋_GB2312"/>
          <w:bCs/>
          <w:sz w:val="32"/>
          <w:szCs w:val="32"/>
          <w:highlight w:val="none"/>
        </w:rPr>
        <w:t>创新推动重大战略平台示范先行。以横琴、前海、南沙等重大合作平台为载体，率先探索试行与国际接轨的生态环境管理体系、标准体系和合作模式。</w:t>
      </w:r>
    </w:p>
    <w:p w14:paraId="7B4DEA50">
      <w:pPr>
        <w:pageBreakBefore w:val="0"/>
        <w:kinsoku/>
        <w:wordWrap/>
        <w:bidi w:val="0"/>
        <w:spacing w:line="360" w:lineRule="auto"/>
        <w:ind w:firstLine="640" w:firstLineChars="200"/>
        <w:rPr>
          <w:rFonts w:hint="default" w:eastAsia="仿宋_GB2312"/>
          <w:b w:val="0"/>
          <w:bCs/>
          <w:sz w:val="32"/>
          <w:szCs w:val="32"/>
          <w:highlight w:val="none"/>
        </w:rPr>
      </w:pPr>
      <w:r>
        <w:rPr>
          <w:rFonts w:hint="eastAsia" w:eastAsia="仿宋_GB2312"/>
          <w:bCs/>
          <w:sz w:val="32"/>
          <w:szCs w:val="32"/>
          <w:highlight w:val="none"/>
          <w:lang w:val="en-US" w:eastAsia="zh-CN"/>
        </w:rPr>
        <w:t>东莞市</w:t>
      </w:r>
      <w:r>
        <w:rPr>
          <w:rFonts w:hint="default" w:eastAsia="仿宋_GB2312"/>
          <w:bCs/>
          <w:sz w:val="32"/>
          <w:szCs w:val="32"/>
          <w:highlight w:val="none"/>
        </w:rPr>
        <w:t>深入贯彻落实国家、省全面推进美丽中国、美丽广东建设的决策部署，系统谋划推进美丽东莞建设，研究探索开展美丽城镇、美丽乡村、美丽河湖、美丽海湾的“美丽系列”建设工作。谋划开展“十五五”生态环境保护规划前期研究，持续推进水、大气“十五五”监测点位布设优化。提升优质生态产品供给能力，建设一批“东莞市美丽生态示范村（社区）”，谋划推进新一批美丽河湖建设和评选，加快交椅湾美丽海湾建设，进一步提升人民群众对生态环境的获得感、幸福感、安全感。</w:t>
      </w:r>
    </w:p>
    <w:p w14:paraId="41509AA5">
      <w:pPr>
        <w:pageBreakBefore w:val="0"/>
        <w:kinsoku/>
        <w:wordWrap/>
        <w:bidi w:val="0"/>
        <w:spacing w:line="360" w:lineRule="auto"/>
        <w:ind w:firstLine="640" w:firstLineChars="200"/>
        <w:rPr>
          <w:rFonts w:hint="default" w:ascii="Times New Roman" w:hAnsi="Times New Roman" w:eastAsia="仿宋_GB2312" w:cs="Times New Roman"/>
          <w:b w:val="0"/>
          <w:bCs/>
          <w:sz w:val="32"/>
          <w:szCs w:val="32"/>
          <w:highlight w:val="none"/>
        </w:rPr>
      </w:pPr>
      <w:r>
        <w:rPr>
          <w:rFonts w:hint="default" w:eastAsia="仿宋_GB2312"/>
          <w:b w:val="0"/>
          <w:bCs/>
          <w:sz w:val="32"/>
          <w:szCs w:val="32"/>
          <w:highlight w:val="none"/>
        </w:rPr>
        <w:t>清溪镇深入贯彻落实国家、省</w:t>
      </w:r>
      <w:r>
        <w:rPr>
          <w:rFonts w:hint="eastAsia" w:eastAsia="仿宋_GB2312"/>
          <w:b w:val="0"/>
          <w:bCs/>
          <w:sz w:val="32"/>
          <w:szCs w:val="32"/>
          <w:highlight w:val="none"/>
          <w:lang w:eastAsia="zh-CN"/>
        </w:rPr>
        <w:t>、</w:t>
      </w:r>
      <w:r>
        <w:rPr>
          <w:rFonts w:hint="eastAsia" w:eastAsia="仿宋_GB2312"/>
          <w:b w:val="0"/>
          <w:bCs/>
          <w:sz w:val="32"/>
          <w:szCs w:val="32"/>
          <w:highlight w:val="none"/>
          <w:lang w:val="en-US" w:eastAsia="zh-CN"/>
        </w:rPr>
        <w:t>市有关</w:t>
      </w:r>
      <w:r>
        <w:rPr>
          <w:rFonts w:hint="default" w:eastAsia="仿宋_GB2312"/>
          <w:b w:val="0"/>
          <w:bCs/>
          <w:sz w:val="32"/>
          <w:szCs w:val="32"/>
          <w:highlight w:val="none"/>
        </w:rPr>
        <w:t>决策部署，系统谋划推进美丽</w:t>
      </w:r>
      <w:r>
        <w:rPr>
          <w:rFonts w:hint="eastAsia" w:eastAsia="仿宋_GB2312"/>
          <w:b w:val="0"/>
          <w:bCs/>
          <w:sz w:val="32"/>
          <w:szCs w:val="32"/>
          <w:highlight w:val="none"/>
          <w:lang w:val="en-US" w:eastAsia="zh-CN"/>
        </w:rPr>
        <w:t>清溪</w:t>
      </w:r>
      <w:r>
        <w:rPr>
          <w:rFonts w:hint="default" w:eastAsia="仿宋_GB2312"/>
          <w:b w:val="0"/>
          <w:bCs/>
          <w:sz w:val="32"/>
          <w:szCs w:val="32"/>
          <w:highlight w:val="none"/>
        </w:rPr>
        <w:t>建设，</w:t>
      </w:r>
      <w:r>
        <w:rPr>
          <w:rFonts w:hint="eastAsia" w:eastAsia="仿宋_GB2312"/>
          <w:b w:val="0"/>
          <w:bCs/>
          <w:sz w:val="32"/>
          <w:szCs w:val="32"/>
          <w:highlight w:val="none"/>
          <w:lang w:val="en-US" w:eastAsia="zh-CN"/>
        </w:rPr>
        <w:t>但当前清溪镇</w:t>
      </w:r>
      <w:r>
        <w:rPr>
          <w:rFonts w:hint="default" w:eastAsia="仿宋_GB2312"/>
          <w:bCs/>
          <w:sz w:val="32"/>
          <w:szCs w:val="32"/>
          <w:highlight w:val="none"/>
        </w:rPr>
        <w:t>生态文明建设仍处于压力叠加、负重前行的关键期，生态环境保护任务依然艰巨</w:t>
      </w:r>
      <w:r>
        <w:rPr>
          <w:rFonts w:hint="eastAsia" w:eastAsia="仿宋_GB2312"/>
          <w:bCs/>
          <w:sz w:val="32"/>
          <w:szCs w:val="32"/>
          <w:highlight w:val="none"/>
          <w:lang w:eastAsia="zh-CN"/>
        </w:rPr>
        <w:t>，</w:t>
      </w:r>
      <w:r>
        <w:rPr>
          <w:rFonts w:hint="default" w:eastAsia="仿宋_GB2312"/>
          <w:b w:val="0"/>
          <w:bCs/>
          <w:sz w:val="32"/>
          <w:szCs w:val="32"/>
          <w:highlight w:val="none"/>
        </w:rPr>
        <w:t>对标美丽东莞、美丽清溪的建设要求，对标人民群众对优美生态环境的热切期盼，仍存在一些突出生态环境问题需要加以解决。</w:t>
      </w:r>
    </w:p>
    <w:p w14:paraId="62E97BA8">
      <w:pPr>
        <w:pageBreakBefore w:val="0"/>
        <w:kinsoku/>
        <w:wordWrap/>
        <w:bidi w:val="0"/>
        <w:spacing w:line="360" w:lineRule="auto"/>
        <w:ind w:firstLine="643" w:firstLineChars="200"/>
        <w:rPr>
          <w:rFonts w:ascii="Times New Roman" w:hAnsi="Times New Roman" w:eastAsia="仿宋_GB2312" w:cs="Times New Roman"/>
          <w:sz w:val="32"/>
          <w:szCs w:val="32"/>
          <w:highlight w:val="none"/>
        </w:rPr>
      </w:pPr>
      <w:r>
        <w:rPr>
          <w:rFonts w:hint="eastAsia" w:eastAsia="仿宋_GB2312" w:cs="Times New Roman"/>
          <w:b/>
          <w:sz w:val="32"/>
          <w:szCs w:val="32"/>
          <w:highlight w:val="none"/>
          <w:lang w:val="en-US" w:eastAsia="zh-CN"/>
        </w:rPr>
        <w:t>一是</w:t>
      </w:r>
      <w:r>
        <w:rPr>
          <w:rFonts w:hint="default" w:ascii="Times New Roman" w:hAnsi="Times New Roman" w:eastAsia="仿宋_GB2312" w:cs="Times New Roman"/>
          <w:b/>
          <w:sz w:val="32"/>
          <w:szCs w:val="32"/>
          <w:highlight w:val="none"/>
        </w:rPr>
        <w:t>生态环境质量提升的边际成本上升，难度加大。</w:t>
      </w:r>
      <w:r>
        <w:rPr>
          <w:rFonts w:hint="eastAsia" w:eastAsia="仿宋_GB2312" w:cs="Times New Roman"/>
          <w:sz w:val="32"/>
          <w:szCs w:val="32"/>
          <w:highlight w:val="none"/>
          <w:lang w:val="en-US" w:eastAsia="zh-CN"/>
        </w:rPr>
        <w:t>近年来</w:t>
      </w:r>
      <w:r>
        <w:rPr>
          <w:rFonts w:hint="default" w:ascii="Times New Roman" w:hAnsi="Times New Roman" w:eastAsia="仿宋_GB2312" w:cs="Times New Roman"/>
          <w:sz w:val="32"/>
          <w:szCs w:val="32"/>
          <w:highlight w:val="none"/>
          <w:lang w:val="en-US" w:eastAsia="zh-CN"/>
        </w:rPr>
        <w:t>清溪镇</w:t>
      </w:r>
      <w:r>
        <w:rPr>
          <w:rFonts w:hint="default" w:ascii="Times New Roman" w:hAnsi="Times New Roman" w:eastAsia="仿宋_GB2312" w:cs="Times New Roman"/>
          <w:sz w:val="32"/>
          <w:szCs w:val="32"/>
          <w:highlight w:val="none"/>
        </w:rPr>
        <w:t>生态环境污染得到有效遏制，环境质量大幅度提升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但不可否认的是，生态环境治理成效并不牢固</w:t>
      </w:r>
      <w:r>
        <w:rPr>
          <w:rFonts w:hint="default" w:ascii="Times New Roman" w:hAnsi="Times New Roman" w:eastAsia="仿宋_GB2312" w:cs="Times New Roman"/>
          <w:sz w:val="32"/>
          <w:szCs w:val="32"/>
          <w:highlight w:val="none"/>
        </w:rPr>
        <w:t>，部分</w:t>
      </w:r>
      <w:r>
        <w:rPr>
          <w:rFonts w:hint="default" w:ascii="Times New Roman" w:hAnsi="Times New Roman" w:eastAsia="仿宋_GB2312" w:cs="Times New Roman"/>
          <w:sz w:val="32"/>
          <w:szCs w:val="32"/>
          <w:highlight w:val="none"/>
          <w:lang w:val="en-US" w:eastAsia="zh-CN"/>
        </w:rPr>
        <w:t>水体仍</w:t>
      </w:r>
      <w:r>
        <w:rPr>
          <w:rFonts w:hint="default" w:ascii="Times New Roman" w:hAnsi="Times New Roman" w:eastAsia="仿宋_GB2312" w:cs="Times New Roman"/>
          <w:sz w:val="32"/>
          <w:szCs w:val="32"/>
          <w:highlight w:val="none"/>
        </w:rPr>
        <w:t>存在月份超标情况，部分企业危险废物产量高于现有处理能力，</w:t>
      </w:r>
      <w:r>
        <w:rPr>
          <w:rFonts w:hint="default" w:ascii="Times New Roman" w:hAnsi="Times New Roman" w:eastAsia="仿宋_GB2312" w:cs="Times New Roman"/>
          <w:sz w:val="32"/>
          <w:szCs w:val="32"/>
          <w:highlight w:val="none"/>
          <w:lang w:val="en-US" w:eastAsia="zh-CN"/>
        </w:rPr>
        <w:t>存在</w:t>
      </w:r>
      <w:r>
        <w:rPr>
          <w:rFonts w:hint="default" w:ascii="Times New Roman" w:hAnsi="Times New Roman" w:eastAsia="仿宋_GB2312" w:cs="Times New Roman"/>
          <w:sz w:val="32"/>
          <w:szCs w:val="32"/>
          <w:highlight w:val="none"/>
        </w:rPr>
        <w:t>环境风险。</w:t>
      </w:r>
      <w:r>
        <w:rPr>
          <w:rFonts w:hint="default" w:ascii="Times New Roman" w:hAnsi="Times New Roman" w:eastAsia="仿宋_GB2312" w:cs="Times New Roman"/>
          <w:sz w:val="32"/>
          <w:szCs w:val="32"/>
          <w:highlight w:val="none"/>
          <w:lang w:val="en-US" w:eastAsia="zh-CN"/>
        </w:rPr>
        <w:t>宏观上看，人民日益增长的优美生态</w:t>
      </w:r>
      <w:r>
        <w:rPr>
          <w:rFonts w:hint="default" w:ascii="Times New Roman" w:hAnsi="Times New Roman" w:eastAsia="仿宋_GB2312" w:cs="Times New Roman"/>
          <w:sz w:val="32"/>
          <w:szCs w:val="32"/>
          <w:highlight w:val="none"/>
        </w:rPr>
        <w:t>环境</w:t>
      </w:r>
      <w:r>
        <w:rPr>
          <w:rFonts w:hint="default" w:ascii="Times New Roman" w:hAnsi="Times New Roman" w:eastAsia="仿宋_GB2312" w:cs="Times New Roman"/>
          <w:sz w:val="32"/>
          <w:szCs w:val="32"/>
          <w:highlight w:val="none"/>
          <w:lang w:val="en-US" w:eastAsia="zh-CN"/>
        </w:rPr>
        <w:t>需要对清溪镇生态环境保护工作提出了新的要求</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相对容易解决的生态环境问题已得到普遍改善，但是要进一步将生态环境质量从“良”提升到“优”乃至“优中之优”，所面临的挑战会越来越大，付出的边际成本会愈发高昂。</w:t>
      </w:r>
    </w:p>
    <w:p w14:paraId="2F3777BD">
      <w:pPr>
        <w:pStyle w:val="49"/>
        <w:pageBreakBefore w:val="0"/>
        <w:kinsoku/>
        <w:wordWrap/>
        <w:topLinePunct/>
        <w:bidi w:val="0"/>
        <w:spacing w:line="360" w:lineRule="auto"/>
        <w:ind w:firstLine="629"/>
        <w:rPr>
          <w:rFonts w:hint="default" w:ascii="Times New Roman" w:hAnsi="Times New Roman" w:eastAsia="仿宋_GB2312" w:cs="Times New Roman"/>
          <w:highlight w:val="none"/>
        </w:rPr>
      </w:pPr>
      <w:r>
        <w:rPr>
          <w:rFonts w:hint="eastAsia" w:eastAsia="仿宋_GB2312" w:cs="Times New Roman"/>
          <w:b/>
          <w:sz w:val="32"/>
          <w:szCs w:val="32"/>
          <w:highlight w:val="none"/>
          <w:lang w:val="en-US" w:eastAsia="zh-CN"/>
        </w:rPr>
        <w:t>二是</w:t>
      </w:r>
      <w:r>
        <w:rPr>
          <w:rFonts w:ascii="Times New Roman" w:hAnsi="Times New Roman" w:eastAsia="仿宋_GB2312" w:cs="Times New Roman"/>
          <w:b/>
          <w:sz w:val="32"/>
          <w:szCs w:val="32"/>
          <w:highlight w:val="none"/>
        </w:rPr>
        <w:t>环境</w:t>
      </w:r>
      <w:r>
        <w:rPr>
          <w:rFonts w:hint="default" w:ascii="Times New Roman" w:hAnsi="Times New Roman" w:eastAsia="仿宋_GB2312" w:cs="Times New Roman"/>
          <w:b/>
          <w:sz w:val="32"/>
          <w:szCs w:val="32"/>
          <w:highlight w:val="none"/>
          <w:lang w:val="en-US" w:eastAsia="zh-CN"/>
        </w:rPr>
        <w:t>管理机制面临新要求</w:t>
      </w:r>
      <w:r>
        <w:rPr>
          <w:rFonts w:ascii="Times New Roman" w:hAnsi="Times New Roman" w:eastAsia="仿宋_GB2312" w:cs="Times New Roman"/>
          <w:b/>
          <w:sz w:val="32"/>
          <w:szCs w:val="32"/>
          <w:highlight w:val="none"/>
        </w:rPr>
        <w:t>。</w:t>
      </w:r>
      <w:r>
        <w:rPr>
          <w:rFonts w:hint="default" w:ascii="Times New Roman" w:hAnsi="Times New Roman" w:eastAsia="仿宋_GB2312" w:cs="Times New Roman"/>
          <w:highlight w:val="none"/>
        </w:rPr>
        <w:t>随着中央生态环境保护督察制度的推动落实，环保督察常态化、生态环保监管“大格局”日趋成型，精准治污、科学治污、依法治污的强调突出，</w:t>
      </w:r>
      <w:r>
        <w:rPr>
          <w:rFonts w:hint="default" w:ascii="Times New Roman" w:hAnsi="Times New Roman" w:eastAsia="仿宋_GB2312" w:cs="Times New Roman"/>
          <w:highlight w:val="none"/>
          <w:lang w:val="en-US" w:eastAsia="zh-CN"/>
        </w:rPr>
        <w:t>清溪镇</w:t>
      </w:r>
      <w:r>
        <w:rPr>
          <w:rFonts w:hint="default" w:ascii="Times New Roman" w:hAnsi="Times New Roman" w:eastAsia="仿宋_GB2312" w:cs="Times New Roman"/>
          <w:highlight w:val="none"/>
        </w:rPr>
        <w:t>生态环境保护压力日益增大</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与此同时，清溪镇人员配备、</w:t>
      </w:r>
      <w:r>
        <w:rPr>
          <w:rFonts w:hint="default" w:ascii="Times New Roman" w:hAnsi="Times New Roman" w:eastAsia="仿宋_GB2312" w:cs="Times New Roman"/>
          <w:highlight w:val="none"/>
        </w:rPr>
        <w:t>科研能力、基础装备、智慧管理</w:t>
      </w:r>
      <w:r>
        <w:rPr>
          <w:rFonts w:hint="default" w:ascii="Times New Roman" w:hAnsi="Times New Roman" w:eastAsia="仿宋_GB2312" w:cs="Times New Roman"/>
          <w:highlight w:val="none"/>
          <w:lang w:val="en-US" w:eastAsia="zh-CN"/>
        </w:rPr>
        <w:t>等方面存在短板</w:t>
      </w:r>
      <w:r>
        <w:rPr>
          <w:rFonts w:hint="eastAsia" w:eastAsia="仿宋_GB2312" w:cs="Times New Roman"/>
          <w:highlight w:val="none"/>
          <w:lang w:val="en-US" w:eastAsia="zh-CN"/>
        </w:rPr>
        <w:t>弱项</w:t>
      </w:r>
      <w:r>
        <w:rPr>
          <w:rFonts w:hint="default" w:ascii="Times New Roman" w:hAnsi="Times New Roman" w:eastAsia="仿宋_GB2312" w:cs="Times New Roman"/>
          <w:highlight w:val="none"/>
        </w:rPr>
        <w:t>。</w:t>
      </w:r>
      <w:r>
        <w:rPr>
          <w:rFonts w:hint="default" w:ascii="Times New Roman" w:hAnsi="Times New Roman" w:eastAsia="仿宋_GB2312" w:cs="Times New Roman"/>
          <w:highlight w:val="none"/>
          <w:lang w:val="en-US" w:eastAsia="zh-CN"/>
        </w:rPr>
        <w:t>随着</w:t>
      </w:r>
      <w:r>
        <w:rPr>
          <w:rFonts w:hint="default" w:ascii="Times New Roman" w:hAnsi="Times New Roman" w:eastAsia="仿宋_GB2312" w:cs="Times New Roman"/>
          <w:highlight w:val="none"/>
        </w:rPr>
        <w:t>生态环境保护机构改革、垂直管理体制机制改革、综合执法改革</w:t>
      </w:r>
      <w:r>
        <w:rPr>
          <w:rFonts w:hint="default" w:ascii="Times New Roman" w:hAnsi="Times New Roman" w:eastAsia="仿宋_GB2312" w:cs="Times New Roman"/>
          <w:highlight w:val="none"/>
          <w:lang w:val="en-US" w:eastAsia="zh-CN"/>
        </w:rPr>
        <w:t>不断深化</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需要进一步完善</w:t>
      </w:r>
      <w:r>
        <w:rPr>
          <w:rFonts w:hint="default" w:ascii="Times New Roman" w:hAnsi="Times New Roman" w:eastAsia="仿宋_GB2312" w:cs="Times New Roman"/>
          <w:highlight w:val="none"/>
        </w:rPr>
        <w:t>工作机制</w:t>
      </w:r>
      <w:r>
        <w:rPr>
          <w:rFonts w:hint="default" w:ascii="Times New Roman" w:hAnsi="Times New Roman" w:eastAsia="仿宋_GB2312" w:cs="Times New Roman"/>
          <w:highlight w:val="none"/>
          <w:lang w:eastAsia="zh-CN"/>
        </w:rPr>
        <w:t>，</w:t>
      </w:r>
      <w:r>
        <w:rPr>
          <w:rFonts w:hint="default" w:ascii="Times New Roman" w:hAnsi="Times New Roman" w:eastAsia="仿宋_GB2312" w:cs="Times New Roman"/>
          <w:highlight w:val="none"/>
          <w:lang w:val="en-US" w:eastAsia="zh-CN"/>
        </w:rPr>
        <w:t>以应对生态环境保护工作的新要求</w:t>
      </w:r>
      <w:r>
        <w:rPr>
          <w:rFonts w:hint="default" w:ascii="Times New Roman" w:hAnsi="Times New Roman" w:eastAsia="仿宋_GB2312" w:cs="Times New Roman"/>
          <w:highlight w:val="none"/>
        </w:rPr>
        <w:t>。</w:t>
      </w:r>
    </w:p>
    <w:p w14:paraId="2041BA93">
      <w:pPr>
        <w:pStyle w:val="49"/>
        <w:pageBreakBefore w:val="0"/>
        <w:kinsoku/>
        <w:wordWrap/>
        <w:topLinePunct/>
        <w:bidi w:val="0"/>
        <w:spacing w:line="360" w:lineRule="auto"/>
        <w:ind w:firstLine="629"/>
        <w:rPr>
          <w:rFonts w:hint="default" w:ascii="Times New Roman" w:hAnsi="Times New Roman" w:eastAsia="仿宋_GB2312" w:cs="Times New Roman"/>
          <w:highlight w:val="none"/>
        </w:rPr>
      </w:pPr>
      <w:r>
        <w:rPr>
          <w:rFonts w:hint="eastAsia" w:eastAsia="仿宋_GB2312" w:cs="Times New Roman"/>
          <w:b/>
          <w:bCs/>
          <w:highlight w:val="none"/>
          <w:lang w:val="en-US" w:eastAsia="zh-CN"/>
        </w:rPr>
        <w:t>三是</w:t>
      </w:r>
      <w:r>
        <w:rPr>
          <w:rFonts w:hint="default" w:ascii="Times New Roman" w:hAnsi="Times New Roman" w:eastAsia="仿宋_GB2312" w:cs="Times New Roman"/>
          <w:b/>
          <w:bCs/>
          <w:highlight w:val="none"/>
        </w:rPr>
        <w:t>互联网、新媒体时代信息传播方式发生变革，舆论对生态环境保护压力增强。</w:t>
      </w:r>
      <w:r>
        <w:rPr>
          <w:rFonts w:hint="default" w:ascii="Times New Roman" w:hAnsi="Times New Roman" w:eastAsia="仿宋_GB2312" w:cs="Times New Roman"/>
          <w:highlight w:val="none"/>
        </w:rPr>
        <w:t>信息传播飞速发展，公众环境意识快速提升，公共关系维护和应对、舆论传播策略和途径面临挑战。政府信息公开力度持续加大，公众环境维权意识不断增强，生态环境利益诉求更加凸显。</w:t>
      </w:r>
      <w:r>
        <w:rPr>
          <w:rFonts w:hint="eastAsia" w:eastAsia="仿宋_GB2312" w:cs="Times New Roman"/>
          <w:highlight w:val="none"/>
          <w:lang w:val="en-US" w:eastAsia="zh-CN"/>
        </w:rPr>
        <w:t>今后一个时期</w:t>
      </w:r>
      <w:r>
        <w:rPr>
          <w:rFonts w:hint="default" w:ascii="Times New Roman" w:hAnsi="Times New Roman" w:eastAsia="仿宋_GB2312" w:cs="Times New Roman"/>
          <w:highlight w:val="none"/>
        </w:rPr>
        <w:t>对生态环境保护在宣传教育、舆论引导、公众参与等公共关系维护方面提出更高要求。</w:t>
      </w:r>
    </w:p>
    <w:p w14:paraId="19F357FA">
      <w:pPr>
        <w:pageBreakBefore w:val="0"/>
        <w:kinsoku/>
        <w:wordWrap/>
        <w:bidi w:val="0"/>
        <w:spacing w:beforeLines="0" w:afterLines="0" w:line="360" w:lineRule="auto"/>
        <w:ind w:firstLine="640" w:firstLineChars="200"/>
        <w:rPr>
          <w:rFonts w:hint="default" w:ascii="Times New Roman" w:hAnsi="Times New Roman" w:eastAsia="仿宋_GB2312" w:cs="Times New Roman"/>
          <w:b w:val="0"/>
          <w:bCs/>
          <w:sz w:val="32"/>
          <w:szCs w:val="32"/>
          <w:highlight w:val="none"/>
        </w:rPr>
      </w:pPr>
      <w:r>
        <w:rPr>
          <w:rFonts w:hint="default" w:eastAsia="仿宋_GB2312"/>
          <w:bCs/>
          <w:sz w:val="32"/>
          <w:szCs w:val="32"/>
          <w:highlight w:val="none"/>
        </w:rPr>
        <w:t>建设美丽</w:t>
      </w:r>
      <w:r>
        <w:rPr>
          <w:rFonts w:hint="eastAsia" w:eastAsia="仿宋_GB2312"/>
          <w:bCs/>
          <w:sz w:val="32"/>
          <w:szCs w:val="32"/>
          <w:highlight w:val="none"/>
          <w:lang w:val="en-US" w:eastAsia="zh-CN"/>
        </w:rPr>
        <w:t>清溪</w:t>
      </w:r>
      <w:r>
        <w:rPr>
          <w:rFonts w:hint="default" w:eastAsia="仿宋_GB2312"/>
          <w:bCs/>
          <w:sz w:val="32"/>
          <w:szCs w:val="32"/>
          <w:highlight w:val="none"/>
        </w:rPr>
        <w:t>是一项长期而艰巨的战略任务和系统工程，要锚定2035年美丽</w:t>
      </w:r>
      <w:r>
        <w:rPr>
          <w:rFonts w:hint="eastAsia" w:eastAsia="仿宋_GB2312"/>
          <w:bCs/>
          <w:sz w:val="32"/>
          <w:szCs w:val="32"/>
          <w:highlight w:val="none"/>
          <w:lang w:val="en-US" w:eastAsia="zh-CN"/>
        </w:rPr>
        <w:t>清溪</w:t>
      </w:r>
      <w:r>
        <w:rPr>
          <w:rFonts w:hint="default" w:eastAsia="仿宋_GB2312"/>
          <w:bCs/>
          <w:sz w:val="32"/>
          <w:szCs w:val="32"/>
          <w:highlight w:val="none"/>
        </w:rPr>
        <w:t>目标基本实现，分阶段、有计划推进。坚决贯彻落实党中央</w:t>
      </w:r>
      <w:r>
        <w:rPr>
          <w:rFonts w:hint="eastAsia" w:eastAsia="仿宋_GB2312"/>
          <w:bCs/>
          <w:sz w:val="32"/>
          <w:szCs w:val="32"/>
          <w:highlight w:val="none"/>
          <w:lang w:val="en-US" w:eastAsia="zh-CN"/>
        </w:rPr>
        <w:t>新部署和省委、市委新</w:t>
      </w:r>
      <w:r>
        <w:rPr>
          <w:rFonts w:hint="default" w:eastAsia="仿宋_GB2312"/>
          <w:bCs/>
          <w:sz w:val="32"/>
          <w:szCs w:val="32"/>
          <w:highlight w:val="none"/>
        </w:rPr>
        <w:t>要求，聚焦目标任务，拓展和巩固污染防治攻坚成果，持续稳定改善生态环境质量，加快推进人与自然和谐共生的现代化。在重点任务上，把建设美丽</w:t>
      </w:r>
      <w:r>
        <w:rPr>
          <w:rFonts w:hint="eastAsia" w:eastAsia="仿宋_GB2312"/>
          <w:bCs/>
          <w:sz w:val="32"/>
          <w:szCs w:val="32"/>
          <w:highlight w:val="none"/>
          <w:lang w:val="en-US" w:eastAsia="zh-CN"/>
        </w:rPr>
        <w:t>清溪</w:t>
      </w:r>
      <w:r>
        <w:rPr>
          <w:rFonts w:hint="default" w:eastAsia="仿宋_GB2312"/>
          <w:bCs/>
          <w:sz w:val="32"/>
          <w:szCs w:val="32"/>
          <w:highlight w:val="none"/>
        </w:rPr>
        <w:t>摆在突出位置，持续深入推进污染防治攻坚，加快发展方式绿色转型，提升生态系统多样性稳定性持续性，守牢美丽</w:t>
      </w:r>
      <w:r>
        <w:rPr>
          <w:rFonts w:hint="eastAsia" w:eastAsia="仿宋_GB2312"/>
          <w:bCs/>
          <w:sz w:val="32"/>
          <w:szCs w:val="32"/>
          <w:highlight w:val="none"/>
          <w:lang w:val="en-US" w:eastAsia="zh-CN"/>
        </w:rPr>
        <w:t>清溪</w:t>
      </w:r>
      <w:r>
        <w:rPr>
          <w:rFonts w:hint="default" w:eastAsia="仿宋_GB2312"/>
          <w:bCs/>
          <w:sz w:val="32"/>
          <w:szCs w:val="32"/>
          <w:highlight w:val="none"/>
        </w:rPr>
        <w:t>建设安全底线，打造美丽</w:t>
      </w:r>
      <w:r>
        <w:rPr>
          <w:rFonts w:hint="eastAsia" w:eastAsia="仿宋_GB2312"/>
          <w:bCs/>
          <w:sz w:val="32"/>
          <w:szCs w:val="32"/>
          <w:highlight w:val="none"/>
          <w:lang w:val="en-US" w:eastAsia="zh-CN"/>
        </w:rPr>
        <w:t>清溪</w:t>
      </w:r>
      <w:r>
        <w:rPr>
          <w:rFonts w:hint="default" w:eastAsia="仿宋_GB2312"/>
          <w:bCs/>
          <w:sz w:val="32"/>
          <w:szCs w:val="32"/>
          <w:highlight w:val="none"/>
        </w:rPr>
        <w:t>建设示范样板，开展全民行动，健全美丽</w:t>
      </w:r>
      <w:r>
        <w:rPr>
          <w:rFonts w:hint="eastAsia" w:eastAsia="仿宋_GB2312"/>
          <w:bCs/>
          <w:sz w:val="32"/>
          <w:szCs w:val="32"/>
          <w:highlight w:val="none"/>
          <w:lang w:val="en-US" w:eastAsia="zh-CN"/>
        </w:rPr>
        <w:t>清溪</w:t>
      </w:r>
      <w:r>
        <w:rPr>
          <w:rFonts w:hint="default" w:eastAsia="仿宋_GB2312"/>
          <w:bCs/>
          <w:sz w:val="32"/>
          <w:szCs w:val="32"/>
          <w:highlight w:val="none"/>
        </w:rPr>
        <w:t>建设保障体系。</w:t>
      </w:r>
    </w:p>
    <w:p w14:paraId="278E7A20">
      <w:pPr>
        <w:pStyle w:val="49"/>
        <w:topLinePunct/>
        <w:adjustRightInd w:val="0"/>
        <w:snapToGrid w:val="0"/>
        <w:spacing w:before="156" w:beforeLines="50" w:after="156" w:afterLines="50" w:line="360" w:lineRule="auto"/>
        <w:ind w:firstLine="629" w:firstLineChars="0"/>
        <w:jc w:val="center"/>
        <w:rPr>
          <w:rFonts w:hint="default" w:ascii="Times New Roman" w:hAnsi="Times New Roman" w:eastAsia="黑体" w:cs="Times New Roman"/>
          <w:b w:val="0"/>
          <w:sz w:val="36"/>
          <w:highlight w:val="none"/>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2B218A0">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sz w:val="36"/>
          <w:highlight w:val="none"/>
          <w:lang w:val="en-US" w:eastAsia="zh-CN"/>
        </w:rPr>
      </w:pPr>
      <w:bookmarkStart w:id="39" w:name="_Toc29402"/>
      <w:bookmarkStart w:id="40" w:name="_Toc889"/>
      <w:bookmarkStart w:id="41" w:name="_Toc26536"/>
      <w:bookmarkStart w:id="42" w:name="_Toc19344"/>
      <w:bookmarkStart w:id="43" w:name="_Toc3182"/>
      <w:bookmarkStart w:id="44" w:name="_Toc16699"/>
      <w:bookmarkStart w:id="45" w:name="_Toc28220"/>
      <w:bookmarkStart w:id="46" w:name="_Toc8260"/>
      <w:bookmarkStart w:id="47" w:name="_Toc17380"/>
      <w:bookmarkStart w:id="48" w:name="_Toc5832"/>
      <w:bookmarkStart w:id="49" w:name="_Toc27951"/>
      <w:r>
        <w:rPr>
          <w:rFonts w:hint="default" w:ascii="Times New Roman" w:hAnsi="Times New Roman" w:eastAsia="黑体" w:cs="Times New Roman"/>
          <w:b w:val="0"/>
          <w:sz w:val="36"/>
          <w:highlight w:val="none"/>
          <w:lang w:val="en-US" w:eastAsia="zh-CN"/>
        </w:rPr>
        <w:fldChar w:fldCharType="begin"/>
      </w:r>
      <w:r>
        <w:rPr>
          <w:rFonts w:hint="default" w:ascii="Times New Roman" w:hAnsi="Times New Roman" w:eastAsia="黑体" w:cs="Times New Roman"/>
          <w:b w:val="0"/>
          <w:sz w:val="36"/>
          <w:highlight w:val="none"/>
          <w:lang w:val="en-US" w:eastAsia="zh-CN"/>
        </w:rPr>
        <w:instrText xml:space="preserve"> HYPERLINK \l "_Toc15683" </w:instrText>
      </w:r>
      <w:r>
        <w:rPr>
          <w:rFonts w:hint="default" w:ascii="Times New Roman" w:hAnsi="Times New Roman" w:eastAsia="黑体" w:cs="Times New Roman"/>
          <w:b w:val="0"/>
          <w:sz w:val="36"/>
          <w:highlight w:val="none"/>
          <w:lang w:val="en-US" w:eastAsia="zh-CN"/>
        </w:rPr>
        <w:fldChar w:fldCharType="separate"/>
      </w:r>
      <w:bookmarkStart w:id="50" w:name="_Toc495559185"/>
      <w:bookmarkStart w:id="51" w:name="_Toc475439294"/>
      <w:r>
        <w:rPr>
          <w:rFonts w:hint="default" w:ascii="Times New Roman" w:hAnsi="Times New Roman" w:eastAsia="黑体" w:cs="Times New Roman"/>
          <w:b w:val="0"/>
          <w:sz w:val="36"/>
          <w:highlight w:val="none"/>
          <w:lang w:val="en-US" w:eastAsia="zh-CN"/>
        </w:rPr>
        <w:t>第二章 规划总体要求</w:t>
      </w:r>
      <w:bookmarkEnd w:id="50"/>
      <w:bookmarkEnd w:id="51"/>
      <w:r>
        <w:rPr>
          <w:rFonts w:hint="default" w:ascii="Times New Roman" w:hAnsi="Times New Roman" w:eastAsia="黑体" w:cs="Times New Roman"/>
          <w:b w:val="0"/>
          <w:sz w:val="36"/>
          <w:highlight w:val="none"/>
          <w:lang w:val="en-US" w:eastAsia="zh-CN"/>
        </w:rPr>
        <w:fldChar w:fldCharType="end"/>
      </w:r>
      <w:bookmarkEnd w:id="39"/>
      <w:bookmarkEnd w:id="40"/>
      <w:bookmarkEnd w:id="41"/>
      <w:bookmarkEnd w:id="42"/>
      <w:bookmarkEnd w:id="43"/>
      <w:bookmarkEnd w:id="44"/>
      <w:bookmarkEnd w:id="45"/>
      <w:bookmarkEnd w:id="46"/>
      <w:bookmarkEnd w:id="47"/>
      <w:bookmarkEnd w:id="48"/>
      <w:bookmarkEnd w:id="49"/>
    </w:p>
    <w:p w14:paraId="5ABCE947">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rPr>
      </w:pPr>
      <w:bookmarkStart w:id="52" w:name="_Toc5703"/>
      <w:bookmarkStart w:id="53" w:name="_Toc11596"/>
      <w:bookmarkStart w:id="54" w:name="_Toc475439295"/>
      <w:bookmarkStart w:id="55" w:name="_Toc18232"/>
      <w:bookmarkStart w:id="56" w:name="_Toc21780"/>
      <w:bookmarkStart w:id="57" w:name="_Toc30668"/>
      <w:bookmarkStart w:id="58" w:name="_Toc12179"/>
      <w:bookmarkStart w:id="59" w:name="_Toc3811"/>
      <w:bookmarkStart w:id="60" w:name="_Toc10322"/>
      <w:bookmarkStart w:id="61" w:name="_Toc29587"/>
      <w:bookmarkStart w:id="62" w:name="_Toc10066"/>
      <w:bookmarkStart w:id="63" w:name="_Toc5721"/>
      <w:bookmarkStart w:id="64" w:name="_Toc495559186"/>
      <w:r>
        <w:rPr>
          <w:rFonts w:hint="default" w:ascii="Times New Roman" w:hAnsi="Times New Roman" w:eastAsia="楷体_GB2312" w:cs="Times New Roman"/>
          <w:b/>
          <w:bCs w:val="0"/>
          <w:snapToGrid w:val="0"/>
          <w:highlight w:val="none"/>
          <w:lang w:val="en-US" w:eastAsia="zh-CN"/>
        </w:rPr>
        <w:t xml:space="preserve">第一节 </w:t>
      </w:r>
      <w:r>
        <w:rPr>
          <w:rFonts w:hint="default" w:ascii="Times New Roman" w:hAnsi="Times New Roman" w:eastAsia="楷体_GB2312" w:cs="Times New Roman"/>
          <w:b/>
          <w:bCs w:val="0"/>
          <w:snapToGrid w:val="0"/>
          <w:highlight w:val="none"/>
        </w:rPr>
        <w:t>指导思想</w:t>
      </w:r>
      <w:bookmarkEnd w:id="52"/>
      <w:bookmarkEnd w:id="53"/>
      <w:bookmarkEnd w:id="54"/>
      <w:bookmarkEnd w:id="55"/>
      <w:bookmarkEnd w:id="56"/>
      <w:bookmarkEnd w:id="57"/>
      <w:bookmarkEnd w:id="58"/>
      <w:bookmarkEnd w:id="59"/>
      <w:bookmarkEnd w:id="60"/>
      <w:bookmarkEnd w:id="61"/>
      <w:bookmarkEnd w:id="62"/>
      <w:bookmarkEnd w:id="63"/>
      <w:bookmarkEnd w:id="64"/>
    </w:p>
    <w:p w14:paraId="38F1FC91">
      <w:pPr>
        <w:pageBreakBefore w:val="0"/>
        <w:kinsoku/>
        <w:wordWrap/>
        <w:autoSpaceDE w:val="0"/>
        <w:autoSpaceDN w:val="0"/>
        <w:bidi w:val="0"/>
        <w:adjustRightInd w:val="0"/>
        <w:spacing w:line="360" w:lineRule="auto"/>
        <w:ind w:firstLine="640" w:firstLineChars="200"/>
        <w:rPr>
          <w:rFonts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以习近平新时代中国特色社会主义思想为指导，深入贯彻党的二十大和二十届一中、二中全会精神，全面落实习近平总书记对广东重要讲话和历次重要指示批示精神，深入践行习近平生态文明思想，</w:t>
      </w:r>
      <w:r>
        <w:rPr>
          <w:rFonts w:hint="default" w:eastAsia="仿宋_GB2312"/>
          <w:sz w:val="32"/>
          <w:szCs w:val="32"/>
          <w:highlight w:val="none"/>
        </w:rPr>
        <w:t>以绿美广东生态建设为统领，</w:t>
      </w:r>
      <w:r>
        <w:rPr>
          <w:rFonts w:hint="default" w:ascii="Times New Roman" w:hAnsi="Times New Roman" w:eastAsia="仿宋_GB2312" w:cs="Times New Roman"/>
          <w:sz w:val="32"/>
          <w:szCs w:val="32"/>
          <w:highlight w:val="none"/>
        </w:rPr>
        <w:t>紧抓粤港澳大湾区、深圳先行示范区、前海深港现代服务业合作区、横琴粤澳深度合作区建设</w:t>
      </w:r>
      <w:r>
        <w:rPr>
          <w:rFonts w:hint="default" w:ascii="Times New Roman" w:hAnsi="Times New Roman" w:eastAsia="仿宋_GB2312" w:cs="Times New Roman"/>
          <w:sz w:val="32"/>
          <w:szCs w:val="32"/>
          <w:highlight w:val="none"/>
          <w:lang w:eastAsia="zh-CN"/>
        </w:rPr>
        <w:t>的</w:t>
      </w:r>
      <w:r>
        <w:rPr>
          <w:rFonts w:hint="default" w:ascii="Times New Roman" w:hAnsi="Times New Roman" w:eastAsia="仿宋_GB2312" w:cs="Times New Roman"/>
          <w:sz w:val="32"/>
          <w:szCs w:val="32"/>
          <w:highlight w:val="none"/>
          <w:lang w:val="en-US" w:eastAsia="zh-CN"/>
        </w:rPr>
        <w:t>机遇</w:t>
      </w:r>
      <w:r>
        <w:rPr>
          <w:rFonts w:hint="default" w:ascii="Times New Roman" w:hAnsi="Times New Roman" w:eastAsia="仿宋_GB2312" w:cs="Times New Roman"/>
          <w:sz w:val="32"/>
          <w:szCs w:val="32"/>
          <w:highlight w:val="none"/>
        </w:rPr>
        <w:t>，强化减污降碳协同控制，深入打好污染防治攻坚战，全面推进生态文明建设持久战，推动生态环境治理体系与治理能力现代化，着力构建绿色生产生活方式，</w:t>
      </w:r>
      <w:r>
        <w:rPr>
          <w:rFonts w:ascii="Times New Roman" w:hAnsi="Times New Roman" w:eastAsia="仿宋_GB2312" w:cs="Times New Roman"/>
          <w:sz w:val="32"/>
          <w:szCs w:val="32"/>
          <w:highlight w:val="none"/>
        </w:rPr>
        <w:t>促进人与自然和谐共生，建设环境友好、社会和谐、生态文明的新型城镇。</w:t>
      </w:r>
    </w:p>
    <w:p w14:paraId="35F8197F">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rPr>
      </w:pPr>
      <w:bookmarkStart w:id="65" w:name="_Toc11771"/>
      <w:bookmarkStart w:id="66" w:name="_Toc14624"/>
      <w:bookmarkStart w:id="67" w:name="_Toc91"/>
      <w:bookmarkStart w:id="68" w:name="_Toc15537"/>
      <w:bookmarkStart w:id="69" w:name="_Toc8961"/>
      <w:bookmarkStart w:id="70" w:name="_Toc15714"/>
      <w:bookmarkStart w:id="71" w:name="_Toc17329"/>
      <w:bookmarkStart w:id="72" w:name="_Toc25890"/>
      <w:bookmarkStart w:id="73" w:name="_Toc24570"/>
      <w:bookmarkStart w:id="74" w:name="_Toc495559187"/>
      <w:bookmarkStart w:id="75" w:name="_Toc30457"/>
      <w:bookmarkStart w:id="76" w:name="_Toc3033"/>
      <w:bookmarkStart w:id="77" w:name="_Toc475439296"/>
      <w:r>
        <w:rPr>
          <w:rFonts w:hint="default" w:ascii="Times New Roman" w:hAnsi="Times New Roman" w:eastAsia="楷体_GB2312" w:cs="Times New Roman"/>
          <w:b/>
          <w:bCs w:val="0"/>
          <w:snapToGrid w:val="0"/>
          <w:highlight w:val="none"/>
          <w:lang w:val="en-US" w:eastAsia="zh-CN"/>
        </w:rPr>
        <w:t>第</w:t>
      </w:r>
      <w:r>
        <w:rPr>
          <w:rFonts w:hint="default" w:ascii="Times New Roman" w:hAnsi="Times New Roman" w:eastAsia="楷体_GB2312" w:cs="Times New Roman"/>
          <w:b/>
          <w:bCs w:val="0"/>
          <w:snapToGrid w:val="0"/>
          <w:highlight w:val="none"/>
        </w:rPr>
        <w:t>二</w:t>
      </w:r>
      <w:r>
        <w:rPr>
          <w:rFonts w:hint="default" w:ascii="Times New Roman" w:hAnsi="Times New Roman" w:eastAsia="楷体_GB2312" w:cs="Times New Roman"/>
          <w:b/>
          <w:bCs w:val="0"/>
          <w:snapToGrid w:val="0"/>
          <w:highlight w:val="none"/>
          <w:lang w:val="en-US" w:eastAsia="zh-CN"/>
        </w:rPr>
        <w:t xml:space="preserve">节 </w:t>
      </w:r>
      <w:r>
        <w:rPr>
          <w:rFonts w:hint="default" w:ascii="Times New Roman" w:hAnsi="Times New Roman" w:eastAsia="楷体_GB2312" w:cs="Times New Roman"/>
          <w:b/>
          <w:bCs w:val="0"/>
          <w:snapToGrid w:val="0"/>
          <w:highlight w:val="none"/>
        </w:rPr>
        <w:t>基本原则</w:t>
      </w:r>
      <w:bookmarkEnd w:id="65"/>
      <w:bookmarkEnd w:id="66"/>
      <w:bookmarkEnd w:id="67"/>
      <w:bookmarkEnd w:id="68"/>
      <w:bookmarkEnd w:id="69"/>
      <w:bookmarkEnd w:id="70"/>
      <w:bookmarkEnd w:id="71"/>
      <w:bookmarkEnd w:id="72"/>
      <w:bookmarkEnd w:id="73"/>
      <w:bookmarkEnd w:id="74"/>
      <w:bookmarkEnd w:id="75"/>
      <w:bookmarkEnd w:id="76"/>
      <w:bookmarkEnd w:id="77"/>
    </w:p>
    <w:p w14:paraId="0C3FE93A">
      <w:pPr>
        <w:pageBreakBefore w:val="0"/>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rPr>
      </w:pPr>
      <w:bookmarkStart w:id="78" w:name="_Toc495559188"/>
      <w:bookmarkStart w:id="79" w:name="_Toc434901219"/>
      <w:bookmarkStart w:id="80" w:name="_Toc434901095"/>
      <w:bookmarkStart w:id="81" w:name="_Toc475439297"/>
      <w:r>
        <w:rPr>
          <w:rFonts w:hint="default" w:ascii="Times New Roman" w:hAnsi="Times New Roman" w:eastAsia="仿宋_GB2312" w:cs="Times New Roman"/>
          <w:b/>
          <w:bCs/>
          <w:sz w:val="32"/>
          <w:szCs w:val="32"/>
          <w:highlight w:val="none"/>
        </w:rPr>
        <w:t>坚持生态优先，系统精准保护。</w:t>
      </w:r>
      <w:r>
        <w:rPr>
          <w:rFonts w:hint="default" w:ascii="Times New Roman" w:hAnsi="Times New Roman" w:eastAsia="仿宋_GB2312" w:cs="Times New Roman"/>
          <w:sz w:val="32"/>
          <w:szCs w:val="32"/>
          <w:highlight w:val="none"/>
        </w:rPr>
        <w:t>坚持尊重自然、顺应自然、保护自然，秉持“山水林田湖草沙”系统治理观，全面维护经济发展与资源环境及生态系统的平衡。强化全过程管控，因地制宜、精准施策，构建生态系统良性循环，提升“绿水青山”优质生态产品供给。</w:t>
      </w:r>
    </w:p>
    <w:p w14:paraId="7EFFDA75">
      <w:pPr>
        <w:pageBreakBefore w:val="0"/>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坚持低碳引领，绿色循环发展。</w:t>
      </w:r>
      <w:r>
        <w:rPr>
          <w:rFonts w:hint="default" w:ascii="Times New Roman" w:hAnsi="Times New Roman" w:eastAsia="仿宋_GB2312" w:cs="Times New Roman"/>
          <w:sz w:val="32"/>
          <w:szCs w:val="32"/>
          <w:highlight w:val="none"/>
        </w:rPr>
        <w:t>把握“减污降碳协同增效”总体要求，以“碳达峰”目标和“碳中和”愿景为引领，夯实绿色、低碳、循环发展理念，全面推动生产生活方式绿色低碳转型，推进应对气候变化与环境治理、生态保护协同增效，推动区域可持续发展。</w:t>
      </w:r>
    </w:p>
    <w:p w14:paraId="5625DB13">
      <w:pPr>
        <w:pageBreakBefore w:val="0"/>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坚持数字智治，改革创新驱动。</w:t>
      </w:r>
      <w:r>
        <w:rPr>
          <w:rFonts w:hint="default" w:ascii="Times New Roman" w:hAnsi="Times New Roman" w:eastAsia="仿宋_GB2312" w:cs="Times New Roman"/>
          <w:sz w:val="32"/>
          <w:szCs w:val="32"/>
          <w:highlight w:val="none"/>
        </w:rPr>
        <w:t>坚持“整体智治、唯实惟先”理念，以数字化改革为牵引，着力推进生态环境领域改革创新驱动，持续提升生态环境治理体系和治理能力现代化效能。深化生态文明体制机制改革，积极探索践行“绿水青山就是金山银山”理念新模式新路径。</w:t>
      </w:r>
    </w:p>
    <w:p w14:paraId="7866D743">
      <w:pPr>
        <w:pageBreakBefore w:val="0"/>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坚持生态为民，多元共治共享。</w:t>
      </w:r>
      <w:r>
        <w:rPr>
          <w:rFonts w:hint="default" w:ascii="Times New Roman" w:hAnsi="Times New Roman" w:eastAsia="仿宋_GB2312" w:cs="Times New Roman"/>
          <w:sz w:val="32"/>
          <w:szCs w:val="32"/>
          <w:highlight w:val="none"/>
        </w:rPr>
        <w:t>以生态惠民、生态利民、生态为民为目标，强化生态产品价值实现，充分释放“绿水青山就是金山银山”红利。持续提升全民生态自觉，引导社会公众有序参与环境决策、环境治理和环境监督，不断增强人民群众的获得感、幸福感、安全感和认同感。</w:t>
      </w:r>
    </w:p>
    <w:p w14:paraId="6C591688">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82" w:name="_Toc21880"/>
      <w:bookmarkStart w:id="83" w:name="_Toc10135"/>
      <w:bookmarkStart w:id="84" w:name="_Toc11298"/>
      <w:bookmarkStart w:id="85" w:name="_Toc13170"/>
      <w:bookmarkStart w:id="86" w:name="_Toc16202"/>
      <w:bookmarkStart w:id="87" w:name="_Toc23786"/>
      <w:bookmarkStart w:id="88" w:name="_Toc9810"/>
      <w:bookmarkStart w:id="89" w:name="_Toc20289"/>
      <w:bookmarkStart w:id="90" w:name="_Toc28314"/>
      <w:bookmarkStart w:id="91" w:name="_Toc11025"/>
      <w:bookmarkStart w:id="92" w:name="_Toc4657"/>
      <w:r>
        <w:rPr>
          <w:rFonts w:hint="default" w:ascii="Times New Roman" w:hAnsi="Times New Roman" w:eastAsia="楷体_GB2312" w:cs="Times New Roman"/>
          <w:b/>
          <w:bCs w:val="0"/>
          <w:snapToGrid w:val="0"/>
          <w:highlight w:val="none"/>
          <w:lang w:val="en-US" w:eastAsia="zh-CN"/>
        </w:rPr>
        <w:t>第三节 规划范围和期限</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4203595">
      <w:pPr>
        <w:pStyle w:val="5"/>
        <w:pageBreakBefore w:val="0"/>
        <w:kinsoku/>
        <w:wordWrap/>
        <w:bidi w:val="0"/>
        <w:spacing w:beforeLines="0" w:afterLines="0" w:line="360" w:lineRule="auto"/>
        <w:ind w:firstLine="640" w:firstLineChars="200"/>
        <w:outlineLvl w:val="2"/>
        <w:rPr>
          <w:rFonts w:hint="eastAsia" w:ascii="黑体" w:hAnsi="黑体" w:eastAsia="黑体" w:cs="黑体"/>
          <w:b w:val="0"/>
          <w:sz w:val="32"/>
          <w:szCs w:val="32"/>
          <w:highlight w:val="none"/>
        </w:rPr>
      </w:pPr>
      <w:r>
        <w:rPr>
          <w:rFonts w:hint="eastAsia" w:ascii="黑体" w:hAnsi="黑体" w:eastAsia="黑体" w:cs="黑体"/>
          <w:b w:val="0"/>
          <w:sz w:val="32"/>
          <w:szCs w:val="32"/>
          <w:highlight w:val="none"/>
          <w:lang w:val="en-US" w:eastAsia="zh-CN"/>
        </w:rPr>
        <w:t>一、</w:t>
      </w:r>
      <w:r>
        <w:rPr>
          <w:rFonts w:hint="eastAsia" w:ascii="黑体" w:hAnsi="黑体" w:eastAsia="黑体" w:cs="黑体"/>
          <w:b w:val="0"/>
          <w:sz w:val="32"/>
          <w:szCs w:val="32"/>
          <w:highlight w:val="none"/>
        </w:rPr>
        <w:t>规划范围</w:t>
      </w:r>
    </w:p>
    <w:p w14:paraId="4645A87F">
      <w:pPr>
        <w:pStyle w:val="49"/>
        <w:pageBreakBefore w:val="0"/>
        <w:kinsoku/>
        <w:wordWrap/>
        <w:topLinePunct/>
        <w:bidi w:val="0"/>
        <w:spacing w:line="360" w:lineRule="auto"/>
        <w:ind w:firstLine="629"/>
        <w:rPr>
          <w:rFonts w:hint="default" w:ascii="Times New Roman" w:hAnsi="Times New Roman" w:eastAsia="仿宋_GB2312" w:cs="Times New Roman"/>
          <w:highlight w:val="none"/>
        </w:rPr>
      </w:pPr>
      <w:r>
        <w:rPr>
          <w:rFonts w:hint="default" w:ascii="Times New Roman" w:hAnsi="Times New Roman" w:eastAsia="仿宋_GB2312" w:cs="Times New Roman"/>
          <w:highlight w:val="none"/>
        </w:rPr>
        <w:t>规划范围为清溪行政区域</w:t>
      </w:r>
      <w:r>
        <w:rPr>
          <w:rFonts w:hint="eastAsia"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包括清溪镇和国营清溪林场，总面积140</w:t>
      </w:r>
      <w:r>
        <w:rPr>
          <w:rFonts w:hint="eastAsia" w:eastAsia="仿宋_GB2312" w:cs="Times New Roman"/>
          <w:highlight w:val="none"/>
          <w:lang w:val="en-US" w:eastAsia="zh-CN"/>
        </w:rPr>
        <w:t>.1</w:t>
      </w:r>
      <w:r>
        <w:rPr>
          <w:rFonts w:hint="default" w:ascii="Times New Roman" w:hAnsi="Times New Roman" w:eastAsia="仿宋_GB2312" w:cs="Times New Roman"/>
          <w:highlight w:val="none"/>
        </w:rPr>
        <w:t>平方公里</w:t>
      </w:r>
      <w:r>
        <w:rPr>
          <w:rFonts w:hint="eastAsia" w:ascii="Times New Roman" w:hAnsi="Times New Roman" w:eastAsia="仿宋_GB2312" w:cs="Times New Roman"/>
          <w:highlight w:val="none"/>
          <w:lang w:eastAsia="zh-CN"/>
        </w:rPr>
        <w:t>。</w:t>
      </w:r>
      <w:r>
        <w:rPr>
          <w:rFonts w:hint="default" w:ascii="Times New Roman" w:hAnsi="Times New Roman" w:eastAsia="仿宋_GB2312" w:cs="Times New Roman"/>
          <w:highlight w:val="none"/>
        </w:rPr>
        <w:t>全镇1个社区，20个行政村，114</w:t>
      </w:r>
      <w:r>
        <w:rPr>
          <w:rFonts w:hint="eastAsia" w:eastAsia="仿宋_GB2312" w:cs="Times New Roman"/>
          <w:highlight w:val="none"/>
          <w:lang w:val="en-US" w:eastAsia="zh-CN"/>
        </w:rPr>
        <w:t>个</w:t>
      </w:r>
      <w:r>
        <w:rPr>
          <w:rFonts w:hint="default" w:ascii="Times New Roman" w:hAnsi="Times New Roman" w:eastAsia="仿宋_GB2312" w:cs="Times New Roman"/>
          <w:highlight w:val="none"/>
        </w:rPr>
        <w:t>自然村。</w:t>
      </w:r>
    </w:p>
    <w:p w14:paraId="394AC48E">
      <w:pPr>
        <w:pStyle w:val="5"/>
        <w:pageBreakBefore w:val="0"/>
        <w:widowControl w:val="0"/>
        <w:kinsoku/>
        <w:wordWrap/>
        <w:topLinePunct w:val="0"/>
        <w:bidi w:val="0"/>
        <w:spacing w:beforeLines="0" w:afterLines="0" w:line="360" w:lineRule="auto"/>
        <w:ind w:firstLine="640" w:firstLineChars="200"/>
        <w:outlineLvl w:val="2"/>
        <w:rPr>
          <w:rFonts w:hint="eastAsia" w:ascii="黑体" w:hAnsi="黑体" w:eastAsia="黑体" w:cs="黑体"/>
          <w:b w:val="0"/>
          <w:highlight w:val="none"/>
        </w:rPr>
      </w:pPr>
      <w:r>
        <w:rPr>
          <w:rFonts w:hint="eastAsia" w:ascii="黑体" w:hAnsi="黑体" w:eastAsia="黑体" w:cs="黑体"/>
          <w:b w:val="0"/>
          <w:sz w:val="32"/>
          <w:szCs w:val="32"/>
          <w:highlight w:val="none"/>
          <w:lang w:val="en-US" w:eastAsia="zh-CN"/>
        </w:rPr>
        <w:t>二、</w:t>
      </w:r>
      <w:r>
        <w:rPr>
          <w:rFonts w:hint="eastAsia" w:ascii="黑体" w:hAnsi="黑体" w:eastAsia="黑体" w:cs="黑体"/>
          <w:b w:val="0"/>
          <w:sz w:val="32"/>
          <w:szCs w:val="32"/>
          <w:highlight w:val="none"/>
        </w:rPr>
        <w:t>规划期限</w:t>
      </w:r>
    </w:p>
    <w:p w14:paraId="06D9AA81">
      <w:pPr>
        <w:pStyle w:val="49"/>
        <w:pageBreakBefore w:val="0"/>
        <w:kinsoku/>
        <w:wordWrap/>
        <w:topLinePunct/>
        <w:bidi w:val="0"/>
        <w:spacing w:line="360" w:lineRule="auto"/>
        <w:ind w:firstLine="629"/>
        <w:rPr>
          <w:rFonts w:ascii="Times New Roman" w:hAnsi="Times New Roman" w:eastAsia="仿宋_GB2312" w:cs="Times New Roman"/>
          <w:highlight w:val="none"/>
        </w:rPr>
      </w:pPr>
      <w:r>
        <w:rPr>
          <w:rFonts w:hint="eastAsia" w:eastAsia="仿宋_GB2312"/>
          <w:highlight w:val="none"/>
        </w:rPr>
        <w:t>规划以</w:t>
      </w:r>
      <w:r>
        <w:rPr>
          <w:rFonts w:hint="eastAsia" w:eastAsia="仿宋_GB2312"/>
          <w:highlight w:val="none"/>
          <w:lang w:eastAsia="zh-CN"/>
        </w:rPr>
        <w:t>2</w:t>
      </w:r>
      <w:r>
        <w:rPr>
          <w:rFonts w:hint="eastAsia" w:eastAsia="仿宋_GB2312"/>
          <w:highlight w:val="none"/>
          <w:lang w:val="en-US" w:eastAsia="zh-CN"/>
        </w:rPr>
        <w:t>023</w:t>
      </w:r>
      <w:r>
        <w:rPr>
          <w:rFonts w:hint="eastAsia" w:eastAsia="仿宋_GB2312"/>
          <w:highlight w:val="none"/>
        </w:rPr>
        <w:t>年为</w:t>
      </w:r>
      <w:r>
        <w:rPr>
          <w:rFonts w:hint="eastAsia" w:eastAsia="仿宋_GB2312"/>
          <w:highlight w:val="none"/>
          <w:lang w:val="en-US" w:eastAsia="zh-CN"/>
        </w:rPr>
        <w:t>基准</w:t>
      </w:r>
      <w:r>
        <w:rPr>
          <w:rFonts w:hint="eastAsia" w:eastAsia="仿宋_GB2312"/>
          <w:highlight w:val="none"/>
        </w:rPr>
        <w:t>年</w:t>
      </w:r>
      <w:r>
        <w:rPr>
          <w:rFonts w:hint="eastAsia" w:eastAsia="仿宋_GB2312"/>
          <w:highlight w:val="none"/>
          <w:lang w:val="en-US" w:eastAsia="zh-CN"/>
        </w:rPr>
        <w:t>。</w:t>
      </w:r>
      <w:r>
        <w:rPr>
          <w:rFonts w:hint="eastAsia" w:eastAsia="仿宋_GB2312"/>
          <w:highlight w:val="none"/>
        </w:rPr>
        <w:t>规划期限为202</w:t>
      </w:r>
      <w:r>
        <w:rPr>
          <w:rFonts w:hint="eastAsia" w:eastAsia="仿宋_GB2312"/>
          <w:highlight w:val="none"/>
          <w:lang w:val="en-US" w:eastAsia="zh-CN"/>
        </w:rPr>
        <w:t>4</w:t>
      </w:r>
      <w:r>
        <w:rPr>
          <w:rFonts w:hint="eastAsia" w:eastAsia="仿宋_GB2312"/>
          <w:highlight w:val="none"/>
          <w:lang w:eastAsia="zh-CN"/>
        </w:rPr>
        <w:t>—</w:t>
      </w:r>
      <w:r>
        <w:rPr>
          <w:rFonts w:hint="eastAsia" w:eastAsia="仿宋_GB2312"/>
          <w:highlight w:val="none"/>
        </w:rPr>
        <w:t>20</w:t>
      </w:r>
      <w:r>
        <w:rPr>
          <w:rFonts w:hint="eastAsia" w:eastAsia="仿宋_GB2312"/>
          <w:highlight w:val="none"/>
          <w:lang w:val="en-US" w:eastAsia="zh-CN"/>
        </w:rPr>
        <w:t>30</w:t>
      </w:r>
      <w:r>
        <w:rPr>
          <w:rFonts w:hint="eastAsia" w:eastAsia="仿宋_GB2312"/>
          <w:highlight w:val="none"/>
        </w:rPr>
        <w:t>年</w:t>
      </w:r>
      <w:r>
        <w:rPr>
          <w:rFonts w:hint="eastAsia" w:eastAsia="仿宋_GB2312"/>
          <w:highlight w:val="none"/>
          <w:lang w:eastAsia="zh-CN"/>
        </w:rPr>
        <w:t>，</w:t>
      </w:r>
      <w:r>
        <w:rPr>
          <w:rFonts w:hint="eastAsia" w:eastAsia="仿宋_GB2312"/>
          <w:highlight w:val="none"/>
        </w:rPr>
        <w:t>规划近期为202</w:t>
      </w:r>
      <w:r>
        <w:rPr>
          <w:rFonts w:hint="eastAsia" w:eastAsia="仿宋_GB2312"/>
          <w:highlight w:val="none"/>
          <w:lang w:val="en-US" w:eastAsia="zh-CN"/>
        </w:rPr>
        <w:t>4</w:t>
      </w:r>
      <w:r>
        <w:rPr>
          <w:rFonts w:hint="eastAsia" w:eastAsia="仿宋_GB2312"/>
          <w:highlight w:val="none"/>
        </w:rPr>
        <w:t>—202</w:t>
      </w:r>
      <w:r>
        <w:rPr>
          <w:rFonts w:hint="eastAsia" w:eastAsia="仿宋_GB2312"/>
          <w:highlight w:val="none"/>
          <w:lang w:eastAsia="zh-CN"/>
        </w:rPr>
        <w:t>5</w:t>
      </w:r>
      <w:r>
        <w:rPr>
          <w:rFonts w:hint="eastAsia" w:eastAsia="仿宋_GB2312"/>
          <w:highlight w:val="none"/>
        </w:rPr>
        <w:t>年</w:t>
      </w:r>
      <w:r>
        <w:rPr>
          <w:rFonts w:hint="eastAsia" w:eastAsia="仿宋_GB2312"/>
          <w:highlight w:val="none"/>
          <w:lang w:eastAsia="zh-CN"/>
        </w:rPr>
        <w:t>，</w:t>
      </w:r>
      <w:r>
        <w:rPr>
          <w:rFonts w:hint="eastAsia" w:eastAsia="仿宋_GB2312"/>
          <w:highlight w:val="none"/>
        </w:rPr>
        <w:t>规划远期</w:t>
      </w:r>
      <w:r>
        <w:rPr>
          <w:rFonts w:hint="eastAsia" w:eastAsia="仿宋_GB2312"/>
          <w:highlight w:val="none"/>
          <w:lang w:val="en-US" w:eastAsia="zh-CN"/>
        </w:rPr>
        <w:t>为</w:t>
      </w:r>
      <w:r>
        <w:rPr>
          <w:rFonts w:hint="eastAsia" w:eastAsia="仿宋_GB2312"/>
          <w:highlight w:val="none"/>
        </w:rPr>
        <w:t>2026—20</w:t>
      </w:r>
      <w:r>
        <w:rPr>
          <w:rFonts w:hint="eastAsia" w:eastAsia="仿宋_GB2312"/>
          <w:highlight w:val="none"/>
          <w:lang w:val="en-US" w:eastAsia="zh-CN"/>
        </w:rPr>
        <w:t>30</w:t>
      </w:r>
      <w:r>
        <w:rPr>
          <w:rFonts w:hint="eastAsia" w:eastAsia="仿宋_GB2312"/>
          <w:highlight w:val="none"/>
        </w:rPr>
        <w:t>年。</w:t>
      </w:r>
    </w:p>
    <w:p w14:paraId="2CC4D4F7">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93" w:name="_Toc26654"/>
      <w:bookmarkStart w:id="94" w:name="_Toc10266"/>
      <w:bookmarkStart w:id="95" w:name="_Toc7834"/>
      <w:bookmarkStart w:id="96" w:name="_Toc30896"/>
      <w:bookmarkStart w:id="97" w:name="_Toc23076"/>
      <w:bookmarkStart w:id="98" w:name="_Toc18626"/>
      <w:bookmarkStart w:id="99" w:name="_Toc143"/>
      <w:bookmarkStart w:id="100" w:name="_Toc32151"/>
      <w:bookmarkStart w:id="101" w:name="_Toc5336"/>
      <w:bookmarkStart w:id="102" w:name="_Toc5328"/>
      <w:bookmarkStart w:id="103" w:name="_Toc19062"/>
      <w:r>
        <w:rPr>
          <w:rFonts w:hint="default" w:ascii="Times New Roman" w:hAnsi="Times New Roman" w:eastAsia="楷体_GB2312" w:cs="Times New Roman"/>
          <w:b/>
          <w:bCs w:val="0"/>
          <w:snapToGrid w:val="0"/>
          <w:highlight w:val="none"/>
          <w:lang w:val="en-US" w:eastAsia="zh-CN"/>
        </w:rPr>
        <w:t>第</w:t>
      </w:r>
      <w:r>
        <w:rPr>
          <w:rFonts w:hint="default" w:ascii="Times New Roman" w:hAnsi="Times New Roman" w:eastAsia="楷体_GB2312" w:cs="Times New Roman"/>
          <w:b/>
          <w:bCs w:val="0"/>
          <w:snapToGrid w:val="0"/>
          <w:highlight w:val="none"/>
          <w:lang w:val="en-US" w:eastAsia="zh-CN"/>
        </w:rPr>
        <w:fldChar w:fldCharType="begin"/>
      </w:r>
      <w:r>
        <w:rPr>
          <w:rFonts w:hint="default" w:ascii="Times New Roman" w:hAnsi="Times New Roman" w:eastAsia="楷体_GB2312" w:cs="Times New Roman"/>
          <w:b/>
          <w:bCs w:val="0"/>
          <w:snapToGrid w:val="0"/>
          <w:highlight w:val="none"/>
          <w:lang w:val="en-US" w:eastAsia="zh-CN"/>
        </w:rPr>
        <w:instrText xml:space="preserve"> HYPERLINK \l "_Toc22447" </w:instrText>
      </w:r>
      <w:r>
        <w:rPr>
          <w:rFonts w:hint="default" w:ascii="Times New Roman" w:hAnsi="Times New Roman" w:eastAsia="楷体_GB2312" w:cs="Times New Roman"/>
          <w:b/>
          <w:bCs w:val="0"/>
          <w:snapToGrid w:val="0"/>
          <w:highlight w:val="none"/>
          <w:lang w:val="en-US" w:eastAsia="zh-CN"/>
        </w:rPr>
        <w:fldChar w:fldCharType="separate"/>
      </w:r>
      <w:bookmarkStart w:id="104" w:name="_Toc495559189"/>
      <w:bookmarkStart w:id="105" w:name="_Toc475439298"/>
      <w:r>
        <w:rPr>
          <w:rFonts w:hint="default" w:ascii="Times New Roman" w:hAnsi="Times New Roman" w:eastAsia="楷体_GB2312" w:cs="Times New Roman"/>
          <w:b/>
          <w:bCs w:val="0"/>
          <w:snapToGrid w:val="0"/>
          <w:highlight w:val="none"/>
          <w:lang w:val="en-US" w:eastAsia="zh-CN"/>
        </w:rPr>
        <w:t>四节 规划目标</w:t>
      </w:r>
      <w:bookmarkEnd w:id="104"/>
      <w:bookmarkEnd w:id="105"/>
      <w:r>
        <w:rPr>
          <w:rFonts w:hint="default" w:ascii="Times New Roman" w:hAnsi="Times New Roman" w:eastAsia="楷体_GB2312" w:cs="Times New Roman"/>
          <w:b/>
          <w:bCs w:val="0"/>
          <w:snapToGrid w:val="0"/>
          <w:highlight w:val="none"/>
          <w:lang w:val="en-US" w:eastAsia="zh-CN"/>
        </w:rPr>
        <w:fldChar w:fldCharType="end"/>
      </w:r>
      <w:r>
        <w:rPr>
          <w:rFonts w:hint="default" w:ascii="Times New Roman" w:hAnsi="Times New Roman" w:eastAsia="楷体_GB2312" w:cs="Times New Roman"/>
          <w:b/>
          <w:bCs w:val="0"/>
          <w:snapToGrid w:val="0"/>
          <w:highlight w:val="none"/>
          <w:lang w:val="en-US" w:eastAsia="zh-CN"/>
        </w:rPr>
        <w:t>与指标</w:t>
      </w:r>
      <w:bookmarkEnd w:id="93"/>
      <w:bookmarkEnd w:id="94"/>
      <w:bookmarkEnd w:id="95"/>
      <w:bookmarkEnd w:id="96"/>
      <w:bookmarkEnd w:id="97"/>
      <w:bookmarkEnd w:id="98"/>
      <w:bookmarkEnd w:id="99"/>
      <w:bookmarkEnd w:id="100"/>
      <w:bookmarkEnd w:id="101"/>
      <w:bookmarkEnd w:id="102"/>
      <w:bookmarkEnd w:id="103"/>
    </w:p>
    <w:p w14:paraId="2C2E944B">
      <w:pPr>
        <w:pStyle w:val="5"/>
        <w:keepNext w:val="0"/>
        <w:keepLines w:val="0"/>
        <w:pageBreakBefore w:val="0"/>
        <w:kinsoku/>
        <w:wordWrap/>
        <w:bidi w:val="0"/>
        <w:spacing w:beforeLines="0" w:afterLines="0" w:line="360" w:lineRule="auto"/>
        <w:ind w:firstLine="640" w:firstLineChars="200"/>
        <w:rPr>
          <w:rFonts w:hint="default" w:ascii="黑体" w:hAnsi="黑体" w:eastAsia="黑体" w:cs="黑体"/>
          <w:b w:val="0"/>
          <w:bCs/>
          <w:highlight w:val="none"/>
          <w:lang w:val="en-US" w:eastAsia="zh-CN"/>
        </w:rPr>
      </w:pPr>
      <w:bookmarkStart w:id="106" w:name="_Toc475441841"/>
      <w:r>
        <w:rPr>
          <w:rFonts w:hint="eastAsia" w:ascii="黑体" w:hAnsi="黑体" w:eastAsia="黑体" w:cs="黑体"/>
          <w:b w:val="0"/>
          <w:bCs/>
          <w:highlight w:val="none"/>
          <w:lang w:val="en-US" w:eastAsia="zh-CN"/>
        </w:rPr>
        <w:t>一、总体目标</w:t>
      </w:r>
    </w:p>
    <w:p w14:paraId="7D1E8C1D">
      <w:pPr>
        <w:pStyle w:val="49"/>
        <w:keepNext w:val="0"/>
        <w:keepLines w:val="0"/>
        <w:pageBreakBefore w:val="0"/>
        <w:kinsoku/>
        <w:wordWrap/>
        <w:topLinePunct/>
        <w:bidi w:val="0"/>
        <w:spacing w:beforeLines="0" w:afterLines="0" w:line="360" w:lineRule="auto"/>
        <w:ind w:firstLine="640" w:firstLineChars="200"/>
        <w:rPr>
          <w:rFonts w:hint="default" w:ascii="Times New Roman" w:hAnsi="Times New Roman" w:eastAsia="仿宋_GB2312" w:cs="Times New Roman"/>
          <w:b w:val="0"/>
          <w:bCs/>
          <w:highlight w:val="none"/>
          <w:lang w:val="en-US" w:eastAsia="zh-CN"/>
        </w:rPr>
      </w:pPr>
      <w:r>
        <w:rPr>
          <w:rFonts w:hint="default" w:ascii="Times New Roman" w:hAnsi="Times New Roman" w:eastAsia="仿宋_GB2312" w:cs="Times New Roman"/>
          <w:b w:val="0"/>
          <w:bCs/>
          <w:highlight w:val="none"/>
        </w:rPr>
        <w:t>围绕“高质量发展”和“百千万工程”，锚定美丽中国、美丽东莞</w:t>
      </w:r>
      <w:r>
        <w:rPr>
          <w:rFonts w:hint="eastAsia" w:eastAsia="仿宋_GB2312" w:cs="Times New Roman"/>
          <w:b w:val="0"/>
          <w:bCs/>
          <w:highlight w:val="none"/>
          <w:lang w:eastAsia="zh-CN"/>
        </w:rPr>
        <w:t>、</w:t>
      </w:r>
      <w:r>
        <w:rPr>
          <w:rFonts w:hint="eastAsia" w:eastAsia="仿宋_GB2312" w:cs="Times New Roman"/>
          <w:b w:val="0"/>
          <w:bCs/>
          <w:highlight w:val="none"/>
          <w:lang w:val="en-US" w:eastAsia="zh-CN"/>
        </w:rPr>
        <w:t>美丽清溪</w:t>
      </w:r>
      <w:r>
        <w:rPr>
          <w:rFonts w:hint="default" w:ascii="Times New Roman" w:hAnsi="Times New Roman" w:eastAsia="仿宋_GB2312" w:cs="Times New Roman"/>
          <w:b w:val="0"/>
          <w:bCs/>
          <w:highlight w:val="none"/>
        </w:rPr>
        <w:t>建设目标，以绿美东莞生态建设为牵引，建立健全生态文明制度体系</w:t>
      </w:r>
      <w:r>
        <w:rPr>
          <w:rFonts w:hint="eastAsia" w:eastAsia="仿宋_GB2312" w:cs="Times New Roman"/>
          <w:b w:val="0"/>
          <w:bCs/>
          <w:highlight w:val="none"/>
          <w:lang w:eastAsia="zh-CN"/>
        </w:rPr>
        <w:t>，</w:t>
      </w:r>
      <w:r>
        <w:rPr>
          <w:rFonts w:hint="default" w:ascii="Times New Roman" w:hAnsi="Times New Roman" w:eastAsia="仿宋_GB2312" w:cs="Times New Roman"/>
          <w:b w:val="0"/>
          <w:bCs/>
          <w:highlight w:val="none"/>
        </w:rPr>
        <w:t>持续改善生态环境质量</w:t>
      </w:r>
      <w:r>
        <w:rPr>
          <w:rFonts w:hint="eastAsia" w:eastAsia="仿宋_GB2312" w:cs="Times New Roman"/>
          <w:b w:val="0"/>
          <w:bCs/>
          <w:highlight w:val="none"/>
          <w:lang w:eastAsia="zh-CN"/>
        </w:rPr>
        <w:t>，</w:t>
      </w:r>
      <w:r>
        <w:rPr>
          <w:rFonts w:hint="default" w:ascii="Times New Roman" w:hAnsi="Times New Roman" w:eastAsia="仿宋_GB2312" w:cs="Times New Roman"/>
          <w:b w:val="0"/>
          <w:bCs/>
          <w:highlight w:val="none"/>
        </w:rPr>
        <w:t>进一步优化空间开发格局</w:t>
      </w:r>
      <w:r>
        <w:rPr>
          <w:rFonts w:hint="eastAsia" w:eastAsia="仿宋_GB2312" w:cs="Times New Roman"/>
          <w:b w:val="0"/>
          <w:bCs/>
          <w:highlight w:val="none"/>
          <w:lang w:eastAsia="zh-CN"/>
        </w:rPr>
        <w:t>，</w:t>
      </w:r>
      <w:r>
        <w:rPr>
          <w:rFonts w:hint="default" w:ascii="Times New Roman" w:hAnsi="Times New Roman" w:eastAsia="仿宋_GB2312" w:cs="Times New Roman"/>
          <w:b w:val="0"/>
          <w:bCs/>
          <w:highlight w:val="none"/>
        </w:rPr>
        <w:t>显著提高生态经济发展水平</w:t>
      </w:r>
      <w:r>
        <w:rPr>
          <w:rFonts w:hint="eastAsia" w:eastAsia="仿宋_GB2312" w:cs="Times New Roman"/>
          <w:b w:val="0"/>
          <w:bCs/>
          <w:highlight w:val="none"/>
          <w:lang w:eastAsia="zh-CN"/>
        </w:rPr>
        <w:t>，</w:t>
      </w:r>
      <w:r>
        <w:rPr>
          <w:rFonts w:hint="default" w:ascii="Times New Roman" w:hAnsi="Times New Roman" w:eastAsia="仿宋_GB2312" w:cs="Times New Roman"/>
          <w:b w:val="0"/>
          <w:bCs/>
          <w:highlight w:val="none"/>
        </w:rPr>
        <w:t>实现绿色生活方式转型</w:t>
      </w:r>
      <w:r>
        <w:rPr>
          <w:rFonts w:hint="eastAsia" w:eastAsia="仿宋_GB2312" w:cs="Times New Roman"/>
          <w:b w:val="0"/>
          <w:bCs/>
          <w:highlight w:val="none"/>
          <w:lang w:eastAsia="zh-CN"/>
        </w:rPr>
        <w:t>，</w:t>
      </w:r>
      <w:r>
        <w:rPr>
          <w:rFonts w:hint="default" w:ascii="Times New Roman" w:hAnsi="Times New Roman" w:eastAsia="仿宋_GB2312" w:cs="Times New Roman"/>
          <w:b w:val="0"/>
          <w:bCs/>
          <w:highlight w:val="none"/>
        </w:rPr>
        <w:t>全面增强全社会生态文明理念，率先建成人与自然和谐共生的美丽</w:t>
      </w:r>
      <w:r>
        <w:rPr>
          <w:rFonts w:hint="eastAsia" w:eastAsia="仿宋_GB2312" w:cs="Times New Roman"/>
          <w:b w:val="0"/>
          <w:bCs/>
          <w:highlight w:val="none"/>
          <w:lang w:val="en-US" w:eastAsia="zh-CN"/>
        </w:rPr>
        <w:t>清溪</w:t>
      </w:r>
      <w:r>
        <w:rPr>
          <w:rFonts w:hint="default" w:ascii="Times New Roman" w:hAnsi="Times New Roman" w:eastAsia="仿宋_GB2312" w:cs="Times New Roman"/>
          <w:b w:val="0"/>
          <w:bCs/>
          <w:highlight w:val="none"/>
        </w:rPr>
        <w:t>。</w:t>
      </w:r>
    </w:p>
    <w:bookmarkEnd w:id="106"/>
    <w:p w14:paraId="743DE902">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rPr>
      </w:pPr>
      <w:bookmarkStart w:id="107" w:name="_Toc475441842"/>
      <w:r>
        <w:rPr>
          <w:rFonts w:hint="eastAsia" w:ascii="黑体" w:hAnsi="黑体" w:eastAsia="黑体" w:cs="黑体"/>
          <w:b w:val="0"/>
          <w:bCs/>
          <w:highlight w:val="none"/>
          <w:lang w:val="en-US" w:eastAsia="zh-CN"/>
        </w:rPr>
        <w:t>二、阶段</w:t>
      </w:r>
      <w:r>
        <w:rPr>
          <w:rFonts w:hint="eastAsia" w:ascii="黑体" w:hAnsi="黑体" w:eastAsia="黑体" w:cs="黑体"/>
          <w:b w:val="0"/>
          <w:bCs/>
          <w:highlight w:val="none"/>
        </w:rPr>
        <w:t>目标</w:t>
      </w:r>
    </w:p>
    <w:p w14:paraId="3633ACB2">
      <w:pPr>
        <w:pStyle w:val="49"/>
        <w:pageBreakBefore w:val="0"/>
        <w:kinsoku/>
        <w:wordWrap/>
        <w:topLinePunct/>
        <w:bidi w:val="0"/>
        <w:spacing w:line="360" w:lineRule="auto"/>
        <w:ind w:firstLine="629"/>
        <w:rPr>
          <w:rFonts w:hint="default" w:ascii="Times New Roman" w:hAnsi="Times New Roman" w:eastAsia="仿宋_GB2312" w:cs="Times New Roman"/>
          <w:b w:val="0"/>
          <w:bCs/>
          <w:highlight w:val="none"/>
          <w:lang w:val="en-US" w:eastAsia="zh-CN"/>
        </w:rPr>
      </w:pPr>
      <w:r>
        <w:rPr>
          <w:rFonts w:hint="eastAsia" w:eastAsia="仿宋_GB2312" w:cs="Times New Roman"/>
          <w:b w:val="0"/>
          <w:bCs/>
          <w:highlight w:val="none"/>
          <w:lang w:val="en-US" w:eastAsia="zh-CN"/>
        </w:rPr>
        <w:t>规划近期（2024—2025年）：</w:t>
      </w:r>
      <w:r>
        <w:rPr>
          <w:rFonts w:hint="default" w:ascii="Times New Roman" w:hAnsi="Times New Roman" w:eastAsia="仿宋_GB2312" w:cs="Times New Roman"/>
          <w:b w:val="0"/>
          <w:bCs/>
          <w:highlight w:val="none"/>
          <w:lang w:val="en-US" w:eastAsia="zh-CN"/>
        </w:rPr>
        <w:t>生态环境质量进一步提升，主要污染物排放总量持续减少，</w:t>
      </w:r>
      <w:r>
        <w:rPr>
          <w:rFonts w:ascii="Times New Roman" w:hAnsi="Times New Roman" w:eastAsia="仿宋_GB2312" w:cs="Times New Roman"/>
          <w:b w:val="0"/>
          <w:bCs/>
          <w:highlight w:val="none"/>
        </w:rPr>
        <w:t>大气和水环境质量持续改善，土壤环境质量总体保持稳定，生态系统</w:t>
      </w:r>
      <w:r>
        <w:rPr>
          <w:rFonts w:hint="default" w:ascii="Times New Roman" w:hAnsi="Times New Roman" w:eastAsia="仿宋_GB2312" w:cs="Times New Roman"/>
          <w:b w:val="0"/>
          <w:bCs/>
          <w:highlight w:val="none"/>
          <w:lang w:val="en-US" w:eastAsia="zh-CN"/>
        </w:rPr>
        <w:t>稳定性</w:t>
      </w:r>
      <w:r>
        <w:rPr>
          <w:rFonts w:ascii="Times New Roman" w:hAnsi="Times New Roman" w:eastAsia="仿宋_GB2312" w:cs="Times New Roman"/>
          <w:b w:val="0"/>
          <w:bCs/>
          <w:highlight w:val="none"/>
        </w:rPr>
        <w:t>增强，</w:t>
      </w:r>
      <w:r>
        <w:rPr>
          <w:rFonts w:hint="default" w:ascii="Times New Roman" w:hAnsi="Times New Roman" w:eastAsia="仿宋_GB2312" w:cs="Times New Roman"/>
          <w:b w:val="0"/>
          <w:bCs/>
          <w:highlight w:val="none"/>
          <w:lang w:val="en-US" w:eastAsia="zh-CN"/>
        </w:rPr>
        <w:t>环境风险得到有效管控，</w:t>
      </w:r>
      <w:r>
        <w:rPr>
          <w:rFonts w:ascii="Times New Roman" w:hAnsi="Times New Roman" w:eastAsia="仿宋_GB2312" w:cs="Times New Roman"/>
          <w:b w:val="0"/>
          <w:bCs/>
          <w:highlight w:val="none"/>
        </w:rPr>
        <w:t>环境监管能力显著</w:t>
      </w:r>
      <w:r>
        <w:rPr>
          <w:rFonts w:hint="default" w:ascii="Times New Roman" w:hAnsi="Times New Roman" w:eastAsia="仿宋_GB2312" w:cs="Times New Roman"/>
          <w:b w:val="0"/>
          <w:bCs/>
          <w:highlight w:val="none"/>
          <w:lang w:val="en-US" w:eastAsia="zh-CN"/>
        </w:rPr>
        <w:t>提升</w:t>
      </w:r>
      <w:r>
        <w:rPr>
          <w:rFonts w:ascii="Times New Roman" w:hAnsi="Times New Roman" w:eastAsia="仿宋_GB2312" w:cs="Times New Roman"/>
          <w:b w:val="0"/>
          <w:bCs/>
          <w:highlight w:val="none"/>
        </w:rPr>
        <w:t>，环境风险得到有效管控，生态文明制度体系基本</w:t>
      </w:r>
      <w:r>
        <w:rPr>
          <w:rFonts w:hint="default" w:ascii="Times New Roman" w:hAnsi="Times New Roman" w:eastAsia="仿宋_GB2312" w:cs="Times New Roman"/>
          <w:b w:val="0"/>
          <w:bCs/>
          <w:highlight w:val="none"/>
          <w:lang w:val="en-US" w:eastAsia="zh-CN"/>
        </w:rPr>
        <w:t>建立，生产生活方式绿色转型成效显著，宜居品牌更加巩固。</w:t>
      </w:r>
    </w:p>
    <w:p w14:paraId="44109C11">
      <w:pPr>
        <w:pStyle w:val="49"/>
        <w:pageBreakBefore w:val="0"/>
        <w:kinsoku/>
        <w:wordWrap/>
        <w:topLinePunct/>
        <w:bidi w:val="0"/>
        <w:spacing w:line="360" w:lineRule="auto"/>
        <w:ind w:firstLine="629"/>
        <w:rPr>
          <w:rFonts w:hint="default" w:ascii="Times New Roman" w:hAnsi="Times New Roman" w:eastAsia="仿宋_GB2312" w:cs="Times New Roman"/>
          <w:b w:val="0"/>
          <w:bCs/>
          <w:highlight w:val="none"/>
          <w:lang w:val="en-US" w:eastAsia="zh-CN"/>
        </w:rPr>
      </w:pPr>
      <w:r>
        <w:rPr>
          <w:rFonts w:hint="eastAsia" w:eastAsia="仿宋_GB2312" w:cs="Times New Roman"/>
          <w:b w:val="0"/>
          <w:bCs/>
          <w:highlight w:val="none"/>
          <w:lang w:val="en-US" w:eastAsia="zh-CN"/>
        </w:rPr>
        <w:t>规划远期（2026—2030年）：</w:t>
      </w:r>
      <w:r>
        <w:rPr>
          <w:rFonts w:hint="eastAsia" w:eastAsia="仿宋_GB2312"/>
          <w:bCs/>
          <w:highlight w:val="none"/>
        </w:rPr>
        <w:t>生态文明建设成果持续深化，生态文明建设长效机制不断健全，碳达峰目标逐步实现，“</w:t>
      </w:r>
      <w:r>
        <w:rPr>
          <w:rFonts w:hint="default" w:eastAsia="仿宋_GB2312"/>
          <w:bCs/>
          <w:highlight w:val="none"/>
        </w:rPr>
        <w:t>湾区高质量发展新高地</w:t>
      </w:r>
      <w:r>
        <w:rPr>
          <w:rFonts w:hint="eastAsia" w:eastAsia="仿宋_GB2312"/>
          <w:bCs/>
          <w:highlight w:val="none"/>
        </w:rPr>
        <w:t>”典型示范效应凸显，率先建设美丽中国</w:t>
      </w:r>
      <w:r>
        <w:rPr>
          <w:rFonts w:hint="eastAsia" w:eastAsia="仿宋_GB2312"/>
          <w:bCs/>
          <w:highlight w:val="none"/>
          <w:lang w:val="en-US" w:eastAsia="zh-CN"/>
        </w:rPr>
        <w:t>清溪</w:t>
      </w:r>
      <w:r>
        <w:rPr>
          <w:rFonts w:hint="eastAsia" w:eastAsia="仿宋_GB2312"/>
          <w:bCs/>
          <w:highlight w:val="none"/>
        </w:rPr>
        <w:t>样板。</w:t>
      </w:r>
    </w:p>
    <w:p w14:paraId="535CE498">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eastAsia="zh-CN"/>
        </w:rPr>
      </w:pPr>
      <w:r>
        <w:rPr>
          <w:rFonts w:hint="eastAsia" w:ascii="黑体" w:hAnsi="黑体" w:eastAsia="黑体" w:cs="黑体"/>
          <w:b w:val="0"/>
          <w:bCs/>
          <w:highlight w:val="none"/>
          <w:lang w:val="en-US" w:eastAsia="zh-CN"/>
        </w:rPr>
        <w:t>三、建设</w:t>
      </w:r>
      <w:r>
        <w:rPr>
          <w:rFonts w:hint="eastAsia" w:ascii="黑体" w:hAnsi="黑体" w:eastAsia="黑体" w:cs="黑体"/>
          <w:b w:val="0"/>
          <w:bCs/>
          <w:highlight w:val="none"/>
        </w:rPr>
        <w:t>指标</w:t>
      </w:r>
      <w:bookmarkEnd w:id="107"/>
    </w:p>
    <w:p w14:paraId="7363722F">
      <w:pPr>
        <w:pStyle w:val="49"/>
        <w:pageBreakBefore w:val="0"/>
        <w:kinsoku/>
        <w:wordWrap/>
        <w:topLinePunct/>
        <w:bidi w:val="0"/>
        <w:spacing w:line="360" w:lineRule="auto"/>
        <w:ind w:firstLine="640" w:firstLineChars="200"/>
        <w:rPr>
          <w:rFonts w:hint="eastAsia"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rPr>
        <w:t>生态环境保护的指标体系包括环境</w:t>
      </w:r>
      <w:r>
        <w:rPr>
          <w:rFonts w:hint="eastAsia" w:eastAsia="仿宋_GB2312" w:cs="Times New Roman"/>
          <w:kern w:val="0"/>
          <w:sz w:val="32"/>
          <w:szCs w:val="32"/>
          <w:highlight w:val="none"/>
          <w:lang w:val="en-US" w:eastAsia="zh-CN"/>
        </w:rPr>
        <w:t>质量改善</w:t>
      </w:r>
      <w:r>
        <w:rPr>
          <w:rFonts w:hint="default" w:ascii="Times New Roman" w:hAnsi="Times New Roman" w:eastAsia="仿宋_GB2312" w:cs="Times New Roman"/>
          <w:kern w:val="0"/>
          <w:sz w:val="32"/>
          <w:szCs w:val="32"/>
          <w:highlight w:val="none"/>
        </w:rPr>
        <w:t>、</w:t>
      </w:r>
      <w:r>
        <w:rPr>
          <w:rFonts w:hint="eastAsia" w:eastAsia="仿宋_GB2312" w:cs="Times New Roman"/>
          <w:kern w:val="0"/>
          <w:sz w:val="32"/>
          <w:szCs w:val="32"/>
          <w:highlight w:val="none"/>
          <w:lang w:val="en-US" w:eastAsia="zh-CN"/>
        </w:rPr>
        <w:t>主要污染物总量减少、</w:t>
      </w:r>
      <w:r>
        <w:rPr>
          <w:rFonts w:hint="default" w:ascii="Times New Roman" w:hAnsi="Times New Roman" w:eastAsia="仿宋_GB2312" w:cs="Times New Roman"/>
          <w:kern w:val="0"/>
          <w:sz w:val="32"/>
          <w:szCs w:val="32"/>
          <w:highlight w:val="none"/>
        </w:rPr>
        <w:t>环境风险防控、生态保护</w:t>
      </w:r>
      <w:r>
        <w:rPr>
          <w:rFonts w:hint="eastAsia" w:eastAsia="仿宋_GB2312" w:cs="Times New Roman"/>
          <w:kern w:val="0"/>
          <w:sz w:val="32"/>
          <w:szCs w:val="32"/>
          <w:highlight w:val="none"/>
          <w:lang w:val="en-US" w:eastAsia="zh-CN"/>
        </w:rPr>
        <w:t>四</w:t>
      </w:r>
      <w:r>
        <w:rPr>
          <w:rFonts w:hint="default" w:ascii="Times New Roman" w:hAnsi="Times New Roman" w:eastAsia="仿宋_GB2312" w:cs="Times New Roman"/>
          <w:kern w:val="0"/>
          <w:sz w:val="32"/>
          <w:szCs w:val="32"/>
          <w:highlight w:val="none"/>
        </w:rPr>
        <w:t>大类共</w:t>
      </w:r>
      <w:r>
        <w:rPr>
          <w:rFonts w:hint="eastAsia" w:eastAsia="仿宋_GB2312" w:cs="Times New Roman"/>
          <w:kern w:val="0"/>
          <w:sz w:val="32"/>
          <w:szCs w:val="32"/>
          <w:highlight w:val="none"/>
          <w:lang w:val="en-US" w:eastAsia="zh-CN"/>
        </w:rPr>
        <w:t>19</w:t>
      </w:r>
      <w:r>
        <w:rPr>
          <w:rFonts w:hint="default" w:ascii="Times New Roman" w:hAnsi="Times New Roman" w:eastAsia="仿宋_GB2312" w:cs="Times New Roman"/>
          <w:kern w:val="0"/>
          <w:sz w:val="32"/>
          <w:szCs w:val="32"/>
          <w:highlight w:val="none"/>
        </w:rPr>
        <w:t>项指标，分为约束性指标和预期性指标两类属性，各项具体指标见表</w:t>
      </w:r>
      <w:r>
        <w:rPr>
          <w:rFonts w:hint="default" w:ascii="Times New Roman" w:hAnsi="Times New Roman" w:eastAsia="仿宋_GB2312" w:cs="Times New Roman"/>
          <w:kern w:val="0"/>
          <w:sz w:val="32"/>
          <w:szCs w:val="32"/>
          <w:highlight w:val="none"/>
          <w:lang w:val="en-US" w:eastAsia="zh-CN"/>
        </w:rPr>
        <w:t>2-1</w:t>
      </w:r>
      <w:r>
        <w:rPr>
          <w:rFonts w:hint="default" w:ascii="Times New Roman" w:hAnsi="Times New Roman" w:eastAsia="仿宋_GB2312" w:cs="Times New Roman"/>
          <w:kern w:val="0"/>
          <w:sz w:val="32"/>
          <w:szCs w:val="32"/>
          <w:highlight w:val="none"/>
        </w:rPr>
        <w:t>。</w:t>
      </w:r>
    </w:p>
    <w:p w14:paraId="69EF4923">
      <w:pPr>
        <w:pStyle w:val="49"/>
        <w:pageBreakBefore w:val="0"/>
        <w:kinsoku/>
        <w:wordWrap/>
        <w:topLinePunct/>
        <w:bidi w:val="0"/>
        <w:spacing w:line="360" w:lineRule="auto"/>
        <w:ind w:firstLine="629"/>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b/>
          <w:bCs/>
          <w:kern w:val="0"/>
          <w:sz w:val="32"/>
          <w:szCs w:val="32"/>
          <w:highlight w:val="none"/>
        </w:rPr>
        <w:t>——环境质量总体改善</w:t>
      </w:r>
      <w:r>
        <w:rPr>
          <w:rFonts w:hint="default" w:ascii="Times New Roman" w:hAnsi="Times New Roman" w:eastAsia="仿宋_GB2312" w:cs="Times New Roman"/>
          <w:b/>
          <w:bCs/>
          <w:kern w:val="0"/>
          <w:sz w:val="32"/>
          <w:szCs w:val="32"/>
          <w:highlight w:val="none"/>
          <w:lang w:eastAsia="zh-CN"/>
        </w:rPr>
        <w:t>。</w:t>
      </w:r>
      <w:r>
        <w:rPr>
          <w:rFonts w:hint="default" w:ascii="Times New Roman" w:hAnsi="Times New Roman" w:eastAsia="仿宋_GB2312" w:cs="Times New Roman"/>
          <w:kern w:val="0"/>
          <w:sz w:val="32"/>
          <w:szCs w:val="32"/>
          <w:highlight w:val="none"/>
        </w:rPr>
        <w:t>大气环境质量持续改善，城市空气质量优良天数比率和PM2.5年均浓度控制在市下达目标内</w:t>
      </w:r>
      <w:r>
        <w:rPr>
          <w:rFonts w:hint="eastAsia"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O</w:t>
      </w:r>
      <w:r>
        <w:rPr>
          <w:rFonts w:hint="default" w:ascii="Times New Roman" w:hAnsi="Times New Roman" w:eastAsia="仿宋_GB2312" w:cs="Times New Roman"/>
          <w:kern w:val="0"/>
          <w:sz w:val="32"/>
          <w:szCs w:val="32"/>
          <w:highlight w:val="none"/>
          <w:vertAlign w:val="subscript"/>
        </w:rPr>
        <w:t>3-8h</w:t>
      </w:r>
      <w:r>
        <w:rPr>
          <w:rFonts w:hint="default" w:ascii="Times New Roman" w:hAnsi="Times New Roman" w:eastAsia="仿宋_GB2312" w:cs="Times New Roman"/>
          <w:kern w:val="0"/>
          <w:sz w:val="32"/>
          <w:szCs w:val="32"/>
          <w:highlight w:val="none"/>
        </w:rPr>
        <w:t>第90百分位数浓度</w:t>
      </w:r>
      <w:r>
        <w:rPr>
          <w:rFonts w:hint="eastAsia" w:eastAsia="仿宋_GB2312" w:cs="Times New Roman"/>
          <w:kern w:val="0"/>
          <w:sz w:val="32"/>
          <w:szCs w:val="32"/>
          <w:highlight w:val="none"/>
          <w:lang w:val="en-US" w:eastAsia="zh-CN"/>
        </w:rPr>
        <w:t>得到有效控制</w:t>
      </w:r>
      <w:r>
        <w:rPr>
          <w:rFonts w:hint="default" w:ascii="Times New Roman" w:hAnsi="Times New Roman" w:eastAsia="仿宋_GB2312" w:cs="Times New Roman"/>
          <w:kern w:val="0"/>
          <w:sz w:val="32"/>
          <w:szCs w:val="32"/>
          <w:highlight w:val="none"/>
        </w:rPr>
        <w:t>；水环境质量持续提升，</w:t>
      </w:r>
      <w:r>
        <w:rPr>
          <w:rFonts w:hint="eastAsia" w:eastAsia="仿宋_GB2312"/>
          <w:highlight w:val="none"/>
        </w:rPr>
        <w:t>城镇生活污水集中收集效能</w:t>
      </w:r>
      <w:r>
        <w:rPr>
          <w:rFonts w:hint="eastAsia" w:eastAsia="仿宋_GB2312"/>
          <w:highlight w:val="none"/>
          <w:lang w:val="en-US" w:eastAsia="zh-CN"/>
        </w:rPr>
        <w:t>稳步</w:t>
      </w:r>
      <w:r>
        <w:rPr>
          <w:rFonts w:hint="eastAsia" w:eastAsia="仿宋_GB2312"/>
          <w:highlight w:val="none"/>
        </w:rPr>
        <w:t>提高</w:t>
      </w:r>
      <w:r>
        <w:rPr>
          <w:rFonts w:hint="default" w:ascii="Times New Roman" w:hAnsi="Times New Roman" w:eastAsia="仿宋_GB2312" w:cs="Times New Roman"/>
          <w:kern w:val="0"/>
          <w:sz w:val="32"/>
          <w:szCs w:val="32"/>
          <w:highlight w:val="none"/>
        </w:rPr>
        <w:t>。</w:t>
      </w:r>
    </w:p>
    <w:p w14:paraId="2F0409E3">
      <w:pPr>
        <w:pStyle w:val="49"/>
        <w:pageBreakBefore w:val="0"/>
        <w:kinsoku/>
        <w:wordWrap/>
        <w:topLinePunct/>
        <w:bidi w:val="0"/>
        <w:spacing w:line="360" w:lineRule="auto"/>
        <w:ind w:firstLine="629"/>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b/>
          <w:bCs/>
          <w:kern w:val="0"/>
          <w:sz w:val="32"/>
          <w:szCs w:val="32"/>
          <w:highlight w:val="none"/>
        </w:rPr>
        <w:t>——污染物排放总量得到有效控制</w:t>
      </w:r>
      <w:r>
        <w:rPr>
          <w:rFonts w:hint="eastAsia" w:eastAsia="仿宋_GB2312" w:cs="Times New Roman"/>
          <w:b/>
          <w:bCs/>
          <w:kern w:val="0"/>
          <w:sz w:val="32"/>
          <w:szCs w:val="32"/>
          <w:highlight w:val="none"/>
          <w:lang w:eastAsia="zh-CN"/>
        </w:rPr>
        <w:t>。</w:t>
      </w:r>
      <w:r>
        <w:rPr>
          <w:rFonts w:hint="default" w:ascii="Times New Roman" w:hAnsi="Times New Roman" w:eastAsia="仿宋_GB2312" w:cs="Times New Roman"/>
          <w:kern w:val="0"/>
          <w:sz w:val="32"/>
          <w:szCs w:val="32"/>
          <w:highlight w:val="none"/>
        </w:rPr>
        <w:t>化学需氧量、氨氮、氮氧化物、挥发性有机物重点工程减排量完成市下达目标。</w:t>
      </w:r>
    </w:p>
    <w:p w14:paraId="0FF0B06E">
      <w:pPr>
        <w:pStyle w:val="49"/>
        <w:pageBreakBefore w:val="0"/>
        <w:kinsoku/>
        <w:wordWrap/>
        <w:topLinePunct/>
        <w:bidi w:val="0"/>
        <w:spacing w:line="360" w:lineRule="auto"/>
        <w:ind w:firstLine="629"/>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b/>
          <w:bCs/>
          <w:kern w:val="0"/>
          <w:sz w:val="32"/>
          <w:szCs w:val="32"/>
          <w:highlight w:val="none"/>
        </w:rPr>
        <w:t>——环境风险得到全面控制</w:t>
      </w:r>
      <w:r>
        <w:rPr>
          <w:rFonts w:hint="default" w:ascii="Times New Roman" w:hAnsi="Times New Roman" w:eastAsia="仿宋_GB2312" w:cs="Times New Roman"/>
          <w:kern w:val="0"/>
          <w:sz w:val="32"/>
          <w:szCs w:val="32"/>
          <w:highlight w:val="none"/>
        </w:rPr>
        <w:t>。土壤环境安全得到有效保障，受污染耕地安全利用率和重点建设用地安全利用完成市下达目标，地下水国控点位</w:t>
      </w:r>
      <w:r>
        <w:rPr>
          <w:rFonts w:hint="eastAsia" w:eastAsia="仿宋_GB2312" w:cs="Times New Roman"/>
          <w:kern w:val="0"/>
          <w:sz w:val="32"/>
          <w:szCs w:val="32"/>
          <w:highlight w:val="none"/>
          <w:lang w:val="en-US" w:eastAsia="zh-CN"/>
        </w:rPr>
        <w:t>消除</w:t>
      </w:r>
      <w:r>
        <w:rPr>
          <w:rFonts w:hint="default" w:ascii="Times New Roman" w:hAnsi="Times New Roman" w:eastAsia="仿宋_GB2312" w:cs="Times New Roman"/>
          <w:kern w:val="0"/>
          <w:sz w:val="32"/>
          <w:szCs w:val="32"/>
          <w:highlight w:val="none"/>
        </w:rPr>
        <w:t>V类</w:t>
      </w:r>
      <w:r>
        <w:rPr>
          <w:rFonts w:hint="eastAsia" w:eastAsia="仿宋_GB2312" w:cs="Times New Roman"/>
          <w:kern w:val="0"/>
          <w:sz w:val="32"/>
          <w:szCs w:val="32"/>
          <w:highlight w:val="none"/>
          <w:lang w:val="en-US" w:eastAsia="zh-CN"/>
        </w:rPr>
        <w:t>水体</w:t>
      </w:r>
      <w:r>
        <w:rPr>
          <w:rFonts w:hint="eastAsia"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工业危险废物和</w:t>
      </w:r>
      <w:r>
        <w:rPr>
          <w:rFonts w:hint="default" w:ascii="Times New Roman" w:hAnsi="Times New Roman" w:eastAsia="仿宋_GB2312" w:cs="Times New Roman"/>
          <w:kern w:val="0"/>
          <w:sz w:val="32"/>
          <w:szCs w:val="32"/>
          <w:highlight w:val="none"/>
          <w:lang w:val="en-US" w:eastAsia="zh-CN"/>
        </w:rPr>
        <w:t>镇</w:t>
      </w:r>
      <w:r>
        <w:rPr>
          <w:rFonts w:hint="default" w:ascii="Times New Roman" w:hAnsi="Times New Roman" w:eastAsia="仿宋_GB2312" w:cs="Times New Roman"/>
          <w:kern w:val="0"/>
          <w:sz w:val="32"/>
          <w:szCs w:val="32"/>
          <w:highlight w:val="none"/>
        </w:rPr>
        <w:t>级以上医疗废物得到安全处置。</w:t>
      </w:r>
    </w:p>
    <w:p w14:paraId="51C91DA3">
      <w:pPr>
        <w:pageBreakBefore w:val="0"/>
        <w:kinsoku/>
        <w:wordWrap/>
        <w:bidi w:val="0"/>
        <w:adjustRightInd w:val="0"/>
        <w:snapToGrid w:val="0"/>
        <w:spacing w:line="360" w:lineRule="auto"/>
        <w:ind w:firstLine="643" w:firstLineChars="200"/>
        <w:jc w:val="left"/>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b/>
          <w:bCs/>
          <w:kern w:val="0"/>
          <w:sz w:val="32"/>
          <w:szCs w:val="32"/>
          <w:highlight w:val="none"/>
        </w:rPr>
        <w:t>——生态系统稳定性显著增强</w:t>
      </w:r>
      <w:r>
        <w:rPr>
          <w:rFonts w:hint="default" w:ascii="Times New Roman" w:hAnsi="Times New Roman" w:eastAsia="仿宋_GB2312" w:cs="Times New Roman"/>
          <w:b/>
          <w:bCs/>
          <w:kern w:val="0"/>
          <w:sz w:val="32"/>
          <w:szCs w:val="32"/>
          <w:highlight w:val="none"/>
          <w:lang w:eastAsia="zh-CN"/>
        </w:rPr>
        <w:t>。</w:t>
      </w:r>
      <w:r>
        <w:rPr>
          <w:rFonts w:hint="default" w:ascii="Times New Roman" w:hAnsi="Times New Roman" w:eastAsia="仿宋_GB2312" w:cs="Times New Roman"/>
          <w:kern w:val="0"/>
          <w:sz w:val="32"/>
          <w:szCs w:val="32"/>
          <w:highlight w:val="none"/>
        </w:rPr>
        <w:t>重要生态空间得到有效保护，生态保护红线面积不减少、功能不降低、性质不改变，生态安全格局更加稳固，森林覆盖率</w:t>
      </w:r>
      <w:r>
        <w:rPr>
          <w:rFonts w:hint="eastAsia" w:eastAsia="仿宋_GB2312" w:cs="Times New Roman"/>
          <w:kern w:val="0"/>
          <w:sz w:val="32"/>
          <w:szCs w:val="32"/>
          <w:highlight w:val="none"/>
          <w:lang w:val="en-US" w:eastAsia="zh-CN"/>
        </w:rPr>
        <w:t>完成市核定目标，推进“美丽河湖”建设</w:t>
      </w:r>
      <w:r>
        <w:rPr>
          <w:rFonts w:hint="default" w:ascii="Times New Roman" w:hAnsi="Times New Roman" w:eastAsia="仿宋_GB2312" w:cs="Times New Roman"/>
          <w:kern w:val="0"/>
          <w:sz w:val="32"/>
          <w:szCs w:val="32"/>
          <w:highlight w:val="none"/>
        </w:rPr>
        <w:t>，生态系统质量和稳定性持续提升。</w:t>
      </w:r>
    </w:p>
    <w:p w14:paraId="79AF5619">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047FE038">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02DFD1E7">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0E34661C">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24572F71">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72E64120">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727CCAAB">
      <w:pPr>
        <w:pageBreakBefore w:val="0"/>
        <w:kinsoku/>
        <w:wordWrap/>
        <w:bidi w:val="0"/>
        <w:adjustRightInd w:val="0"/>
        <w:snapToGrid w:val="0"/>
        <w:spacing w:line="360" w:lineRule="auto"/>
        <w:ind w:firstLine="640" w:firstLineChars="200"/>
        <w:jc w:val="left"/>
        <w:rPr>
          <w:rFonts w:hint="default" w:ascii="Times New Roman" w:hAnsi="Times New Roman" w:eastAsia="仿宋_GB2312" w:cs="Times New Roman"/>
          <w:kern w:val="0"/>
          <w:sz w:val="32"/>
          <w:szCs w:val="32"/>
          <w:highlight w:val="none"/>
        </w:rPr>
      </w:pPr>
    </w:p>
    <w:p w14:paraId="2A9392A4">
      <w:pPr>
        <w:pageBreakBefore w:val="0"/>
        <w:kinsoku/>
        <w:wordWrap/>
        <w:bidi w:val="0"/>
        <w:adjustRightInd w:val="0"/>
        <w:snapToGrid w:val="0"/>
        <w:spacing w:line="360" w:lineRule="auto"/>
        <w:jc w:val="center"/>
        <w:rPr>
          <w:rFonts w:ascii="Times New Roman" w:hAnsi="Times New Roman" w:eastAsia="仿宋_GB2312" w:cs="Times New Roman"/>
          <w:b/>
          <w:kern w:val="0"/>
          <w:sz w:val="28"/>
          <w:szCs w:val="32"/>
          <w:highlight w:val="none"/>
        </w:rPr>
      </w:pPr>
      <w:r>
        <w:rPr>
          <w:rFonts w:ascii="Times New Roman" w:hAnsi="Times New Roman" w:eastAsia="仿宋_GB2312" w:cs="Times New Roman"/>
          <w:b/>
          <w:kern w:val="0"/>
          <w:sz w:val="28"/>
          <w:szCs w:val="32"/>
          <w:highlight w:val="none"/>
        </w:rPr>
        <w:t xml:space="preserve">表2-1 </w:t>
      </w:r>
      <w:r>
        <w:rPr>
          <w:rFonts w:hint="default" w:ascii="Times New Roman" w:hAnsi="Times New Roman" w:eastAsia="仿宋_GB2312" w:cs="Times New Roman"/>
          <w:b/>
          <w:kern w:val="0"/>
          <w:sz w:val="28"/>
          <w:szCs w:val="32"/>
          <w:highlight w:val="none"/>
          <w:lang w:val="en-US" w:eastAsia="zh-CN"/>
        </w:rPr>
        <w:t>清溪</w:t>
      </w:r>
      <w:r>
        <w:rPr>
          <w:rFonts w:ascii="Times New Roman" w:hAnsi="Times New Roman" w:eastAsia="仿宋_GB2312" w:cs="Times New Roman"/>
          <w:b/>
          <w:kern w:val="0"/>
          <w:sz w:val="28"/>
          <w:szCs w:val="32"/>
          <w:highlight w:val="none"/>
        </w:rPr>
        <w:t>镇生态环境保护规划目标指标</w:t>
      </w:r>
    </w:p>
    <w:tbl>
      <w:tblPr>
        <w:tblStyle w:val="30"/>
        <w:tblW w:w="5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14"/>
        <w:gridCol w:w="1919"/>
        <w:gridCol w:w="1004"/>
        <w:gridCol w:w="984"/>
        <w:gridCol w:w="51"/>
        <w:gridCol w:w="1036"/>
        <w:gridCol w:w="1886"/>
        <w:gridCol w:w="1221"/>
      </w:tblGrid>
      <w:tr w14:paraId="1E2C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74A3A05">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序号</w:t>
            </w:r>
          </w:p>
        </w:tc>
        <w:tc>
          <w:tcPr>
            <w:tcW w:w="514" w:type="pct"/>
            <w:tcBorders>
              <w:top w:val="single" w:color="auto" w:sz="4" w:space="0"/>
              <w:left w:val="single" w:color="auto" w:sz="4" w:space="0"/>
              <w:bottom w:val="single" w:color="auto" w:sz="4" w:space="0"/>
              <w:right w:val="single" w:color="auto" w:sz="4" w:space="0"/>
              <w:tl2br w:val="nil"/>
              <w:tr2bl w:val="nil"/>
            </w:tcBorders>
            <w:vAlign w:val="center"/>
          </w:tcPr>
          <w:p w14:paraId="09DDEBE3">
            <w:pPr>
              <w:pStyle w:val="68"/>
              <w:spacing w:line="240" w:lineRule="auto"/>
              <w:ind w:left="0" w:leftChars="0" w:right="0" w:rightChars="0" w:firstLine="0" w:firstLineChars="0"/>
              <w:rPr>
                <w:rFonts w:hint="default" w:eastAsia="仿宋" w:cs="Times New Roman"/>
                <w:b/>
                <w:bCs/>
                <w:highlight w:val="none"/>
              </w:rPr>
            </w:pPr>
            <w:r>
              <w:rPr>
                <w:rFonts w:hint="default" w:eastAsia="仿宋" w:cs="Times New Roman"/>
                <w:b/>
                <w:bCs/>
                <w:highlight w:val="none"/>
              </w:rPr>
              <w:t>指标</w:t>
            </w:r>
          </w:p>
          <w:p w14:paraId="72FA3813">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类型</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5C88181F">
            <w:pPr>
              <w:pStyle w:val="68"/>
              <w:spacing w:line="240" w:lineRule="auto"/>
              <w:ind w:left="0" w:leftChars="0" w:right="0" w:rightChars="0" w:firstLine="0" w:firstLineChars="0"/>
              <w:rPr>
                <w:rFonts w:hint="default" w:cs="Times New Roman"/>
                <w:b/>
                <w:bCs/>
                <w:highlight w:val="none"/>
              </w:rPr>
            </w:pPr>
            <w:r>
              <w:rPr>
                <w:rStyle w:val="69"/>
                <w:rFonts w:hint="default" w:eastAsia="仿宋"/>
                <w:b/>
                <w:bCs/>
                <w:highlight w:val="none"/>
              </w:rPr>
              <w:t>二级指</w:t>
            </w:r>
            <w:r>
              <w:rPr>
                <w:rFonts w:hint="default" w:eastAsia="仿宋" w:cs="Times New Roman"/>
                <w:b/>
                <w:bCs/>
                <w:highlight w:val="none"/>
              </w:rPr>
              <w:t>标</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64EC7CBD">
            <w:pPr>
              <w:pStyle w:val="68"/>
              <w:spacing w:line="240" w:lineRule="auto"/>
              <w:ind w:left="0" w:leftChars="0" w:right="0" w:rightChars="0" w:firstLine="0" w:firstLineChars="0"/>
              <w:rPr>
                <w:rFonts w:hint="default" w:cs="Times New Roman"/>
                <w:b/>
                <w:bCs/>
                <w:highlight w:val="none"/>
              </w:rPr>
            </w:pPr>
            <w:r>
              <w:rPr>
                <w:rFonts w:hint="default" w:cs="Times New Roman"/>
                <w:b/>
                <w:bCs/>
                <w:highlight w:val="none"/>
              </w:rPr>
              <w:t>202</w:t>
            </w:r>
            <w:r>
              <w:rPr>
                <w:rFonts w:hint="eastAsia" w:cs="Times New Roman"/>
                <w:b/>
                <w:bCs/>
                <w:highlight w:val="none"/>
                <w:lang w:val="en-US" w:eastAsia="zh-CN"/>
              </w:rPr>
              <w:t>3</w:t>
            </w:r>
            <w:r>
              <w:rPr>
                <w:rFonts w:hint="default" w:eastAsia="仿宋" w:cs="Times New Roman"/>
                <w:b/>
                <w:bCs/>
                <w:highlight w:val="none"/>
              </w:rPr>
              <w:t>年值</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7A7169F7">
            <w:pPr>
              <w:pStyle w:val="68"/>
              <w:spacing w:line="240" w:lineRule="auto"/>
              <w:ind w:left="0" w:leftChars="0" w:right="0" w:rightChars="0" w:firstLine="0" w:firstLineChars="0"/>
              <w:rPr>
                <w:rFonts w:hint="default" w:cs="Times New Roman"/>
                <w:b/>
                <w:bCs/>
                <w:highlight w:val="none"/>
              </w:rPr>
            </w:pPr>
            <w:r>
              <w:rPr>
                <w:rFonts w:hint="default" w:cs="Times New Roman"/>
                <w:b/>
                <w:bCs/>
                <w:highlight w:val="none"/>
              </w:rPr>
              <w:t>2025</w:t>
            </w:r>
            <w:r>
              <w:rPr>
                <w:rFonts w:hint="default" w:eastAsia="仿宋" w:cs="Times New Roman"/>
                <w:b/>
                <w:bCs/>
                <w:highlight w:val="none"/>
              </w:rPr>
              <w:t>年值</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9003D84">
            <w:pPr>
              <w:pStyle w:val="68"/>
              <w:spacing w:line="240" w:lineRule="auto"/>
              <w:ind w:left="0" w:leftChars="0" w:right="0" w:rightChars="0" w:firstLine="0" w:firstLineChars="0"/>
              <w:rPr>
                <w:rFonts w:hint="default" w:cs="Times New Roman"/>
                <w:b/>
                <w:bCs/>
                <w:highlight w:val="none"/>
              </w:rPr>
            </w:pPr>
            <w:r>
              <w:rPr>
                <w:rFonts w:hint="default" w:cs="Times New Roman"/>
                <w:b/>
                <w:bCs/>
                <w:highlight w:val="none"/>
              </w:rPr>
              <w:t>20</w:t>
            </w:r>
            <w:r>
              <w:rPr>
                <w:rFonts w:hint="eastAsia" w:cs="Times New Roman"/>
                <w:b/>
                <w:bCs/>
                <w:highlight w:val="none"/>
                <w:lang w:val="en-US" w:eastAsia="zh-CN"/>
              </w:rPr>
              <w:t>30</w:t>
            </w:r>
            <w:r>
              <w:rPr>
                <w:rFonts w:hint="default" w:eastAsia="仿宋" w:cs="Times New Roman"/>
                <w:b/>
                <w:bCs/>
                <w:highlight w:val="none"/>
              </w:rPr>
              <w:t>年值</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74B6375E">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指标依据</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37BA2F5E">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指标属性</w:t>
            </w:r>
          </w:p>
        </w:tc>
      </w:tr>
      <w:tr w14:paraId="0F59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5819867A">
            <w:pPr>
              <w:pStyle w:val="70"/>
              <w:spacing w:line="240" w:lineRule="auto"/>
              <w:rPr>
                <w:kern w:val="2"/>
                <w:sz w:val="24"/>
                <w:szCs w:val="24"/>
                <w:highlight w:val="none"/>
              </w:rPr>
            </w:pPr>
            <w:r>
              <w:rPr>
                <w:kern w:val="2"/>
                <w:sz w:val="24"/>
                <w:szCs w:val="24"/>
                <w:highlight w:val="none"/>
              </w:rPr>
              <w:t>1</w:t>
            </w:r>
          </w:p>
        </w:tc>
        <w:tc>
          <w:tcPr>
            <w:tcW w:w="514" w:type="pct"/>
            <w:vMerge w:val="restart"/>
            <w:tcBorders>
              <w:top w:val="single" w:color="auto" w:sz="4" w:space="0"/>
              <w:left w:val="single" w:color="auto" w:sz="4" w:space="0"/>
              <w:right w:val="single" w:color="auto" w:sz="4" w:space="0"/>
              <w:tl2br w:val="nil"/>
              <w:tr2bl w:val="nil"/>
            </w:tcBorders>
            <w:vAlign w:val="center"/>
          </w:tcPr>
          <w:p w14:paraId="1271B5E9">
            <w:pPr>
              <w:pStyle w:val="70"/>
              <w:spacing w:line="240" w:lineRule="auto"/>
              <w:rPr>
                <w:kern w:val="2"/>
                <w:sz w:val="24"/>
                <w:szCs w:val="24"/>
                <w:highlight w:val="none"/>
              </w:rPr>
            </w:pPr>
            <w:r>
              <w:rPr>
                <w:rFonts w:eastAsia="仿宋"/>
                <w:kern w:val="2"/>
                <w:sz w:val="24"/>
                <w:szCs w:val="24"/>
                <w:highlight w:val="none"/>
              </w:rPr>
              <w:t>环境质量改善</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BB4AF81">
            <w:pPr>
              <w:pStyle w:val="70"/>
              <w:spacing w:line="240" w:lineRule="auto"/>
              <w:rPr>
                <w:kern w:val="2"/>
                <w:sz w:val="24"/>
                <w:szCs w:val="24"/>
                <w:highlight w:val="none"/>
              </w:rPr>
            </w:pPr>
            <w:r>
              <w:rPr>
                <w:rFonts w:eastAsia="仿宋"/>
                <w:kern w:val="2"/>
                <w:sz w:val="24"/>
                <w:szCs w:val="24"/>
                <w:highlight w:val="none"/>
              </w:rPr>
              <w:t>环境空气质量优良天数比例</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03D22A51">
            <w:pPr>
              <w:pStyle w:val="70"/>
              <w:spacing w:line="240" w:lineRule="auto"/>
              <w:rPr>
                <w:kern w:val="2"/>
                <w:sz w:val="24"/>
                <w:szCs w:val="24"/>
                <w:highlight w:val="none"/>
              </w:rPr>
            </w:pPr>
            <w:r>
              <w:rPr>
                <w:kern w:val="2"/>
                <w:sz w:val="24"/>
                <w:szCs w:val="24"/>
                <w:highlight w:val="none"/>
              </w:rPr>
              <w:t>9</w:t>
            </w:r>
            <w:r>
              <w:rPr>
                <w:rFonts w:hint="eastAsia"/>
                <w:kern w:val="2"/>
                <w:sz w:val="24"/>
                <w:szCs w:val="24"/>
                <w:highlight w:val="none"/>
                <w:lang w:val="en-US" w:eastAsia="zh-CN"/>
              </w:rPr>
              <w:t>6</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2DAD70A0">
            <w:pPr>
              <w:pStyle w:val="70"/>
              <w:spacing w:line="240" w:lineRule="auto"/>
              <w:rPr>
                <w:rFonts w:hint="eastAsia" w:eastAsia="仿宋_GB2312"/>
                <w:kern w:val="2"/>
                <w:sz w:val="24"/>
                <w:szCs w:val="24"/>
                <w:highlight w:val="none"/>
                <w:lang w:eastAsia="zh-CN"/>
              </w:rPr>
            </w:pPr>
            <w:r>
              <w:rPr>
                <w:rFonts w:hint="eastAsia" w:eastAsia="仿宋"/>
                <w:kern w:val="2"/>
                <w:sz w:val="24"/>
                <w:szCs w:val="24"/>
                <w:highlight w:val="none"/>
                <w:lang w:val="en-US" w:eastAsia="zh-CN"/>
              </w:rPr>
              <w:t>≥</w:t>
            </w:r>
            <w:r>
              <w:rPr>
                <w:kern w:val="2"/>
                <w:sz w:val="24"/>
                <w:szCs w:val="24"/>
                <w:highlight w:val="none"/>
              </w:rPr>
              <w:t>9</w:t>
            </w:r>
            <w:r>
              <w:rPr>
                <w:rFonts w:hint="eastAsia"/>
                <w:kern w:val="2"/>
                <w:sz w:val="24"/>
                <w:szCs w:val="24"/>
                <w:highlight w:val="none"/>
                <w:lang w:val="en-US" w:eastAsia="zh-CN"/>
              </w:rPr>
              <w:t>6</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B492825">
            <w:pPr>
              <w:pStyle w:val="70"/>
              <w:spacing w:line="240" w:lineRule="auto"/>
              <w:rPr>
                <w:kern w:val="2"/>
                <w:sz w:val="24"/>
                <w:szCs w:val="24"/>
                <w:highlight w:val="none"/>
              </w:rPr>
            </w:pPr>
            <w:r>
              <w:rPr>
                <w:rFonts w:hint="eastAsia" w:eastAsia="仿宋"/>
                <w:kern w:val="2"/>
                <w:sz w:val="24"/>
                <w:szCs w:val="24"/>
                <w:highlight w:val="none"/>
                <w:lang w:val="en-US" w:eastAsia="zh-CN"/>
              </w:rPr>
              <w:t>≥</w:t>
            </w:r>
            <w:r>
              <w:rPr>
                <w:kern w:val="2"/>
                <w:sz w:val="24"/>
                <w:szCs w:val="24"/>
                <w:highlight w:val="none"/>
              </w:rPr>
              <w:t>9</w:t>
            </w:r>
            <w:r>
              <w:rPr>
                <w:rFonts w:hint="eastAsia"/>
                <w:kern w:val="2"/>
                <w:sz w:val="24"/>
                <w:szCs w:val="24"/>
                <w:highlight w:val="none"/>
                <w:lang w:val="en-US" w:eastAsia="zh-CN"/>
              </w:rPr>
              <w:t>6</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EFBFECE">
            <w:pPr>
              <w:pStyle w:val="70"/>
              <w:spacing w:line="240" w:lineRule="auto"/>
              <w:rPr>
                <w:kern w:val="2"/>
                <w:sz w:val="24"/>
                <w:szCs w:val="24"/>
                <w:highlight w:val="none"/>
              </w:rPr>
            </w:pPr>
            <w:r>
              <w:rPr>
                <w:rFonts w:eastAsia="仿宋"/>
                <w:kern w:val="2"/>
                <w:sz w:val="24"/>
                <w:szCs w:val="24"/>
                <w:highlight w:val="none"/>
              </w:rPr>
              <w:t>《东莞市清溪镇国民经济和社会发展第十四个五年规划和2035年远景目标纲要》、《东莞市生态环境保护“十四五”规划》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369C72B">
            <w:pPr>
              <w:pStyle w:val="70"/>
              <w:spacing w:line="240" w:lineRule="auto"/>
              <w:rPr>
                <w:kern w:val="2"/>
                <w:sz w:val="24"/>
                <w:szCs w:val="24"/>
                <w:highlight w:val="none"/>
              </w:rPr>
            </w:pPr>
            <w:r>
              <w:rPr>
                <w:rFonts w:eastAsia="仿宋"/>
                <w:kern w:val="2"/>
                <w:sz w:val="24"/>
                <w:szCs w:val="24"/>
                <w:highlight w:val="none"/>
              </w:rPr>
              <w:t>约束性</w:t>
            </w:r>
          </w:p>
        </w:tc>
      </w:tr>
      <w:tr w14:paraId="3FF7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20ED3235">
            <w:pPr>
              <w:pStyle w:val="70"/>
              <w:spacing w:line="240" w:lineRule="auto"/>
              <w:rPr>
                <w:kern w:val="2"/>
                <w:sz w:val="24"/>
                <w:szCs w:val="24"/>
                <w:highlight w:val="none"/>
              </w:rPr>
            </w:pPr>
            <w:r>
              <w:rPr>
                <w:kern w:val="2"/>
                <w:sz w:val="24"/>
                <w:szCs w:val="24"/>
                <w:highlight w:val="none"/>
              </w:rPr>
              <w:t>2</w:t>
            </w:r>
          </w:p>
        </w:tc>
        <w:tc>
          <w:tcPr>
            <w:tcW w:w="514" w:type="pct"/>
            <w:vMerge w:val="continue"/>
            <w:tcBorders>
              <w:left w:val="single" w:color="auto" w:sz="4" w:space="0"/>
              <w:right w:val="single" w:color="auto" w:sz="4" w:space="0"/>
              <w:tl2br w:val="nil"/>
              <w:tr2bl w:val="nil"/>
            </w:tcBorders>
            <w:vAlign w:val="center"/>
          </w:tcPr>
          <w:p w14:paraId="3E39C0EA">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3AD7A6A2">
            <w:pPr>
              <w:pStyle w:val="70"/>
              <w:spacing w:line="240" w:lineRule="auto"/>
              <w:rPr>
                <w:kern w:val="2"/>
                <w:sz w:val="24"/>
                <w:szCs w:val="24"/>
                <w:highlight w:val="none"/>
              </w:rPr>
            </w:pPr>
            <w:r>
              <w:rPr>
                <w:kern w:val="2"/>
                <w:sz w:val="24"/>
                <w:szCs w:val="24"/>
                <w:highlight w:val="none"/>
              </w:rPr>
              <w:t>PM2.5</w:t>
            </w:r>
            <w:r>
              <w:rPr>
                <w:rFonts w:eastAsia="仿宋"/>
                <w:kern w:val="2"/>
                <w:sz w:val="24"/>
                <w:szCs w:val="24"/>
                <w:highlight w:val="none"/>
              </w:rPr>
              <w:t>年平均浓度</w:t>
            </w:r>
            <w:r>
              <w:rPr>
                <w:rFonts w:hint="eastAsia" w:eastAsia="仿宋"/>
                <w:kern w:val="2"/>
                <w:sz w:val="24"/>
                <w:szCs w:val="24"/>
                <w:highlight w:val="none"/>
              </w:rPr>
              <w:t>（</w:t>
            </w:r>
            <w:r>
              <w:rPr>
                <w:rFonts w:eastAsia="仿宋"/>
                <w:kern w:val="2"/>
                <w:sz w:val="24"/>
                <w:szCs w:val="24"/>
                <w:highlight w:val="none"/>
              </w:rPr>
              <w:t>μg/m</w:t>
            </w:r>
            <w:r>
              <w:rPr>
                <w:kern w:val="2"/>
                <w:sz w:val="24"/>
                <w:szCs w:val="24"/>
                <w:highlight w:val="none"/>
                <w:vertAlign w:val="superscript"/>
              </w:rPr>
              <w:t>3</w:t>
            </w:r>
            <w:r>
              <w:rPr>
                <w:rFonts w:hint="eastAsia"/>
                <w:kern w:val="2"/>
                <w:sz w:val="24"/>
                <w:szCs w:val="24"/>
                <w:highlight w:val="none"/>
                <w:vertAlign w:val="superscript"/>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3BC8AE3">
            <w:pPr>
              <w:pStyle w:val="70"/>
              <w:spacing w:line="240" w:lineRule="auto"/>
              <w:rPr>
                <w:rFonts w:hint="default" w:eastAsia="仿宋_GB2312"/>
                <w:kern w:val="2"/>
                <w:sz w:val="24"/>
                <w:szCs w:val="24"/>
                <w:highlight w:val="none"/>
                <w:lang w:val="en-US" w:eastAsia="zh-CN"/>
              </w:rPr>
            </w:pPr>
            <w:r>
              <w:rPr>
                <w:kern w:val="2"/>
                <w:sz w:val="24"/>
                <w:szCs w:val="24"/>
                <w:highlight w:val="none"/>
              </w:rPr>
              <w:t>1</w:t>
            </w:r>
            <w:r>
              <w:rPr>
                <w:rFonts w:hint="eastAsia"/>
                <w:kern w:val="2"/>
                <w:sz w:val="24"/>
                <w:szCs w:val="24"/>
                <w:highlight w:val="none"/>
                <w:lang w:val="en-US" w:eastAsia="zh-CN"/>
              </w:rPr>
              <w:t>1.8</w:t>
            </w:r>
          </w:p>
        </w:tc>
        <w:tc>
          <w:tcPr>
            <w:tcW w:w="105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728B6CBC">
            <w:pPr>
              <w:pStyle w:val="70"/>
              <w:spacing w:line="240" w:lineRule="auto"/>
              <w:rPr>
                <w:kern w:val="2"/>
                <w:sz w:val="24"/>
                <w:szCs w:val="24"/>
                <w:highlight w:val="none"/>
              </w:rPr>
            </w:pPr>
            <w:r>
              <w:rPr>
                <w:rFonts w:eastAsia="仿宋"/>
                <w:kern w:val="2"/>
                <w:sz w:val="24"/>
                <w:szCs w:val="24"/>
                <w:highlight w:val="none"/>
              </w:rPr>
              <w:t>按市核定目标执行</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7E911CE7">
            <w:pPr>
              <w:pStyle w:val="70"/>
              <w:spacing w:line="240" w:lineRule="auto"/>
              <w:rPr>
                <w:kern w:val="2"/>
                <w:sz w:val="24"/>
                <w:szCs w:val="24"/>
                <w:highlight w:val="none"/>
              </w:rPr>
            </w:pPr>
            <w:r>
              <w:rPr>
                <w:rFonts w:eastAsia="仿宋"/>
                <w:kern w:val="2"/>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29A93DA6">
            <w:pPr>
              <w:pStyle w:val="70"/>
              <w:spacing w:line="240" w:lineRule="auto"/>
              <w:rPr>
                <w:kern w:val="2"/>
                <w:sz w:val="24"/>
                <w:szCs w:val="24"/>
                <w:highlight w:val="none"/>
              </w:rPr>
            </w:pPr>
            <w:r>
              <w:rPr>
                <w:rFonts w:eastAsia="仿宋"/>
                <w:kern w:val="2"/>
                <w:sz w:val="24"/>
                <w:szCs w:val="24"/>
                <w:highlight w:val="none"/>
              </w:rPr>
              <w:t>约束性</w:t>
            </w:r>
          </w:p>
        </w:tc>
      </w:tr>
      <w:tr w14:paraId="169B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21684135">
            <w:pPr>
              <w:pStyle w:val="70"/>
              <w:spacing w:line="240" w:lineRule="auto"/>
              <w:rPr>
                <w:kern w:val="2"/>
                <w:sz w:val="24"/>
                <w:szCs w:val="24"/>
                <w:highlight w:val="none"/>
              </w:rPr>
            </w:pPr>
            <w:r>
              <w:rPr>
                <w:kern w:val="2"/>
                <w:sz w:val="24"/>
                <w:szCs w:val="24"/>
                <w:highlight w:val="none"/>
              </w:rPr>
              <w:t>3</w:t>
            </w:r>
          </w:p>
        </w:tc>
        <w:tc>
          <w:tcPr>
            <w:tcW w:w="514" w:type="pct"/>
            <w:vMerge w:val="continue"/>
            <w:tcBorders>
              <w:left w:val="single" w:color="auto" w:sz="4" w:space="0"/>
              <w:right w:val="single" w:color="auto" w:sz="4" w:space="0"/>
              <w:tl2br w:val="nil"/>
              <w:tr2bl w:val="nil"/>
            </w:tcBorders>
            <w:vAlign w:val="center"/>
          </w:tcPr>
          <w:p w14:paraId="38D293CC">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79D363F4">
            <w:pPr>
              <w:pStyle w:val="70"/>
              <w:spacing w:line="240" w:lineRule="auto"/>
              <w:rPr>
                <w:kern w:val="2"/>
                <w:sz w:val="24"/>
                <w:szCs w:val="24"/>
                <w:highlight w:val="none"/>
              </w:rPr>
            </w:pPr>
            <w:r>
              <w:rPr>
                <w:kern w:val="2"/>
                <w:sz w:val="24"/>
                <w:szCs w:val="24"/>
                <w:highlight w:val="none"/>
              </w:rPr>
              <w:t>O</w:t>
            </w:r>
            <w:r>
              <w:rPr>
                <w:kern w:val="2"/>
                <w:sz w:val="24"/>
                <w:szCs w:val="24"/>
                <w:highlight w:val="none"/>
                <w:vertAlign w:val="subscript"/>
              </w:rPr>
              <w:t>3-8h</w:t>
            </w:r>
            <w:r>
              <w:rPr>
                <w:rFonts w:eastAsia="仿宋"/>
                <w:kern w:val="2"/>
                <w:sz w:val="24"/>
                <w:szCs w:val="24"/>
                <w:highlight w:val="none"/>
              </w:rPr>
              <w:t>第90百分位数浓度</w:t>
            </w:r>
            <w:r>
              <w:rPr>
                <w:rFonts w:hint="eastAsia" w:eastAsia="仿宋"/>
                <w:kern w:val="2"/>
                <w:sz w:val="24"/>
                <w:szCs w:val="24"/>
                <w:highlight w:val="none"/>
              </w:rPr>
              <w:t>（</w:t>
            </w:r>
            <w:r>
              <w:rPr>
                <w:rFonts w:eastAsia="仿宋"/>
                <w:kern w:val="2"/>
                <w:sz w:val="24"/>
                <w:szCs w:val="24"/>
                <w:highlight w:val="none"/>
              </w:rPr>
              <w:t>μg/m</w:t>
            </w:r>
            <w:r>
              <w:rPr>
                <w:kern w:val="2"/>
                <w:sz w:val="24"/>
                <w:szCs w:val="24"/>
                <w:highlight w:val="none"/>
                <w:vertAlign w:val="superscript"/>
              </w:rPr>
              <w:t>3</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56127F68">
            <w:pPr>
              <w:pStyle w:val="70"/>
              <w:spacing w:line="240" w:lineRule="auto"/>
              <w:rPr>
                <w:rFonts w:hint="default" w:eastAsia="仿宋"/>
                <w:kern w:val="2"/>
                <w:sz w:val="24"/>
                <w:szCs w:val="24"/>
                <w:highlight w:val="none"/>
                <w:lang w:val="en-US" w:eastAsia="zh-CN"/>
              </w:rPr>
            </w:pPr>
            <w:r>
              <w:rPr>
                <w:kern w:val="2"/>
                <w:sz w:val="24"/>
                <w:szCs w:val="24"/>
                <w:highlight w:val="none"/>
              </w:rPr>
              <w:t>1</w:t>
            </w:r>
            <w:r>
              <w:rPr>
                <w:rFonts w:hint="eastAsia" w:eastAsia="仿宋"/>
                <w:kern w:val="2"/>
                <w:sz w:val="24"/>
                <w:szCs w:val="24"/>
                <w:highlight w:val="none"/>
                <w:lang w:val="en-US" w:eastAsia="zh-CN"/>
              </w:rPr>
              <w:t>34</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5ECAD932">
            <w:pPr>
              <w:pStyle w:val="70"/>
              <w:spacing w:line="240" w:lineRule="auto"/>
              <w:rPr>
                <w:rFonts w:hint="default" w:eastAsia="仿宋"/>
                <w:kern w:val="2"/>
                <w:sz w:val="24"/>
                <w:szCs w:val="24"/>
                <w:highlight w:val="none"/>
                <w:lang w:val="en-US" w:eastAsia="zh-CN"/>
              </w:rPr>
            </w:pPr>
            <w:r>
              <w:rPr>
                <w:kern w:val="2"/>
                <w:sz w:val="24"/>
                <w:szCs w:val="24"/>
                <w:highlight w:val="none"/>
              </w:rPr>
              <w:t>≤1</w:t>
            </w:r>
            <w:r>
              <w:rPr>
                <w:rFonts w:hint="eastAsia" w:eastAsia="仿宋"/>
                <w:kern w:val="2"/>
                <w:sz w:val="24"/>
                <w:szCs w:val="24"/>
                <w:highlight w:val="none"/>
                <w:lang w:val="en-US" w:eastAsia="zh-CN"/>
              </w:rPr>
              <w:t>35</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FD1A153">
            <w:pPr>
              <w:pStyle w:val="70"/>
              <w:spacing w:line="240" w:lineRule="auto"/>
              <w:rPr>
                <w:kern w:val="2"/>
                <w:sz w:val="24"/>
                <w:szCs w:val="24"/>
                <w:highlight w:val="none"/>
              </w:rPr>
            </w:pPr>
            <w:r>
              <w:rPr>
                <w:kern w:val="2"/>
                <w:sz w:val="24"/>
                <w:szCs w:val="24"/>
                <w:highlight w:val="none"/>
              </w:rPr>
              <w:t>≤1</w:t>
            </w:r>
            <w:r>
              <w:rPr>
                <w:rFonts w:hint="eastAsia" w:eastAsia="仿宋"/>
                <w:kern w:val="2"/>
                <w:sz w:val="24"/>
                <w:szCs w:val="24"/>
                <w:highlight w:val="none"/>
                <w:lang w:val="en-US" w:eastAsia="zh-CN"/>
              </w:rPr>
              <w:t>35</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1A25C4DF">
            <w:pPr>
              <w:pStyle w:val="70"/>
              <w:spacing w:line="240" w:lineRule="auto"/>
              <w:rPr>
                <w:kern w:val="2"/>
                <w:sz w:val="24"/>
                <w:szCs w:val="24"/>
                <w:highlight w:val="none"/>
              </w:rPr>
            </w:pPr>
            <w:r>
              <w:rPr>
                <w:rFonts w:eastAsia="仿宋"/>
                <w:sz w:val="24"/>
                <w:szCs w:val="24"/>
                <w:highlight w:val="none"/>
              </w:rPr>
              <w:t>《东莞市生态环境保护“十四五”规划》、《东莞市环境空气质量达标规划（2018-2025）》及自行研究确定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53A8E326">
            <w:pPr>
              <w:pStyle w:val="70"/>
              <w:spacing w:line="240" w:lineRule="auto"/>
              <w:rPr>
                <w:kern w:val="2"/>
                <w:sz w:val="24"/>
                <w:szCs w:val="24"/>
                <w:highlight w:val="none"/>
              </w:rPr>
            </w:pPr>
            <w:r>
              <w:rPr>
                <w:rFonts w:eastAsia="仿宋"/>
                <w:kern w:val="2"/>
                <w:sz w:val="24"/>
                <w:szCs w:val="24"/>
                <w:highlight w:val="none"/>
              </w:rPr>
              <w:t>预期性</w:t>
            </w:r>
          </w:p>
        </w:tc>
      </w:tr>
      <w:tr w14:paraId="392E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00B90646">
            <w:pPr>
              <w:pStyle w:val="70"/>
              <w:spacing w:line="240" w:lineRule="auto"/>
              <w:rPr>
                <w:kern w:val="2"/>
                <w:sz w:val="24"/>
                <w:szCs w:val="24"/>
                <w:highlight w:val="none"/>
              </w:rPr>
            </w:pPr>
            <w:r>
              <w:rPr>
                <w:kern w:val="2"/>
                <w:sz w:val="24"/>
                <w:szCs w:val="24"/>
                <w:highlight w:val="none"/>
              </w:rPr>
              <w:t>4</w:t>
            </w:r>
          </w:p>
        </w:tc>
        <w:tc>
          <w:tcPr>
            <w:tcW w:w="514" w:type="pct"/>
            <w:vMerge w:val="continue"/>
            <w:tcBorders>
              <w:left w:val="single" w:color="auto" w:sz="4" w:space="0"/>
              <w:right w:val="single" w:color="auto" w:sz="4" w:space="0"/>
              <w:tl2br w:val="nil"/>
              <w:tr2bl w:val="nil"/>
            </w:tcBorders>
            <w:vAlign w:val="center"/>
          </w:tcPr>
          <w:p w14:paraId="5772822A">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79436A23">
            <w:pPr>
              <w:pStyle w:val="70"/>
              <w:spacing w:line="240" w:lineRule="auto"/>
              <w:rPr>
                <w:kern w:val="2"/>
                <w:sz w:val="24"/>
                <w:szCs w:val="24"/>
                <w:highlight w:val="none"/>
              </w:rPr>
            </w:pPr>
            <w:r>
              <w:rPr>
                <w:rFonts w:eastAsia="仿宋"/>
                <w:kern w:val="2"/>
                <w:sz w:val="24"/>
                <w:szCs w:val="24"/>
                <w:highlight w:val="none"/>
              </w:rPr>
              <w:t>地表水劣Ⅴ类水体比例</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DED4192">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10.7</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4C088A78">
            <w:pPr>
              <w:pStyle w:val="70"/>
              <w:spacing w:line="240" w:lineRule="auto"/>
              <w:rPr>
                <w:rFonts w:hint="default" w:eastAsia="仿宋"/>
                <w:kern w:val="2"/>
                <w:sz w:val="24"/>
                <w:szCs w:val="24"/>
                <w:highlight w:val="none"/>
                <w:lang w:val="en-US" w:eastAsia="zh-CN"/>
              </w:rPr>
            </w:pPr>
            <w:r>
              <w:rPr>
                <w:kern w:val="2"/>
                <w:sz w:val="24"/>
                <w:szCs w:val="24"/>
                <w:highlight w:val="none"/>
              </w:rPr>
              <w:t>≤</w:t>
            </w:r>
            <w:r>
              <w:rPr>
                <w:rFonts w:hint="eastAsia" w:eastAsia="仿宋"/>
                <w:kern w:val="2"/>
                <w:sz w:val="24"/>
                <w:szCs w:val="24"/>
                <w:highlight w:val="none"/>
                <w:lang w:val="en-US" w:eastAsia="zh-CN"/>
              </w:rPr>
              <w:t>10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27BE944B">
            <w:pPr>
              <w:pStyle w:val="70"/>
              <w:spacing w:line="240" w:lineRule="auto"/>
              <w:rPr>
                <w:rFonts w:hint="default" w:eastAsia="仿宋_GB2312"/>
                <w:kern w:val="2"/>
                <w:sz w:val="24"/>
                <w:szCs w:val="24"/>
                <w:highlight w:val="none"/>
                <w:lang w:val="en-US" w:eastAsia="zh-CN"/>
              </w:rPr>
            </w:pPr>
            <w:r>
              <w:rPr>
                <w:rFonts w:hint="eastAsia" w:eastAsia="仿宋"/>
                <w:kern w:val="2"/>
                <w:sz w:val="24"/>
                <w:szCs w:val="24"/>
                <w:highlight w:val="none"/>
                <w:lang w:val="en-US" w:eastAsia="zh-CN"/>
              </w:rPr>
              <w:t>全面消除</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711134A">
            <w:pPr>
              <w:pStyle w:val="70"/>
              <w:spacing w:line="240" w:lineRule="auto"/>
              <w:rPr>
                <w:kern w:val="2"/>
                <w:sz w:val="24"/>
                <w:szCs w:val="24"/>
                <w:highlight w:val="none"/>
              </w:rPr>
            </w:pPr>
            <w:r>
              <w:rPr>
                <w:rFonts w:hint="eastAsia" w:eastAsia="仿宋"/>
                <w:sz w:val="24"/>
                <w:szCs w:val="24"/>
                <w:highlight w:val="none"/>
              </w:rPr>
              <w:t>《东莞市水生态环境保护“十四五”规划》（2021-2025）</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64878701">
            <w:pPr>
              <w:pStyle w:val="70"/>
              <w:spacing w:line="240" w:lineRule="auto"/>
              <w:rPr>
                <w:kern w:val="2"/>
                <w:sz w:val="24"/>
                <w:szCs w:val="24"/>
                <w:highlight w:val="none"/>
              </w:rPr>
            </w:pPr>
            <w:r>
              <w:rPr>
                <w:rFonts w:eastAsia="仿宋"/>
                <w:kern w:val="2"/>
                <w:sz w:val="24"/>
                <w:szCs w:val="24"/>
                <w:highlight w:val="none"/>
              </w:rPr>
              <w:t>预期性</w:t>
            </w:r>
          </w:p>
        </w:tc>
      </w:tr>
      <w:tr w14:paraId="6C55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24D273E8">
            <w:pPr>
              <w:pStyle w:val="70"/>
              <w:spacing w:line="240" w:lineRule="auto"/>
              <w:rPr>
                <w:kern w:val="2"/>
                <w:sz w:val="24"/>
                <w:szCs w:val="24"/>
                <w:highlight w:val="none"/>
              </w:rPr>
            </w:pPr>
            <w:r>
              <w:rPr>
                <w:kern w:val="2"/>
                <w:sz w:val="24"/>
                <w:szCs w:val="24"/>
                <w:highlight w:val="none"/>
              </w:rPr>
              <w:t>5</w:t>
            </w:r>
          </w:p>
        </w:tc>
        <w:tc>
          <w:tcPr>
            <w:tcW w:w="514" w:type="pct"/>
            <w:vMerge w:val="continue"/>
            <w:tcBorders>
              <w:left w:val="single" w:color="auto" w:sz="4" w:space="0"/>
              <w:right w:val="single" w:color="auto" w:sz="4" w:space="0"/>
              <w:tl2br w:val="nil"/>
              <w:tr2bl w:val="nil"/>
            </w:tcBorders>
            <w:vAlign w:val="center"/>
          </w:tcPr>
          <w:p w14:paraId="79E8E748">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56733AFB">
            <w:pPr>
              <w:pStyle w:val="70"/>
              <w:spacing w:line="240" w:lineRule="auto"/>
              <w:rPr>
                <w:kern w:val="2"/>
                <w:sz w:val="24"/>
                <w:szCs w:val="24"/>
                <w:highlight w:val="none"/>
              </w:rPr>
            </w:pPr>
            <w:r>
              <w:rPr>
                <w:rFonts w:eastAsia="仿宋"/>
                <w:kern w:val="2"/>
                <w:sz w:val="24"/>
                <w:szCs w:val="24"/>
                <w:highlight w:val="none"/>
              </w:rPr>
              <w:t>重要水功能区达标率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74DFBECA">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33.3</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56EA1AF6">
            <w:pPr>
              <w:pStyle w:val="70"/>
              <w:spacing w:line="240" w:lineRule="auto"/>
              <w:rPr>
                <w:rFonts w:hint="default"/>
                <w:kern w:val="2"/>
                <w:sz w:val="24"/>
                <w:szCs w:val="24"/>
                <w:highlight w:val="none"/>
                <w:lang w:val="en-US"/>
              </w:rPr>
            </w:pPr>
            <w:r>
              <w:rPr>
                <w:rFonts w:hint="eastAsia" w:ascii="Times New Roman" w:hAnsi="Times New Roman" w:eastAsia="仿宋" w:cs="Times New Roman"/>
                <w:kern w:val="2"/>
                <w:sz w:val="24"/>
                <w:szCs w:val="24"/>
                <w:highlight w:val="none"/>
                <w:lang w:val="en-US" w:eastAsia="zh-CN" w:bidi="ar-SA"/>
              </w:rPr>
              <w:t>≥</w:t>
            </w:r>
            <w:r>
              <w:rPr>
                <w:rFonts w:hint="eastAsia" w:eastAsia="仿宋"/>
                <w:kern w:val="2"/>
                <w:sz w:val="24"/>
                <w:szCs w:val="24"/>
                <w:highlight w:val="none"/>
                <w:lang w:val="en-US" w:eastAsia="zh-CN"/>
              </w:rPr>
              <w:t>33.3</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6A021FB">
            <w:pPr>
              <w:pStyle w:val="70"/>
              <w:spacing w:line="240" w:lineRule="auto"/>
              <w:rPr>
                <w:kern w:val="2"/>
                <w:sz w:val="24"/>
                <w:szCs w:val="24"/>
                <w:highlight w:val="none"/>
              </w:rPr>
            </w:pPr>
            <w:r>
              <w:rPr>
                <w:rFonts w:hint="eastAsia" w:ascii="Times New Roman" w:hAnsi="Times New Roman" w:eastAsia="仿宋" w:cs="Times New Roman"/>
                <w:kern w:val="2"/>
                <w:sz w:val="24"/>
                <w:szCs w:val="24"/>
                <w:highlight w:val="none"/>
                <w:lang w:val="en-US" w:eastAsia="zh-CN" w:bidi="ar-SA"/>
              </w:rPr>
              <w:t>≥</w:t>
            </w:r>
            <w:r>
              <w:rPr>
                <w:rFonts w:hint="eastAsia" w:eastAsia="仿宋" w:cs="Times New Roman"/>
                <w:kern w:val="2"/>
                <w:sz w:val="24"/>
                <w:szCs w:val="24"/>
                <w:highlight w:val="none"/>
                <w:lang w:val="en-US" w:eastAsia="zh-CN" w:bidi="ar-SA"/>
              </w:rPr>
              <w:t>66.7</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4218AC71">
            <w:pPr>
              <w:pStyle w:val="70"/>
              <w:spacing w:line="240" w:lineRule="auto"/>
              <w:rPr>
                <w:kern w:val="2"/>
                <w:sz w:val="24"/>
                <w:szCs w:val="24"/>
                <w:highlight w:val="none"/>
              </w:rPr>
            </w:pPr>
            <w:r>
              <w:rPr>
                <w:rFonts w:eastAsia="仿宋"/>
                <w:sz w:val="24"/>
                <w:szCs w:val="24"/>
                <w:highlight w:val="none"/>
              </w:rPr>
              <w:t>《东莞市生态环境保护“十四五”规划》及自行研究确定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2828CB0">
            <w:pPr>
              <w:pStyle w:val="70"/>
              <w:spacing w:line="240" w:lineRule="auto"/>
              <w:rPr>
                <w:kern w:val="2"/>
                <w:sz w:val="24"/>
                <w:szCs w:val="24"/>
                <w:highlight w:val="none"/>
              </w:rPr>
            </w:pPr>
            <w:r>
              <w:rPr>
                <w:rFonts w:eastAsia="仿宋"/>
                <w:kern w:val="2"/>
                <w:sz w:val="24"/>
                <w:szCs w:val="24"/>
                <w:highlight w:val="none"/>
              </w:rPr>
              <w:t>预期性</w:t>
            </w:r>
          </w:p>
        </w:tc>
      </w:tr>
      <w:tr w14:paraId="3290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F372CE6">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6</w:t>
            </w:r>
          </w:p>
        </w:tc>
        <w:tc>
          <w:tcPr>
            <w:tcW w:w="514" w:type="pct"/>
            <w:vMerge w:val="continue"/>
            <w:tcBorders>
              <w:left w:val="single" w:color="auto" w:sz="4" w:space="0"/>
              <w:right w:val="single" w:color="auto" w:sz="4" w:space="0"/>
              <w:tl2br w:val="nil"/>
              <w:tr2bl w:val="nil"/>
            </w:tcBorders>
            <w:vAlign w:val="center"/>
          </w:tcPr>
          <w:p w14:paraId="45027708">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3D34CB3C">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rPr>
              <w:t>城镇污水处理厂进水BOD</w:t>
            </w:r>
            <w:r>
              <w:rPr>
                <w:rFonts w:hint="eastAsia" w:eastAsia="仿宋"/>
                <w:kern w:val="2"/>
                <w:sz w:val="24"/>
                <w:szCs w:val="24"/>
                <w:highlight w:val="none"/>
                <w:lang w:val="en-US" w:eastAsia="zh-CN"/>
              </w:rPr>
              <w:t>平均</w:t>
            </w:r>
            <w:r>
              <w:rPr>
                <w:rFonts w:hint="eastAsia" w:eastAsia="仿宋"/>
                <w:kern w:val="2"/>
                <w:sz w:val="24"/>
                <w:szCs w:val="24"/>
                <w:highlight w:val="none"/>
              </w:rPr>
              <w:t>浓度</w:t>
            </w:r>
            <w:r>
              <w:rPr>
                <w:rFonts w:hint="eastAsia" w:eastAsia="仿宋"/>
                <w:kern w:val="2"/>
                <w:sz w:val="24"/>
                <w:szCs w:val="24"/>
                <w:highlight w:val="none"/>
                <w:lang w:eastAsia="zh-CN"/>
              </w:rPr>
              <w:t>（</w:t>
            </w:r>
            <w:r>
              <w:rPr>
                <w:rFonts w:hint="eastAsia" w:eastAsia="仿宋"/>
                <w:kern w:val="2"/>
                <w:sz w:val="24"/>
                <w:szCs w:val="24"/>
                <w:highlight w:val="none"/>
              </w:rPr>
              <w:t>mg/L</w:t>
            </w:r>
            <w:r>
              <w:rPr>
                <w:rFonts w:hint="eastAsia" w:eastAsia="仿宋"/>
                <w:kern w:val="2"/>
                <w:sz w:val="24"/>
                <w:szCs w:val="24"/>
                <w:highlight w:val="none"/>
                <w:lang w:eastAsia="zh-CN"/>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7D0387B">
            <w:pPr>
              <w:pStyle w:val="70"/>
              <w:spacing w:line="240" w:lineRule="auto"/>
              <w:ind w:left="0" w:leftChars="0" w:right="0" w:rightChars="0"/>
              <w:rPr>
                <w:rFonts w:hint="default" w:eastAsia="仿宋_GB2312"/>
                <w:kern w:val="2"/>
                <w:sz w:val="24"/>
                <w:szCs w:val="24"/>
                <w:highlight w:val="none"/>
                <w:lang w:val="en-US" w:eastAsia="zh-CN"/>
              </w:rPr>
            </w:pPr>
            <w:r>
              <w:rPr>
                <w:rFonts w:hint="eastAsia"/>
                <w:kern w:val="2"/>
                <w:sz w:val="24"/>
                <w:szCs w:val="24"/>
                <w:highlight w:val="none"/>
                <w:lang w:val="en-US" w:eastAsia="zh-CN"/>
              </w:rPr>
              <w:t>100</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6AD251D7">
            <w:pPr>
              <w:pStyle w:val="70"/>
              <w:spacing w:line="240" w:lineRule="auto"/>
              <w:ind w:left="0" w:leftChars="0" w:right="0" w:rightChars="0"/>
              <w:rPr>
                <w:rFonts w:hint="default" w:eastAsia="仿宋"/>
                <w:kern w:val="2"/>
                <w:sz w:val="24"/>
                <w:szCs w:val="24"/>
                <w:highlight w:val="none"/>
                <w:lang w:val="en-US" w:eastAsia="zh-CN"/>
              </w:rPr>
            </w:pPr>
            <w:r>
              <w:rPr>
                <w:rFonts w:hint="eastAsia" w:ascii="Times New Roman" w:hAnsi="Times New Roman" w:eastAsia="仿宋" w:cs="Times New Roman"/>
                <w:kern w:val="2"/>
                <w:sz w:val="24"/>
                <w:szCs w:val="24"/>
                <w:highlight w:val="none"/>
                <w:lang w:val="en-US" w:eastAsia="zh-CN" w:bidi="ar-SA"/>
              </w:rPr>
              <w:t>≥</w:t>
            </w:r>
            <w:r>
              <w:rPr>
                <w:rFonts w:hint="eastAsia" w:eastAsia="仿宋"/>
                <w:kern w:val="2"/>
                <w:sz w:val="24"/>
                <w:szCs w:val="24"/>
                <w:highlight w:val="none"/>
                <w:lang w:val="en-US" w:eastAsia="zh-CN"/>
              </w:rPr>
              <w:t>100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5AAB518">
            <w:pPr>
              <w:pStyle w:val="70"/>
              <w:spacing w:line="240" w:lineRule="auto"/>
              <w:ind w:left="0" w:leftChars="0" w:right="0" w:rightChars="0"/>
              <w:rPr>
                <w:rFonts w:hint="default" w:eastAsia="仿宋"/>
                <w:kern w:val="2"/>
                <w:sz w:val="24"/>
                <w:szCs w:val="24"/>
                <w:highlight w:val="none"/>
                <w:lang w:val="en-US" w:eastAsia="zh-CN"/>
              </w:rPr>
            </w:pPr>
            <w:r>
              <w:rPr>
                <w:rFonts w:hint="eastAsia" w:ascii="Times New Roman" w:hAnsi="Times New Roman" w:eastAsia="仿宋" w:cs="Times New Roman"/>
                <w:kern w:val="2"/>
                <w:sz w:val="24"/>
                <w:szCs w:val="24"/>
                <w:highlight w:val="none"/>
                <w:lang w:val="en-US" w:eastAsia="zh-CN" w:bidi="ar-SA"/>
              </w:rPr>
              <w:t>≥</w:t>
            </w:r>
            <w:r>
              <w:rPr>
                <w:rFonts w:hint="eastAsia" w:eastAsia="仿宋"/>
                <w:kern w:val="2"/>
                <w:sz w:val="24"/>
                <w:szCs w:val="24"/>
                <w:highlight w:val="none"/>
                <w:lang w:val="en-US" w:eastAsia="zh-CN"/>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136527D5">
            <w:pPr>
              <w:pStyle w:val="70"/>
              <w:spacing w:line="240" w:lineRule="auto"/>
              <w:rPr>
                <w:rFonts w:hint="eastAsia" w:eastAsia="仿宋"/>
                <w:sz w:val="24"/>
                <w:szCs w:val="24"/>
                <w:highlight w:val="none"/>
                <w:lang w:eastAsia="zh-CN"/>
              </w:rPr>
            </w:pPr>
            <w:r>
              <w:rPr>
                <w:rFonts w:hint="eastAsia" w:eastAsia="仿宋"/>
                <w:sz w:val="24"/>
                <w:szCs w:val="24"/>
                <w:highlight w:val="none"/>
              </w:rPr>
              <w:t>《广东省城镇生活污水处理</w:t>
            </w:r>
            <w:r>
              <w:rPr>
                <w:rFonts w:hint="eastAsia" w:eastAsia="仿宋"/>
                <w:sz w:val="24"/>
                <w:szCs w:val="24"/>
                <w:highlight w:val="none"/>
                <w:lang w:eastAsia="zh-CN"/>
              </w:rPr>
              <w:t>“</w:t>
            </w:r>
            <w:r>
              <w:rPr>
                <w:rFonts w:hint="eastAsia" w:eastAsia="仿宋"/>
                <w:sz w:val="24"/>
                <w:szCs w:val="24"/>
                <w:highlight w:val="none"/>
              </w:rPr>
              <w:t>十四五</w:t>
            </w:r>
            <w:r>
              <w:rPr>
                <w:rFonts w:hint="eastAsia" w:eastAsia="仿宋"/>
                <w:sz w:val="24"/>
                <w:szCs w:val="24"/>
                <w:highlight w:val="none"/>
                <w:lang w:eastAsia="zh-CN"/>
              </w:rPr>
              <w:t>”</w:t>
            </w:r>
            <w:r>
              <w:rPr>
                <w:rFonts w:hint="eastAsia" w:eastAsia="仿宋"/>
                <w:sz w:val="24"/>
                <w:szCs w:val="24"/>
                <w:highlight w:val="none"/>
              </w:rPr>
              <w:t>规划</w:t>
            </w:r>
            <w:r>
              <w:rPr>
                <w:rFonts w:hint="eastAsia" w:eastAsia="仿宋"/>
                <w:sz w:val="24"/>
                <w:szCs w:val="24"/>
                <w:highlight w:val="none"/>
                <w:lang w:eastAsia="zh-CN"/>
              </w:rPr>
              <w:t>》、《</w:t>
            </w:r>
            <w:r>
              <w:rPr>
                <w:rFonts w:hint="eastAsia" w:eastAsia="仿宋"/>
                <w:sz w:val="24"/>
                <w:szCs w:val="24"/>
                <w:highlight w:val="none"/>
              </w:rPr>
              <w:t>东莞市2023年水污染防治工作方案》</w:t>
            </w:r>
            <w:r>
              <w:rPr>
                <w:rFonts w:eastAsia="仿宋"/>
                <w:sz w:val="24"/>
                <w:szCs w:val="24"/>
                <w:highlight w:val="none"/>
              </w:rPr>
              <w:t>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D43D459">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预期性</w:t>
            </w:r>
          </w:p>
        </w:tc>
      </w:tr>
      <w:tr w14:paraId="460F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CF31951">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7</w:t>
            </w:r>
          </w:p>
        </w:tc>
        <w:tc>
          <w:tcPr>
            <w:tcW w:w="514" w:type="pct"/>
            <w:vMerge w:val="continue"/>
            <w:tcBorders>
              <w:left w:val="single" w:color="auto" w:sz="4" w:space="0"/>
              <w:bottom w:val="single" w:color="auto" w:sz="4" w:space="0"/>
              <w:right w:val="single" w:color="auto" w:sz="4" w:space="0"/>
              <w:tl2br w:val="nil"/>
              <w:tr2bl w:val="nil"/>
            </w:tcBorders>
            <w:vAlign w:val="center"/>
          </w:tcPr>
          <w:p w14:paraId="51504E7E">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0E5A674C">
            <w:pPr>
              <w:pStyle w:val="70"/>
              <w:spacing w:line="240" w:lineRule="auto"/>
              <w:rPr>
                <w:rFonts w:hint="eastAsia" w:eastAsia="仿宋"/>
                <w:kern w:val="2"/>
                <w:sz w:val="24"/>
                <w:szCs w:val="24"/>
                <w:highlight w:val="none"/>
                <w:lang w:eastAsia="zh-CN"/>
              </w:rPr>
            </w:pPr>
            <w:r>
              <w:rPr>
                <w:rFonts w:hint="eastAsia" w:eastAsia="仿宋"/>
                <w:kern w:val="2"/>
                <w:sz w:val="24"/>
                <w:szCs w:val="24"/>
                <w:highlight w:val="none"/>
              </w:rPr>
              <w:t>城镇生活污水集中收集率</w:t>
            </w:r>
            <w:r>
              <w:rPr>
                <w:rFonts w:hint="eastAsia" w:eastAsia="仿宋"/>
                <w:kern w:val="2"/>
                <w:sz w:val="24"/>
                <w:szCs w:val="24"/>
                <w:highlight w:val="none"/>
                <w:lang w:eastAsia="zh-CN"/>
              </w:rPr>
              <w:t>（</w:t>
            </w:r>
            <w:r>
              <w:rPr>
                <w:rFonts w:hint="eastAsia" w:eastAsia="仿宋"/>
                <w:kern w:val="2"/>
                <w:sz w:val="24"/>
                <w:szCs w:val="24"/>
                <w:highlight w:val="none"/>
                <w:lang w:val="en-US" w:eastAsia="zh-CN"/>
              </w:rPr>
              <w:t>%</w:t>
            </w:r>
            <w:r>
              <w:rPr>
                <w:rFonts w:hint="eastAsia" w:eastAsia="仿宋"/>
                <w:kern w:val="2"/>
                <w:sz w:val="24"/>
                <w:szCs w:val="24"/>
                <w:highlight w:val="none"/>
                <w:lang w:eastAsia="zh-CN"/>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60EADAE">
            <w:pPr>
              <w:jc w:val="center"/>
              <w:rPr>
                <w:rFonts w:hint="default"/>
                <w:highlight w:val="none"/>
                <w:lang w:val="en-US" w:eastAsia="zh-CN"/>
              </w:rPr>
            </w:pPr>
            <w:r>
              <w:rPr>
                <w:rFonts w:hint="eastAsia"/>
                <w:kern w:val="2"/>
                <w:sz w:val="24"/>
                <w:szCs w:val="24"/>
                <w:highlight w:val="none"/>
                <w:lang w:val="en-US" w:eastAsia="zh-CN"/>
              </w:rPr>
              <w:t>76</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278E8BFB">
            <w:pPr>
              <w:pStyle w:val="70"/>
              <w:spacing w:line="240" w:lineRule="auto"/>
              <w:ind w:left="0" w:leftChars="0" w:right="0" w:rightChars="0"/>
              <w:rPr>
                <w:rFonts w:hint="default" w:eastAsia="仿宋"/>
                <w:kern w:val="2"/>
                <w:sz w:val="24"/>
                <w:szCs w:val="24"/>
                <w:highlight w:val="none"/>
                <w:lang w:val="en-US" w:eastAsia="zh-CN"/>
              </w:rPr>
            </w:pPr>
            <w:r>
              <w:rPr>
                <w:rFonts w:hint="eastAsia" w:eastAsia="仿宋"/>
                <w:kern w:val="2"/>
                <w:sz w:val="24"/>
                <w:szCs w:val="24"/>
                <w:highlight w:val="none"/>
                <w:lang w:val="en-US" w:eastAsia="zh-CN"/>
              </w:rPr>
              <w:t>≥78</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6B0DB5B">
            <w:pPr>
              <w:pStyle w:val="70"/>
              <w:spacing w:line="240" w:lineRule="auto"/>
              <w:ind w:left="0" w:leftChars="0" w:right="0" w:rightChars="0"/>
              <w:rPr>
                <w:rFonts w:hint="eastAsia" w:eastAsia="仿宋"/>
                <w:kern w:val="2"/>
                <w:sz w:val="24"/>
                <w:szCs w:val="24"/>
                <w:highlight w:val="none"/>
                <w:lang w:val="en-US" w:eastAsia="zh-CN"/>
              </w:rPr>
            </w:pPr>
            <w:r>
              <w:rPr>
                <w:rFonts w:hint="eastAsia" w:eastAsia="仿宋"/>
                <w:kern w:val="2"/>
                <w:sz w:val="24"/>
                <w:szCs w:val="24"/>
                <w:highlight w:val="none"/>
                <w:lang w:val="en-US" w:eastAsia="zh-CN"/>
              </w:rPr>
              <w:t>≥80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85C5FFE">
            <w:pPr>
              <w:pStyle w:val="70"/>
              <w:spacing w:line="240" w:lineRule="auto"/>
              <w:rPr>
                <w:rFonts w:eastAsia="仿宋"/>
                <w:sz w:val="24"/>
                <w:szCs w:val="24"/>
                <w:highlight w:val="none"/>
              </w:rPr>
            </w:pPr>
            <w:r>
              <w:rPr>
                <w:rFonts w:hint="eastAsia" w:eastAsia="仿宋"/>
                <w:sz w:val="24"/>
                <w:szCs w:val="24"/>
                <w:highlight w:val="none"/>
              </w:rPr>
              <w:t>《广东省城镇生活污水处理</w:t>
            </w:r>
            <w:r>
              <w:rPr>
                <w:rFonts w:hint="eastAsia" w:eastAsia="仿宋"/>
                <w:sz w:val="24"/>
                <w:szCs w:val="24"/>
                <w:highlight w:val="none"/>
                <w:lang w:eastAsia="zh-CN"/>
              </w:rPr>
              <w:t>“十四五”</w:t>
            </w:r>
            <w:r>
              <w:rPr>
                <w:rFonts w:hint="eastAsia" w:eastAsia="仿宋"/>
                <w:sz w:val="24"/>
                <w:szCs w:val="24"/>
                <w:highlight w:val="none"/>
              </w:rPr>
              <w:t>规划</w:t>
            </w:r>
            <w:r>
              <w:rPr>
                <w:rFonts w:hint="eastAsia" w:eastAsia="仿宋"/>
                <w:sz w:val="24"/>
                <w:szCs w:val="24"/>
                <w:highlight w:val="none"/>
                <w:lang w:eastAsia="zh-CN"/>
              </w:rPr>
              <w:t>》、《</w:t>
            </w:r>
            <w:r>
              <w:rPr>
                <w:rFonts w:hint="eastAsia" w:eastAsia="仿宋"/>
                <w:sz w:val="24"/>
                <w:szCs w:val="24"/>
                <w:highlight w:val="none"/>
              </w:rPr>
              <w:t>东莞市2023年水污染防治工作方案》</w:t>
            </w:r>
            <w:r>
              <w:rPr>
                <w:rFonts w:eastAsia="仿宋"/>
                <w:sz w:val="24"/>
                <w:szCs w:val="24"/>
                <w:highlight w:val="none"/>
              </w:rPr>
              <w:t>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30E09D83">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预期性</w:t>
            </w:r>
          </w:p>
        </w:tc>
      </w:tr>
      <w:tr w14:paraId="16D5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5026194A">
            <w:pPr>
              <w:pStyle w:val="70"/>
              <w:spacing w:line="240" w:lineRule="auto"/>
              <w:rPr>
                <w:rFonts w:hint="eastAsia" w:eastAsia="仿宋_GB2312"/>
                <w:kern w:val="2"/>
                <w:sz w:val="24"/>
                <w:szCs w:val="24"/>
                <w:highlight w:val="none"/>
                <w:lang w:eastAsia="zh-CN"/>
              </w:rPr>
            </w:pPr>
            <w:r>
              <w:rPr>
                <w:rFonts w:hint="eastAsia"/>
                <w:kern w:val="2"/>
                <w:sz w:val="24"/>
                <w:szCs w:val="24"/>
                <w:highlight w:val="none"/>
                <w:lang w:val="en-US" w:eastAsia="zh-CN"/>
              </w:rPr>
              <w:t>8</w:t>
            </w:r>
          </w:p>
        </w:tc>
        <w:tc>
          <w:tcPr>
            <w:tcW w:w="514"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3F3D1EBA">
            <w:pPr>
              <w:pStyle w:val="70"/>
              <w:spacing w:line="240" w:lineRule="auto"/>
              <w:rPr>
                <w:kern w:val="2"/>
                <w:sz w:val="24"/>
                <w:szCs w:val="24"/>
                <w:highlight w:val="none"/>
              </w:rPr>
            </w:pPr>
            <w:r>
              <w:rPr>
                <w:rFonts w:eastAsia="仿宋"/>
                <w:kern w:val="2"/>
                <w:sz w:val="24"/>
                <w:szCs w:val="24"/>
                <w:highlight w:val="none"/>
              </w:rPr>
              <w:t>主要污染物总量减少</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2D29561">
            <w:pPr>
              <w:pStyle w:val="70"/>
              <w:spacing w:line="240" w:lineRule="auto"/>
              <w:rPr>
                <w:kern w:val="2"/>
                <w:sz w:val="24"/>
                <w:szCs w:val="24"/>
                <w:highlight w:val="none"/>
              </w:rPr>
            </w:pPr>
            <w:r>
              <w:rPr>
                <w:rFonts w:eastAsia="仿宋"/>
                <w:kern w:val="2"/>
                <w:sz w:val="24"/>
                <w:szCs w:val="24"/>
                <w:highlight w:val="none"/>
              </w:rPr>
              <w:t>化学需氧量重点工程减排量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00D7CEE5">
            <w:pPr>
              <w:pStyle w:val="70"/>
              <w:spacing w:line="240" w:lineRule="auto"/>
              <w:rPr>
                <w:kern w:val="2"/>
                <w:sz w:val="24"/>
                <w:szCs w:val="24"/>
                <w:highlight w:val="none"/>
              </w:rPr>
            </w:pPr>
            <w:r>
              <w:rPr>
                <w:kern w:val="2"/>
                <w:sz w:val="24"/>
                <w:szCs w:val="24"/>
                <w:highlight w:val="none"/>
              </w:rPr>
              <w:t>/</w:t>
            </w:r>
          </w:p>
        </w:tc>
        <w:tc>
          <w:tcPr>
            <w:tcW w:w="1050" w:type="pct"/>
            <w:gridSpan w:val="3"/>
            <w:vMerge w:val="restart"/>
            <w:tcBorders>
              <w:top w:val="single" w:color="auto" w:sz="4" w:space="0"/>
              <w:left w:val="single" w:color="auto" w:sz="4" w:space="0"/>
              <w:bottom w:val="single" w:color="auto" w:sz="4" w:space="0"/>
              <w:right w:val="single" w:color="auto" w:sz="4" w:space="0"/>
              <w:tl2br w:val="nil"/>
              <w:tr2bl w:val="nil"/>
            </w:tcBorders>
            <w:vAlign w:val="center"/>
          </w:tcPr>
          <w:p w14:paraId="117140F4">
            <w:pPr>
              <w:pStyle w:val="70"/>
              <w:spacing w:line="240" w:lineRule="auto"/>
              <w:rPr>
                <w:kern w:val="2"/>
                <w:sz w:val="24"/>
                <w:szCs w:val="24"/>
                <w:highlight w:val="none"/>
              </w:rPr>
            </w:pPr>
            <w:r>
              <w:rPr>
                <w:rFonts w:eastAsia="仿宋"/>
                <w:kern w:val="2"/>
                <w:sz w:val="24"/>
                <w:szCs w:val="24"/>
                <w:highlight w:val="none"/>
              </w:rPr>
              <w:t>按市核定目标执行</w:t>
            </w:r>
          </w:p>
        </w:tc>
        <w:tc>
          <w:tcPr>
            <w:tcW w:w="95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2B6ED8AD">
            <w:pPr>
              <w:spacing w:line="240" w:lineRule="auto"/>
              <w:ind w:firstLine="0" w:firstLineChars="0"/>
              <w:rPr>
                <w:rFonts w:cs="Times New Roman"/>
                <w:sz w:val="24"/>
                <w:szCs w:val="24"/>
                <w:highlight w:val="none"/>
              </w:rPr>
            </w:pPr>
            <w:r>
              <w:rPr>
                <w:rFonts w:eastAsia="仿宋" w:cs="Times New Roman"/>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E0839D1">
            <w:pPr>
              <w:pStyle w:val="70"/>
              <w:spacing w:line="240" w:lineRule="auto"/>
              <w:rPr>
                <w:kern w:val="2"/>
                <w:sz w:val="24"/>
                <w:szCs w:val="24"/>
                <w:highlight w:val="none"/>
              </w:rPr>
            </w:pPr>
            <w:r>
              <w:rPr>
                <w:rFonts w:eastAsia="仿宋"/>
                <w:kern w:val="2"/>
                <w:sz w:val="24"/>
                <w:szCs w:val="24"/>
                <w:highlight w:val="none"/>
              </w:rPr>
              <w:t>预期性</w:t>
            </w:r>
          </w:p>
        </w:tc>
      </w:tr>
      <w:tr w14:paraId="075A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21ED5F76">
            <w:pPr>
              <w:pStyle w:val="70"/>
              <w:spacing w:line="240" w:lineRule="auto"/>
              <w:rPr>
                <w:rFonts w:hint="eastAsia" w:eastAsia="仿宋_GB2312"/>
                <w:kern w:val="2"/>
                <w:sz w:val="24"/>
                <w:szCs w:val="24"/>
                <w:highlight w:val="none"/>
                <w:lang w:eastAsia="zh-CN"/>
              </w:rPr>
            </w:pPr>
            <w:r>
              <w:rPr>
                <w:rFonts w:hint="eastAsia"/>
                <w:kern w:val="2"/>
                <w:sz w:val="24"/>
                <w:szCs w:val="24"/>
                <w:highlight w:val="none"/>
                <w:lang w:val="en-US" w:eastAsia="zh-CN"/>
              </w:rPr>
              <w:t>9</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AE0F7D3">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79AACC6">
            <w:pPr>
              <w:pStyle w:val="70"/>
              <w:spacing w:line="240" w:lineRule="auto"/>
              <w:rPr>
                <w:kern w:val="2"/>
                <w:sz w:val="24"/>
                <w:szCs w:val="24"/>
                <w:highlight w:val="none"/>
              </w:rPr>
            </w:pPr>
            <w:r>
              <w:rPr>
                <w:rFonts w:eastAsia="仿宋"/>
                <w:kern w:val="2"/>
                <w:sz w:val="24"/>
                <w:szCs w:val="24"/>
                <w:highlight w:val="none"/>
              </w:rPr>
              <w:t>氨氮重点工程减排量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30D9B2CC">
            <w:pPr>
              <w:pStyle w:val="70"/>
              <w:spacing w:line="240" w:lineRule="auto"/>
              <w:rPr>
                <w:kern w:val="2"/>
                <w:sz w:val="24"/>
                <w:szCs w:val="24"/>
                <w:highlight w:val="none"/>
              </w:rPr>
            </w:pPr>
            <w:r>
              <w:rPr>
                <w:kern w:val="2"/>
                <w:sz w:val="24"/>
                <w:szCs w:val="24"/>
                <w:highlight w:val="none"/>
              </w:rPr>
              <w:t>/</w:t>
            </w:r>
          </w:p>
        </w:tc>
        <w:tc>
          <w:tcPr>
            <w:tcW w:w="1050" w:type="pct"/>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14:paraId="4D6771E2">
            <w:pPr>
              <w:pStyle w:val="70"/>
              <w:spacing w:line="240" w:lineRule="auto"/>
              <w:rPr>
                <w:kern w:val="2"/>
                <w:sz w:val="24"/>
                <w:szCs w:val="24"/>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1C4E85FE">
            <w:pPr>
              <w:pStyle w:val="70"/>
              <w:spacing w:line="240" w:lineRule="auto"/>
              <w:rPr>
                <w:kern w:val="2"/>
                <w:sz w:val="24"/>
                <w:szCs w:val="24"/>
                <w:highlight w:val="none"/>
              </w:rPr>
            </w:pP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D5AF24C">
            <w:pPr>
              <w:pStyle w:val="70"/>
              <w:spacing w:line="240" w:lineRule="auto"/>
              <w:rPr>
                <w:kern w:val="2"/>
                <w:sz w:val="24"/>
                <w:szCs w:val="24"/>
                <w:highlight w:val="none"/>
              </w:rPr>
            </w:pPr>
            <w:r>
              <w:rPr>
                <w:rFonts w:eastAsia="仿宋"/>
                <w:kern w:val="2"/>
                <w:sz w:val="24"/>
                <w:szCs w:val="24"/>
                <w:highlight w:val="none"/>
              </w:rPr>
              <w:t>预期性</w:t>
            </w:r>
          </w:p>
        </w:tc>
      </w:tr>
      <w:tr w14:paraId="34CE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5713D7F8">
            <w:pPr>
              <w:pStyle w:val="70"/>
              <w:spacing w:line="240" w:lineRule="auto"/>
              <w:rPr>
                <w:rFonts w:hint="eastAsia" w:eastAsia="仿宋_GB2312"/>
                <w:kern w:val="2"/>
                <w:sz w:val="24"/>
                <w:szCs w:val="24"/>
                <w:highlight w:val="none"/>
                <w:lang w:val="en-US" w:eastAsia="zh-CN"/>
              </w:rPr>
            </w:pPr>
            <w:r>
              <w:rPr>
                <w:kern w:val="2"/>
                <w:sz w:val="24"/>
                <w:szCs w:val="24"/>
                <w:highlight w:val="none"/>
              </w:rPr>
              <w:t>1</w:t>
            </w:r>
            <w:r>
              <w:rPr>
                <w:rFonts w:hint="eastAsia"/>
                <w:kern w:val="2"/>
                <w:sz w:val="24"/>
                <w:szCs w:val="24"/>
                <w:highlight w:val="none"/>
                <w:lang w:val="en-US" w:eastAsia="zh-CN"/>
              </w:rPr>
              <w:t>0</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71403EE">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7518F472">
            <w:pPr>
              <w:pStyle w:val="70"/>
              <w:spacing w:line="240" w:lineRule="auto"/>
              <w:rPr>
                <w:kern w:val="2"/>
                <w:sz w:val="24"/>
                <w:szCs w:val="24"/>
                <w:highlight w:val="none"/>
              </w:rPr>
            </w:pPr>
            <w:r>
              <w:rPr>
                <w:rFonts w:eastAsia="仿宋"/>
                <w:kern w:val="2"/>
                <w:sz w:val="24"/>
                <w:szCs w:val="24"/>
                <w:highlight w:val="none"/>
              </w:rPr>
              <w:t>氮氧化物重点工程减排量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7584DE4F">
            <w:pPr>
              <w:pStyle w:val="70"/>
              <w:spacing w:line="240" w:lineRule="auto"/>
              <w:rPr>
                <w:kern w:val="2"/>
                <w:sz w:val="24"/>
                <w:szCs w:val="24"/>
                <w:highlight w:val="none"/>
              </w:rPr>
            </w:pPr>
            <w:r>
              <w:rPr>
                <w:kern w:val="2"/>
                <w:sz w:val="24"/>
                <w:szCs w:val="24"/>
                <w:highlight w:val="none"/>
              </w:rPr>
              <w:t>/</w:t>
            </w:r>
          </w:p>
        </w:tc>
        <w:tc>
          <w:tcPr>
            <w:tcW w:w="1050" w:type="pct"/>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14:paraId="51F8F921">
            <w:pPr>
              <w:pStyle w:val="70"/>
              <w:spacing w:line="240" w:lineRule="auto"/>
              <w:rPr>
                <w:kern w:val="2"/>
                <w:sz w:val="24"/>
                <w:szCs w:val="24"/>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E54B124">
            <w:pPr>
              <w:pStyle w:val="70"/>
              <w:spacing w:line="240" w:lineRule="auto"/>
              <w:rPr>
                <w:kern w:val="2"/>
                <w:sz w:val="24"/>
                <w:szCs w:val="24"/>
                <w:highlight w:val="none"/>
              </w:rPr>
            </w:pP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7A8C8499">
            <w:pPr>
              <w:pStyle w:val="70"/>
              <w:spacing w:line="240" w:lineRule="auto"/>
              <w:rPr>
                <w:kern w:val="2"/>
                <w:sz w:val="24"/>
                <w:szCs w:val="24"/>
                <w:highlight w:val="none"/>
              </w:rPr>
            </w:pPr>
            <w:r>
              <w:rPr>
                <w:rFonts w:eastAsia="仿宋"/>
                <w:kern w:val="2"/>
                <w:sz w:val="24"/>
                <w:szCs w:val="24"/>
                <w:highlight w:val="none"/>
              </w:rPr>
              <w:t>预期性</w:t>
            </w:r>
          </w:p>
        </w:tc>
      </w:tr>
      <w:tr w14:paraId="395B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6FC27E8">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1</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D215B02">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F2116D6">
            <w:pPr>
              <w:pStyle w:val="70"/>
              <w:spacing w:line="240" w:lineRule="auto"/>
              <w:rPr>
                <w:kern w:val="2"/>
                <w:sz w:val="24"/>
                <w:szCs w:val="24"/>
                <w:highlight w:val="none"/>
              </w:rPr>
            </w:pPr>
            <w:r>
              <w:rPr>
                <w:rFonts w:eastAsia="仿宋"/>
                <w:kern w:val="2"/>
                <w:sz w:val="24"/>
                <w:szCs w:val="24"/>
                <w:highlight w:val="none"/>
              </w:rPr>
              <w:t>挥发性有机物重点工程减排量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32FA1C4">
            <w:pPr>
              <w:pStyle w:val="70"/>
              <w:spacing w:line="240" w:lineRule="auto"/>
              <w:rPr>
                <w:kern w:val="2"/>
                <w:sz w:val="24"/>
                <w:szCs w:val="24"/>
                <w:highlight w:val="none"/>
              </w:rPr>
            </w:pPr>
            <w:r>
              <w:rPr>
                <w:kern w:val="2"/>
                <w:sz w:val="24"/>
                <w:szCs w:val="24"/>
                <w:highlight w:val="none"/>
              </w:rPr>
              <w:t>/</w:t>
            </w:r>
          </w:p>
        </w:tc>
        <w:tc>
          <w:tcPr>
            <w:tcW w:w="1050" w:type="pct"/>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14:paraId="020C44E6">
            <w:pPr>
              <w:pStyle w:val="70"/>
              <w:spacing w:line="240" w:lineRule="auto"/>
              <w:rPr>
                <w:kern w:val="2"/>
                <w:sz w:val="24"/>
                <w:szCs w:val="24"/>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176C098">
            <w:pPr>
              <w:pStyle w:val="70"/>
              <w:spacing w:line="240" w:lineRule="auto"/>
              <w:rPr>
                <w:kern w:val="2"/>
                <w:sz w:val="24"/>
                <w:szCs w:val="24"/>
                <w:highlight w:val="none"/>
              </w:rPr>
            </w:pP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4E3A445F">
            <w:pPr>
              <w:pStyle w:val="70"/>
              <w:spacing w:line="240" w:lineRule="auto"/>
              <w:rPr>
                <w:kern w:val="2"/>
                <w:sz w:val="24"/>
                <w:szCs w:val="24"/>
                <w:highlight w:val="none"/>
              </w:rPr>
            </w:pPr>
            <w:r>
              <w:rPr>
                <w:rFonts w:eastAsia="仿宋"/>
                <w:kern w:val="2"/>
                <w:sz w:val="24"/>
                <w:szCs w:val="24"/>
                <w:highlight w:val="none"/>
              </w:rPr>
              <w:t>预期性</w:t>
            </w:r>
          </w:p>
        </w:tc>
      </w:tr>
      <w:tr w14:paraId="52BB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0974D9E">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2</w:t>
            </w:r>
          </w:p>
        </w:tc>
        <w:tc>
          <w:tcPr>
            <w:tcW w:w="514"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0AF5E816">
            <w:pPr>
              <w:pStyle w:val="70"/>
              <w:spacing w:line="240" w:lineRule="auto"/>
              <w:rPr>
                <w:kern w:val="2"/>
                <w:sz w:val="24"/>
                <w:szCs w:val="24"/>
                <w:highlight w:val="none"/>
              </w:rPr>
            </w:pPr>
            <w:r>
              <w:rPr>
                <w:rFonts w:eastAsia="仿宋"/>
                <w:kern w:val="2"/>
                <w:sz w:val="24"/>
                <w:szCs w:val="24"/>
                <w:highlight w:val="none"/>
              </w:rPr>
              <w:t>环境风险防控</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62515E2">
            <w:pPr>
              <w:pStyle w:val="70"/>
              <w:spacing w:line="240" w:lineRule="auto"/>
              <w:rPr>
                <w:kern w:val="2"/>
                <w:sz w:val="24"/>
                <w:szCs w:val="24"/>
                <w:highlight w:val="none"/>
              </w:rPr>
            </w:pPr>
            <w:r>
              <w:rPr>
                <w:rFonts w:eastAsia="仿宋"/>
                <w:kern w:val="2"/>
                <w:sz w:val="24"/>
                <w:szCs w:val="24"/>
                <w:highlight w:val="none"/>
              </w:rPr>
              <w:t>受污染耕地安全利用率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6E3D68F5">
            <w:pPr>
              <w:pStyle w:val="70"/>
              <w:spacing w:line="240" w:lineRule="auto"/>
              <w:rPr>
                <w:kern w:val="2"/>
                <w:sz w:val="24"/>
                <w:szCs w:val="24"/>
                <w:highlight w:val="none"/>
              </w:rPr>
            </w:pPr>
            <w:r>
              <w:rPr>
                <w:kern w:val="2"/>
                <w:sz w:val="24"/>
                <w:szCs w:val="24"/>
                <w:highlight w:val="none"/>
              </w:rPr>
              <w:t>100</w:t>
            </w:r>
          </w:p>
        </w:tc>
        <w:tc>
          <w:tcPr>
            <w:tcW w:w="52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DD9A046">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100</w:t>
            </w:r>
          </w:p>
        </w:tc>
        <w:tc>
          <w:tcPr>
            <w:tcW w:w="525" w:type="pct"/>
            <w:tcBorders>
              <w:top w:val="single" w:color="auto" w:sz="4" w:space="0"/>
              <w:left w:val="single" w:color="auto" w:sz="4" w:space="0"/>
              <w:bottom w:val="single" w:color="auto" w:sz="4" w:space="0"/>
              <w:right w:val="single" w:color="auto" w:sz="4" w:space="0"/>
              <w:tl2br w:val="nil"/>
              <w:tr2bl w:val="nil"/>
            </w:tcBorders>
            <w:vAlign w:val="center"/>
          </w:tcPr>
          <w:p w14:paraId="43E3EFD3">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2A23326E">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4060618">
            <w:pPr>
              <w:pStyle w:val="70"/>
              <w:spacing w:line="240" w:lineRule="auto"/>
              <w:rPr>
                <w:kern w:val="2"/>
                <w:sz w:val="24"/>
                <w:szCs w:val="24"/>
                <w:highlight w:val="none"/>
              </w:rPr>
            </w:pPr>
            <w:r>
              <w:rPr>
                <w:rFonts w:eastAsia="仿宋"/>
                <w:kern w:val="2"/>
                <w:sz w:val="24"/>
                <w:szCs w:val="24"/>
                <w:highlight w:val="none"/>
              </w:rPr>
              <w:t>预期性</w:t>
            </w:r>
          </w:p>
        </w:tc>
      </w:tr>
      <w:tr w14:paraId="4A22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A3B8357">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3</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BD11A16">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8570FEA">
            <w:pPr>
              <w:pStyle w:val="70"/>
              <w:spacing w:line="240" w:lineRule="auto"/>
              <w:rPr>
                <w:kern w:val="2"/>
                <w:sz w:val="24"/>
                <w:szCs w:val="24"/>
                <w:highlight w:val="none"/>
              </w:rPr>
            </w:pPr>
            <w:r>
              <w:rPr>
                <w:rFonts w:eastAsia="仿宋"/>
                <w:kern w:val="2"/>
                <w:sz w:val="24"/>
                <w:szCs w:val="24"/>
                <w:highlight w:val="none"/>
              </w:rPr>
              <w:t>重点建设地块安全利用率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056D52DA">
            <w:pPr>
              <w:pStyle w:val="70"/>
              <w:spacing w:line="240" w:lineRule="auto"/>
              <w:rPr>
                <w:kern w:val="2"/>
                <w:sz w:val="24"/>
                <w:szCs w:val="24"/>
                <w:highlight w:val="none"/>
              </w:rPr>
            </w:pPr>
            <w:r>
              <w:rPr>
                <w:kern w:val="2"/>
                <w:sz w:val="24"/>
                <w:szCs w:val="24"/>
                <w:highlight w:val="none"/>
              </w:rPr>
              <w:t>/</w:t>
            </w:r>
          </w:p>
        </w:tc>
        <w:tc>
          <w:tcPr>
            <w:tcW w:w="105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236001D8">
            <w:pPr>
              <w:pStyle w:val="70"/>
              <w:spacing w:line="240" w:lineRule="auto"/>
              <w:rPr>
                <w:kern w:val="2"/>
                <w:sz w:val="24"/>
                <w:szCs w:val="24"/>
                <w:highlight w:val="none"/>
              </w:rPr>
            </w:pPr>
            <w:r>
              <w:rPr>
                <w:rFonts w:eastAsia="仿宋"/>
                <w:kern w:val="2"/>
                <w:sz w:val="24"/>
                <w:szCs w:val="24"/>
                <w:highlight w:val="none"/>
              </w:rPr>
              <w:t>按市核定目标执行</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54E9F4A7">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64B649BA">
            <w:pPr>
              <w:pStyle w:val="70"/>
              <w:spacing w:line="240" w:lineRule="auto"/>
              <w:rPr>
                <w:kern w:val="2"/>
                <w:sz w:val="24"/>
                <w:szCs w:val="24"/>
                <w:highlight w:val="none"/>
              </w:rPr>
            </w:pPr>
            <w:r>
              <w:rPr>
                <w:rFonts w:eastAsia="仿宋"/>
                <w:kern w:val="2"/>
                <w:sz w:val="24"/>
                <w:szCs w:val="24"/>
                <w:highlight w:val="none"/>
              </w:rPr>
              <w:t>预期性</w:t>
            </w:r>
          </w:p>
        </w:tc>
      </w:tr>
      <w:tr w14:paraId="5B88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02A998AE">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4</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81E018B">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F16F1B9">
            <w:pPr>
              <w:pStyle w:val="70"/>
              <w:spacing w:line="240" w:lineRule="auto"/>
              <w:rPr>
                <w:kern w:val="2"/>
                <w:sz w:val="24"/>
                <w:szCs w:val="24"/>
                <w:highlight w:val="none"/>
              </w:rPr>
            </w:pPr>
            <w:r>
              <w:rPr>
                <w:rFonts w:eastAsia="仿宋"/>
                <w:kern w:val="2"/>
                <w:sz w:val="24"/>
                <w:szCs w:val="24"/>
                <w:highlight w:val="none"/>
              </w:rPr>
              <w:t>地下水国控点位V类水比例</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79D3865">
            <w:pPr>
              <w:pStyle w:val="70"/>
              <w:spacing w:line="240" w:lineRule="auto"/>
              <w:rPr>
                <w:kern w:val="2"/>
                <w:sz w:val="24"/>
                <w:szCs w:val="24"/>
                <w:highlight w:val="none"/>
              </w:rPr>
            </w:pPr>
            <w:r>
              <w:rPr>
                <w:kern w:val="2"/>
                <w:sz w:val="24"/>
                <w:szCs w:val="24"/>
                <w:highlight w:val="none"/>
              </w:rPr>
              <w:t>/</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55898A5E">
            <w:pPr>
              <w:pStyle w:val="70"/>
              <w:spacing w:line="240" w:lineRule="auto"/>
              <w:rPr>
                <w:kern w:val="2"/>
                <w:sz w:val="24"/>
                <w:szCs w:val="24"/>
                <w:highlight w:val="none"/>
              </w:rPr>
            </w:pPr>
            <w:r>
              <w:rPr>
                <w:kern w:val="2"/>
                <w:sz w:val="24"/>
                <w:szCs w:val="24"/>
                <w:highlight w:val="none"/>
              </w:rPr>
              <w:t>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EFEE473">
            <w:pPr>
              <w:pStyle w:val="70"/>
              <w:spacing w:line="240" w:lineRule="auto"/>
              <w:rPr>
                <w:kern w:val="2"/>
                <w:sz w:val="24"/>
                <w:szCs w:val="24"/>
                <w:highlight w:val="none"/>
              </w:rPr>
            </w:pPr>
            <w:r>
              <w:rPr>
                <w:kern w:val="2"/>
                <w:sz w:val="24"/>
                <w:szCs w:val="24"/>
                <w:highlight w:val="none"/>
              </w:rPr>
              <w:t>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1A13EC88">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515CE29">
            <w:pPr>
              <w:pStyle w:val="70"/>
              <w:spacing w:line="240" w:lineRule="auto"/>
              <w:rPr>
                <w:kern w:val="2"/>
                <w:sz w:val="24"/>
                <w:szCs w:val="24"/>
                <w:highlight w:val="none"/>
              </w:rPr>
            </w:pPr>
            <w:r>
              <w:rPr>
                <w:rFonts w:eastAsia="仿宋"/>
                <w:kern w:val="2"/>
                <w:sz w:val="24"/>
                <w:szCs w:val="24"/>
                <w:highlight w:val="none"/>
              </w:rPr>
              <w:t>预期性</w:t>
            </w:r>
          </w:p>
        </w:tc>
      </w:tr>
      <w:tr w14:paraId="5D74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093507C7">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5</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4FDC160">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1BF501D5">
            <w:pPr>
              <w:pStyle w:val="70"/>
              <w:spacing w:line="240" w:lineRule="auto"/>
              <w:rPr>
                <w:kern w:val="2"/>
                <w:sz w:val="24"/>
                <w:szCs w:val="24"/>
                <w:highlight w:val="none"/>
              </w:rPr>
            </w:pPr>
            <w:r>
              <w:rPr>
                <w:rFonts w:eastAsia="仿宋"/>
                <w:kern w:val="2"/>
                <w:sz w:val="24"/>
                <w:szCs w:val="24"/>
                <w:highlight w:val="none"/>
              </w:rPr>
              <w:t>工业危险废物利用处置率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D96EAE7">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95.1</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2EE45506">
            <w:pPr>
              <w:pStyle w:val="70"/>
              <w:spacing w:line="240" w:lineRule="auto"/>
              <w:rPr>
                <w:rFonts w:hint="default" w:eastAsia="仿宋_GB2312"/>
                <w:kern w:val="2"/>
                <w:sz w:val="24"/>
                <w:szCs w:val="24"/>
                <w:highlight w:val="none"/>
                <w:lang w:val="en-US" w:eastAsia="zh-CN"/>
              </w:rPr>
            </w:pPr>
            <w:r>
              <w:rPr>
                <w:rFonts w:hint="eastAsia" w:eastAsia="仿宋"/>
                <w:kern w:val="2"/>
                <w:sz w:val="24"/>
                <w:szCs w:val="24"/>
                <w:highlight w:val="none"/>
                <w:lang w:val="en-US" w:eastAsia="zh-CN"/>
              </w:rPr>
              <w:t>≥</w:t>
            </w:r>
            <w:r>
              <w:rPr>
                <w:rFonts w:hint="eastAsia"/>
                <w:kern w:val="2"/>
                <w:sz w:val="24"/>
                <w:szCs w:val="24"/>
                <w:highlight w:val="none"/>
                <w:lang w:val="en-US" w:eastAsia="zh-CN"/>
              </w:rPr>
              <w:t>99</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1A733C1">
            <w:pPr>
              <w:pStyle w:val="70"/>
              <w:spacing w:line="240" w:lineRule="auto"/>
              <w:rPr>
                <w:kern w:val="2"/>
                <w:sz w:val="24"/>
                <w:szCs w:val="24"/>
                <w:highlight w:val="none"/>
              </w:rPr>
            </w:pPr>
            <w:r>
              <w:rPr>
                <w:kern w:val="2"/>
                <w:sz w:val="24"/>
                <w:szCs w:val="24"/>
                <w:highlight w:val="none"/>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4601AF2">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556C7F5">
            <w:pPr>
              <w:pStyle w:val="70"/>
              <w:spacing w:line="240" w:lineRule="auto"/>
              <w:rPr>
                <w:kern w:val="2"/>
                <w:sz w:val="24"/>
                <w:szCs w:val="24"/>
                <w:highlight w:val="none"/>
              </w:rPr>
            </w:pPr>
            <w:r>
              <w:rPr>
                <w:rFonts w:eastAsia="仿宋"/>
                <w:kern w:val="2"/>
                <w:sz w:val="24"/>
                <w:szCs w:val="24"/>
                <w:highlight w:val="none"/>
              </w:rPr>
              <w:t>预期性</w:t>
            </w:r>
          </w:p>
        </w:tc>
      </w:tr>
      <w:tr w14:paraId="19BA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75BFF5B7">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16</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7D1A09B">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3AA3959D">
            <w:pPr>
              <w:pStyle w:val="70"/>
              <w:spacing w:line="240" w:lineRule="auto"/>
              <w:rPr>
                <w:kern w:val="2"/>
                <w:sz w:val="24"/>
                <w:szCs w:val="24"/>
                <w:highlight w:val="none"/>
              </w:rPr>
            </w:pPr>
            <w:r>
              <w:rPr>
                <w:rFonts w:eastAsia="仿宋"/>
                <w:kern w:val="2"/>
                <w:sz w:val="24"/>
                <w:szCs w:val="24"/>
                <w:highlight w:val="none"/>
              </w:rPr>
              <w:t>医疗废物无害化处置率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653FFC8">
            <w:pPr>
              <w:pStyle w:val="70"/>
              <w:spacing w:line="240" w:lineRule="auto"/>
              <w:rPr>
                <w:kern w:val="2"/>
                <w:sz w:val="24"/>
                <w:szCs w:val="24"/>
                <w:highlight w:val="none"/>
              </w:rPr>
            </w:pPr>
            <w:r>
              <w:rPr>
                <w:kern w:val="2"/>
                <w:sz w:val="24"/>
                <w:szCs w:val="24"/>
                <w:highlight w:val="none"/>
              </w:rPr>
              <w:t>100</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4309C4DC">
            <w:pPr>
              <w:pStyle w:val="70"/>
              <w:spacing w:line="240" w:lineRule="auto"/>
              <w:rPr>
                <w:kern w:val="2"/>
                <w:sz w:val="24"/>
                <w:szCs w:val="24"/>
                <w:highlight w:val="none"/>
              </w:rPr>
            </w:pPr>
            <w:r>
              <w:rPr>
                <w:kern w:val="2"/>
                <w:sz w:val="24"/>
                <w:szCs w:val="24"/>
                <w:highlight w:val="none"/>
              </w:rPr>
              <w:t>100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3453F7B">
            <w:pPr>
              <w:pStyle w:val="70"/>
              <w:spacing w:line="240" w:lineRule="auto"/>
              <w:rPr>
                <w:kern w:val="2"/>
                <w:sz w:val="24"/>
                <w:szCs w:val="24"/>
                <w:highlight w:val="none"/>
              </w:rPr>
            </w:pPr>
            <w:r>
              <w:rPr>
                <w:kern w:val="2"/>
                <w:sz w:val="24"/>
                <w:szCs w:val="24"/>
                <w:highlight w:val="none"/>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0EE1560B">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72508892">
            <w:pPr>
              <w:pStyle w:val="70"/>
              <w:spacing w:line="240" w:lineRule="auto"/>
              <w:rPr>
                <w:kern w:val="2"/>
                <w:sz w:val="24"/>
                <w:szCs w:val="24"/>
                <w:highlight w:val="none"/>
              </w:rPr>
            </w:pPr>
            <w:r>
              <w:rPr>
                <w:rFonts w:eastAsia="仿宋"/>
                <w:kern w:val="2"/>
                <w:sz w:val="24"/>
                <w:szCs w:val="24"/>
                <w:highlight w:val="none"/>
              </w:rPr>
              <w:t>预期性</w:t>
            </w:r>
          </w:p>
        </w:tc>
      </w:tr>
      <w:tr w14:paraId="26F5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C0B2B1B">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17</w:t>
            </w:r>
          </w:p>
        </w:tc>
        <w:tc>
          <w:tcPr>
            <w:tcW w:w="514" w:type="pct"/>
            <w:vMerge w:val="restart"/>
            <w:tcBorders>
              <w:top w:val="single" w:color="auto" w:sz="4" w:space="0"/>
              <w:left w:val="single" w:color="auto" w:sz="4" w:space="0"/>
              <w:right w:val="single" w:color="auto" w:sz="4" w:space="0"/>
              <w:tl2br w:val="nil"/>
              <w:tr2bl w:val="nil"/>
            </w:tcBorders>
            <w:vAlign w:val="center"/>
          </w:tcPr>
          <w:p w14:paraId="1E5077E0">
            <w:pPr>
              <w:pStyle w:val="70"/>
              <w:spacing w:line="240" w:lineRule="auto"/>
              <w:rPr>
                <w:kern w:val="2"/>
                <w:sz w:val="24"/>
                <w:szCs w:val="24"/>
                <w:highlight w:val="none"/>
              </w:rPr>
            </w:pPr>
            <w:r>
              <w:rPr>
                <w:rFonts w:eastAsia="仿宋"/>
                <w:kern w:val="2"/>
                <w:sz w:val="24"/>
                <w:szCs w:val="24"/>
                <w:highlight w:val="none"/>
              </w:rPr>
              <w:t>生态保护</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5A3FBA8E">
            <w:pPr>
              <w:pStyle w:val="70"/>
              <w:spacing w:line="240" w:lineRule="auto"/>
              <w:rPr>
                <w:kern w:val="2"/>
                <w:sz w:val="24"/>
                <w:szCs w:val="24"/>
                <w:highlight w:val="none"/>
              </w:rPr>
            </w:pPr>
            <w:r>
              <w:rPr>
                <w:rFonts w:eastAsia="仿宋"/>
                <w:kern w:val="2"/>
                <w:sz w:val="24"/>
                <w:szCs w:val="24"/>
                <w:highlight w:val="none"/>
              </w:rPr>
              <w:t>生态保护红线（km</w:t>
            </w:r>
            <w:r>
              <w:rPr>
                <w:kern w:val="2"/>
                <w:sz w:val="24"/>
                <w:szCs w:val="24"/>
                <w:highlight w:val="none"/>
                <w:vertAlign w:val="superscript"/>
              </w:rPr>
              <w:t>2</w:t>
            </w:r>
            <w:r>
              <w:rPr>
                <w:rFonts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7269603">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68.92</w:t>
            </w:r>
          </w:p>
        </w:tc>
        <w:tc>
          <w:tcPr>
            <w:tcW w:w="105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443A8C28">
            <w:pPr>
              <w:pStyle w:val="70"/>
              <w:spacing w:line="240" w:lineRule="auto"/>
              <w:rPr>
                <w:kern w:val="2"/>
                <w:sz w:val="24"/>
                <w:szCs w:val="24"/>
                <w:highlight w:val="none"/>
              </w:rPr>
            </w:pPr>
            <w:r>
              <w:rPr>
                <w:rFonts w:eastAsia="仿宋"/>
                <w:kern w:val="2"/>
                <w:sz w:val="24"/>
                <w:szCs w:val="24"/>
                <w:highlight w:val="none"/>
              </w:rPr>
              <w:t>面积不减少，功能不降低</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12FCC7FA">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542DB8A">
            <w:pPr>
              <w:pStyle w:val="70"/>
              <w:spacing w:line="240" w:lineRule="auto"/>
              <w:rPr>
                <w:kern w:val="2"/>
                <w:sz w:val="24"/>
                <w:szCs w:val="24"/>
                <w:highlight w:val="none"/>
              </w:rPr>
            </w:pPr>
            <w:r>
              <w:rPr>
                <w:rFonts w:eastAsia="仿宋"/>
                <w:kern w:val="2"/>
                <w:sz w:val="24"/>
                <w:szCs w:val="24"/>
                <w:highlight w:val="none"/>
              </w:rPr>
              <w:t>预期性</w:t>
            </w:r>
          </w:p>
        </w:tc>
      </w:tr>
      <w:tr w14:paraId="74B6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7DFA5E36">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18</w:t>
            </w:r>
          </w:p>
        </w:tc>
        <w:tc>
          <w:tcPr>
            <w:tcW w:w="514" w:type="pct"/>
            <w:vMerge w:val="continue"/>
            <w:tcBorders>
              <w:left w:val="single" w:color="auto" w:sz="4" w:space="0"/>
              <w:right w:val="single" w:color="auto" w:sz="4" w:space="0"/>
              <w:tl2br w:val="nil"/>
              <w:tr2bl w:val="nil"/>
            </w:tcBorders>
            <w:vAlign w:val="center"/>
          </w:tcPr>
          <w:p w14:paraId="19DE535A">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5B1CCF1">
            <w:pPr>
              <w:pStyle w:val="70"/>
              <w:spacing w:line="240" w:lineRule="auto"/>
              <w:rPr>
                <w:kern w:val="2"/>
                <w:sz w:val="24"/>
                <w:szCs w:val="24"/>
                <w:highlight w:val="none"/>
              </w:rPr>
            </w:pPr>
            <w:r>
              <w:rPr>
                <w:rFonts w:eastAsia="仿宋"/>
                <w:kern w:val="2"/>
                <w:sz w:val="24"/>
                <w:szCs w:val="24"/>
                <w:highlight w:val="none"/>
              </w:rPr>
              <w:t>森林覆盖率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68CE2DE0">
            <w:pPr>
              <w:pStyle w:val="70"/>
              <w:spacing w:line="240" w:lineRule="auto"/>
              <w:rPr>
                <w:rFonts w:hint="eastAsia" w:eastAsia="仿宋_GB2312"/>
                <w:kern w:val="2"/>
                <w:sz w:val="24"/>
                <w:szCs w:val="24"/>
                <w:highlight w:val="none"/>
                <w:lang w:eastAsia="zh-CN"/>
              </w:rPr>
            </w:pPr>
            <w:r>
              <w:rPr>
                <w:kern w:val="2"/>
                <w:sz w:val="24"/>
                <w:szCs w:val="24"/>
                <w:highlight w:val="none"/>
              </w:rPr>
              <w:t>61.</w:t>
            </w:r>
            <w:r>
              <w:rPr>
                <w:rFonts w:hint="eastAsia"/>
                <w:kern w:val="2"/>
                <w:sz w:val="24"/>
                <w:szCs w:val="24"/>
                <w:highlight w:val="none"/>
                <w:lang w:val="en-US" w:eastAsia="zh-CN"/>
              </w:rPr>
              <w:t>6</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103E5F64">
            <w:pPr>
              <w:pStyle w:val="70"/>
              <w:spacing w:line="240" w:lineRule="auto"/>
              <w:rPr>
                <w:rFonts w:hint="eastAsia" w:eastAsia="仿宋_GB2312"/>
                <w:kern w:val="2"/>
                <w:sz w:val="24"/>
                <w:szCs w:val="24"/>
                <w:highlight w:val="none"/>
                <w:lang w:eastAsia="zh-CN"/>
              </w:rPr>
            </w:pPr>
            <w:r>
              <w:rPr>
                <w:kern w:val="2"/>
                <w:sz w:val="24"/>
                <w:szCs w:val="24"/>
                <w:highlight w:val="none"/>
              </w:rPr>
              <w:t>61.</w:t>
            </w:r>
            <w:r>
              <w:rPr>
                <w:rFonts w:hint="eastAsia"/>
                <w:kern w:val="2"/>
                <w:sz w:val="24"/>
                <w:szCs w:val="24"/>
                <w:highlight w:val="none"/>
                <w:lang w:val="en-US" w:eastAsia="zh-CN"/>
              </w:rPr>
              <w:t>6</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B67D30A">
            <w:pPr>
              <w:pStyle w:val="70"/>
              <w:spacing w:line="240" w:lineRule="auto"/>
              <w:rPr>
                <w:kern w:val="2"/>
                <w:sz w:val="24"/>
                <w:szCs w:val="24"/>
                <w:highlight w:val="none"/>
              </w:rPr>
            </w:pPr>
            <w:r>
              <w:rPr>
                <w:rFonts w:eastAsia="仿宋"/>
                <w:kern w:val="2"/>
                <w:sz w:val="24"/>
                <w:szCs w:val="24"/>
                <w:highlight w:val="none"/>
              </w:rPr>
              <w:t>完成市核定目标</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2AD5C51">
            <w:pPr>
              <w:pStyle w:val="70"/>
              <w:spacing w:line="240" w:lineRule="auto"/>
              <w:rPr>
                <w:sz w:val="24"/>
                <w:szCs w:val="24"/>
                <w:highlight w:val="none"/>
              </w:rPr>
            </w:pPr>
            <w:r>
              <w:rPr>
                <w:rFonts w:eastAsia="仿宋"/>
                <w:sz w:val="24"/>
                <w:szCs w:val="24"/>
                <w:highlight w:val="none"/>
              </w:rPr>
              <w:t>《东莞市清溪镇国民经济和社会发展第十四个五年规划和2035年目标纲要》、《东莞市生态环境保护“十四五”规划》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2283311B">
            <w:pPr>
              <w:pStyle w:val="70"/>
              <w:spacing w:line="240" w:lineRule="auto"/>
              <w:rPr>
                <w:kern w:val="2"/>
                <w:sz w:val="24"/>
                <w:szCs w:val="24"/>
                <w:highlight w:val="none"/>
              </w:rPr>
            </w:pPr>
            <w:r>
              <w:rPr>
                <w:rFonts w:eastAsia="仿宋"/>
                <w:kern w:val="2"/>
                <w:sz w:val="24"/>
                <w:szCs w:val="24"/>
                <w:highlight w:val="none"/>
              </w:rPr>
              <w:t>约束性</w:t>
            </w:r>
          </w:p>
        </w:tc>
      </w:tr>
      <w:tr w14:paraId="6AF9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1F63003E">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19</w:t>
            </w:r>
          </w:p>
        </w:tc>
        <w:tc>
          <w:tcPr>
            <w:tcW w:w="514" w:type="pct"/>
            <w:vMerge w:val="continue"/>
            <w:tcBorders>
              <w:left w:val="single" w:color="auto" w:sz="4" w:space="0"/>
              <w:bottom w:val="single" w:color="auto" w:sz="4" w:space="0"/>
              <w:right w:val="single" w:color="auto" w:sz="4" w:space="0"/>
              <w:tl2br w:val="nil"/>
              <w:tr2bl w:val="nil"/>
            </w:tcBorders>
            <w:vAlign w:val="center"/>
          </w:tcPr>
          <w:p w14:paraId="73F6EA50">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F2C051A">
            <w:pPr>
              <w:pStyle w:val="70"/>
              <w:spacing w:line="240" w:lineRule="auto"/>
              <w:rPr>
                <w:rFonts w:eastAsia="仿宋"/>
                <w:kern w:val="2"/>
                <w:sz w:val="24"/>
                <w:szCs w:val="24"/>
                <w:highlight w:val="none"/>
              </w:rPr>
            </w:pPr>
            <w:r>
              <w:rPr>
                <w:rFonts w:hint="eastAsia" w:eastAsia="仿宋"/>
                <w:kern w:val="2"/>
                <w:sz w:val="24"/>
                <w:szCs w:val="24"/>
                <w:highlight w:val="none"/>
              </w:rPr>
              <w:t>建成“美丽河湖”个数（个）</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4605FF1C">
            <w:pPr>
              <w:pStyle w:val="70"/>
              <w:spacing w:line="240" w:lineRule="auto"/>
              <w:rPr>
                <w:rFonts w:hint="eastAsia" w:eastAsia="仿宋_GB2312"/>
                <w:kern w:val="2"/>
                <w:sz w:val="24"/>
                <w:szCs w:val="24"/>
                <w:highlight w:val="none"/>
                <w:lang w:eastAsia="zh-CN"/>
              </w:rPr>
            </w:pPr>
            <w:r>
              <w:rPr>
                <w:rFonts w:hint="eastAsia"/>
                <w:kern w:val="2"/>
                <w:sz w:val="24"/>
                <w:szCs w:val="24"/>
                <w:highlight w:val="none"/>
                <w:lang w:val="en-US" w:eastAsia="zh-CN"/>
              </w:rPr>
              <w:t>1</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61C6BBF1">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rPr>
              <w:t>1</w:t>
            </w:r>
            <w:r>
              <w:rPr>
                <w:rFonts w:hint="eastAsia"/>
                <w:kern w:val="2"/>
                <w:sz w:val="24"/>
                <w:szCs w:val="24"/>
                <w:highlight w:val="none"/>
                <w:lang w:val="en-US" w:eastAsia="zh-CN"/>
              </w:rPr>
              <w:t>-2</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395C92BD">
            <w:pPr>
              <w:pStyle w:val="70"/>
              <w:spacing w:line="240" w:lineRule="auto"/>
              <w:rPr>
                <w:rFonts w:eastAsia="仿宋"/>
                <w:kern w:val="2"/>
                <w:sz w:val="24"/>
                <w:szCs w:val="24"/>
                <w:highlight w:val="none"/>
              </w:rPr>
            </w:pPr>
            <w:r>
              <w:rPr>
                <w:rFonts w:hint="eastAsia" w:eastAsia="仿宋"/>
                <w:kern w:val="2"/>
                <w:sz w:val="24"/>
                <w:szCs w:val="24"/>
                <w:highlight w:val="none"/>
                <w:lang w:val="en-US" w:eastAsia="zh-CN"/>
              </w:rPr>
              <w:t>2-3</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0F461025">
            <w:pPr>
              <w:pStyle w:val="70"/>
              <w:spacing w:line="240" w:lineRule="auto"/>
              <w:rPr>
                <w:rFonts w:eastAsia="仿宋"/>
                <w:sz w:val="24"/>
                <w:szCs w:val="24"/>
                <w:highlight w:val="none"/>
              </w:rPr>
            </w:pPr>
            <w:r>
              <w:rPr>
                <w:rFonts w:eastAsia="仿宋"/>
                <w:sz w:val="24"/>
                <w:szCs w:val="24"/>
                <w:highlight w:val="none"/>
              </w:rPr>
              <w:t>《东莞市美丽河湖建设工作方案》及自行研究确定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32DB793D">
            <w:pPr>
              <w:pStyle w:val="70"/>
              <w:spacing w:line="240" w:lineRule="auto"/>
              <w:rPr>
                <w:rFonts w:eastAsia="仿宋"/>
                <w:kern w:val="2"/>
                <w:sz w:val="24"/>
                <w:szCs w:val="24"/>
                <w:highlight w:val="none"/>
              </w:rPr>
            </w:pPr>
            <w:r>
              <w:rPr>
                <w:rFonts w:hint="eastAsia" w:eastAsia="仿宋"/>
                <w:kern w:val="2"/>
                <w:sz w:val="24"/>
                <w:szCs w:val="24"/>
                <w:highlight w:val="none"/>
              </w:rPr>
              <w:t>预期性</w:t>
            </w:r>
          </w:p>
        </w:tc>
      </w:tr>
    </w:tbl>
    <w:p w14:paraId="1FC35B10">
      <w:pPr>
        <w:pageBreakBefore w:val="0"/>
        <w:kinsoku/>
        <w:wordWrap/>
        <w:bidi w:val="0"/>
        <w:spacing w:line="360" w:lineRule="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注1：相关指标说明及计算方法详见附件1。</w:t>
      </w:r>
    </w:p>
    <w:p w14:paraId="5007E6C8">
      <w:pPr>
        <w:pageBreakBefore w:val="0"/>
        <w:kinsoku/>
        <w:wordWrap/>
        <w:bidi w:val="0"/>
        <w:spacing w:line="360" w:lineRule="auto"/>
        <w:rPr>
          <w:rFonts w:hint="default" w:eastAsia="仿宋_GB2312"/>
          <w:color w:val="auto"/>
          <w:highlight w:val="none"/>
        </w:rPr>
      </w:pPr>
      <w:r>
        <w:rPr>
          <w:rFonts w:hint="default" w:ascii="Times New Roman" w:hAnsi="Times New Roman" w:eastAsia="仿宋_GB2312" w:cs="Times New Roman"/>
          <w:color w:val="auto"/>
          <w:highlight w:val="none"/>
        </w:rPr>
        <w:t>注</w:t>
      </w:r>
      <w:r>
        <w:rPr>
          <w:rFonts w:hint="eastAsia"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w:t>
      </w:r>
      <w:r>
        <w:rPr>
          <w:rFonts w:hint="default" w:eastAsia="仿宋_GB2312"/>
          <w:color w:val="auto"/>
          <w:highlight w:val="none"/>
        </w:rPr>
        <w:t>“/”表示尚未统计数据。</w:t>
      </w:r>
    </w:p>
    <w:p w14:paraId="442A10BB">
      <w:pPr>
        <w:pageBreakBefore w:val="0"/>
        <w:kinsoku/>
        <w:wordWrap/>
        <w:bidi w:val="0"/>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注</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rPr>
        <w:t>与东莞市生态环境保护“十四五”规划目标指标相比，结合</w:t>
      </w:r>
      <w:r>
        <w:rPr>
          <w:rFonts w:hint="default" w:ascii="Times New Roman" w:hAnsi="Times New Roman" w:eastAsia="仿宋_GB2312" w:cs="Times New Roman"/>
          <w:color w:val="auto"/>
          <w:highlight w:val="none"/>
          <w:lang w:val="en-US" w:eastAsia="zh-CN"/>
        </w:rPr>
        <w:t>清溪镇</w:t>
      </w:r>
      <w:r>
        <w:rPr>
          <w:rFonts w:hint="default" w:ascii="Times New Roman" w:hAnsi="Times New Roman" w:eastAsia="仿宋_GB2312" w:cs="Times New Roman"/>
          <w:color w:val="auto"/>
          <w:highlight w:val="none"/>
        </w:rPr>
        <w:t>街道实际情况，未设置以下指标：</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地表水达到或好于Ⅲ类水体比例（</w:t>
      </w:r>
      <w:r>
        <w:rPr>
          <w:rFonts w:hint="eastAsia" w:eastAsia="仿宋_GB2312" w:cs="Times New Roman"/>
          <w:color w:val="auto"/>
          <w:highlight w:val="none"/>
          <w:lang w:val="en-US" w:eastAsia="zh-CN"/>
        </w:rPr>
        <w:t>清溪镇属于石马河流域，关联</w:t>
      </w:r>
      <w:r>
        <w:rPr>
          <w:rFonts w:hint="eastAsia" w:eastAsia="仿宋_GB2312"/>
          <w:color w:val="auto"/>
          <w:highlight w:val="none"/>
        </w:rPr>
        <w:t>旗岭</w:t>
      </w:r>
      <w:r>
        <w:rPr>
          <w:rFonts w:hint="eastAsia" w:eastAsia="仿宋_GB2312"/>
          <w:color w:val="auto"/>
          <w:highlight w:val="none"/>
          <w:lang w:val="en-US" w:eastAsia="zh-CN"/>
        </w:rPr>
        <w:t>国考</w:t>
      </w:r>
      <w:r>
        <w:rPr>
          <w:rFonts w:hint="eastAsia" w:eastAsia="仿宋_GB2312" w:cs="Times New Roman"/>
          <w:color w:val="auto"/>
          <w:highlight w:val="none"/>
          <w:lang w:val="en-US" w:eastAsia="zh-CN"/>
        </w:rPr>
        <w:t>断面，本镇无</w:t>
      </w:r>
      <w:r>
        <w:rPr>
          <w:rFonts w:hint="default" w:ascii="Times New Roman" w:hAnsi="Times New Roman" w:eastAsia="仿宋_GB2312" w:cs="Times New Roman"/>
          <w:color w:val="auto"/>
          <w:highlight w:val="none"/>
          <w:lang w:val="en-US" w:eastAsia="zh-CN"/>
        </w:rPr>
        <w:t>国省考断面</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eastAsia="zh-CN"/>
        </w:rPr>
        <w:t>（</w:t>
      </w:r>
      <w:r>
        <w:rPr>
          <w:rFonts w:hint="eastAsia" w:eastAsia="仿宋_GB2312" w:cs="Times New Roman"/>
          <w:color w:val="auto"/>
          <w:highlight w:val="none"/>
          <w:lang w:val="en-US" w:eastAsia="zh-CN"/>
        </w:rPr>
        <w:t>2</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城市和农村黑臭水体</w:t>
      </w:r>
      <w:r>
        <w:rPr>
          <w:rFonts w:hint="eastAsia" w:eastAsia="仿宋_GB2312" w:cs="Times New Roman"/>
          <w:color w:val="auto"/>
          <w:highlight w:val="none"/>
          <w:lang w:val="en-US" w:eastAsia="zh-CN"/>
        </w:rPr>
        <w:t>消除率（不涉及）；（3）集中式饮用水源水质达标率（不涉及）</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近岸海域国控点无机氮浓度年平均值（不涉及）</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大路自然岸线保有率（不涉及）</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基本建成“美丽海湾”个数（不涉及）；</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生态质量指数（只在市层面统计）。</w:t>
      </w:r>
    </w:p>
    <w:p w14:paraId="6F7CC60C">
      <w:pPr>
        <w:pStyle w:val="49"/>
        <w:pageBreakBefore w:val="0"/>
        <w:kinsoku/>
        <w:wordWrap/>
        <w:topLinePunct/>
        <w:bidi w:val="0"/>
        <w:spacing w:line="360" w:lineRule="auto"/>
        <w:rPr>
          <w:rFonts w:hint="default" w:ascii="Times New Roman" w:hAnsi="Times New Roman" w:eastAsia="仿宋_GB2312" w:cs="Times New Roman"/>
          <w:kern w:val="0"/>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34D5CC8">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sz w:val="36"/>
          <w:highlight w:val="none"/>
          <w:lang w:val="en-US" w:eastAsia="zh-CN"/>
        </w:rPr>
      </w:pPr>
      <w:bookmarkStart w:id="108" w:name="_Toc14184"/>
      <w:bookmarkStart w:id="109" w:name="_Toc18413"/>
      <w:bookmarkStart w:id="110" w:name="_Toc6368"/>
      <w:bookmarkStart w:id="111" w:name="_Toc25483"/>
      <w:bookmarkStart w:id="112" w:name="_Toc15535"/>
      <w:bookmarkStart w:id="113" w:name="_Toc3865"/>
      <w:bookmarkStart w:id="114" w:name="_Toc2608"/>
      <w:bookmarkStart w:id="115" w:name="_Toc30478"/>
      <w:bookmarkStart w:id="116" w:name="_Toc6729"/>
      <w:bookmarkStart w:id="117" w:name="_Toc10849"/>
      <w:bookmarkStart w:id="118" w:name="_Toc15349"/>
      <w:r>
        <w:rPr>
          <w:rFonts w:hint="default" w:ascii="Times New Roman" w:hAnsi="Times New Roman" w:eastAsia="黑体" w:cs="Times New Roman"/>
          <w:b w:val="0"/>
          <w:sz w:val="36"/>
          <w:highlight w:val="none"/>
          <w:lang w:val="en-US" w:eastAsia="zh-CN"/>
        </w:rPr>
        <w:fldChar w:fldCharType="begin"/>
      </w:r>
      <w:r>
        <w:rPr>
          <w:rFonts w:hint="default" w:ascii="Times New Roman" w:hAnsi="Times New Roman" w:eastAsia="黑体" w:cs="Times New Roman"/>
          <w:b w:val="0"/>
          <w:sz w:val="36"/>
          <w:highlight w:val="none"/>
          <w:lang w:val="en-US" w:eastAsia="zh-CN"/>
        </w:rPr>
        <w:instrText xml:space="preserve"> HYPERLINK \l "_Toc15683" </w:instrText>
      </w:r>
      <w:r>
        <w:rPr>
          <w:rFonts w:hint="default" w:ascii="Times New Roman" w:hAnsi="Times New Roman" w:eastAsia="黑体" w:cs="Times New Roman"/>
          <w:b w:val="0"/>
          <w:sz w:val="36"/>
          <w:highlight w:val="none"/>
          <w:lang w:val="en-US" w:eastAsia="zh-CN"/>
        </w:rPr>
        <w:fldChar w:fldCharType="separate"/>
      </w:r>
      <w:bookmarkStart w:id="119" w:name="_Toc475439304"/>
      <w:bookmarkStart w:id="120" w:name="_Toc495559195"/>
      <w:r>
        <w:rPr>
          <w:rFonts w:hint="default" w:ascii="Times New Roman" w:hAnsi="Times New Roman" w:eastAsia="黑体" w:cs="Times New Roman"/>
          <w:b w:val="0"/>
          <w:sz w:val="36"/>
          <w:highlight w:val="none"/>
          <w:lang w:val="en-US" w:eastAsia="zh-CN"/>
        </w:rPr>
        <w:t xml:space="preserve">第三章 </w:t>
      </w:r>
      <w:bookmarkEnd w:id="119"/>
      <w:bookmarkEnd w:id="120"/>
      <w:r>
        <w:rPr>
          <w:rFonts w:hint="default" w:ascii="Times New Roman" w:hAnsi="Times New Roman" w:eastAsia="黑体" w:cs="Times New Roman"/>
          <w:b w:val="0"/>
          <w:sz w:val="36"/>
          <w:highlight w:val="none"/>
          <w:lang w:val="en-US" w:eastAsia="zh-CN"/>
        </w:rPr>
        <w:t>以</w:t>
      </w:r>
      <w:r>
        <w:rPr>
          <w:rFonts w:hint="default" w:ascii="Times New Roman" w:hAnsi="Times New Roman" w:eastAsia="黑体" w:cs="Times New Roman"/>
          <w:b w:val="0"/>
          <w:sz w:val="36"/>
          <w:highlight w:val="none"/>
          <w:lang w:val="en-US" w:eastAsia="zh-CN"/>
        </w:rPr>
        <w:fldChar w:fldCharType="end"/>
      </w:r>
      <w:r>
        <w:rPr>
          <w:rFonts w:hint="default" w:ascii="Times New Roman" w:hAnsi="Times New Roman" w:eastAsia="黑体" w:cs="Times New Roman"/>
          <w:b w:val="0"/>
          <w:sz w:val="36"/>
          <w:highlight w:val="none"/>
          <w:lang w:val="en-US" w:eastAsia="zh-CN"/>
        </w:rPr>
        <w:t>绿色低碳理念为引领，推动经济高质量发展</w:t>
      </w:r>
      <w:bookmarkEnd w:id="108"/>
      <w:bookmarkEnd w:id="109"/>
      <w:bookmarkEnd w:id="110"/>
      <w:bookmarkEnd w:id="111"/>
      <w:bookmarkEnd w:id="112"/>
      <w:bookmarkEnd w:id="113"/>
      <w:bookmarkEnd w:id="114"/>
      <w:bookmarkEnd w:id="115"/>
      <w:bookmarkEnd w:id="116"/>
      <w:bookmarkEnd w:id="117"/>
      <w:bookmarkEnd w:id="118"/>
    </w:p>
    <w:p w14:paraId="6F2FC3E3">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121" w:name="_Toc12925"/>
      <w:bookmarkStart w:id="122" w:name="_Toc11345"/>
      <w:bookmarkStart w:id="123" w:name="_Toc14876"/>
      <w:bookmarkStart w:id="124" w:name="_Toc775"/>
      <w:bookmarkStart w:id="125" w:name="_Toc2041"/>
      <w:bookmarkStart w:id="126" w:name="_Toc17853"/>
      <w:bookmarkStart w:id="127" w:name="_Toc9035"/>
      <w:bookmarkStart w:id="128" w:name="_Toc26754"/>
      <w:bookmarkStart w:id="129" w:name="_Toc4000"/>
      <w:bookmarkStart w:id="130" w:name="_Toc20892"/>
      <w:bookmarkStart w:id="131" w:name="_Toc3730"/>
      <w:bookmarkStart w:id="132" w:name="_Toc495559196"/>
      <w:r>
        <w:rPr>
          <w:rFonts w:hint="default" w:ascii="Times New Roman" w:hAnsi="Times New Roman" w:eastAsia="楷体_GB2312" w:cs="Times New Roman"/>
          <w:b/>
          <w:bCs w:val="0"/>
          <w:snapToGrid w:val="0"/>
          <w:highlight w:val="none"/>
          <w:lang w:val="en-US" w:eastAsia="zh-CN"/>
        </w:rPr>
        <w:t>第一节 以绿色发展为引领，构建现代化产业体系</w:t>
      </w:r>
      <w:bookmarkEnd w:id="121"/>
      <w:bookmarkEnd w:id="122"/>
      <w:bookmarkEnd w:id="123"/>
      <w:bookmarkEnd w:id="124"/>
      <w:bookmarkEnd w:id="125"/>
      <w:bookmarkEnd w:id="126"/>
      <w:bookmarkEnd w:id="127"/>
      <w:bookmarkEnd w:id="128"/>
      <w:bookmarkEnd w:id="129"/>
      <w:bookmarkEnd w:id="130"/>
      <w:bookmarkEnd w:id="131"/>
    </w:p>
    <w:p w14:paraId="694FF7FC">
      <w:pPr>
        <w:keepNext w:val="0"/>
        <w:keepLines w:val="0"/>
        <w:widowControl/>
        <w:suppressLineNumbers w:val="0"/>
        <w:ind w:firstLine="643" w:firstLineChars="200"/>
        <w:jc w:val="left"/>
        <w:rPr>
          <w:rFonts w:ascii="Times New Roman" w:hAnsi="Times New Roman" w:cs="Times New Roman"/>
          <w:highlight w:val="none"/>
        </w:rPr>
      </w:pPr>
      <w:r>
        <w:rPr>
          <w:rFonts w:hint="default" w:ascii="Times New Roman" w:hAnsi="Times New Roman" w:eastAsia="仿宋_GB2312" w:cs="Times New Roman"/>
          <w:b/>
          <w:bCs/>
          <w:sz w:val="32"/>
          <w:szCs w:val="32"/>
          <w:highlight w:val="none"/>
          <w:lang w:val="en-US" w:eastAsia="zh-CN"/>
        </w:rPr>
        <w:t>严格落实生态环境空间管控。</w:t>
      </w:r>
      <w:r>
        <w:rPr>
          <w:rFonts w:hint="default" w:ascii="Times New Roman" w:hAnsi="Times New Roman" w:eastAsia="仿宋_GB2312" w:cs="Times New Roman"/>
          <w:sz w:val="32"/>
          <w:szCs w:val="32"/>
          <w:highlight w:val="none"/>
        </w:rPr>
        <w:t>深入开展区域空间生态环境评价，根据区域生态环境特征、目标和社会经济发展需求，合理划定管控单元，将生态保护红线、环境质量底线、资源利用上线的硬约束系统落实到环境管控单元，实施分区管控，以关键单元的改善促进区域生态环境质量提升。加强“三线一单”成果应用，将“三线一单”确定的环境管控单元及其准入要求作为区域内城镇建设和建设项目布局的重要依据</w:t>
      </w:r>
      <w:r>
        <w:rPr>
          <w:rFonts w:hint="default" w:ascii="Times New Roman" w:hAnsi="Times New Roman" w:eastAsia="仿宋_GB2312" w:cs="Times New Roman"/>
          <w:sz w:val="32"/>
          <w:szCs w:val="32"/>
          <w:highlight w:val="none"/>
          <w:lang w:eastAsia="zh-CN"/>
        </w:rPr>
        <w:t>。</w:t>
      </w:r>
      <w:r>
        <w:rPr>
          <w:rFonts w:ascii="Times New Roman" w:hAnsi="Times New Roman" w:eastAsia="仿宋_GB2312" w:cs="Times New Roman"/>
          <w:color w:val="000000"/>
          <w:kern w:val="0"/>
          <w:sz w:val="32"/>
          <w:szCs w:val="32"/>
          <w:highlight w:val="none"/>
          <w:lang w:val="en-US" w:eastAsia="zh-CN" w:bidi="ar"/>
        </w:rPr>
        <w:t>落实建设项目差别化环保准入要求，全面实</w:t>
      </w:r>
      <w:r>
        <w:rPr>
          <w:rFonts w:hint="default" w:ascii="Times New Roman" w:hAnsi="Times New Roman" w:eastAsia="仿宋_GB2312" w:cs="Times New Roman"/>
          <w:color w:val="000000"/>
          <w:kern w:val="0"/>
          <w:sz w:val="32"/>
          <w:szCs w:val="32"/>
          <w:highlight w:val="none"/>
          <w:lang w:val="en-US" w:eastAsia="zh-CN" w:bidi="ar"/>
        </w:rPr>
        <w:t>施生态环境准入清单制度，严格实施“三个不批”环保审批制度，分流域、分区域、分行业实行差别化的环保准入管理。</w:t>
      </w:r>
      <w:r>
        <w:rPr>
          <w:rFonts w:hint="default" w:ascii="Times New Roman" w:hAnsi="Times New Roman" w:eastAsia="仿宋_GB2312" w:cs="Times New Roman"/>
          <w:sz w:val="32"/>
          <w:szCs w:val="32"/>
          <w:highlight w:val="none"/>
        </w:rPr>
        <w:t>建立健全“三线一单”实施评估和监管机制，切实落实生态保护红线、环境质量底线、资源利用上线在推动经济发展中的底线约束，统筹布局和优化提升生产、生活、生态空间，推动城市功能定位与产业集群发展协同匹配。</w:t>
      </w:r>
    </w:p>
    <w:p w14:paraId="23D13984">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lang w:val="en-US" w:eastAsia="zh-CN"/>
        </w:rPr>
        <w:t>强化规划环评引领作用。</w:t>
      </w:r>
      <w:r>
        <w:rPr>
          <w:rFonts w:hint="default" w:ascii="Times New Roman" w:hAnsi="Times New Roman" w:eastAsia="仿宋_GB2312" w:cs="Times New Roman"/>
          <w:b w:val="0"/>
          <w:bCs w:val="0"/>
          <w:sz w:val="32"/>
          <w:szCs w:val="32"/>
          <w:highlight w:val="none"/>
          <w:lang w:val="en-US" w:eastAsia="zh-CN"/>
        </w:rPr>
        <w:t>探索生态环境分区管控方案、生态环境准入清单和规划环评成果基础上的建设项目环评审批制度改革。</w:t>
      </w:r>
      <w:r>
        <w:rPr>
          <w:rFonts w:hint="default" w:ascii="Times New Roman" w:hAnsi="Times New Roman" w:eastAsia="仿宋_GB2312" w:cs="Times New Roman"/>
          <w:sz w:val="32"/>
          <w:szCs w:val="32"/>
          <w:highlight w:val="none"/>
        </w:rPr>
        <w:t>完善“三线一单”项目环境准入、项目环评与“规划环评，现有项目环境管理、区域环境质量联动”等“三联动”工作机制。坚持改善环境质量为核心，以项目环境准入推动区域、流域消减工作，严格落实建设项目环评文件限批制度，将主要污染物总量核定和排污权交易作为审批前置条件，将大气、水、土壤、重金属等污染防治要求落实到项目环评文件审批全过程。</w:t>
      </w:r>
    </w:p>
    <w:p w14:paraId="5BDA2C15">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lang w:val="en-US" w:eastAsia="zh-CN"/>
        </w:rPr>
        <w:t>引导产业园区绿色发展。</w:t>
      </w:r>
      <w:r>
        <w:rPr>
          <w:rFonts w:hint="default" w:ascii="Times New Roman" w:hAnsi="Times New Roman" w:eastAsia="仿宋_GB2312" w:cs="Times New Roman"/>
          <w:b w:val="0"/>
          <w:bCs w:val="0"/>
          <w:sz w:val="32"/>
          <w:szCs w:val="32"/>
          <w:highlight w:val="none"/>
          <w:lang w:val="en-US" w:eastAsia="zh-CN"/>
        </w:rPr>
        <w:t>按照主体功能区规划和资源环境承载力要求，促进资本、资源和技术的有效结合向集约化、集群化发展，以空间整合为主要手段，通过引导资源合理配置和产业梯度发展，强化梯度集聚，对现有及规划工业园区与工业用地总体空间布局进行引导与调整。</w:t>
      </w:r>
      <w:r>
        <w:rPr>
          <w:rFonts w:hint="default" w:ascii="Times New Roman" w:hAnsi="Times New Roman" w:eastAsia="仿宋_GB2312" w:cs="Times New Roman"/>
          <w:sz w:val="32"/>
          <w:szCs w:val="32"/>
          <w:highlight w:val="none"/>
        </w:rPr>
        <w:t>积极融入全市产业发展布局，主动参与临深新一代电子信息战略性新兴产业基地等规划建设，打造临深片区中国智能制造创新基地；主动融入全市科技创新格局，以创新成果落地转化和产业化为重点，深度参与广深港澳科技创新走廊建设。</w:t>
      </w:r>
    </w:p>
    <w:p w14:paraId="012B612F">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提升园区发展水平。</w:t>
      </w:r>
      <w:r>
        <w:rPr>
          <w:rFonts w:hint="default" w:ascii="Times New Roman" w:hAnsi="Times New Roman" w:eastAsia="仿宋_GB2312" w:cs="Times New Roman"/>
          <w:b w:val="0"/>
          <w:bCs w:val="0"/>
          <w:sz w:val="32"/>
          <w:szCs w:val="32"/>
          <w:highlight w:val="none"/>
          <w:lang w:val="en-US" w:eastAsia="zh-CN"/>
        </w:rPr>
        <w:t>加强工改工、镇村工业园、共性工厂的生态环境治理，提升工业园区发展水平。大力推进环保专业基地规范化运营管理。贯彻落实《东莞市环保专业基地环境保护管理暂行办法》有关要求，督促环保专业基地运营单位建立完善的基地环保规章制度，实施规范化运营管理。继续推动电镀、纺织印染、造纸等行业企业整治，充分利用相关优惠政策，鼓励引导污染企业主动搬迁入园。全面加强环境执法，加强对工业园区、共性工厂及周边大气、水、土壤环境质量状况监控，推动涉排放VOCs、涉水表面处理的工业项目实施第三方治理，对主要污染物实施全过程智能联网监控，坚决查处偷排、超排、漏排、排污许可证照不全等环境违法行为。</w:t>
      </w:r>
    </w:p>
    <w:p w14:paraId="4BF510D3">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133" w:name="_Toc28036"/>
      <w:bookmarkStart w:id="134" w:name="_Toc17610"/>
      <w:bookmarkStart w:id="135" w:name="_Toc25994"/>
      <w:bookmarkStart w:id="136" w:name="_Toc24902"/>
      <w:bookmarkStart w:id="137" w:name="_Toc6939"/>
      <w:bookmarkStart w:id="138" w:name="_Toc18755"/>
      <w:bookmarkStart w:id="139" w:name="_Toc30272"/>
      <w:bookmarkStart w:id="140" w:name="_Toc24286"/>
      <w:bookmarkStart w:id="141" w:name="_Toc10073"/>
      <w:bookmarkStart w:id="142" w:name="_Toc19804"/>
      <w:bookmarkStart w:id="143" w:name="_Toc2775"/>
      <w:r>
        <w:rPr>
          <w:rFonts w:hint="default" w:ascii="Times New Roman" w:hAnsi="Times New Roman" w:eastAsia="楷体_GB2312" w:cs="Times New Roman"/>
          <w:b/>
          <w:bCs w:val="0"/>
          <w:snapToGrid w:val="0"/>
          <w:highlight w:val="none"/>
          <w:lang w:val="en-US" w:eastAsia="zh-CN"/>
        </w:rPr>
        <w:t>第二节 深入推动产业结构转型，推进绿色循环生产</w:t>
      </w:r>
      <w:bookmarkEnd w:id="133"/>
      <w:bookmarkEnd w:id="134"/>
      <w:bookmarkEnd w:id="135"/>
      <w:bookmarkEnd w:id="136"/>
      <w:bookmarkEnd w:id="137"/>
      <w:bookmarkEnd w:id="138"/>
      <w:bookmarkEnd w:id="139"/>
      <w:bookmarkEnd w:id="140"/>
      <w:bookmarkEnd w:id="141"/>
      <w:bookmarkEnd w:id="142"/>
      <w:bookmarkEnd w:id="143"/>
    </w:p>
    <w:p w14:paraId="6BE4E06C">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严控“两高”行业产能。</w:t>
      </w:r>
      <w:r>
        <w:rPr>
          <w:rFonts w:hint="default" w:ascii="Times New Roman" w:hAnsi="Times New Roman" w:eastAsia="仿宋_GB2312" w:cs="Times New Roman"/>
          <w:b w:val="0"/>
          <w:bCs w:val="0"/>
          <w:sz w:val="32"/>
          <w:szCs w:val="32"/>
          <w:highlight w:val="none"/>
          <w:lang w:val="en-US" w:eastAsia="zh-CN"/>
        </w:rPr>
        <w:t>严格落实《关于加强高耗能、高排放建设项目生态环境源头防控的指导意见》（环环评〔2021〕45号）和《广东省坚决遏制“两高”项目盲目发展的实施方案》（粤发改能源〔2021〕368号）要求，严禁在经规划环评审查的产业园区以外区域新建、扩建石化、化工、有色金属冶炼项目，禁止新建、扩建水泥、平板玻璃、化学制浆、生皮制革以及国家规划外的钢铁、原油加工等项目，并在镇“三线一单”生态环境分区管控更新调整时深化“两高”项目准入及管控要求。在未完成单位GDP二氧化碳排放降幅或空气质量等约束性指标年度目标的情况下，下一年度不得新建“两高”项目。</w:t>
      </w:r>
    </w:p>
    <w:p w14:paraId="5129B438">
      <w:pPr>
        <w:adjustRightInd/>
        <w:snapToGrid/>
        <w:ind w:firstLine="643"/>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构建绿色制造体系。</w:t>
      </w:r>
      <w:r>
        <w:rPr>
          <w:rFonts w:hint="default" w:ascii="Times New Roman" w:hAnsi="Times New Roman" w:eastAsia="仿宋_GB2312" w:cs="Times New Roman"/>
          <w:b w:val="0"/>
          <w:bCs w:val="0"/>
          <w:sz w:val="32"/>
          <w:szCs w:val="32"/>
          <w:highlight w:val="none"/>
          <w:lang w:val="en-US" w:eastAsia="zh-CN"/>
        </w:rPr>
        <w:t>鼓励企业开展绿色供应链制造服务体系创建，选择高端装备等行业中代表性强、影响力大、绿色供应链管理基础好的核心制造企业，申报国家级绿色供应链试点。鼓励企业确立绿色供应链管理战略，实施绿色供应商管理，按照产品全生命周期理念，加强供应链上下游企业间的协调和协作，在采购、生产、销售、物流、使用等重点环节坚持绿色理念，提升资源利用效率，改善环境，实现链上企业绿色化。根据生态设计产品评价规范国家标准和全国工业绿色产品推进联盟发布的绿色设计产品评价技术规范系列团体标准，规范与培育一批绿色设计产品。</w:t>
      </w:r>
      <w:r>
        <w:rPr>
          <w:rFonts w:hint="default" w:eastAsia="仿宋_GB2312"/>
          <w:b/>
          <w:bCs/>
          <w:sz w:val="32"/>
          <w:szCs w:val="32"/>
          <w:highlight w:val="none"/>
        </w:rPr>
        <w:t>到20</w:t>
      </w:r>
      <w:r>
        <w:rPr>
          <w:rFonts w:hint="eastAsia" w:eastAsia="仿宋_GB2312"/>
          <w:b/>
          <w:bCs/>
          <w:sz w:val="32"/>
          <w:szCs w:val="32"/>
          <w:highlight w:val="none"/>
          <w:lang w:val="en-US" w:eastAsia="zh-CN"/>
        </w:rPr>
        <w:t>30</w:t>
      </w:r>
      <w:r>
        <w:rPr>
          <w:rFonts w:hint="default" w:eastAsia="仿宋_GB2312"/>
          <w:b/>
          <w:bCs/>
          <w:sz w:val="32"/>
          <w:szCs w:val="32"/>
          <w:highlight w:val="none"/>
        </w:rPr>
        <w:t>年</w:t>
      </w:r>
      <w:r>
        <w:rPr>
          <w:rFonts w:hint="eastAsia" w:eastAsia="仿宋_GB2312"/>
          <w:b/>
          <w:bCs/>
          <w:sz w:val="32"/>
          <w:szCs w:val="32"/>
          <w:highlight w:val="none"/>
          <w:lang w:val="en-US" w:eastAsia="zh-CN"/>
        </w:rPr>
        <w:t>底</w:t>
      </w:r>
      <w:r>
        <w:rPr>
          <w:rFonts w:hint="default" w:eastAsia="仿宋_GB2312"/>
          <w:b/>
          <w:bCs/>
          <w:sz w:val="32"/>
          <w:szCs w:val="32"/>
          <w:highlight w:val="none"/>
        </w:rPr>
        <w:t>，基本建成科学完善的绿色供应链环境管理体系。</w:t>
      </w:r>
    </w:p>
    <w:p w14:paraId="434EF354">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加速传统产业转型升级。</w:t>
      </w:r>
      <w:r>
        <w:rPr>
          <w:rFonts w:hint="default" w:ascii="Times New Roman" w:hAnsi="Times New Roman" w:eastAsia="仿宋_GB2312" w:cs="Times New Roman"/>
          <w:sz w:val="32"/>
          <w:szCs w:val="32"/>
          <w:highlight w:val="none"/>
          <w:lang w:val="en-US" w:eastAsia="zh-CN"/>
        </w:rPr>
        <w:t>以全域高质量发展为导向，推进全域产业治理，淘汰落后产能，化解过剩产能，整治低效产能。围绕智能化、品牌化、特色化方向，推动纺织服装、家具制造、塑料五金、包装印刷、文体用品等传统产业转型发展，提高产品附加值和竞争力。以绿色化为方向，鼓励和支持企业加强技术改造。拓展服务领域，实现绿色生产。全面整治提升产业安全环保水平，加大淘汰整治力度，完成省市下达的关闭退出目标任务。大力发展循环经济、低碳技术，鼓励企业采用先进适用清洁生产工艺技术实施升级改造，努力降低产污强度。</w:t>
      </w:r>
    </w:p>
    <w:p w14:paraId="65F6701D">
      <w:pPr>
        <w:keepNext w:val="0"/>
        <w:keepLines w:val="0"/>
        <w:widowControl/>
        <w:suppressLineNumbers w:val="0"/>
        <w:ind w:firstLine="643" w:firstLineChars="200"/>
        <w:jc w:val="left"/>
        <w:rPr>
          <w:rFonts w:ascii="Times New Roman" w:hAnsi="Times New Roman" w:cs="Times New Roman"/>
          <w:highlight w:val="none"/>
        </w:rPr>
      </w:pPr>
      <w:r>
        <w:rPr>
          <w:rFonts w:ascii="Times New Roman" w:hAnsi="Times New Roman" w:eastAsia="仿宋_GB2312" w:cs="Times New Roman"/>
          <w:b/>
          <w:bCs/>
          <w:color w:val="000000"/>
          <w:kern w:val="0"/>
          <w:sz w:val="32"/>
          <w:szCs w:val="32"/>
          <w:highlight w:val="none"/>
          <w:lang w:val="en-US" w:eastAsia="zh-CN" w:bidi="ar"/>
        </w:rPr>
        <w:t>持续推行企业清洁生产</w:t>
      </w:r>
      <w:r>
        <w:rPr>
          <w:rFonts w:hint="default" w:ascii="Times New Roman" w:hAnsi="Times New Roman" w:eastAsia="仿宋_GB2312" w:cs="Times New Roman"/>
          <w:color w:val="000000"/>
          <w:kern w:val="0"/>
          <w:sz w:val="32"/>
          <w:szCs w:val="32"/>
          <w:highlight w:val="none"/>
          <w:lang w:val="en-US" w:eastAsia="zh-CN" w:bidi="ar"/>
        </w:rPr>
        <w:t>。继续推动落实强制性清洁生产审核制度，扩大重点领域、重点区域（流域）绿色清洁生产审核覆盖面，促进粤港澳大湾区绿色发展。鼓励企业采用先进适用清洁生产工艺技术实施升级改造，提升清洁生产水平。以企业为主体，以绿色产品、绿色工厂、绿色工业园区、绿色供应链为重点，以绿色制造服务平台为支撑，加快培育节能环保产业，持续推进绿色制造体系建设。</w:t>
      </w:r>
    </w:p>
    <w:p w14:paraId="7A1AB7A1">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推进工业循环化改造。</w:t>
      </w:r>
      <w:r>
        <w:rPr>
          <w:rFonts w:hint="default" w:ascii="Times New Roman" w:hAnsi="Times New Roman" w:eastAsia="仿宋_GB2312" w:cs="Times New Roman"/>
          <w:b w:val="0"/>
          <w:bCs w:val="0"/>
          <w:sz w:val="32"/>
          <w:szCs w:val="32"/>
          <w:highlight w:val="none"/>
          <w:lang w:val="en-US" w:eastAsia="zh-CN"/>
        </w:rPr>
        <w:t>推进工业园区实施循环化改造，实现工业园区绿色、低碳、循环发展。调整优化不符合生态环境功能定位的产业布局、规模和结构，推进工业集聚发展。在能源、建材、化工、造纸、印染、农副食品加工等行业，全面推进清洁生产改造或清洁化改造。</w:t>
      </w:r>
    </w:p>
    <w:p w14:paraId="79C98687">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144" w:name="_Toc10256"/>
      <w:bookmarkStart w:id="145" w:name="_Toc9845"/>
      <w:bookmarkStart w:id="146" w:name="_Toc5360"/>
      <w:bookmarkStart w:id="147" w:name="_Toc14005"/>
      <w:bookmarkStart w:id="148" w:name="_Toc16590"/>
      <w:bookmarkStart w:id="149" w:name="_Toc26276"/>
      <w:bookmarkStart w:id="150" w:name="_Toc26287"/>
      <w:bookmarkStart w:id="151" w:name="_Toc24269"/>
      <w:bookmarkStart w:id="152" w:name="_Toc26244"/>
      <w:bookmarkStart w:id="153" w:name="_Toc26400"/>
      <w:bookmarkStart w:id="154" w:name="_Toc8619"/>
      <w:r>
        <w:rPr>
          <w:rFonts w:hint="default" w:ascii="Times New Roman" w:hAnsi="Times New Roman" w:eastAsia="楷体_GB2312" w:cs="Times New Roman"/>
          <w:b/>
          <w:bCs w:val="0"/>
          <w:snapToGrid w:val="0"/>
          <w:highlight w:val="none"/>
          <w:lang w:val="en-US" w:eastAsia="zh-CN"/>
        </w:rPr>
        <w:t>第三节 提高资源能源利用效率，支持绿色技术创新</w:t>
      </w:r>
      <w:bookmarkEnd w:id="144"/>
      <w:bookmarkEnd w:id="145"/>
      <w:bookmarkEnd w:id="146"/>
      <w:bookmarkEnd w:id="147"/>
      <w:bookmarkEnd w:id="148"/>
      <w:bookmarkEnd w:id="149"/>
      <w:bookmarkEnd w:id="150"/>
      <w:bookmarkEnd w:id="151"/>
      <w:bookmarkEnd w:id="152"/>
      <w:bookmarkEnd w:id="153"/>
      <w:bookmarkEnd w:id="154"/>
    </w:p>
    <w:p w14:paraId="3F189885">
      <w:pPr>
        <w:pageBreakBefore w:val="0"/>
        <w:widowControl/>
        <w:numPr>
          <w:ilvl w:val="-1"/>
          <w:numId w:val="0"/>
        </w:numPr>
        <w:kinsoku/>
        <w:wordWrap/>
        <w:autoSpaceDE/>
        <w:autoSpaceDN/>
        <w:bidi w:val="0"/>
        <w:adjustRightInd w:val="0"/>
        <w:spacing w:line="240" w:lineRule="auto"/>
        <w:ind w:firstLine="643" w:firstLineChars="200"/>
        <w:jc w:val="left"/>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加强资源综合利用。</w:t>
      </w:r>
      <w:r>
        <w:rPr>
          <w:rFonts w:hint="default" w:ascii="Times New Roman" w:hAnsi="Times New Roman" w:eastAsia="仿宋_GB2312" w:cs="Times New Roman"/>
          <w:sz w:val="32"/>
          <w:szCs w:val="32"/>
          <w:highlight w:val="none"/>
          <w:lang w:val="en-US" w:eastAsia="zh-CN"/>
        </w:rPr>
        <w:t>持续推动省级再制造试点、“城市矿产”试点和“无废城市”建设，加强废线路板、废塑料、建筑垃圾、园林垃圾、废旧木材等的资源化利用，推进废旧轮胎回收和再制造。重点针对化工废渣、尘泥等污染大、难利用工业固体废物，推广一批先进适用技术与装备，扩大资源综合利用试点。以再生资源规范企业为依托，开展电器电子产品、汽车等领域生产者责任延伸试点，打造若干个再生资源产业园区，推进再生资源产业集约化、专业化、规模化发展。</w:t>
      </w:r>
      <w:r>
        <w:rPr>
          <w:rFonts w:ascii="Times New Roman" w:hAnsi="Times New Roman" w:eastAsia="仿宋_GB2312" w:cs="Times New Roman"/>
          <w:b/>
          <w:bCs/>
          <w:color w:val="000000"/>
          <w:kern w:val="0"/>
          <w:sz w:val="32"/>
          <w:szCs w:val="32"/>
          <w:highlight w:val="none"/>
          <w:lang w:val="en-US" w:eastAsia="zh-CN" w:bidi="ar"/>
        </w:rPr>
        <w:t>到</w:t>
      </w:r>
      <w:r>
        <w:rPr>
          <w:rFonts w:hint="default" w:ascii="Times New Roman" w:hAnsi="Times New Roman" w:eastAsia="宋体" w:cs="Times New Roman"/>
          <w:b/>
          <w:bCs/>
          <w:color w:val="000000"/>
          <w:kern w:val="0"/>
          <w:sz w:val="32"/>
          <w:szCs w:val="32"/>
          <w:highlight w:val="none"/>
          <w:lang w:val="en-US" w:eastAsia="zh-CN" w:bidi="ar"/>
        </w:rPr>
        <w:t>2025</w:t>
      </w:r>
      <w:r>
        <w:rPr>
          <w:rFonts w:hint="default" w:ascii="Times New Roman" w:hAnsi="Times New Roman" w:eastAsia="仿宋_GB2312" w:cs="Times New Roman"/>
          <w:b/>
          <w:bCs/>
          <w:color w:val="000000"/>
          <w:kern w:val="0"/>
          <w:sz w:val="32"/>
          <w:szCs w:val="32"/>
          <w:highlight w:val="none"/>
          <w:lang w:val="en-US" w:eastAsia="zh-CN" w:bidi="ar"/>
        </w:rPr>
        <w:t>年</w:t>
      </w:r>
      <w:r>
        <w:rPr>
          <w:rFonts w:hint="eastAsia" w:eastAsia="仿宋_GB2312" w:cs="Times New Roman"/>
          <w:b/>
          <w:bCs/>
          <w:color w:val="000000"/>
          <w:kern w:val="0"/>
          <w:sz w:val="32"/>
          <w:szCs w:val="32"/>
          <w:highlight w:val="none"/>
          <w:lang w:val="en-US" w:eastAsia="zh-CN" w:bidi="ar"/>
        </w:rPr>
        <w:t>底</w:t>
      </w:r>
      <w:r>
        <w:rPr>
          <w:rFonts w:hint="default" w:ascii="Times New Roman" w:hAnsi="Times New Roman" w:eastAsia="仿宋_GB2312" w:cs="Times New Roman"/>
          <w:b/>
          <w:bCs/>
          <w:color w:val="000000"/>
          <w:kern w:val="0"/>
          <w:sz w:val="32"/>
          <w:szCs w:val="32"/>
          <w:highlight w:val="none"/>
          <w:lang w:val="en-US" w:eastAsia="zh-CN" w:bidi="ar"/>
        </w:rPr>
        <w:t>，一般工业固体废物综合利用率达到</w:t>
      </w:r>
      <w:r>
        <w:rPr>
          <w:rFonts w:hint="eastAsia" w:eastAsia="仿宋_GB2312" w:cs="Times New Roman"/>
          <w:b/>
          <w:bCs/>
          <w:color w:val="000000"/>
          <w:kern w:val="0"/>
          <w:sz w:val="32"/>
          <w:szCs w:val="32"/>
          <w:highlight w:val="none"/>
          <w:lang w:val="en-US" w:eastAsia="zh-CN" w:bidi="ar"/>
        </w:rPr>
        <w:t>96</w:t>
      </w:r>
      <w:r>
        <w:rPr>
          <w:rFonts w:hint="default" w:ascii="Times New Roman" w:hAnsi="Times New Roman" w:eastAsia="宋体" w:cs="Times New Roman"/>
          <w:b/>
          <w:bCs/>
          <w:color w:val="000000"/>
          <w:kern w:val="0"/>
          <w:sz w:val="32"/>
          <w:szCs w:val="32"/>
          <w:highlight w:val="none"/>
          <w:lang w:val="en-US" w:eastAsia="zh-CN" w:bidi="ar"/>
        </w:rPr>
        <w:t>%</w:t>
      </w:r>
      <w:r>
        <w:rPr>
          <w:rFonts w:hint="default" w:ascii="Times New Roman" w:hAnsi="Times New Roman" w:eastAsia="仿宋_GB2312" w:cs="Times New Roman"/>
          <w:b/>
          <w:bCs/>
          <w:color w:val="000000"/>
          <w:kern w:val="0"/>
          <w:sz w:val="32"/>
          <w:szCs w:val="32"/>
          <w:highlight w:val="none"/>
          <w:lang w:val="en-US" w:eastAsia="zh-CN" w:bidi="ar"/>
        </w:rPr>
        <w:t>以上</w:t>
      </w:r>
      <w:r>
        <w:rPr>
          <w:rFonts w:hint="eastAsia" w:eastAsia="仿宋_GB2312" w:cs="Times New Roman"/>
          <w:b/>
          <w:bCs/>
          <w:color w:val="000000"/>
          <w:kern w:val="0"/>
          <w:sz w:val="32"/>
          <w:szCs w:val="32"/>
          <w:highlight w:val="none"/>
          <w:lang w:val="en-US" w:eastAsia="zh-CN" w:bidi="ar"/>
        </w:rPr>
        <w:t>，</w:t>
      </w:r>
      <w:r>
        <w:rPr>
          <w:rFonts w:hint="default" w:eastAsia="仿宋_GB2312"/>
          <w:b/>
          <w:bCs/>
          <w:color w:val="000000"/>
          <w:kern w:val="0"/>
          <w:sz w:val="32"/>
          <w:szCs w:val="32"/>
          <w:highlight w:val="none"/>
          <w:lang w:bidi="ar"/>
        </w:rPr>
        <w:t>到20</w:t>
      </w:r>
      <w:r>
        <w:rPr>
          <w:rFonts w:hint="eastAsia" w:eastAsia="仿宋_GB2312"/>
          <w:b/>
          <w:bCs/>
          <w:color w:val="000000"/>
          <w:kern w:val="0"/>
          <w:sz w:val="32"/>
          <w:szCs w:val="32"/>
          <w:highlight w:val="none"/>
          <w:lang w:val="en-US" w:eastAsia="zh-CN" w:bidi="ar"/>
        </w:rPr>
        <w:t>30</w:t>
      </w:r>
      <w:r>
        <w:rPr>
          <w:rFonts w:hint="default" w:eastAsia="仿宋_GB2312"/>
          <w:b/>
          <w:bCs/>
          <w:color w:val="000000"/>
          <w:kern w:val="0"/>
          <w:sz w:val="32"/>
          <w:szCs w:val="32"/>
          <w:highlight w:val="none"/>
          <w:lang w:bidi="ar"/>
        </w:rPr>
        <w:t>年</w:t>
      </w:r>
      <w:r>
        <w:rPr>
          <w:rFonts w:hint="eastAsia" w:eastAsia="仿宋_GB2312"/>
          <w:b/>
          <w:bCs/>
          <w:color w:val="000000"/>
          <w:kern w:val="0"/>
          <w:sz w:val="32"/>
          <w:szCs w:val="32"/>
          <w:highlight w:val="none"/>
          <w:lang w:val="en-US" w:eastAsia="zh-CN" w:bidi="ar"/>
        </w:rPr>
        <w:t>底</w:t>
      </w:r>
      <w:r>
        <w:rPr>
          <w:rFonts w:hint="default" w:eastAsia="仿宋_GB2312"/>
          <w:b/>
          <w:bCs/>
          <w:color w:val="000000"/>
          <w:kern w:val="0"/>
          <w:sz w:val="32"/>
          <w:szCs w:val="32"/>
          <w:highlight w:val="none"/>
          <w:lang w:bidi="ar"/>
        </w:rPr>
        <w:t>，力争建筑</w:t>
      </w:r>
      <w:r>
        <w:rPr>
          <w:rFonts w:hint="eastAsia" w:eastAsia="仿宋_GB2312"/>
          <w:b/>
          <w:bCs/>
          <w:color w:val="000000"/>
          <w:kern w:val="0"/>
          <w:sz w:val="32"/>
          <w:szCs w:val="32"/>
          <w:highlight w:val="none"/>
          <w:lang w:val="en-US" w:eastAsia="zh-CN" w:bidi="ar"/>
        </w:rPr>
        <w:t>垃圾</w:t>
      </w:r>
      <w:r>
        <w:rPr>
          <w:rFonts w:hint="default" w:eastAsia="仿宋_GB2312"/>
          <w:b/>
          <w:bCs/>
          <w:color w:val="000000"/>
          <w:kern w:val="0"/>
          <w:sz w:val="32"/>
          <w:szCs w:val="32"/>
          <w:highlight w:val="none"/>
          <w:lang w:bidi="ar"/>
        </w:rPr>
        <w:t>资源化利用率达到</w:t>
      </w:r>
      <w:r>
        <w:rPr>
          <w:rFonts w:hint="eastAsia" w:eastAsia="仿宋_GB2312"/>
          <w:b/>
          <w:bCs/>
          <w:color w:val="000000"/>
          <w:kern w:val="0"/>
          <w:sz w:val="32"/>
          <w:szCs w:val="32"/>
          <w:highlight w:val="none"/>
          <w:lang w:val="en-US" w:eastAsia="zh-CN" w:bidi="ar"/>
        </w:rPr>
        <w:t>55</w:t>
      </w:r>
      <w:r>
        <w:rPr>
          <w:rFonts w:hint="default" w:eastAsia="仿宋_GB2312"/>
          <w:b/>
          <w:bCs/>
          <w:color w:val="000000"/>
          <w:kern w:val="0"/>
          <w:sz w:val="32"/>
          <w:szCs w:val="32"/>
          <w:highlight w:val="none"/>
          <w:lang w:bidi="ar"/>
        </w:rPr>
        <w:t>%以上。</w:t>
      </w:r>
      <w:r>
        <w:rPr>
          <w:rFonts w:hint="default" w:ascii="Times New Roman" w:hAnsi="Times New Roman" w:eastAsia="仿宋_GB2312" w:cs="Times New Roman"/>
          <w:b/>
          <w:bCs/>
          <w:color w:val="000000"/>
          <w:kern w:val="0"/>
          <w:sz w:val="32"/>
          <w:szCs w:val="32"/>
          <w:highlight w:val="none"/>
          <w:lang w:val="en-US" w:eastAsia="zh-CN" w:bidi="ar"/>
        </w:rPr>
        <w:t>加强水资源循环利用，到</w:t>
      </w:r>
      <w:r>
        <w:rPr>
          <w:rFonts w:hint="default" w:ascii="Times New Roman" w:hAnsi="Times New Roman" w:eastAsia="宋体" w:cs="Times New Roman"/>
          <w:b/>
          <w:bCs/>
          <w:color w:val="000000"/>
          <w:kern w:val="0"/>
          <w:sz w:val="32"/>
          <w:szCs w:val="32"/>
          <w:highlight w:val="none"/>
          <w:lang w:val="en-US" w:eastAsia="zh-CN" w:bidi="ar"/>
        </w:rPr>
        <w:t>2025</w:t>
      </w:r>
      <w:r>
        <w:rPr>
          <w:rFonts w:hint="default" w:ascii="Times New Roman" w:hAnsi="Times New Roman" w:eastAsia="仿宋_GB2312" w:cs="Times New Roman"/>
          <w:b/>
          <w:bCs/>
          <w:color w:val="000000"/>
          <w:kern w:val="0"/>
          <w:sz w:val="32"/>
          <w:szCs w:val="32"/>
          <w:highlight w:val="none"/>
          <w:lang w:val="en-US" w:eastAsia="zh-CN" w:bidi="ar"/>
        </w:rPr>
        <w:t>年</w:t>
      </w:r>
      <w:r>
        <w:rPr>
          <w:rFonts w:hint="eastAsia" w:eastAsia="仿宋_GB2312" w:cs="Times New Roman"/>
          <w:b/>
          <w:bCs/>
          <w:color w:val="000000"/>
          <w:kern w:val="0"/>
          <w:sz w:val="32"/>
          <w:szCs w:val="32"/>
          <w:highlight w:val="none"/>
          <w:lang w:val="en-US" w:eastAsia="zh-CN" w:bidi="ar"/>
        </w:rPr>
        <w:t>底</w:t>
      </w:r>
      <w:r>
        <w:rPr>
          <w:rFonts w:hint="default" w:ascii="Times New Roman" w:hAnsi="Times New Roman" w:eastAsia="仿宋_GB2312" w:cs="Times New Roman"/>
          <w:b/>
          <w:bCs/>
          <w:color w:val="000000"/>
          <w:kern w:val="0"/>
          <w:sz w:val="32"/>
          <w:szCs w:val="32"/>
          <w:highlight w:val="none"/>
          <w:lang w:val="en-US" w:eastAsia="zh-CN" w:bidi="ar"/>
        </w:rPr>
        <w:t>，万元</w:t>
      </w:r>
      <w:r>
        <w:rPr>
          <w:rFonts w:hint="default" w:ascii="Times New Roman" w:hAnsi="Times New Roman" w:eastAsia="宋体" w:cs="Times New Roman"/>
          <w:b/>
          <w:bCs/>
          <w:color w:val="000000"/>
          <w:kern w:val="0"/>
          <w:sz w:val="32"/>
          <w:szCs w:val="32"/>
          <w:highlight w:val="none"/>
          <w:lang w:val="en-US" w:eastAsia="zh-CN" w:bidi="ar"/>
        </w:rPr>
        <w:t>GDP</w:t>
      </w:r>
      <w:r>
        <w:rPr>
          <w:rFonts w:hint="default" w:ascii="Times New Roman" w:hAnsi="Times New Roman" w:eastAsia="仿宋_GB2312" w:cs="Times New Roman"/>
          <w:b/>
          <w:bCs/>
          <w:color w:val="000000"/>
          <w:kern w:val="0"/>
          <w:sz w:val="32"/>
          <w:szCs w:val="32"/>
          <w:highlight w:val="none"/>
          <w:lang w:val="en-US" w:eastAsia="zh-CN" w:bidi="ar"/>
        </w:rPr>
        <w:t>用水量五年累计下降</w:t>
      </w:r>
      <w:r>
        <w:rPr>
          <w:rFonts w:hint="default" w:ascii="Times New Roman" w:hAnsi="Times New Roman" w:eastAsia="宋体" w:cs="Times New Roman"/>
          <w:b/>
          <w:bCs/>
          <w:color w:val="000000"/>
          <w:kern w:val="0"/>
          <w:sz w:val="32"/>
          <w:szCs w:val="32"/>
          <w:highlight w:val="none"/>
          <w:lang w:val="en-US" w:eastAsia="zh-CN" w:bidi="ar"/>
        </w:rPr>
        <w:t>10%</w:t>
      </w:r>
      <w:r>
        <w:rPr>
          <w:rFonts w:hint="default" w:eastAsia="仿宋_GB2312" w:cs="Times New Roman"/>
          <w:b/>
          <w:bCs/>
          <w:color w:val="000000"/>
          <w:kern w:val="0"/>
          <w:sz w:val="32"/>
          <w:szCs w:val="32"/>
          <w:highlight w:val="none"/>
          <w:lang w:val="en-US" w:eastAsia="zh-CN" w:bidi="ar"/>
        </w:rPr>
        <w:t>，</w:t>
      </w:r>
      <w:r>
        <w:rPr>
          <w:rFonts w:hint="default" w:eastAsia="仿宋_GB2312"/>
          <w:b/>
          <w:bCs/>
          <w:color w:val="000000"/>
          <w:kern w:val="0"/>
          <w:sz w:val="32"/>
          <w:szCs w:val="32"/>
          <w:highlight w:val="none"/>
          <w:lang w:bidi="ar"/>
        </w:rPr>
        <w:t>到20</w:t>
      </w:r>
      <w:r>
        <w:rPr>
          <w:rFonts w:hint="eastAsia" w:eastAsia="仿宋_GB2312"/>
          <w:b/>
          <w:bCs/>
          <w:color w:val="000000"/>
          <w:kern w:val="0"/>
          <w:sz w:val="32"/>
          <w:szCs w:val="32"/>
          <w:highlight w:val="none"/>
          <w:lang w:val="en-US" w:eastAsia="zh-CN" w:bidi="ar"/>
        </w:rPr>
        <w:t>30</w:t>
      </w:r>
      <w:r>
        <w:rPr>
          <w:rFonts w:hint="default" w:eastAsia="仿宋_GB2312"/>
          <w:b/>
          <w:bCs/>
          <w:color w:val="000000"/>
          <w:kern w:val="0"/>
          <w:sz w:val="32"/>
          <w:szCs w:val="32"/>
          <w:highlight w:val="none"/>
          <w:lang w:bidi="ar"/>
        </w:rPr>
        <w:t>年</w:t>
      </w:r>
      <w:r>
        <w:rPr>
          <w:rFonts w:hint="eastAsia" w:eastAsia="仿宋_GB2312"/>
          <w:b/>
          <w:bCs/>
          <w:color w:val="000000"/>
          <w:kern w:val="0"/>
          <w:sz w:val="32"/>
          <w:szCs w:val="32"/>
          <w:highlight w:val="none"/>
          <w:lang w:val="en-US" w:eastAsia="zh-CN" w:bidi="ar"/>
        </w:rPr>
        <w:t>底</w:t>
      </w:r>
      <w:r>
        <w:rPr>
          <w:rFonts w:hint="eastAsia" w:eastAsia="仿宋_GB2312"/>
          <w:b/>
          <w:bCs/>
          <w:color w:val="000000"/>
          <w:kern w:val="0"/>
          <w:sz w:val="32"/>
          <w:szCs w:val="32"/>
          <w:highlight w:val="none"/>
          <w:lang w:eastAsia="zh-CN" w:bidi="ar"/>
        </w:rPr>
        <w:t>，</w:t>
      </w:r>
      <w:r>
        <w:rPr>
          <w:rFonts w:hint="default" w:eastAsia="仿宋_GB2312"/>
          <w:b/>
          <w:bCs/>
          <w:color w:val="000000"/>
          <w:kern w:val="0"/>
          <w:sz w:val="32"/>
          <w:szCs w:val="32"/>
          <w:highlight w:val="none"/>
          <w:lang w:bidi="ar"/>
        </w:rPr>
        <w:t>用水效率接近世界先进水平</w:t>
      </w:r>
      <w:r>
        <w:rPr>
          <w:rFonts w:hint="eastAsia" w:eastAsia="仿宋_GB2312"/>
          <w:b/>
          <w:bCs/>
          <w:color w:val="000000"/>
          <w:kern w:val="0"/>
          <w:sz w:val="32"/>
          <w:szCs w:val="32"/>
          <w:highlight w:val="none"/>
          <w:lang w:eastAsia="zh-CN" w:bidi="ar"/>
        </w:rPr>
        <w:t>。</w:t>
      </w:r>
    </w:p>
    <w:p w14:paraId="26DB949B">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推进绿色技改建设。</w:t>
      </w:r>
      <w:r>
        <w:rPr>
          <w:rFonts w:hint="default" w:ascii="Times New Roman" w:hAnsi="Times New Roman" w:eastAsia="仿宋_GB2312" w:cs="Times New Roman"/>
          <w:b w:val="0"/>
          <w:bCs w:val="0"/>
          <w:sz w:val="32"/>
          <w:szCs w:val="32"/>
          <w:highlight w:val="none"/>
          <w:lang w:val="en-US" w:eastAsia="zh-CN"/>
        </w:rPr>
        <w:t>推进绿色科技创新，加强绿色技术的成果转化与应用推广。积极开展绿色技术创新行动计划，重点实施节能环保、清洁生产、清洁能源、生态保护与修复、城乡绿色基础设施、生态农业等重点领域技术研发重点项目和示范工程，提升技术创新对绿色产业的支撑能力。加快推进生态环保智库、生态环境治理技术应用示范基地、生态环境科技产业园等建设，强化绿色技术创新人才培养，强化大气、气候变化、水、海洋、土壤、固废与化学品等重点领域的科研攻坚与技术研究，并通过产学研用合作和产业创新联盟形式，建立绿色技术创新项目孵化基</w:t>
      </w:r>
      <w:r>
        <w:rPr>
          <w:rFonts w:hint="eastAsia" w:eastAsia="仿宋_GB2312" w:cs="Times New Roman"/>
          <w:b w:val="0"/>
          <w:bCs w:val="0"/>
          <w:sz w:val="32"/>
          <w:szCs w:val="32"/>
          <w:highlight w:val="none"/>
          <w:lang w:val="en-US" w:eastAsia="zh-CN"/>
        </w:rPr>
        <w:t>地</w:t>
      </w:r>
      <w:r>
        <w:rPr>
          <w:rFonts w:hint="default" w:ascii="Times New Roman" w:hAnsi="Times New Roman" w:eastAsia="仿宋_GB2312" w:cs="Times New Roman"/>
          <w:b w:val="0"/>
          <w:bCs w:val="0"/>
          <w:sz w:val="32"/>
          <w:szCs w:val="32"/>
          <w:highlight w:val="none"/>
          <w:lang w:val="en-US" w:eastAsia="zh-CN"/>
        </w:rPr>
        <w:t>、创新创业基地，积极推进节能环保、清洁生产、清洁能源等重点技术试点工程，促进先进绿色技术的成果转化与应用推广。</w:t>
      </w:r>
    </w:p>
    <w:p w14:paraId="39B31FB6">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35624C6">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155" w:name="_Toc14195"/>
      <w:bookmarkStart w:id="156" w:name="_Toc3107"/>
      <w:bookmarkStart w:id="157" w:name="_Toc21505"/>
      <w:bookmarkStart w:id="158" w:name="_Toc32706"/>
      <w:bookmarkStart w:id="159" w:name="_Toc28800"/>
      <w:bookmarkStart w:id="160" w:name="_Toc28350"/>
      <w:bookmarkStart w:id="161" w:name="_Toc9467"/>
      <w:bookmarkStart w:id="162" w:name="_Toc4101"/>
      <w:bookmarkStart w:id="163" w:name="_Toc15324"/>
      <w:bookmarkStart w:id="164" w:name="_Toc14852"/>
      <w:bookmarkStart w:id="165" w:name="_Toc21347"/>
      <w:r>
        <w:rPr>
          <w:rFonts w:hint="default" w:ascii="Times New Roman" w:hAnsi="Times New Roman" w:eastAsia="黑体" w:cs="Times New Roman"/>
          <w:b w:val="0"/>
          <w:bCs/>
          <w:kern w:val="44"/>
          <w:sz w:val="36"/>
          <w:szCs w:val="44"/>
          <w:highlight w:val="none"/>
          <w:lang w:val="en-US" w:eastAsia="zh-CN" w:bidi="ar-SA"/>
        </w:rPr>
        <w:t xml:space="preserve">第四章 </w:t>
      </w:r>
      <w:r>
        <w:rPr>
          <w:rFonts w:hint="default" w:ascii="Times New Roman" w:hAnsi="Times New Roman" w:eastAsia="黑体" w:cs="Times New Roman"/>
          <w:b w:val="0"/>
          <w:sz w:val="36"/>
          <w:highlight w:val="none"/>
          <w:lang w:val="en-US" w:eastAsia="zh-CN"/>
        </w:rPr>
        <w:t>协调</w:t>
      </w:r>
      <w:r>
        <w:rPr>
          <w:rFonts w:hint="default" w:ascii="Times New Roman" w:hAnsi="Times New Roman" w:eastAsia="黑体" w:cs="Times New Roman"/>
          <w:b w:val="0"/>
          <w:bCs/>
          <w:kern w:val="44"/>
          <w:sz w:val="36"/>
          <w:szCs w:val="44"/>
          <w:highlight w:val="none"/>
          <w:lang w:val="en-US" w:eastAsia="zh-CN" w:bidi="ar-SA"/>
        </w:rPr>
        <w:t>减排，开展碳排放达峰行动</w:t>
      </w:r>
      <w:bookmarkEnd w:id="155"/>
      <w:bookmarkEnd w:id="156"/>
      <w:bookmarkEnd w:id="157"/>
      <w:bookmarkEnd w:id="158"/>
      <w:bookmarkEnd w:id="159"/>
      <w:bookmarkEnd w:id="160"/>
      <w:bookmarkEnd w:id="161"/>
      <w:bookmarkEnd w:id="162"/>
      <w:bookmarkEnd w:id="163"/>
      <w:bookmarkEnd w:id="164"/>
      <w:bookmarkEnd w:id="165"/>
    </w:p>
    <w:p w14:paraId="32700D70">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166" w:name="_Toc29085"/>
      <w:bookmarkStart w:id="167" w:name="_Toc2691"/>
      <w:bookmarkStart w:id="168" w:name="_Toc2311"/>
      <w:bookmarkStart w:id="169" w:name="_Toc23383"/>
      <w:bookmarkStart w:id="170" w:name="_Toc15899"/>
      <w:bookmarkStart w:id="171" w:name="_Toc12985"/>
      <w:bookmarkStart w:id="172" w:name="_Toc29570"/>
      <w:bookmarkStart w:id="173" w:name="_Toc12354"/>
      <w:bookmarkStart w:id="174" w:name="_Toc4934"/>
      <w:bookmarkStart w:id="175" w:name="_Toc25310"/>
      <w:bookmarkStart w:id="176" w:name="_Toc14542"/>
      <w:r>
        <w:rPr>
          <w:rFonts w:hint="default" w:ascii="Times New Roman" w:hAnsi="Times New Roman" w:eastAsia="楷体_GB2312" w:cs="Times New Roman"/>
          <w:b/>
          <w:bCs w:val="0"/>
          <w:snapToGrid w:val="0"/>
          <w:highlight w:val="none"/>
          <w:lang w:val="en-US" w:eastAsia="zh-CN"/>
        </w:rPr>
        <w:t>第一节 摸清碳排放基础情况，制定碳排放达峰路线</w:t>
      </w:r>
      <w:bookmarkEnd w:id="166"/>
      <w:bookmarkEnd w:id="167"/>
      <w:bookmarkEnd w:id="168"/>
      <w:bookmarkEnd w:id="169"/>
      <w:bookmarkEnd w:id="170"/>
      <w:bookmarkEnd w:id="171"/>
      <w:bookmarkEnd w:id="172"/>
      <w:bookmarkEnd w:id="173"/>
      <w:bookmarkEnd w:id="174"/>
      <w:bookmarkEnd w:id="175"/>
      <w:bookmarkEnd w:id="176"/>
    </w:p>
    <w:p w14:paraId="034BE5A5">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落实碳排放达峰行动。</w:t>
      </w:r>
      <w:r>
        <w:rPr>
          <w:rFonts w:hint="default" w:ascii="Times New Roman" w:hAnsi="Times New Roman" w:eastAsia="仿宋_GB2312" w:cs="Times New Roman"/>
          <w:b w:val="0"/>
          <w:bCs w:val="0"/>
          <w:sz w:val="32"/>
          <w:szCs w:val="32"/>
          <w:highlight w:val="none"/>
          <w:lang w:val="en-US" w:eastAsia="zh-CN"/>
        </w:rPr>
        <w:t>根据东莞市温室气体排放控制、碳达峰、碳中和的总体部署，制定清溪镇碳排放达峰路线，强化产业、能源、交通结构调整优化，同向发力推动减污降碳协同增效，提升生态系统碳汇增量，增强应对和适应气候变化能力。</w:t>
      </w:r>
      <w:r>
        <w:rPr>
          <w:rFonts w:hint="default" w:eastAsia="仿宋_GB2312"/>
          <w:b/>
          <w:bCs/>
          <w:sz w:val="32"/>
          <w:szCs w:val="32"/>
          <w:highlight w:val="none"/>
        </w:rPr>
        <w:t>推动各领域碳减排工作，争取在2025年</w:t>
      </w:r>
      <w:r>
        <w:rPr>
          <w:rFonts w:hint="eastAsia" w:eastAsia="仿宋_GB2312"/>
          <w:b/>
          <w:bCs/>
          <w:sz w:val="32"/>
          <w:szCs w:val="32"/>
          <w:highlight w:val="none"/>
          <w:lang w:val="en-US" w:eastAsia="zh-CN"/>
        </w:rPr>
        <w:t>底</w:t>
      </w:r>
      <w:r>
        <w:rPr>
          <w:rFonts w:hint="default" w:eastAsia="仿宋_GB2312"/>
          <w:b/>
          <w:bCs/>
          <w:sz w:val="32"/>
          <w:szCs w:val="32"/>
          <w:highlight w:val="none"/>
        </w:rPr>
        <w:t>碳达峰工作取得突破，</w:t>
      </w:r>
      <w:r>
        <w:rPr>
          <w:rFonts w:hint="eastAsia" w:eastAsia="仿宋_GB2312"/>
          <w:b/>
          <w:bCs/>
          <w:sz w:val="32"/>
          <w:szCs w:val="32"/>
          <w:highlight w:val="none"/>
          <w:lang w:val="en-US" w:eastAsia="zh-CN"/>
        </w:rPr>
        <w:t>到2030年，</w:t>
      </w:r>
      <w:r>
        <w:rPr>
          <w:rFonts w:hint="default" w:eastAsia="仿宋_GB2312"/>
          <w:b/>
          <w:bCs/>
          <w:sz w:val="32"/>
          <w:szCs w:val="32"/>
          <w:highlight w:val="none"/>
        </w:rPr>
        <w:t>绿色低碳循环经济发展政策体系基本健全</w:t>
      </w:r>
      <w:r>
        <w:rPr>
          <w:rFonts w:hint="eastAsia" w:eastAsia="仿宋_GB2312"/>
          <w:b/>
          <w:bCs/>
          <w:sz w:val="32"/>
          <w:szCs w:val="32"/>
          <w:highlight w:val="none"/>
          <w:lang w:eastAsia="zh-CN"/>
        </w:rPr>
        <w:t>，</w:t>
      </w:r>
      <w:r>
        <w:rPr>
          <w:rFonts w:hint="default" w:eastAsia="仿宋_GB2312"/>
          <w:b/>
          <w:bCs/>
          <w:sz w:val="32"/>
          <w:szCs w:val="32"/>
          <w:highlight w:val="none"/>
        </w:rPr>
        <w:t>为实现</w:t>
      </w:r>
      <w:r>
        <w:rPr>
          <w:rFonts w:hint="eastAsia" w:eastAsia="仿宋_GB2312"/>
          <w:b/>
          <w:bCs/>
          <w:sz w:val="32"/>
          <w:szCs w:val="32"/>
          <w:highlight w:val="none"/>
          <w:lang w:val="en-US" w:eastAsia="zh-CN"/>
        </w:rPr>
        <w:t>2030年</w:t>
      </w:r>
      <w:r>
        <w:rPr>
          <w:rFonts w:hint="default" w:eastAsia="仿宋_GB2312"/>
          <w:b/>
          <w:bCs/>
          <w:sz w:val="32"/>
          <w:szCs w:val="32"/>
          <w:highlight w:val="none"/>
        </w:rPr>
        <w:t>全市碳达峰打下坚实基础。</w:t>
      </w:r>
    </w:p>
    <w:p w14:paraId="0ECE3CC0">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加强应对气候变化管理。</w:t>
      </w:r>
      <w:r>
        <w:rPr>
          <w:rFonts w:hint="default" w:ascii="Times New Roman" w:hAnsi="Times New Roman" w:eastAsia="仿宋_GB2312" w:cs="Times New Roman"/>
          <w:b w:val="0"/>
          <w:bCs w:val="0"/>
          <w:sz w:val="32"/>
          <w:szCs w:val="32"/>
          <w:highlight w:val="none"/>
          <w:lang w:val="en-US" w:eastAsia="zh-CN"/>
        </w:rPr>
        <w:t>配合东莞市温室气体排放清单编制，摸清温室气体排放底数。完善温室气体相关统计和核算工作基础并探索推动部门间数据的互通互联。</w:t>
      </w:r>
    </w:p>
    <w:p w14:paraId="4259BA3E">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snapToGrid w:val="0"/>
          <w:highlight w:val="none"/>
          <w:lang w:val="en-US" w:eastAsia="zh-CN"/>
        </w:rPr>
      </w:pPr>
      <w:bookmarkStart w:id="177" w:name="_Toc28050"/>
      <w:bookmarkStart w:id="178" w:name="_Toc18185"/>
      <w:bookmarkStart w:id="179" w:name="_Toc4353"/>
      <w:bookmarkStart w:id="180" w:name="_Toc12454"/>
      <w:bookmarkStart w:id="181" w:name="_Toc25182"/>
      <w:bookmarkStart w:id="182" w:name="_Toc12022"/>
      <w:bookmarkStart w:id="183" w:name="_Toc8762"/>
      <w:bookmarkStart w:id="184" w:name="_Toc7132"/>
      <w:bookmarkStart w:id="185" w:name="_Toc855"/>
      <w:bookmarkStart w:id="186" w:name="_Toc30223"/>
      <w:bookmarkStart w:id="187" w:name="_Toc8247"/>
      <w:r>
        <w:rPr>
          <w:rFonts w:hint="default" w:ascii="Times New Roman" w:hAnsi="Times New Roman" w:eastAsia="楷体_GB2312" w:cs="Times New Roman"/>
          <w:b/>
          <w:bCs/>
          <w:snapToGrid w:val="0"/>
          <w:highlight w:val="none"/>
          <w:lang w:val="en-US" w:eastAsia="zh-CN"/>
        </w:rPr>
        <w:t>第二节 加强应对气候变化与污</w:t>
      </w:r>
      <w:r>
        <w:rPr>
          <w:rFonts w:hint="default" w:ascii="Times New Roman" w:hAnsi="Times New Roman" w:eastAsia="楷体_GB2312" w:cs="Times New Roman"/>
          <w:b/>
          <w:snapToGrid w:val="0"/>
          <w:highlight w:val="none"/>
          <w:lang w:val="en-US" w:eastAsia="zh-CN"/>
        </w:rPr>
        <w:t>染减排协同治理</w:t>
      </w:r>
      <w:bookmarkEnd w:id="177"/>
      <w:bookmarkEnd w:id="178"/>
      <w:bookmarkEnd w:id="179"/>
      <w:bookmarkEnd w:id="180"/>
      <w:bookmarkEnd w:id="181"/>
      <w:bookmarkEnd w:id="182"/>
      <w:bookmarkEnd w:id="183"/>
      <w:bookmarkEnd w:id="184"/>
      <w:bookmarkEnd w:id="185"/>
      <w:bookmarkEnd w:id="186"/>
      <w:bookmarkEnd w:id="187"/>
    </w:p>
    <w:p w14:paraId="6E276D50">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一、构建清洁低碳现代能源体系</w:t>
      </w:r>
    </w:p>
    <w:p w14:paraId="0E5A3EB7">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大力推广清洁能源使用。</w:t>
      </w:r>
      <w:r>
        <w:rPr>
          <w:rFonts w:hint="default" w:ascii="Times New Roman" w:hAnsi="Times New Roman" w:eastAsia="仿宋_GB2312" w:cs="Times New Roman"/>
          <w:b w:val="0"/>
          <w:bCs w:val="0"/>
          <w:sz w:val="32"/>
          <w:szCs w:val="32"/>
          <w:highlight w:val="none"/>
          <w:lang w:val="en-US" w:eastAsia="zh-CN"/>
        </w:rPr>
        <w:t>大力推广天然气、太阳能等可再生能源清洁能源的使用，降低煤炭、液化石油气消费比重；鼓励太阳能等可再生能源发展，</w:t>
      </w:r>
      <w:r>
        <w:rPr>
          <w:rFonts w:hint="eastAsia" w:eastAsia="仿宋_GB2312" w:cs="Times New Roman"/>
          <w:b w:val="0"/>
          <w:bCs w:val="0"/>
          <w:sz w:val="32"/>
          <w:szCs w:val="32"/>
          <w:highlight w:val="none"/>
          <w:lang w:val="en-US" w:eastAsia="zh-CN"/>
        </w:rPr>
        <w:t>加大</w:t>
      </w:r>
      <w:r>
        <w:rPr>
          <w:rFonts w:hint="default" w:ascii="Times New Roman" w:hAnsi="Times New Roman" w:eastAsia="仿宋_GB2312" w:cs="Times New Roman"/>
          <w:b w:val="0"/>
          <w:bCs w:val="0"/>
          <w:sz w:val="32"/>
          <w:szCs w:val="32"/>
          <w:highlight w:val="none"/>
          <w:lang w:val="en-US" w:eastAsia="zh-CN"/>
        </w:rPr>
        <w:t>太阳能光伏发电宣传力度，积极探索光伏建筑一体化、工业厂房屋面光伏项目开发新模式，因地制宜布局建设地面光伏项目。</w:t>
      </w:r>
    </w:p>
    <w:p w14:paraId="59FA5117">
      <w:pPr>
        <w:keepNext w:val="0"/>
        <w:keepLines w:val="0"/>
        <w:widowControl/>
        <w:suppressLineNumbers w:val="0"/>
        <w:ind w:firstLine="643" w:firstLineChars="200"/>
        <w:jc w:val="left"/>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加快天然气管道建设。</w:t>
      </w:r>
      <w:r>
        <w:rPr>
          <w:rFonts w:hint="default" w:ascii="Times New Roman" w:hAnsi="Times New Roman" w:eastAsia="仿宋_GB2312" w:cs="Times New Roman"/>
          <w:b w:val="0"/>
          <w:bCs w:val="0"/>
          <w:sz w:val="32"/>
          <w:szCs w:val="32"/>
          <w:highlight w:val="none"/>
          <w:lang w:val="en-US" w:eastAsia="zh-CN"/>
        </w:rPr>
        <w:t>鼓励多方参与供气、储气基础设施建设，推进储气服务市场主体多元化、交易市场化，提高本市天然气应急保供能力。重点推进中石油LNG调峰清溪开口以保障东南区及大管网补气项目建设，</w:t>
      </w:r>
      <w:r>
        <w:rPr>
          <w:rFonts w:ascii="Times New Roman" w:hAnsi="Times New Roman" w:eastAsia="仿宋_GB2312" w:cs="Times New Roman"/>
          <w:color w:val="000000"/>
          <w:kern w:val="0"/>
          <w:sz w:val="32"/>
          <w:szCs w:val="32"/>
          <w:highlight w:val="none"/>
          <w:lang w:val="en-US" w:eastAsia="zh-CN" w:bidi="ar"/>
        </w:rPr>
        <w:t>加强与城市管网、省管网</w:t>
      </w:r>
      <w:r>
        <w:rPr>
          <w:rFonts w:hint="default" w:ascii="Times New Roman" w:hAnsi="Times New Roman" w:eastAsia="仿宋_GB2312" w:cs="Times New Roman"/>
          <w:color w:val="000000"/>
          <w:kern w:val="0"/>
          <w:sz w:val="32"/>
          <w:szCs w:val="32"/>
          <w:highlight w:val="none"/>
          <w:lang w:val="en-US" w:eastAsia="zh-CN" w:bidi="ar"/>
        </w:rPr>
        <w:t>的互联互通。</w:t>
      </w:r>
    </w:p>
    <w:p w14:paraId="1309A2C0">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落实</w:t>
      </w:r>
      <w:r>
        <w:rPr>
          <w:rFonts w:hint="default" w:ascii="Times New Roman" w:hAnsi="Times New Roman" w:eastAsia="仿宋_GB2312" w:cs="Times New Roman"/>
          <w:b/>
          <w:bCs/>
          <w:sz w:val="32"/>
          <w:szCs w:val="32"/>
          <w:highlight w:val="none"/>
        </w:rPr>
        <w:t>煤炭减量管理。</w:t>
      </w:r>
      <w:r>
        <w:rPr>
          <w:rFonts w:hint="default" w:ascii="Times New Roman" w:hAnsi="Times New Roman" w:eastAsia="仿宋_GB2312" w:cs="Times New Roman"/>
          <w:sz w:val="32"/>
          <w:szCs w:val="32"/>
          <w:highlight w:val="none"/>
        </w:rPr>
        <w:t>进一步加大老旧煤电机组关停力度，推进自备电厂、燃煤工业锅炉“煤改气”工程，逐年降低煤炭消费总量。</w:t>
      </w:r>
    </w:p>
    <w:p w14:paraId="44E07AD7">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深挖重点领域节能潜力。</w:t>
      </w:r>
      <w:r>
        <w:rPr>
          <w:rFonts w:hint="default" w:ascii="Times New Roman" w:hAnsi="Times New Roman" w:eastAsia="仿宋_GB2312" w:cs="Times New Roman"/>
          <w:b w:val="0"/>
          <w:bCs w:val="0"/>
          <w:sz w:val="32"/>
          <w:szCs w:val="32"/>
          <w:highlight w:val="none"/>
          <w:lang w:val="en-US" w:eastAsia="zh-CN"/>
        </w:rPr>
        <w:t>特别是在能源消费量排前列的行业，包括造纸和纸制品业、计算机、通信和其他电子设备制造业、非金属矿物制品业消费和纺织服装和服饰业等。加强企业节能潜力评估，建立产业能耗对标考核及动态监控机制。针对传统高能耗产业特点，推动高耗能企业技术改造和产业布局，提升行业深加工水平。</w:t>
      </w:r>
    </w:p>
    <w:p w14:paraId="4992F42A">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严格执行高污染燃料禁燃区的要求。</w:t>
      </w:r>
      <w:r>
        <w:rPr>
          <w:rFonts w:hint="default" w:ascii="Times New Roman" w:hAnsi="Times New Roman" w:eastAsia="仿宋_GB2312" w:cs="Times New Roman"/>
          <w:b w:val="0"/>
          <w:bCs w:val="0"/>
          <w:sz w:val="32"/>
          <w:szCs w:val="32"/>
          <w:highlight w:val="none"/>
          <w:lang w:val="en-US" w:eastAsia="zh-CN"/>
        </w:rPr>
        <w:t>严格执行《东莞市人民政府关于</w:t>
      </w:r>
      <w:r>
        <w:rPr>
          <w:rFonts w:hint="eastAsia" w:eastAsia="仿宋_GB2312" w:cs="Times New Roman"/>
          <w:b w:val="0"/>
          <w:bCs w:val="0"/>
          <w:sz w:val="32"/>
          <w:szCs w:val="32"/>
          <w:highlight w:val="none"/>
          <w:lang w:val="en-US" w:eastAsia="zh-CN"/>
        </w:rPr>
        <w:t>调整</w:t>
      </w:r>
      <w:r>
        <w:rPr>
          <w:rFonts w:hint="default" w:ascii="Times New Roman" w:hAnsi="Times New Roman" w:eastAsia="仿宋_GB2312" w:cs="Times New Roman"/>
          <w:b w:val="0"/>
          <w:bCs w:val="0"/>
          <w:sz w:val="32"/>
          <w:szCs w:val="32"/>
          <w:highlight w:val="none"/>
          <w:lang w:val="en-US" w:eastAsia="zh-CN"/>
        </w:rPr>
        <w:t>高污染燃料禁燃区环境管理的通告》（东府〔202</w:t>
      </w:r>
      <w:r>
        <w:rPr>
          <w:rFonts w:hint="eastAsia" w:eastAsia="仿宋_GB2312" w:cs="Times New Roman"/>
          <w:b w:val="0"/>
          <w:bCs w:val="0"/>
          <w:sz w:val="32"/>
          <w:szCs w:val="32"/>
          <w:highlight w:val="none"/>
          <w:lang w:val="en-US" w:eastAsia="zh-CN"/>
        </w:rPr>
        <w:t>4</w:t>
      </w:r>
      <w:r>
        <w:rPr>
          <w:rFonts w:hint="default" w:ascii="Times New Roman" w:hAnsi="Times New Roman" w:eastAsia="仿宋_GB2312" w:cs="Times New Roman"/>
          <w:b w:val="0"/>
          <w:bCs w:val="0"/>
          <w:sz w:val="32"/>
          <w:szCs w:val="32"/>
          <w:highlight w:val="none"/>
          <w:lang w:val="en-US" w:eastAsia="zh-CN"/>
        </w:rPr>
        <w:t>〕</w:t>
      </w:r>
      <w:r>
        <w:rPr>
          <w:rFonts w:hint="eastAsia" w:eastAsia="仿宋_GB2312" w:cs="Times New Roman"/>
          <w:b w:val="0"/>
          <w:bCs w:val="0"/>
          <w:sz w:val="32"/>
          <w:szCs w:val="32"/>
          <w:highlight w:val="none"/>
          <w:lang w:val="en-US" w:eastAsia="zh-CN"/>
        </w:rPr>
        <w:t>13</w:t>
      </w:r>
      <w:r>
        <w:rPr>
          <w:rFonts w:hint="default" w:ascii="Times New Roman" w:hAnsi="Times New Roman" w:eastAsia="仿宋_GB2312" w:cs="Times New Roman"/>
          <w:b w:val="0"/>
          <w:bCs w:val="0"/>
          <w:sz w:val="32"/>
          <w:szCs w:val="32"/>
          <w:highlight w:val="none"/>
          <w:lang w:val="en-US" w:eastAsia="zh-CN"/>
        </w:rPr>
        <w:t>号）的要求，东莞市行政区全辖区均划定为高污染燃料禁燃区，除纳入能源规划的环保综合升级改造项目外，禁止新建、扩建燃用高污染燃料的燃烧设施；禁止新增高污染燃料销售点，现有高污染燃料销售点，除规定的当前可燃用高污染燃料的单位外，不得向本镇范围内其他组织或个人销售高污染燃料；已建成的高污染燃料燃烧设施应按省、市要求逐步停用、按规定拆除或改燃清洁能源。</w:t>
      </w:r>
    </w:p>
    <w:p w14:paraId="2C57C2A4">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二、大力优化交通运输结构</w:t>
      </w:r>
    </w:p>
    <w:p w14:paraId="0706838C">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实施清溪镇路网改造升级，缓解交通拥堵，减少碳排放。推进清溪镇城乡慢行系统建设和完善，合理规划建设步道、自行车道，营造良好绿色出行环境，鼓励绿色出行。</w:t>
      </w:r>
      <w:r>
        <w:rPr>
          <w:rFonts w:hint="default" w:ascii="Times New Roman" w:hAnsi="Times New Roman" w:eastAsia="仿宋_GB2312" w:cs="Times New Roman"/>
          <w:sz w:val="32"/>
          <w:szCs w:val="32"/>
          <w:highlight w:val="none"/>
        </w:rPr>
        <w:t>全面落实公交优先战略，提升交通集约水平。加快新能源公交车、出租车、网约车等推广应用，提高配套充电桩建设密度，构建绿色低碳、高效运行的城市交通网络。</w:t>
      </w:r>
    </w:p>
    <w:p w14:paraId="7E2ECE83">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三、持续推动工业节能降碳</w:t>
      </w:r>
    </w:p>
    <w:p w14:paraId="57F36D1A">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加大落后产能淘汰和过剩产能压减力度，全面梳理排查在建拟建高污染高排放建设项目，严格“两高”产业准入，坚决遏制“两高”项目盲目发展，整改不符合要求的“两高”项目，严控增量项目，不予审批不符合能耗双控要求的新项目。加强高耗能行业能耗管控，全面推行重点耗能行业、重点领域能效对标，推进工业领域数字化智能化绿色化融合发展。大力发展低碳产业，推动产业结构绿色转型，结合战略性新兴产业基地规划，重点布局高附加值、低消耗、低碳排放的重大产业项目，推动以新能源汽车、高性能电池、新型能源利用等为主导的新能源产业加快发展，做大做强新能源汽车零部件产业，积极布局充电桩相关产业。</w:t>
      </w:r>
    </w:p>
    <w:p w14:paraId="4B4BD868">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四、推动城镇建设绿色发展</w:t>
      </w:r>
    </w:p>
    <w:p w14:paraId="5CEE2097">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0" w:firstLineChars="200"/>
        <w:textAlignment w:val="auto"/>
        <w:rPr>
          <w:rFonts w:hint="default" w:ascii="Times New Roman" w:hAnsi="Times New Roman" w:eastAsia="仿宋_GB2312" w:cs="Times New Roman"/>
          <w:b/>
          <w:bCs/>
          <w:sz w:val="32"/>
          <w:szCs w:val="32"/>
          <w:highlight w:val="none"/>
          <w:lang w:val="en-US" w:eastAsia="zh-CN"/>
        </w:rPr>
      </w:pPr>
      <w:r>
        <w:rPr>
          <w:rFonts w:hint="default" w:eastAsia="仿宋_GB2312"/>
          <w:sz w:val="32"/>
          <w:szCs w:val="32"/>
          <w:highlight w:val="none"/>
        </w:rPr>
        <w:t>全面布局绿色建筑发展，</w:t>
      </w:r>
      <w:r>
        <w:rPr>
          <w:rFonts w:hint="eastAsia" w:eastAsia="仿宋_GB2312"/>
          <w:sz w:val="32"/>
          <w:szCs w:val="32"/>
          <w:highlight w:val="none"/>
          <w:lang w:eastAsia="zh-CN"/>
        </w:rPr>
        <w:t>按</w:t>
      </w:r>
      <w:r>
        <w:rPr>
          <w:rFonts w:hint="eastAsia" w:eastAsia="仿宋_GB2312"/>
          <w:sz w:val="32"/>
          <w:szCs w:val="32"/>
          <w:highlight w:val="none"/>
          <w:lang w:val="en-US" w:eastAsia="zh-CN"/>
        </w:rPr>
        <w:t>上级部门要求确定清溪镇</w:t>
      </w:r>
      <w:r>
        <w:rPr>
          <w:rFonts w:hint="default" w:eastAsia="仿宋_GB2312"/>
          <w:sz w:val="32"/>
          <w:szCs w:val="32"/>
          <w:highlight w:val="none"/>
        </w:rPr>
        <w:t>星级绿色建筑建设比例。推动工程建设项目全生命周期的绿色建造和运营管理，通过绿色设计、绿色生产、绿色建材选用、绿色施工和安装、绿色一体化装修、绿色运营，推广绿色建造方式。在新建民用建筑项目全面执行绿色建筑标准的基础上，发展星级绿色建筑。大力发展和使用绿色建材，以建筑垃圾综合资源化利用为重点，加强再生建材生产技术和工艺研发及推广应用，提高绿色建材应用比例，推广智能建造和绿色建造方式，加快推进新型建筑工业化，大力发展装配式建筑。</w:t>
      </w:r>
    </w:p>
    <w:p w14:paraId="7FECCAD0">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五、深入践行绿色低碳生活</w:t>
      </w:r>
    </w:p>
    <w:p w14:paraId="4E16C644">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大力推动绿色生活创建。</w:t>
      </w:r>
      <w:r>
        <w:rPr>
          <w:rFonts w:hint="default" w:ascii="Times New Roman" w:hAnsi="Times New Roman" w:eastAsia="仿宋_GB2312" w:cs="Times New Roman"/>
          <w:b w:val="0"/>
          <w:bCs w:val="0"/>
          <w:sz w:val="32"/>
          <w:szCs w:val="32"/>
          <w:highlight w:val="none"/>
          <w:lang w:val="en-US" w:eastAsia="zh-CN"/>
        </w:rPr>
        <w:t>落实《绿色生活创建行动总体方案》，大力推动深化节约型机关、绿色家庭、绿色学校、绿色社区、绿色出行、绿色商场等绿色创建，鼓励和引导创建对象广泛参与创建行动，提高区域创建领域绿色化水平。积极宣传推广简约适度、绿色低碳、文明健康的生活理念和生活方式，在全社会营造良好的绿色生活氛围。</w:t>
      </w:r>
    </w:p>
    <w:p w14:paraId="46AB8A57">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3"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深入践行绿色生活方式。</w:t>
      </w:r>
      <w:r>
        <w:rPr>
          <w:rFonts w:hint="default" w:ascii="Times New Roman" w:hAnsi="Times New Roman" w:eastAsia="仿宋_GB2312" w:cs="Times New Roman"/>
          <w:b w:val="0"/>
          <w:bCs w:val="0"/>
          <w:sz w:val="32"/>
          <w:szCs w:val="32"/>
          <w:highlight w:val="none"/>
          <w:lang w:val="en-US" w:eastAsia="zh-CN"/>
        </w:rPr>
        <w:t>推动绿色消费，倡导节约用水、用电、用纸，培养绿色简约消费习惯。支持绿色包装，践行禁塑令，推进循环使用产品或环境友好型产品的生产与销售。推动绿色回收，全面开展垃圾分类，推动绿色出行，鼓励公众优先选择步行、骑车或者公共交通出行，培养低碳环保出行习惯。鼓励公众参与义务植树，积极践行“光盘行动”。</w:t>
      </w:r>
    </w:p>
    <w:p w14:paraId="48C956B5">
      <w:pPr>
        <w:keepNext w:val="0"/>
        <w:keepLines w:val="0"/>
        <w:pageBreakBefore w:val="0"/>
        <w:widowControl/>
        <w:numPr>
          <w:ilvl w:val="-1"/>
          <w:numId w:val="0"/>
        </w:numPr>
        <w:kinsoku/>
        <w:wordWrap/>
        <w:overflowPunct/>
        <w:topLinePunct w:val="0"/>
        <w:autoSpaceDE/>
        <w:autoSpaceDN/>
        <w:bidi w:val="0"/>
        <w:adjustRightInd/>
        <w:spacing w:line="240" w:lineRule="auto"/>
        <w:ind w:firstLine="643" w:firstLineChars="200"/>
        <w:jc w:val="left"/>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营造宁静和谐人居环境。</w:t>
      </w:r>
      <w:r>
        <w:rPr>
          <w:rFonts w:hint="default" w:ascii="Times New Roman" w:hAnsi="Times New Roman" w:eastAsia="仿宋_GB2312" w:cs="Times New Roman"/>
          <w:b w:val="0"/>
          <w:bCs w:val="0"/>
          <w:sz w:val="32"/>
          <w:szCs w:val="32"/>
          <w:highlight w:val="none"/>
          <w:lang w:val="en-US" w:eastAsia="zh-CN"/>
        </w:rPr>
        <w:t>加强噪声污染控制规划应用，健全环境噪声管理制度和政策措施，完善声环境质量管理体系，提升噪声污染防治和声环境质量管理水平。加强规划环评、区域环境评估在噪声污染防治中的作用。强化噪声排放源监督管理，强化交通、施工、社会生活、工业噪声污染控制。严格噪声污染监管执法，在特定区域和时段实施严格禁鸣、限行、限速等措施。推广使用低噪声路面，合理布设道路声屏障，强化后期维护管理。引导施工单位合理安排施工时间和使用降噪设施，推广和鼓励选用低噪声或带有隔声、消声机械设备。加强宣传教育，鼓励创建宁静小区。</w:t>
      </w:r>
    </w:p>
    <w:p w14:paraId="69044080">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六、持续巩固提升碳汇能力</w:t>
      </w:r>
    </w:p>
    <w:p w14:paraId="140E2320">
      <w:pPr>
        <w:keepNext w:val="0"/>
        <w:keepLines w:val="0"/>
        <w:pageBreakBefore w:val="0"/>
        <w:widowControl w:val="0"/>
        <w:numPr>
          <w:ilvl w:val="0"/>
          <w:numId w:val="0"/>
        </w:numPr>
        <w:kinsoku/>
        <w:wordWrap/>
        <w:overflowPunct/>
        <w:topLinePunct w:val="0"/>
        <w:autoSpaceDE w:val="0"/>
        <w:autoSpaceDN w:val="0"/>
        <w:bidi w:val="0"/>
        <w:adjustRightInd w:val="0"/>
        <w:spacing w:line="360" w:lineRule="auto"/>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val="0"/>
          <w:bCs w:val="0"/>
          <w:sz w:val="32"/>
          <w:szCs w:val="32"/>
          <w:highlight w:val="none"/>
          <w:lang w:val="en-US" w:eastAsia="zh-CN"/>
        </w:rPr>
        <w:t>严守生态保护红线，严控生态空间占用，稳定现有森林、草原、湿地、土壤等固碳作用。严格控制新增建设用地规模，推动城乡存量建设用地盘活利用。严格执行土地使用标准，加强节约集约用地评价，推广节地技术和节地模式。实施生态保护修复重大工程，开展</w:t>
      </w:r>
      <w:r>
        <w:rPr>
          <w:rFonts w:hint="eastAsia" w:eastAsia="仿宋_GB2312" w:cs="Times New Roman"/>
          <w:b w:val="0"/>
          <w:bCs w:val="0"/>
          <w:sz w:val="32"/>
          <w:szCs w:val="32"/>
          <w:highlight w:val="none"/>
          <w:lang w:val="en-US" w:eastAsia="zh-CN"/>
        </w:rPr>
        <w:t>山水林田湖草沙</w:t>
      </w:r>
      <w:r>
        <w:rPr>
          <w:rFonts w:hint="default" w:ascii="Times New Roman" w:hAnsi="Times New Roman" w:eastAsia="仿宋_GB2312" w:cs="Times New Roman"/>
          <w:b w:val="0"/>
          <w:bCs w:val="0"/>
          <w:sz w:val="32"/>
          <w:szCs w:val="32"/>
          <w:highlight w:val="none"/>
          <w:lang w:val="en-US" w:eastAsia="zh-CN"/>
        </w:rPr>
        <w:t>一体化保护和修复。深入推进大规模国土绿化行动，巩固退耕还林还草成果，实施森林质量精准提升工程，持续增加森林面积和蓄积量。</w:t>
      </w:r>
    </w:p>
    <w:p w14:paraId="285CBDFA">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88" w:name="_Toc6672"/>
    </w:p>
    <w:p w14:paraId="65A9EF7C">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189" w:name="_Toc27643"/>
      <w:bookmarkStart w:id="190" w:name="_Toc31430"/>
      <w:bookmarkStart w:id="191" w:name="_Toc26"/>
      <w:bookmarkStart w:id="192" w:name="_Toc1110"/>
      <w:bookmarkStart w:id="193" w:name="_Toc16199"/>
      <w:bookmarkStart w:id="194" w:name="_Toc6976"/>
      <w:bookmarkStart w:id="195" w:name="_Toc20839"/>
      <w:bookmarkStart w:id="196" w:name="_Toc5477"/>
      <w:bookmarkStart w:id="197" w:name="_Toc16044"/>
      <w:bookmarkStart w:id="198" w:name="_Toc26229"/>
      <w:r>
        <w:rPr>
          <w:rFonts w:hint="default" w:ascii="Times New Roman" w:hAnsi="Times New Roman" w:eastAsia="黑体" w:cs="Times New Roman"/>
          <w:b w:val="0"/>
          <w:bCs/>
          <w:kern w:val="44"/>
          <w:sz w:val="36"/>
          <w:szCs w:val="44"/>
          <w:highlight w:val="none"/>
          <w:lang w:val="en-US" w:eastAsia="zh-CN" w:bidi="ar-SA"/>
        </w:rPr>
        <w:t xml:space="preserve">第五章 </w:t>
      </w:r>
      <w:r>
        <w:rPr>
          <w:rFonts w:hint="default" w:ascii="Times New Roman" w:hAnsi="Times New Roman" w:eastAsia="黑体" w:cs="Times New Roman"/>
          <w:b w:val="0"/>
          <w:sz w:val="36"/>
          <w:highlight w:val="none"/>
          <w:lang w:val="en-US" w:eastAsia="zh-CN"/>
        </w:rPr>
        <w:t>深化污染防治，提升环境质量</w:t>
      </w:r>
      <w:bookmarkEnd w:id="188"/>
      <w:bookmarkEnd w:id="189"/>
      <w:bookmarkEnd w:id="190"/>
      <w:bookmarkEnd w:id="191"/>
      <w:bookmarkEnd w:id="192"/>
      <w:bookmarkEnd w:id="193"/>
      <w:bookmarkEnd w:id="194"/>
      <w:bookmarkEnd w:id="195"/>
      <w:bookmarkEnd w:id="196"/>
      <w:bookmarkEnd w:id="197"/>
      <w:bookmarkEnd w:id="198"/>
    </w:p>
    <w:p w14:paraId="17978105">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199" w:name="_Toc6157"/>
      <w:bookmarkStart w:id="200" w:name="_Toc24788"/>
      <w:bookmarkStart w:id="201" w:name="_Toc27295"/>
      <w:bookmarkStart w:id="202" w:name="_Toc29508"/>
      <w:bookmarkStart w:id="203" w:name="_Toc9132"/>
      <w:bookmarkStart w:id="204" w:name="_Toc2348"/>
      <w:bookmarkStart w:id="205" w:name="_Toc30154"/>
      <w:bookmarkStart w:id="206" w:name="_Toc27290"/>
      <w:bookmarkStart w:id="207" w:name="_Toc29820"/>
      <w:bookmarkStart w:id="208" w:name="_Toc24334"/>
      <w:bookmarkStart w:id="209" w:name="_Toc19129"/>
      <w:r>
        <w:rPr>
          <w:rFonts w:hint="default" w:ascii="Times New Roman" w:hAnsi="Times New Roman" w:eastAsia="楷体_GB2312" w:cs="Times New Roman"/>
          <w:b/>
          <w:bCs w:val="0"/>
          <w:snapToGrid w:val="0"/>
          <w:highlight w:val="none"/>
          <w:lang w:val="en-US" w:eastAsia="zh-CN"/>
        </w:rPr>
        <w:t>第一节 加强协同控制，持续提升大气环境质量</w:t>
      </w:r>
      <w:bookmarkEnd w:id="199"/>
      <w:bookmarkEnd w:id="200"/>
      <w:bookmarkEnd w:id="201"/>
      <w:bookmarkEnd w:id="202"/>
      <w:bookmarkEnd w:id="203"/>
      <w:bookmarkEnd w:id="204"/>
      <w:bookmarkEnd w:id="205"/>
      <w:bookmarkEnd w:id="206"/>
      <w:bookmarkEnd w:id="207"/>
      <w:bookmarkEnd w:id="208"/>
      <w:bookmarkEnd w:id="209"/>
    </w:p>
    <w:p w14:paraId="02C76058">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bookmarkStart w:id="210" w:name="_Toc11251"/>
      <w:bookmarkStart w:id="211" w:name="_Toc8942"/>
      <w:bookmarkStart w:id="212" w:name="_Toc4789"/>
      <w:bookmarkStart w:id="213" w:name="_Toc26613"/>
      <w:bookmarkStart w:id="214" w:name="_Toc26730"/>
      <w:bookmarkStart w:id="215" w:name="_Toc22082"/>
      <w:bookmarkStart w:id="216" w:name="_Toc57663210"/>
      <w:bookmarkStart w:id="217" w:name="_Toc32194"/>
      <w:bookmarkStart w:id="218" w:name="_Toc1574"/>
      <w:bookmarkStart w:id="219" w:name="_Toc11842"/>
      <w:bookmarkStart w:id="220" w:name="_Toc20827"/>
      <w:r>
        <w:rPr>
          <w:rFonts w:hint="eastAsia" w:ascii="黑体" w:hAnsi="黑体" w:eastAsia="黑体" w:cs="黑体"/>
          <w:b w:val="0"/>
          <w:bCs/>
          <w:highlight w:val="none"/>
          <w:lang w:val="en-US" w:eastAsia="zh-CN"/>
        </w:rPr>
        <w:t>一、强化工业源污染治理</w:t>
      </w:r>
      <w:bookmarkEnd w:id="210"/>
      <w:bookmarkEnd w:id="211"/>
      <w:bookmarkEnd w:id="212"/>
      <w:bookmarkEnd w:id="213"/>
    </w:p>
    <w:p w14:paraId="52A4307C">
      <w:pPr>
        <w:pageBreakBefore w:val="0"/>
        <w:kinsoku/>
        <w:wordWrap/>
        <w:overflowPunct w:val="0"/>
        <w:topLinePunct/>
        <w:bidi w:val="0"/>
        <w:spacing w:line="360" w:lineRule="auto"/>
        <w:ind w:firstLine="643"/>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lang w:val="en-US" w:eastAsia="zh-CN"/>
        </w:rPr>
        <w:t>深化</w:t>
      </w:r>
      <w:r>
        <w:rPr>
          <w:rFonts w:hint="default" w:ascii="Times New Roman" w:hAnsi="Times New Roman" w:eastAsia="仿宋_GB2312" w:cs="Times New Roman"/>
          <w:b/>
          <w:bCs/>
          <w:sz w:val="32"/>
          <w:szCs w:val="32"/>
          <w:highlight w:val="none"/>
        </w:rPr>
        <w:t>工业锅炉和炉窑污染治理。</w:t>
      </w:r>
      <w:r>
        <w:rPr>
          <w:rFonts w:hint="default" w:ascii="Times New Roman" w:hAnsi="Times New Roman" w:eastAsia="仿宋_GB2312" w:cs="Times New Roman"/>
          <w:b w:val="0"/>
          <w:bCs w:val="0"/>
          <w:sz w:val="32"/>
          <w:szCs w:val="32"/>
          <w:highlight w:val="none"/>
          <w:lang w:val="en-US" w:eastAsia="zh-CN"/>
        </w:rPr>
        <w:t>禁</w:t>
      </w:r>
      <w:r>
        <w:rPr>
          <w:rFonts w:hint="default" w:ascii="Times New Roman" w:hAnsi="Times New Roman" w:eastAsia="仿宋_GB2312" w:cs="Times New Roman"/>
          <w:b w:val="0"/>
          <w:bCs w:val="0"/>
          <w:sz w:val="32"/>
          <w:szCs w:val="32"/>
          <w:highlight w:val="none"/>
        </w:rPr>
        <w:t>止新建扩建生物质成型燃料锅炉及生物质气化炉，加强</w:t>
      </w:r>
      <w:r>
        <w:rPr>
          <w:rFonts w:hint="default" w:ascii="Times New Roman" w:hAnsi="Times New Roman" w:eastAsia="仿宋_GB2312" w:cs="Times New Roman"/>
          <w:b w:val="0"/>
          <w:bCs w:val="0"/>
          <w:sz w:val="32"/>
          <w:szCs w:val="32"/>
          <w:highlight w:val="none"/>
          <w:lang w:val="en-US" w:eastAsia="zh-CN"/>
        </w:rPr>
        <w:t>现有生物质锅炉</w:t>
      </w:r>
      <w:r>
        <w:rPr>
          <w:rFonts w:hint="default" w:ascii="Times New Roman" w:hAnsi="Times New Roman" w:eastAsia="仿宋_GB2312" w:cs="Times New Roman"/>
          <w:b w:val="0"/>
          <w:bCs w:val="0"/>
          <w:sz w:val="32"/>
          <w:szCs w:val="32"/>
          <w:highlight w:val="none"/>
        </w:rPr>
        <w:t>（含生物质气化炉）</w:t>
      </w:r>
      <w:r>
        <w:rPr>
          <w:rFonts w:hint="default" w:ascii="Times New Roman" w:hAnsi="Times New Roman" w:eastAsia="仿宋_GB2312" w:cs="Times New Roman"/>
          <w:b w:val="0"/>
          <w:bCs w:val="0"/>
          <w:sz w:val="32"/>
          <w:szCs w:val="32"/>
          <w:highlight w:val="none"/>
          <w:lang w:val="en-US" w:eastAsia="zh-CN"/>
        </w:rPr>
        <w:t>排查</w:t>
      </w:r>
      <w:r>
        <w:rPr>
          <w:rFonts w:hint="default" w:ascii="Times New Roman" w:hAnsi="Times New Roman" w:eastAsia="仿宋_GB2312" w:cs="Times New Roman"/>
          <w:b/>
          <w:bCs/>
          <w:sz w:val="32"/>
          <w:szCs w:val="32"/>
          <w:highlight w:val="none"/>
        </w:rPr>
        <w:t>。</w:t>
      </w:r>
      <w:r>
        <w:rPr>
          <w:rFonts w:hint="default" w:ascii="Times New Roman" w:hAnsi="Times New Roman" w:eastAsia="仿宋_GB2312" w:cs="Times New Roman"/>
          <w:sz w:val="32"/>
          <w:szCs w:val="32"/>
          <w:highlight w:val="none"/>
        </w:rPr>
        <w:t>持续推进高污染燃料工业锅炉淘汰或清洁能源改造、烟气治理工作。鼓励有条件的铝型材熔炼炉改用清洁燃料。加强辖区内燃气发电机组、生活垃圾焚烧发电机组锅炉烟气处理设施的日常监管，强化烟气排放在线连接监测仪器的设置和维护，确保日常监管到位，使主要污染物稳定达到相应排放标准的限值。加强10蒸吨/小时及以上锅炉及重点工业窑炉的在线监测联网管控。严格实施工业炉窑分级管控，全面推动B级以下企业工业炉窑的燃料清洁化替代、废气治理设施升级改造、全过程无组织排放管控。按照</w:t>
      </w:r>
      <w:r>
        <w:rPr>
          <w:rFonts w:hint="default" w:ascii="Times New Roman" w:hAnsi="Times New Roman" w:eastAsia="仿宋_GB2312" w:cs="Times New Roman"/>
          <w:sz w:val="32"/>
          <w:szCs w:val="32"/>
          <w:highlight w:val="none"/>
          <w:lang w:val="en-US" w:eastAsia="zh-CN"/>
        </w:rPr>
        <w:t>东莞市</w:t>
      </w:r>
      <w:r>
        <w:rPr>
          <w:rFonts w:hint="default" w:ascii="Times New Roman" w:hAnsi="Times New Roman" w:eastAsia="仿宋_GB2312" w:cs="Times New Roman"/>
          <w:sz w:val="32"/>
          <w:szCs w:val="32"/>
          <w:highlight w:val="none"/>
        </w:rPr>
        <w:t>统一部署，逐步开展天然气锅炉脱硝治理。</w:t>
      </w:r>
    </w:p>
    <w:p w14:paraId="33356335">
      <w:pPr>
        <w:adjustRightInd/>
        <w:snapToGrid/>
        <w:ind w:firstLine="643"/>
        <w:rPr>
          <w:rFonts w:hint="default" w:ascii="Times New Roman" w:hAnsi="Times New Roman" w:eastAsia="仿宋_GB2312" w:cs="Times New Roman"/>
          <w:b w:val="0"/>
          <w:bCs w:val="0"/>
          <w:sz w:val="32"/>
          <w:szCs w:val="32"/>
          <w:highlight w:val="none"/>
        </w:rPr>
      </w:pPr>
      <w:r>
        <w:rPr>
          <w:rFonts w:hint="default" w:ascii="Times New Roman" w:hAnsi="Times New Roman" w:eastAsia="仿宋_GB2312" w:cs="Times New Roman"/>
          <w:b/>
          <w:bCs/>
          <w:sz w:val="32"/>
          <w:szCs w:val="32"/>
          <w:highlight w:val="none"/>
        </w:rPr>
        <w:t>强化VOCs源头控制和重点行业深度治理，削减VOCs排放总量。</w:t>
      </w:r>
      <w:r>
        <w:rPr>
          <w:rFonts w:hint="default" w:ascii="Times New Roman" w:hAnsi="Times New Roman" w:eastAsia="仿宋_GB2312" w:cs="Times New Roman"/>
          <w:b w:val="0"/>
          <w:bCs w:val="0"/>
          <w:sz w:val="32"/>
          <w:szCs w:val="32"/>
          <w:highlight w:val="none"/>
        </w:rPr>
        <w:t>实施VOCs建设项目差别化环保准入，</w:t>
      </w:r>
      <w:bookmarkStart w:id="221" w:name="_Hlk111216359"/>
      <w:r>
        <w:rPr>
          <w:rFonts w:hint="default" w:ascii="Times New Roman" w:hAnsi="Times New Roman" w:eastAsia="仿宋_GB2312" w:cs="Times New Roman"/>
          <w:b w:val="0"/>
          <w:bCs w:val="0"/>
          <w:sz w:val="32"/>
          <w:szCs w:val="32"/>
          <w:highlight w:val="none"/>
        </w:rPr>
        <w:t>在可核查、可监管的基础上，</w:t>
      </w:r>
      <w:bookmarkEnd w:id="221"/>
      <w:r>
        <w:rPr>
          <w:rFonts w:hint="default" w:ascii="Times New Roman" w:hAnsi="Times New Roman" w:eastAsia="仿宋_GB2312" w:cs="Times New Roman"/>
          <w:b w:val="0"/>
          <w:bCs w:val="0"/>
          <w:sz w:val="32"/>
          <w:szCs w:val="32"/>
          <w:highlight w:val="none"/>
        </w:rPr>
        <w:t>新建项目原则上实施挥发性有机物两倍削减量替代，改建、迁建项目须实施大气污染物排放总量削减，对有条件的涉VOCs工业园区及企业集群，统筹规划建设集中喷涂中心（共性工厂）或活性炭集中再生中心，不再审批工业集聚区（共性工厂）外的石化和化工、工业涂装（机动车、电子产品和日用产品修理业除外）、包装印刷和制鞋行业、电子元件制造等重点行业新增VOCs排放项目（市重大项目除外）；开展原油、成品油、有机化学品等涉VOCs物质储罐排查，深化重点行业VOCs排放基数调查，系统掌握工业源VOCs产生、处理、排放及分布情况，分类建立台账，实施VOCs精细化管理。加快推进石化、化工、包装印刷、工业涂装等重点行业建立完善源头、过程和末端的VOCs全过程控制体系。大力推进低VOCs含量原辅材料源头替代，严格落实国家</w:t>
      </w:r>
      <w:r>
        <w:rPr>
          <w:rFonts w:hint="default" w:ascii="Times New Roman" w:hAnsi="Times New Roman" w:eastAsia="仿宋_GB2312" w:cs="Times New Roman"/>
          <w:b w:val="0"/>
          <w:bCs w:val="0"/>
          <w:sz w:val="32"/>
          <w:szCs w:val="32"/>
          <w:highlight w:val="none"/>
          <w:lang w:val="en-US" w:eastAsia="zh-CN"/>
        </w:rPr>
        <w:t>和地方</w:t>
      </w:r>
      <w:r>
        <w:rPr>
          <w:rFonts w:hint="default" w:ascii="Times New Roman" w:hAnsi="Times New Roman" w:eastAsia="仿宋_GB2312" w:cs="Times New Roman"/>
          <w:b w:val="0"/>
          <w:bCs w:val="0"/>
          <w:sz w:val="32"/>
          <w:szCs w:val="32"/>
          <w:highlight w:val="none"/>
        </w:rPr>
        <w:t>产品VOCs含量限值质量标准</w:t>
      </w:r>
      <w:r>
        <w:rPr>
          <w:rFonts w:hint="eastAsia" w:eastAsia="仿宋_GB2312" w:cs="Times New Roman"/>
          <w:b w:val="0"/>
          <w:bCs w:val="0"/>
          <w:sz w:val="32"/>
          <w:szCs w:val="32"/>
          <w:highlight w:val="none"/>
          <w:lang w:eastAsia="zh-CN"/>
        </w:rPr>
        <w:t>。</w:t>
      </w:r>
      <w:r>
        <w:rPr>
          <w:rFonts w:hint="default" w:ascii="Times New Roman" w:hAnsi="Times New Roman" w:eastAsia="仿宋_GB2312" w:cs="Times New Roman"/>
          <w:b w:val="0"/>
          <w:bCs w:val="0"/>
          <w:sz w:val="32"/>
          <w:szCs w:val="32"/>
          <w:highlight w:val="none"/>
        </w:rPr>
        <w:t>建立VOCs企业差异化管控制度，推动重点VOCs行业（家具制造、制鞋、包装印刷、表面涂装、电子产品制造、塑料制造及塑料制品等行业）深度治理，加强对中小型企业废气收集和治理设施建设运行情况的评估和指导，推动升级改造。按照国家、省</w:t>
      </w:r>
      <w:r>
        <w:rPr>
          <w:rFonts w:hint="eastAsia" w:eastAsia="仿宋_GB2312" w:cs="Times New Roman"/>
          <w:b w:val="0"/>
          <w:bCs w:val="0"/>
          <w:sz w:val="32"/>
          <w:szCs w:val="32"/>
          <w:highlight w:val="none"/>
          <w:lang w:eastAsia="zh-CN"/>
        </w:rPr>
        <w:t>、</w:t>
      </w:r>
      <w:r>
        <w:rPr>
          <w:rFonts w:hint="eastAsia" w:eastAsia="仿宋_GB2312" w:cs="Times New Roman"/>
          <w:b w:val="0"/>
          <w:bCs w:val="0"/>
          <w:sz w:val="32"/>
          <w:szCs w:val="32"/>
          <w:highlight w:val="none"/>
          <w:lang w:val="en-US" w:eastAsia="zh-CN"/>
        </w:rPr>
        <w:t>市</w:t>
      </w:r>
      <w:r>
        <w:rPr>
          <w:rFonts w:hint="default" w:ascii="Times New Roman" w:hAnsi="Times New Roman" w:eastAsia="仿宋_GB2312" w:cs="Times New Roman"/>
          <w:b w:val="0"/>
          <w:bCs w:val="0"/>
          <w:sz w:val="32"/>
          <w:szCs w:val="32"/>
          <w:highlight w:val="none"/>
        </w:rPr>
        <w:t>挥发性有机物在线监测技术规范要求，推进VOCs重点监管企业安装在线监测设备，确保重点监管企业排放稳定达标；加强储油库、加油站等VOCs排放治理，推动安装油气回收自动监控系统；开展无组织排放源排查，加强含VOCs物料全方位、全链条、全环节密闭管理，实施重点企业泄漏检测与修复（LDAR）工作。</w:t>
      </w:r>
    </w:p>
    <w:p w14:paraId="1E5EBCF8">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bookmarkStart w:id="222" w:name="_Toc61001235"/>
      <w:bookmarkStart w:id="223" w:name="_Toc30654"/>
      <w:bookmarkStart w:id="224" w:name="_Toc29739"/>
      <w:bookmarkStart w:id="225" w:name="_Toc21357"/>
      <w:bookmarkStart w:id="226" w:name="_Toc1650"/>
      <w:r>
        <w:rPr>
          <w:rFonts w:hint="eastAsia" w:ascii="黑体" w:hAnsi="黑体" w:eastAsia="黑体" w:cs="黑体"/>
          <w:b w:val="0"/>
          <w:bCs/>
          <w:highlight w:val="none"/>
          <w:lang w:val="en-US" w:eastAsia="zh-CN"/>
        </w:rPr>
        <w:t>二、加强</w:t>
      </w:r>
      <w:bookmarkEnd w:id="222"/>
      <w:r>
        <w:rPr>
          <w:rFonts w:hint="eastAsia" w:ascii="黑体" w:hAnsi="黑体" w:eastAsia="黑体" w:cs="黑体"/>
          <w:b w:val="0"/>
          <w:bCs/>
          <w:highlight w:val="none"/>
          <w:lang w:val="en-US" w:eastAsia="zh-CN"/>
        </w:rPr>
        <w:t>移动源污染联防联控</w:t>
      </w:r>
      <w:bookmarkEnd w:id="223"/>
      <w:bookmarkEnd w:id="224"/>
      <w:bookmarkEnd w:id="225"/>
      <w:bookmarkEnd w:id="226"/>
    </w:p>
    <w:p w14:paraId="29ADD694">
      <w:pPr>
        <w:pageBreakBefore w:val="0"/>
        <w:kinsoku/>
        <w:wordWrap/>
        <w:bidi w:val="0"/>
        <w:spacing w:line="360" w:lineRule="auto"/>
        <w:ind w:firstLine="643"/>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深化机动车尾气治理。</w:t>
      </w:r>
      <w:r>
        <w:rPr>
          <w:rFonts w:hint="default" w:ascii="Times New Roman" w:hAnsi="Times New Roman" w:eastAsia="仿宋_GB2312" w:cs="Times New Roman"/>
          <w:sz w:val="32"/>
          <w:szCs w:val="32"/>
          <w:highlight w:val="none"/>
        </w:rPr>
        <w:t>强化机动车尾气遥感检测系统、机动车环保定期检测信息管理系统等高科技手段运用，加强在用车排放管理，强化柴油车注册登记环节车载诊断系统、污染控制装置的查验及必需的排气检测，加强生产、销售、进口环节的新车环保达标情况监督检查，鼓励清洁能源货车使用</w:t>
      </w:r>
      <w:r>
        <w:rPr>
          <w:rFonts w:hint="eastAsia" w:eastAsia="仿宋_GB2312" w:cs="Times New Roman"/>
          <w:sz w:val="32"/>
          <w:szCs w:val="32"/>
          <w:highlight w:val="none"/>
          <w:lang w:eastAsia="zh-CN"/>
        </w:rPr>
        <w:t>。</w:t>
      </w:r>
      <w:r>
        <w:rPr>
          <w:rFonts w:hint="eastAsia" w:eastAsia="仿宋_GB2312" w:cs="Times New Roman"/>
          <w:b/>
          <w:bCs/>
          <w:sz w:val="32"/>
          <w:szCs w:val="32"/>
          <w:highlight w:val="none"/>
          <w:lang w:val="en-US" w:eastAsia="zh-CN"/>
        </w:rPr>
        <w:t>到</w:t>
      </w:r>
      <w:r>
        <w:rPr>
          <w:rFonts w:hint="default" w:ascii="Times New Roman" w:hAnsi="Times New Roman" w:eastAsia="仿宋_GB2312" w:cs="Times New Roman"/>
          <w:b/>
          <w:bCs/>
          <w:sz w:val="32"/>
          <w:szCs w:val="32"/>
          <w:highlight w:val="none"/>
        </w:rPr>
        <w:t>2025年</w:t>
      </w:r>
      <w:r>
        <w:rPr>
          <w:rFonts w:hint="eastAsia" w:eastAsia="仿宋_GB2312" w:cs="Times New Roman"/>
          <w:b/>
          <w:bCs/>
          <w:sz w:val="32"/>
          <w:szCs w:val="32"/>
          <w:highlight w:val="none"/>
          <w:lang w:val="en-US" w:eastAsia="zh-CN"/>
        </w:rPr>
        <w:t>底</w:t>
      </w:r>
      <w:r>
        <w:rPr>
          <w:rFonts w:hint="default" w:ascii="Times New Roman" w:hAnsi="Times New Roman" w:eastAsia="仿宋_GB2312" w:cs="Times New Roman"/>
          <w:b/>
          <w:bCs/>
          <w:sz w:val="32"/>
          <w:szCs w:val="32"/>
          <w:highlight w:val="none"/>
        </w:rPr>
        <w:t>基本淘汰国</w:t>
      </w:r>
      <w:r>
        <w:rPr>
          <w:rFonts w:hint="default" w:eastAsia="仿宋_GB2312"/>
          <w:b/>
          <w:bCs/>
          <w:sz w:val="32"/>
          <w:szCs w:val="32"/>
          <w:highlight w:val="none"/>
        </w:rPr>
        <w:t>Ⅲ</w:t>
      </w:r>
      <w:r>
        <w:rPr>
          <w:rFonts w:hint="default" w:ascii="Times New Roman" w:hAnsi="Times New Roman" w:eastAsia="仿宋_GB2312" w:cs="Times New Roman"/>
          <w:b/>
          <w:bCs/>
          <w:sz w:val="32"/>
          <w:szCs w:val="32"/>
          <w:highlight w:val="none"/>
        </w:rPr>
        <w:t>及以下柴油货车</w:t>
      </w:r>
      <w:r>
        <w:rPr>
          <w:rFonts w:hint="eastAsia" w:eastAsia="仿宋_GB2312" w:cs="Times New Roman"/>
          <w:b/>
          <w:bCs/>
          <w:sz w:val="32"/>
          <w:szCs w:val="32"/>
          <w:highlight w:val="none"/>
          <w:lang w:eastAsia="zh-CN"/>
        </w:rPr>
        <w:t>，</w:t>
      </w:r>
      <w:r>
        <w:rPr>
          <w:rFonts w:hint="default" w:eastAsia="仿宋_GB2312"/>
          <w:b/>
          <w:bCs/>
          <w:sz w:val="32"/>
          <w:szCs w:val="32"/>
          <w:highlight w:val="none"/>
        </w:rPr>
        <w:t>争取到</w:t>
      </w:r>
      <w:r>
        <w:rPr>
          <w:rFonts w:hint="eastAsia" w:eastAsia="仿宋_GB2312"/>
          <w:b/>
          <w:bCs/>
          <w:sz w:val="32"/>
          <w:szCs w:val="32"/>
          <w:highlight w:val="none"/>
          <w:lang w:eastAsia="zh-CN"/>
        </w:rPr>
        <w:t>2030</w:t>
      </w:r>
      <w:r>
        <w:rPr>
          <w:rFonts w:hint="default" w:eastAsia="仿宋_GB2312"/>
          <w:b/>
          <w:bCs/>
          <w:sz w:val="32"/>
          <w:szCs w:val="32"/>
          <w:highlight w:val="none"/>
        </w:rPr>
        <w:t>年</w:t>
      </w:r>
      <w:r>
        <w:rPr>
          <w:rFonts w:hint="eastAsia" w:eastAsia="仿宋_GB2312"/>
          <w:b/>
          <w:bCs/>
          <w:sz w:val="32"/>
          <w:szCs w:val="32"/>
          <w:highlight w:val="none"/>
          <w:lang w:val="en-US" w:eastAsia="zh-CN"/>
        </w:rPr>
        <w:t>底</w:t>
      </w:r>
      <w:r>
        <w:rPr>
          <w:rFonts w:hint="default" w:eastAsia="仿宋_GB2312"/>
          <w:b/>
          <w:bCs/>
          <w:sz w:val="32"/>
          <w:szCs w:val="32"/>
          <w:highlight w:val="none"/>
        </w:rPr>
        <w:t>，</w:t>
      </w:r>
      <w:r>
        <w:rPr>
          <w:rFonts w:hint="eastAsia" w:eastAsia="仿宋_GB2312"/>
          <w:b/>
          <w:bCs/>
          <w:sz w:val="32"/>
          <w:szCs w:val="32"/>
          <w:highlight w:val="none"/>
          <w:lang w:val="en-US" w:eastAsia="zh-CN"/>
        </w:rPr>
        <w:t>基本</w:t>
      </w:r>
      <w:r>
        <w:rPr>
          <w:rFonts w:hint="default" w:eastAsia="仿宋_GB2312"/>
          <w:b/>
          <w:bCs/>
          <w:sz w:val="32"/>
          <w:szCs w:val="32"/>
          <w:highlight w:val="none"/>
        </w:rPr>
        <w:t>完成国Ⅲ及以下机动车淘汰工作。</w:t>
      </w:r>
      <w:r>
        <w:rPr>
          <w:rFonts w:hint="default" w:ascii="Times New Roman" w:hAnsi="Times New Roman" w:eastAsia="仿宋_GB2312" w:cs="Times New Roman"/>
          <w:sz w:val="32"/>
          <w:szCs w:val="32"/>
          <w:highlight w:val="none"/>
        </w:rPr>
        <w:t>完善柴油车用车大户清单，加强对用车大户的环保宣传和日常监督检查，督促用车大户建立完善车辆维护、燃料和车用尿素添加使用台账。加强新车登记注册和外地车辆转入管理，严格按国家环保达标车型目录进行新车登记和转移登记。加强机动车辆污染防治，强化车辆登记、检测、维修、报废全过程管理。</w:t>
      </w:r>
    </w:p>
    <w:p w14:paraId="3D93187D">
      <w:pPr>
        <w:pageBreakBefore w:val="0"/>
        <w:kinsoku/>
        <w:wordWrap/>
        <w:bidi w:val="0"/>
        <w:spacing w:line="360" w:lineRule="auto"/>
        <w:ind w:firstLine="643"/>
        <w:rPr>
          <w:rFonts w:hint="default" w:ascii="Times New Roman" w:hAnsi="Times New Roman" w:eastAsia="仿宋_GB2312" w:cs="Times New Roman"/>
          <w:kern w:val="1"/>
          <w:sz w:val="32"/>
          <w:szCs w:val="32"/>
          <w:highlight w:val="none"/>
        </w:rPr>
      </w:pPr>
      <w:r>
        <w:rPr>
          <w:rFonts w:hint="default" w:ascii="Times New Roman" w:hAnsi="Times New Roman" w:eastAsia="仿宋_GB2312" w:cs="Times New Roman"/>
          <w:b/>
          <w:bCs/>
          <w:sz w:val="32"/>
          <w:szCs w:val="32"/>
          <w:highlight w:val="none"/>
        </w:rPr>
        <w:t>加强非道路移动源污染控制。</w:t>
      </w:r>
      <w:r>
        <w:rPr>
          <w:rFonts w:hint="default" w:ascii="Times New Roman" w:hAnsi="Times New Roman" w:eastAsia="仿宋_GB2312" w:cs="Times New Roman"/>
          <w:sz w:val="32"/>
          <w:szCs w:val="32"/>
          <w:highlight w:val="none"/>
        </w:rPr>
        <w:t>积极推动高能耗、高污染非道路移动机械淘汰置换或清洁化改造。严格实施非道路移动机械编码登记制度，逐步建立在用非道路移动机械环保数据库，鼓励中心片区划定并公布禁止使用高排放非道路移动机械的区域，严厉打击在禁用区内使用高排放非道路移动机械的行为。严格落实非道路移动机械用柴油机准入政策，强化非道路移动机械的大气污染物排放状况监督管理，加强非道路移动机械排气状况和所用油品的现场抽测，依法对使用不合格油品及冒黑烟机械开展处罚，基本消除未登记或冒黑烟工程机械。加强建筑工地施工机械及工程车辆使用清洁油品管理，推进施工工地油品直供。</w:t>
      </w:r>
    </w:p>
    <w:p w14:paraId="5A4D2E87">
      <w:pPr>
        <w:pageBreakBefore w:val="0"/>
        <w:kinsoku/>
        <w:wordWrap/>
        <w:overflowPunct w:val="0"/>
        <w:topLinePunct/>
        <w:bidi w:val="0"/>
        <w:spacing w:line="360" w:lineRule="auto"/>
        <w:ind w:firstLine="540" w:firstLineChars="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持续加强成品油质量和油品储运销监管。</w:t>
      </w:r>
      <w:r>
        <w:rPr>
          <w:rFonts w:hint="default" w:ascii="Times New Roman" w:hAnsi="Times New Roman" w:eastAsia="仿宋_GB2312" w:cs="Times New Roman"/>
          <w:sz w:val="32"/>
          <w:szCs w:val="32"/>
          <w:highlight w:val="none"/>
        </w:rPr>
        <w:t>深化非法成品油（燃料油）整治联防联控机制，明确监管职责，加强协调联动，以使用环节成品油（燃料油）质量问题为切入点，溯源追踪到生产、运输、储存、销售、进口（走私）等环节，合力打击涉油品违法行为。以车用汽柴油、船用燃油等为重点，强化成品油质量产、储、运、销全流程监管，严厉打击非法调制和销售成品油行为，加大对非法流动加油、销售不合规油品、销售未完税油品等违法行为的查处力度。加大生产、存储、流通环节油品质量执法检查力度，重点针对硫含量、蒸汽压、芳烃含量、烯烃含量等指标进行检查。鼓励油品储运销企业加强内部制度管理和人员培训，定期做好油气回收治理设施自检自查工作，有效保障油气回收效率。</w:t>
      </w:r>
    </w:p>
    <w:p w14:paraId="4310A978">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bookmarkStart w:id="227" w:name="_Toc23148"/>
      <w:bookmarkStart w:id="228" w:name="_Toc6687"/>
      <w:bookmarkStart w:id="229" w:name="_Toc1775"/>
      <w:bookmarkStart w:id="230" w:name="_Toc61001237"/>
      <w:bookmarkStart w:id="231" w:name="_Toc4919"/>
      <w:r>
        <w:rPr>
          <w:rFonts w:hint="eastAsia" w:ascii="黑体" w:hAnsi="黑体" w:eastAsia="黑体" w:cs="黑体"/>
          <w:b w:val="0"/>
          <w:bCs/>
          <w:highlight w:val="none"/>
          <w:lang w:val="en-US" w:eastAsia="zh-CN"/>
        </w:rPr>
        <w:t>三、</w:t>
      </w:r>
      <w:bookmarkEnd w:id="227"/>
      <w:bookmarkEnd w:id="228"/>
      <w:bookmarkEnd w:id="229"/>
      <w:bookmarkEnd w:id="230"/>
      <w:bookmarkEnd w:id="231"/>
      <w:r>
        <w:rPr>
          <w:rFonts w:hint="eastAsia" w:ascii="黑体" w:hAnsi="黑体" w:eastAsia="黑体" w:cs="黑体"/>
          <w:b w:val="0"/>
          <w:bCs/>
          <w:highlight w:val="none"/>
          <w:lang w:val="en-US" w:eastAsia="zh-CN"/>
        </w:rPr>
        <w:t>强化面源污染控制</w:t>
      </w:r>
    </w:p>
    <w:p w14:paraId="32C029A1">
      <w:pPr>
        <w:pageBreakBefore w:val="0"/>
        <w:kinsoku/>
        <w:wordWrap/>
        <w:bidi w:val="0"/>
        <w:spacing w:line="360" w:lineRule="auto"/>
        <w:ind w:firstLine="643" w:firstLineChars="200"/>
        <w:rPr>
          <w:rFonts w:hint="default" w:ascii="Times New Roman" w:hAnsi="Times New Roman" w:eastAsia="仿宋_GB2312" w:cs="Times New Roman"/>
          <w:b/>
          <w:bCs/>
          <w:kern w:val="1"/>
          <w:sz w:val="32"/>
          <w:szCs w:val="32"/>
          <w:highlight w:val="none"/>
        </w:rPr>
      </w:pPr>
      <w:r>
        <w:rPr>
          <w:rFonts w:hint="default" w:ascii="Times New Roman" w:hAnsi="Times New Roman" w:eastAsia="仿宋_GB2312" w:cs="Times New Roman"/>
          <w:b/>
          <w:bCs/>
          <w:sz w:val="32"/>
          <w:szCs w:val="32"/>
          <w:highlight w:val="none"/>
        </w:rPr>
        <w:t>建立健全建筑工地扬尘控制监管长效机制，明确责任分工，加强监管执法。</w:t>
      </w:r>
      <w:r>
        <w:rPr>
          <w:rFonts w:hint="default" w:ascii="Times New Roman" w:hAnsi="Times New Roman" w:eastAsia="仿宋_GB2312" w:cs="Times New Roman"/>
          <w:kern w:val="1"/>
          <w:sz w:val="32"/>
          <w:szCs w:val="32"/>
          <w:highlight w:val="none"/>
        </w:rPr>
        <w:t>强化施工工地扬尘管控，推广施工扬尘防治技术，建立完善施工扬尘污染防治长效机制和污染天气扬尘污染应对工作机制，积极推进绿色施工，严格落实施工工地围挡、渣土车密闭运输、出入工地车辆清洗、施工工地内部道路硬底化、土方开挖湿法作业以及物料堆放覆盖“六个百分百”要求。加强堆场和裸露土地扬尘污染控制。加强道路运输扬尘防治，推进运输车辆密闭运输。加强渣土和粉状物料运输车辆污染路面执法查处，采取有效措施控制运输车辆超载超限、冒装渣土、带泥上路和沿途撒漏污染。提升城市道路保洁扬尘污染防治标准。完善作业规范，制定道路保洁作业质量标准，落实公路、道路两侧“门前三包”清洁制度；优化道路清扫作业方式。</w:t>
      </w:r>
      <w:r>
        <w:rPr>
          <w:rFonts w:hint="default" w:eastAsia="仿宋_GB2312"/>
          <w:b/>
          <w:bCs/>
          <w:kern w:val="1"/>
          <w:sz w:val="32"/>
          <w:szCs w:val="32"/>
          <w:highlight w:val="none"/>
        </w:rPr>
        <w:t>到2025年</w:t>
      </w:r>
      <w:r>
        <w:rPr>
          <w:rFonts w:hint="eastAsia" w:eastAsia="仿宋_GB2312"/>
          <w:b/>
          <w:bCs/>
          <w:kern w:val="1"/>
          <w:sz w:val="32"/>
          <w:szCs w:val="32"/>
          <w:highlight w:val="none"/>
          <w:lang w:val="en-US" w:eastAsia="zh-CN"/>
        </w:rPr>
        <w:t>底稳定</w:t>
      </w:r>
      <w:r>
        <w:rPr>
          <w:rFonts w:hint="default" w:eastAsia="仿宋_GB2312"/>
          <w:b/>
          <w:bCs/>
          <w:kern w:val="1"/>
          <w:sz w:val="32"/>
          <w:szCs w:val="32"/>
          <w:highlight w:val="none"/>
        </w:rPr>
        <w:t>实现规模以上施工工地扬尘自动监测全覆盖。</w:t>
      </w:r>
    </w:p>
    <w:p w14:paraId="785FFF10">
      <w:pPr>
        <w:pageBreakBefore w:val="0"/>
        <w:kinsoku/>
        <w:wordWrap/>
        <w:bidi w:val="0"/>
        <w:spacing w:line="360" w:lineRule="auto"/>
        <w:ind w:firstLine="643" w:firstLineChars="200"/>
        <w:rPr>
          <w:rFonts w:hint="default" w:ascii="Times New Roman" w:hAnsi="Times New Roman" w:eastAsia="仿宋_GB2312" w:cs="Times New Roman"/>
          <w:kern w:val="1"/>
          <w:sz w:val="32"/>
          <w:szCs w:val="32"/>
          <w:highlight w:val="none"/>
        </w:rPr>
      </w:pPr>
      <w:r>
        <w:rPr>
          <w:rFonts w:hint="default" w:eastAsia="仿宋_GB2312"/>
          <w:b/>
          <w:bCs/>
          <w:kern w:val="1"/>
          <w:sz w:val="32"/>
          <w:szCs w:val="32"/>
          <w:highlight w:val="none"/>
        </w:rPr>
        <w:t>持续推进餐饮油烟高效治理。</w:t>
      </w:r>
      <w:r>
        <w:rPr>
          <w:rFonts w:hint="default" w:eastAsia="仿宋_GB2312"/>
          <w:b w:val="0"/>
          <w:bCs w:val="0"/>
          <w:kern w:val="1"/>
          <w:sz w:val="32"/>
          <w:szCs w:val="32"/>
          <w:highlight w:val="none"/>
        </w:rPr>
        <w:t>推进规模以上餐饮服务单位安装高效稳定餐饮油烟净化系统。</w:t>
      </w:r>
      <w:r>
        <w:rPr>
          <w:rFonts w:hint="default" w:eastAsia="仿宋_GB2312"/>
          <w:kern w:val="1"/>
          <w:sz w:val="32"/>
          <w:szCs w:val="32"/>
          <w:highlight w:val="none"/>
        </w:rPr>
        <w:t>倡导、鼓励各餐饮业户采用第三方治理模式，开展废气净化设备升级改造。加强对餐饮企业巡查执法。推进餐饮油烟自动监控，完善餐饮场所油烟监测信息平台。探索推动居民油烟治理工作。</w:t>
      </w:r>
    </w:p>
    <w:p w14:paraId="6158268C">
      <w:pPr>
        <w:pageBreakBefore w:val="0"/>
        <w:kinsoku/>
        <w:wordWrap/>
        <w:bidi w:val="0"/>
        <w:spacing w:line="360" w:lineRule="auto"/>
        <w:ind w:firstLine="643" w:firstLineChars="200"/>
        <w:rPr>
          <w:rFonts w:hint="default" w:ascii="Times New Roman" w:hAnsi="Times New Roman" w:eastAsia="仿宋_GB2312" w:cs="Times New Roman"/>
          <w:sz w:val="32"/>
          <w:szCs w:val="32"/>
          <w:highlight w:val="none"/>
        </w:rPr>
      </w:pPr>
      <w:r>
        <w:rPr>
          <w:rFonts w:hint="eastAsia" w:eastAsia="仿宋_GB2312"/>
          <w:b/>
          <w:bCs/>
          <w:kern w:val="1"/>
          <w:sz w:val="32"/>
          <w:szCs w:val="32"/>
          <w:highlight w:val="none"/>
          <w:lang w:val="en-US" w:eastAsia="zh-CN"/>
        </w:rPr>
        <w:t>扎实</w:t>
      </w:r>
      <w:r>
        <w:rPr>
          <w:rFonts w:hint="default" w:eastAsia="仿宋_GB2312"/>
          <w:b/>
          <w:bCs/>
          <w:kern w:val="1"/>
          <w:sz w:val="32"/>
          <w:szCs w:val="32"/>
          <w:highlight w:val="none"/>
        </w:rPr>
        <w:t>推进秸秆禁烧和综合利用</w:t>
      </w:r>
      <w:r>
        <w:rPr>
          <w:rFonts w:hint="eastAsia" w:eastAsia="仿宋_GB2312"/>
          <w:b/>
          <w:bCs/>
          <w:kern w:val="1"/>
          <w:sz w:val="32"/>
          <w:szCs w:val="32"/>
          <w:highlight w:val="none"/>
          <w:lang w:eastAsia="zh-CN"/>
        </w:rPr>
        <w:t>。</w:t>
      </w:r>
      <w:r>
        <w:rPr>
          <w:rFonts w:hint="default" w:ascii="Times New Roman" w:hAnsi="Times New Roman" w:eastAsia="仿宋_GB2312" w:cs="Times New Roman"/>
          <w:kern w:val="1"/>
          <w:sz w:val="32"/>
          <w:szCs w:val="32"/>
          <w:highlight w:val="none"/>
        </w:rPr>
        <w:t>强化监管，</w:t>
      </w:r>
      <w:r>
        <w:rPr>
          <w:rFonts w:hint="eastAsia" w:eastAsia="仿宋_GB2312" w:cs="Times New Roman"/>
          <w:kern w:val="1"/>
          <w:sz w:val="32"/>
          <w:szCs w:val="32"/>
          <w:highlight w:val="none"/>
          <w:lang w:val="en-US" w:eastAsia="zh-CN"/>
        </w:rPr>
        <w:t>按照</w:t>
      </w:r>
      <w:r>
        <w:rPr>
          <w:rFonts w:hint="default" w:ascii="Times New Roman" w:hAnsi="Times New Roman" w:eastAsia="仿宋_GB2312" w:cs="Times New Roman"/>
          <w:kern w:val="1"/>
          <w:sz w:val="32"/>
          <w:szCs w:val="32"/>
          <w:highlight w:val="none"/>
          <w:lang w:val="en-US" w:eastAsia="zh-CN"/>
        </w:rPr>
        <w:t>东莞市</w:t>
      </w:r>
      <w:r>
        <w:rPr>
          <w:rFonts w:hint="default" w:ascii="Times New Roman" w:hAnsi="Times New Roman" w:eastAsia="仿宋_GB2312" w:cs="Times New Roman"/>
          <w:kern w:val="1"/>
          <w:sz w:val="32"/>
          <w:szCs w:val="32"/>
          <w:highlight w:val="none"/>
        </w:rPr>
        <w:t>的实施文件要求</w:t>
      </w:r>
      <w:r>
        <w:rPr>
          <w:rFonts w:hint="eastAsia" w:eastAsia="仿宋_GB2312" w:cs="Times New Roman"/>
          <w:kern w:val="1"/>
          <w:sz w:val="32"/>
          <w:szCs w:val="32"/>
          <w:highlight w:val="none"/>
          <w:lang w:eastAsia="zh-CN"/>
        </w:rPr>
        <w:t>，</w:t>
      </w:r>
      <w:r>
        <w:rPr>
          <w:rFonts w:hint="default" w:ascii="Times New Roman" w:hAnsi="Times New Roman" w:eastAsia="仿宋_GB2312" w:cs="Times New Roman"/>
          <w:kern w:val="1"/>
          <w:sz w:val="32"/>
          <w:szCs w:val="32"/>
          <w:highlight w:val="none"/>
        </w:rPr>
        <w:t>推进</w:t>
      </w:r>
      <w:r>
        <w:rPr>
          <w:rFonts w:hint="default" w:ascii="Times New Roman" w:hAnsi="Times New Roman" w:eastAsia="仿宋_GB2312" w:cs="Times New Roman"/>
          <w:kern w:val="1"/>
          <w:sz w:val="32"/>
          <w:szCs w:val="32"/>
          <w:highlight w:val="none"/>
          <w:lang w:val="en-US" w:eastAsia="zh-CN"/>
        </w:rPr>
        <w:t>运用无人机和高清视频监控</w:t>
      </w:r>
      <w:r>
        <w:rPr>
          <w:rFonts w:hint="default" w:ascii="Times New Roman" w:hAnsi="Times New Roman" w:eastAsia="仿宋_GB2312" w:cs="Times New Roman"/>
          <w:kern w:val="1"/>
          <w:sz w:val="32"/>
          <w:szCs w:val="32"/>
          <w:highlight w:val="none"/>
        </w:rPr>
        <w:t>系统建设，严格落实焚烧整治措施，有效遏制秸秆焚烧现象。大力推进农作物秸秆综合利用，积极探索秸秆能源化、资源化研发应用</w:t>
      </w:r>
      <w:r>
        <w:rPr>
          <w:rFonts w:hint="eastAsia" w:eastAsia="仿宋_GB2312" w:cs="Times New Roman"/>
          <w:kern w:val="1"/>
          <w:sz w:val="32"/>
          <w:szCs w:val="32"/>
          <w:highlight w:val="none"/>
          <w:lang w:eastAsia="zh-CN"/>
        </w:rPr>
        <w:t>。</w:t>
      </w:r>
    </w:p>
    <w:p w14:paraId="741CB8A4">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bookmarkStart w:id="232" w:name="_Toc61001234"/>
      <w:bookmarkStart w:id="233" w:name="_Toc15118"/>
      <w:bookmarkStart w:id="234" w:name="_Toc4435"/>
      <w:bookmarkStart w:id="235" w:name="_Toc27130"/>
      <w:bookmarkStart w:id="236" w:name="_Toc17836"/>
      <w:r>
        <w:rPr>
          <w:rFonts w:hint="eastAsia" w:ascii="黑体" w:hAnsi="黑体" w:eastAsia="黑体" w:cs="黑体"/>
          <w:b w:val="0"/>
          <w:bCs/>
          <w:highlight w:val="none"/>
          <w:lang w:val="en-US" w:eastAsia="zh-CN"/>
        </w:rPr>
        <w:t>四、深化</w:t>
      </w:r>
      <w:bookmarkEnd w:id="232"/>
      <w:r>
        <w:rPr>
          <w:rFonts w:hint="eastAsia" w:ascii="黑体" w:hAnsi="黑体" w:eastAsia="黑体" w:cs="黑体"/>
          <w:b w:val="0"/>
          <w:bCs/>
          <w:highlight w:val="none"/>
          <w:lang w:val="en-US" w:eastAsia="zh-CN"/>
        </w:rPr>
        <w:t>空气质量精细化管控</w:t>
      </w:r>
      <w:bookmarkEnd w:id="233"/>
      <w:bookmarkEnd w:id="234"/>
      <w:bookmarkEnd w:id="235"/>
      <w:bookmarkEnd w:id="236"/>
    </w:p>
    <w:p w14:paraId="4B0DEC8F">
      <w:pPr>
        <w:pageBreakBefore w:val="0"/>
        <w:kinsoku/>
        <w:wordWrap/>
        <w:bidi w:val="0"/>
        <w:spacing w:line="360" w:lineRule="auto"/>
        <w:ind w:firstLine="643"/>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实施空气质量精细化管理。</w:t>
      </w:r>
      <w:r>
        <w:rPr>
          <w:rFonts w:hint="default" w:ascii="Times New Roman" w:hAnsi="Times New Roman" w:eastAsia="仿宋_GB2312" w:cs="Times New Roman"/>
          <w:b w:val="0"/>
          <w:bCs/>
          <w:sz w:val="32"/>
          <w:szCs w:val="32"/>
          <w:highlight w:val="none"/>
        </w:rPr>
        <w:t>统筹考虑O</w:t>
      </w:r>
      <w:r>
        <w:rPr>
          <w:rFonts w:hint="default" w:ascii="Times New Roman" w:hAnsi="Times New Roman" w:eastAsia="仿宋_GB2312" w:cs="Times New Roman"/>
          <w:b w:val="0"/>
          <w:bCs/>
          <w:sz w:val="32"/>
          <w:szCs w:val="32"/>
          <w:highlight w:val="none"/>
          <w:vertAlign w:val="subscript"/>
        </w:rPr>
        <w:t>3</w:t>
      </w:r>
      <w:r>
        <w:rPr>
          <w:rFonts w:hint="default" w:ascii="Times New Roman" w:hAnsi="Times New Roman" w:eastAsia="仿宋_GB2312" w:cs="Times New Roman"/>
          <w:b w:val="0"/>
          <w:bCs/>
          <w:sz w:val="32"/>
          <w:szCs w:val="32"/>
          <w:highlight w:val="none"/>
        </w:rPr>
        <w:t>污染区域传输规律和季节性特征，加强重点区域、重点时段、重点领域、重点行业治理，强化分区分时分类差异化精细化协同管控。</w:t>
      </w:r>
      <w:r>
        <w:rPr>
          <w:rFonts w:hint="default" w:ascii="Times New Roman" w:hAnsi="Times New Roman" w:eastAsia="仿宋_GB2312" w:cs="Times New Roman"/>
          <w:bCs/>
          <w:sz w:val="32"/>
          <w:szCs w:val="32"/>
          <w:highlight w:val="none"/>
        </w:rPr>
        <w:t>开展重点区域VOCs走航监测，配置便携式VOCs快速检测仪等设备；</w:t>
      </w:r>
      <w:r>
        <w:rPr>
          <w:rFonts w:hint="default" w:eastAsia="仿宋_GB2312"/>
          <w:b/>
          <w:bCs w:val="0"/>
          <w:sz w:val="32"/>
          <w:szCs w:val="32"/>
          <w:highlight w:val="none"/>
        </w:rPr>
        <w:t>探索推广加密大气环境监测网络建设模式，争取2025年</w:t>
      </w:r>
      <w:r>
        <w:rPr>
          <w:rFonts w:hint="eastAsia" w:eastAsia="仿宋_GB2312"/>
          <w:b/>
          <w:bCs w:val="0"/>
          <w:sz w:val="32"/>
          <w:szCs w:val="32"/>
          <w:highlight w:val="none"/>
          <w:lang w:val="en-US" w:eastAsia="zh-CN"/>
        </w:rPr>
        <w:t>底</w:t>
      </w:r>
      <w:r>
        <w:rPr>
          <w:rFonts w:hint="default" w:eastAsia="仿宋_GB2312"/>
          <w:b/>
          <w:bCs w:val="0"/>
          <w:sz w:val="32"/>
          <w:szCs w:val="32"/>
          <w:highlight w:val="none"/>
        </w:rPr>
        <w:t>完成一批空气质量微型监测站的建设。</w:t>
      </w:r>
    </w:p>
    <w:bookmarkEnd w:id="214"/>
    <w:bookmarkEnd w:id="215"/>
    <w:bookmarkEnd w:id="216"/>
    <w:bookmarkEnd w:id="217"/>
    <w:bookmarkEnd w:id="218"/>
    <w:bookmarkEnd w:id="219"/>
    <w:bookmarkEnd w:id="220"/>
    <w:p w14:paraId="3D57AD4D">
      <w:pPr>
        <w:pageBreakBefore w:val="0"/>
        <w:kinsoku/>
        <w:wordWrap/>
        <w:bidi w:val="0"/>
        <w:spacing w:line="360" w:lineRule="auto"/>
        <w:ind w:firstLine="643"/>
        <w:rPr>
          <w:rFonts w:hint="default" w:ascii="Times New Roman" w:hAnsi="Times New Roman" w:eastAsia="仿宋_GB2312" w:cs="Times New Roman"/>
          <w:b w:val="0"/>
          <w:bCs/>
          <w:kern w:val="2"/>
          <w:sz w:val="32"/>
          <w:szCs w:val="32"/>
          <w:highlight w:val="none"/>
          <w:lang w:val="en-US" w:eastAsia="zh-CN" w:bidi="ar-SA"/>
        </w:rPr>
      </w:pPr>
      <w:r>
        <w:rPr>
          <w:rFonts w:hint="default" w:ascii="Times New Roman" w:hAnsi="Times New Roman" w:eastAsia="仿宋_GB2312" w:cs="Times New Roman"/>
          <w:b/>
          <w:bCs w:val="0"/>
          <w:kern w:val="2"/>
          <w:sz w:val="32"/>
          <w:szCs w:val="32"/>
          <w:highlight w:val="none"/>
          <w:lang w:val="en-US" w:eastAsia="zh-CN" w:bidi="ar-SA"/>
        </w:rPr>
        <w:t>强化污染天气应对机制。</w:t>
      </w:r>
      <w:r>
        <w:rPr>
          <w:rFonts w:hint="default" w:ascii="Times New Roman" w:hAnsi="Times New Roman" w:eastAsia="仿宋_GB2312" w:cs="Times New Roman"/>
          <w:b w:val="0"/>
          <w:bCs/>
          <w:kern w:val="2"/>
          <w:sz w:val="32"/>
          <w:szCs w:val="32"/>
          <w:highlight w:val="none"/>
          <w:lang w:val="en-US" w:eastAsia="zh-CN" w:bidi="ar-SA"/>
        </w:rPr>
        <w:t>继续做好环境空气质量保障工作，探索对减排措施效果进行量化，制定差异化应急减排措施，对重点行业应急减排实施绩效分级管控。强化跨部门会商联动机制，优化污染天气预判和应对。继续完善跨行政区联合执法制度，深化区域大气污染联防联控。</w:t>
      </w:r>
    </w:p>
    <w:p w14:paraId="1AE8B162">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snapToGrid w:val="0"/>
          <w:highlight w:val="none"/>
          <w:lang w:val="en-US" w:eastAsia="zh-CN"/>
        </w:rPr>
      </w:pPr>
      <w:bookmarkStart w:id="237" w:name="_Toc21402"/>
      <w:bookmarkStart w:id="238" w:name="_Toc32159"/>
      <w:bookmarkStart w:id="239" w:name="_Toc20011"/>
      <w:bookmarkStart w:id="240" w:name="_Toc17438"/>
      <w:bookmarkStart w:id="241" w:name="_Toc17332"/>
      <w:bookmarkStart w:id="242" w:name="_Toc25455"/>
      <w:bookmarkStart w:id="243" w:name="_Toc24392"/>
      <w:bookmarkStart w:id="244" w:name="_Toc28769"/>
      <w:bookmarkStart w:id="245" w:name="_Toc27644"/>
      <w:bookmarkStart w:id="246" w:name="_Toc29591"/>
      <w:bookmarkStart w:id="247" w:name="_Toc11856"/>
      <w:r>
        <w:rPr>
          <w:rFonts w:hint="default" w:ascii="Times New Roman" w:hAnsi="Times New Roman" w:eastAsia="楷体_GB2312" w:cs="Times New Roman"/>
          <w:b/>
          <w:bCs/>
          <w:snapToGrid w:val="0"/>
          <w:highlight w:val="none"/>
          <w:lang w:val="en-US" w:eastAsia="zh-CN"/>
        </w:rPr>
        <w:t>第二节 系统治理，提升水体环境质量</w:t>
      </w:r>
      <w:bookmarkEnd w:id="237"/>
      <w:bookmarkEnd w:id="238"/>
      <w:bookmarkEnd w:id="239"/>
      <w:bookmarkEnd w:id="240"/>
      <w:bookmarkEnd w:id="241"/>
      <w:bookmarkEnd w:id="242"/>
      <w:bookmarkEnd w:id="243"/>
      <w:bookmarkEnd w:id="244"/>
      <w:bookmarkEnd w:id="245"/>
      <w:bookmarkEnd w:id="246"/>
      <w:bookmarkEnd w:id="247"/>
    </w:p>
    <w:p w14:paraId="112EFD55">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一、强化饮用水源水质保护和提升</w:t>
      </w:r>
    </w:p>
    <w:p w14:paraId="0ABFD9AF">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巩固饮用水源整治成果。</w:t>
      </w:r>
      <w:r>
        <w:rPr>
          <w:rFonts w:hint="default" w:ascii="Times New Roman" w:hAnsi="Times New Roman" w:eastAsia="仿宋_GB2312" w:cs="Times New Roman"/>
          <w:sz w:val="32"/>
          <w:szCs w:val="32"/>
          <w:highlight w:val="none"/>
          <w:lang w:val="en-US" w:eastAsia="zh-CN"/>
        </w:rPr>
        <w:t>强化茅輋水库、契爷石水库、三坑水库饮用水水源地保护。引导科学规划城镇空间体系，优化周边产业布局，避免各规划项目与饮用水水源保护区相冲突。按要求落实日常管理工作并建立长效工作机制，依时序依法清理整治饮用水水源保护区内排污口、违法建设项目等问题。推进饮用水水源标志及隔离设施等规范化建设工作，强化管理维护。落实国家、省级和市级饮用水源专项行动，开展饮用水水源保护区环境风险排查，形成自查及定期巡查制度。</w:t>
      </w:r>
    </w:p>
    <w:p w14:paraId="05DB0FEE">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加强饮用水源保护区污染防控体系建设。</w:t>
      </w:r>
      <w:r>
        <w:rPr>
          <w:rFonts w:hint="default" w:ascii="Times New Roman" w:hAnsi="Times New Roman" w:eastAsia="仿宋_GB2312" w:cs="Times New Roman"/>
          <w:sz w:val="32"/>
          <w:szCs w:val="32"/>
          <w:highlight w:val="none"/>
          <w:lang w:val="en-US" w:eastAsia="zh-CN"/>
        </w:rPr>
        <w:t>大力推进城镇集中式饮用水源保护区污染整治和生态建设，完善水源地的水质监测与防控体系，全面加强水源地氨氮、总磷和有机物污染防治。开展饮用水水源规范化建设，严格依法执行排污口关停、垃圾清理、水产与畜禽养殖控制等各项环境管理措施，坚决取缔水源地保护区内的直接排污口，严防养殖业污染水源，禁止有毒有害物质进入饮用水水源保护区。</w:t>
      </w:r>
    </w:p>
    <w:p w14:paraId="72885D11">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强化饮用水源应急能力。</w:t>
      </w:r>
      <w:r>
        <w:rPr>
          <w:rFonts w:hint="default" w:ascii="Times New Roman" w:hAnsi="Times New Roman" w:eastAsia="仿宋_GB2312" w:cs="Times New Roman"/>
          <w:b w:val="0"/>
          <w:bCs w:val="0"/>
          <w:sz w:val="32"/>
          <w:szCs w:val="32"/>
          <w:highlight w:val="none"/>
          <w:lang w:val="en-US" w:eastAsia="zh-CN"/>
        </w:rPr>
        <w:t>定期更新完善饮用水水源地突发环境事件应急预案，完善应急体系建设，组织开展突发环境事件应急演练，增强水源地风险应急响应及处置能力。对可能影响饮用水水源环境安全的风险源进行排查，对排查发现的问题进行限期整改。</w:t>
      </w:r>
    </w:p>
    <w:p w14:paraId="47DE6FEC">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持续提升优质水源保护。</w:t>
      </w:r>
      <w:r>
        <w:rPr>
          <w:rFonts w:hint="default" w:ascii="Times New Roman" w:hAnsi="Times New Roman" w:eastAsia="仿宋_GB2312" w:cs="Times New Roman"/>
          <w:b w:val="0"/>
          <w:bCs w:val="0"/>
          <w:sz w:val="32"/>
          <w:szCs w:val="32"/>
          <w:highlight w:val="none"/>
          <w:lang w:val="en-US" w:eastAsia="zh-CN"/>
        </w:rPr>
        <w:t>对稳定达到Ⅲ类及以上水质的水源地定期开展生态环境安全评估；加快完善饮用水水源区周围污水管网建设工程，加强管网的查漏补缺和正常运行，强化备用饮用水水源环境保护。</w:t>
      </w:r>
    </w:p>
    <w:p w14:paraId="168D8A4A">
      <w:pPr>
        <w:numPr>
          <w:ilvl w:val="0"/>
          <w:numId w:val="0"/>
        </w:numPr>
        <w:autoSpaceDE w:val="0"/>
        <w:autoSpaceDN w:val="0"/>
        <w:adjustRightInd w:val="0"/>
        <w:spacing w:line="360" w:lineRule="auto"/>
        <w:ind w:firstLine="643" w:firstLineChars="200"/>
        <w:rPr>
          <w:rFonts w:hint="default" w:eastAsia="仿宋_GB2312"/>
          <w:b w:val="0"/>
          <w:bCs w:val="0"/>
          <w:sz w:val="32"/>
          <w:szCs w:val="32"/>
          <w:highlight w:val="none"/>
          <w:lang w:val="en-US" w:eastAsia="zh-CN"/>
        </w:rPr>
      </w:pPr>
      <w:r>
        <w:rPr>
          <w:rFonts w:hint="default" w:eastAsia="仿宋_GB2312"/>
          <w:b/>
          <w:bCs/>
          <w:sz w:val="32"/>
          <w:szCs w:val="32"/>
          <w:highlight w:val="none"/>
        </w:rPr>
        <w:t>到</w:t>
      </w:r>
      <w:r>
        <w:rPr>
          <w:rFonts w:hint="eastAsia" w:eastAsia="仿宋_GB2312"/>
          <w:b/>
          <w:bCs/>
          <w:sz w:val="32"/>
          <w:szCs w:val="32"/>
          <w:highlight w:val="none"/>
          <w:lang w:eastAsia="zh-CN"/>
        </w:rPr>
        <w:t>2030</w:t>
      </w:r>
      <w:r>
        <w:rPr>
          <w:rFonts w:hint="default" w:eastAsia="仿宋_GB2312"/>
          <w:b/>
          <w:bCs/>
          <w:sz w:val="32"/>
          <w:szCs w:val="32"/>
          <w:highlight w:val="none"/>
        </w:rPr>
        <w:t>年</w:t>
      </w:r>
      <w:r>
        <w:rPr>
          <w:rFonts w:hint="eastAsia" w:eastAsia="仿宋_GB2312"/>
          <w:b/>
          <w:bCs/>
          <w:sz w:val="32"/>
          <w:szCs w:val="32"/>
          <w:highlight w:val="none"/>
          <w:lang w:val="en-US" w:eastAsia="zh-CN"/>
        </w:rPr>
        <w:t>底</w:t>
      </w:r>
      <w:r>
        <w:rPr>
          <w:rFonts w:hint="default" w:eastAsia="仿宋_GB2312"/>
          <w:b/>
          <w:bCs/>
          <w:sz w:val="32"/>
          <w:szCs w:val="32"/>
          <w:highlight w:val="none"/>
        </w:rPr>
        <w:t>，</w:t>
      </w:r>
      <w:r>
        <w:rPr>
          <w:rFonts w:hint="eastAsia" w:eastAsia="仿宋_GB2312"/>
          <w:b/>
          <w:bCs/>
          <w:sz w:val="32"/>
          <w:szCs w:val="32"/>
          <w:highlight w:val="none"/>
          <w:lang w:val="en-US" w:eastAsia="zh-CN"/>
        </w:rPr>
        <w:t>清溪镇</w:t>
      </w:r>
      <w:r>
        <w:rPr>
          <w:rFonts w:hint="default" w:eastAsia="仿宋_GB2312"/>
          <w:b/>
          <w:bCs/>
          <w:sz w:val="32"/>
          <w:szCs w:val="32"/>
          <w:highlight w:val="none"/>
        </w:rPr>
        <w:t>常规水源和备用水源水质稳定达标，乡镇及农村水源水质稳定达标，形成</w:t>
      </w:r>
      <w:r>
        <w:rPr>
          <w:rFonts w:hint="eastAsia" w:eastAsia="仿宋_GB2312"/>
          <w:b/>
          <w:bCs/>
          <w:sz w:val="32"/>
          <w:szCs w:val="32"/>
          <w:highlight w:val="none"/>
          <w:lang w:val="en-US" w:eastAsia="zh-CN"/>
        </w:rPr>
        <w:t>基本</w:t>
      </w:r>
      <w:r>
        <w:rPr>
          <w:rFonts w:hint="default" w:eastAsia="仿宋_GB2312"/>
          <w:b/>
          <w:bCs/>
          <w:sz w:val="32"/>
          <w:szCs w:val="32"/>
          <w:highlight w:val="none"/>
        </w:rPr>
        <w:t>完备的饮用水水源安全保障体系。</w:t>
      </w:r>
    </w:p>
    <w:p w14:paraId="75576EB2">
      <w:pPr>
        <w:pStyle w:val="5"/>
        <w:keepNext w:val="0"/>
        <w:keepLines w:val="0"/>
        <w:pageBreakBefore w:val="0"/>
        <w:numPr>
          <w:ilvl w:val="-1"/>
          <w:numId w:val="0"/>
        </w:numPr>
        <w:kinsoku/>
        <w:wordWrap/>
        <w:bidi w:val="0"/>
        <w:spacing w:beforeLines="0" w:afterLines="0" w:line="360" w:lineRule="auto"/>
        <w:ind w:leftChars="0" w:firstLine="643"/>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二、实施水污染全过程综合防治</w:t>
      </w:r>
    </w:p>
    <w:p w14:paraId="6D81872A">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严格环保准入。</w:t>
      </w:r>
      <w:r>
        <w:rPr>
          <w:rFonts w:hint="default" w:ascii="Times New Roman" w:hAnsi="Times New Roman" w:eastAsia="仿宋_GB2312" w:cs="Times New Roman"/>
          <w:b w:val="0"/>
          <w:bCs w:val="0"/>
          <w:sz w:val="32"/>
          <w:szCs w:val="32"/>
          <w:highlight w:val="none"/>
          <w:lang w:val="en-US" w:eastAsia="zh-CN"/>
        </w:rPr>
        <w:t>充分考虑生态保护红线、环境质量底线、资源利用上线要求，合理确定工业发展布局。把优化产业结构和能源消费结构作为新时代</w:t>
      </w:r>
      <w:r>
        <w:rPr>
          <w:rFonts w:hint="eastAsia" w:eastAsia="仿宋_GB2312" w:cs="Times New Roman"/>
          <w:b w:val="0"/>
          <w:bCs w:val="0"/>
          <w:sz w:val="32"/>
          <w:szCs w:val="32"/>
          <w:highlight w:val="none"/>
          <w:lang w:val="en-US" w:eastAsia="zh-CN"/>
        </w:rPr>
        <w:t>推进</w:t>
      </w:r>
      <w:r>
        <w:rPr>
          <w:rFonts w:hint="default" w:ascii="Times New Roman" w:hAnsi="Times New Roman" w:eastAsia="仿宋_GB2312" w:cs="Times New Roman"/>
          <w:b w:val="0"/>
          <w:bCs w:val="0"/>
          <w:sz w:val="32"/>
          <w:szCs w:val="32"/>
          <w:highlight w:val="none"/>
          <w:lang w:val="en-US" w:eastAsia="zh-CN"/>
        </w:rPr>
        <w:t>工业节能的重要途径。对未完成水环境质量改善目标的区域，</w:t>
      </w:r>
      <w:r>
        <w:rPr>
          <w:rFonts w:hint="default" w:eastAsia="仿宋_GB2312"/>
          <w:sz w:val="32"/>
          <w:szCs w:val="32"/>
          <w:highlight w:val="none"/>
        </w:rPr>
        <w:t>依法通过严格建设项目审批、污染物减量置换等方式严格建设项目管理。</w:t>
      </w:r>
      <w:r>
        <w:rPr>
          <w:rFonts w:hint="default" w:ascii="Times New Roman" w:hAnsi="Times New Roman" w:eastAsia="仿宋_GB2312" w:cs="Times New Roman"/>
          <w:b w:val="0"/>
          <w:bCs w:val="0"/>
          <w:sz w:val="32"/>
          <w:szCs w:val="32"/>
          <w:highlight w:val="none"/>
          <w:lang w:val="en-US" w:eastAsia="zh-CN"/>
        </w:rPr>
        <w:t>制定高污染高排放企业淘汰名单，实行清单式管理和动态更新，强力推进达不到法律法规要求和行业标准的高污染高排放企业淘汰退出。严禁在水质超标河段建设新增超标污染物的排放项目，严厉查处偷排直排超标超量排放等环境违法行为。</w:t>
      </w:r>
      <w:r>
        <w:rPr>
          <w:rFonts w:hint="default" w:ascii="Times New Roman" w:hAnsi="Times New Roman" w:eastAsia="仿宋_GB2312" w:cs="Times New Roman"/>
          <w:sz w:val="32"/>
          <w:szCs w:val="32"/>
          <w:highlight w:val="none"/>
          <w:lang w:val="en-US" w:eastAsia="zh-CN"/>
        </w:rPr>
        <w:t>工业集聚区工业废水必须经预处理达到集中处理要求方可进入城镇污水集中处理设施。</w:t>
      </w:r>
    </w:p>
    <w:p w14:paraId="58992FB8">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推动工业集聚区建设及配建工作。</w:t>
      </w:r>
      <w:r>
        <w:rPr>
          <w:rFonts w:hint="default" w:ascii="Times New Roman" w:hAnsi="Times New Roman" w:eastAsia="仿宋_GB2312" w:cs="Times New Roman"/>
          <w:b w:val="0"/>
          <w:bCs w:val="0"/>
          <w:sz w:val="32"/>
          <w:szCs w:val="32"/>
          <w:highlight w:val="none"/>
          <w:lang w:val="en-US" w:eastAsia="zh-CN"/>
        </w:rPr>
        <w:t>合理规划布局，推进现有工业园区的升级改造、推进新增工业集聚区配建工作；综合运用规划管控、分类管控、标准管控、智能管控等多种监管手段</w:t>
      </w:r>
      <w:r>
        <w:rPr>
          <w:rFonts w:hint="default" w:ascii="Times New Roman" w:hAnsi="Times New Roman" w:eastAsia="仿宋_GB2312" w:cs="Times New Roman"/>
          <w:sz w:val="32"/>
          <w:szCs w:val="32"/>
          <w:highlight w:val="none"/>
        </w:rPr>
        <w:t>对青湖工业园及周边工业集聚区、厦坭污水处理厂纳水片区重点涉水企业和全镇涉水企业</w:t>
      </w:r>
      <w:r>
        <w:rPr>
          <w:rFonts w:hint="default" w:ascii="Times New Roman" w:hAnsi="Times New Roman" w:eastAsia="仿宋_GB2312" w:cs="Times New Roman"/>
          <w:b w:val="0"/>
          <w:bCs w:val="0"/>
          <w:sz w:val="32"/>
          <w:szCs w:val="32"/>
          <w:highlight w:val="none"/>
          <w:lang w:val="en-US" w:eastAsia="zh-CN"/>
        </w:rPr>
        <w:t>开展专项执法检查，</w:t>
      </w:r>
      <w:r>
        <w:rPr>
          <w:rFonts w:hint="default" w:ascii="Times New Roman" w:hAnsi="Times New Roman" w:eastAsia="仿宋_GB2312" w:cs="Times New Roman"/>
          <w:sz w:val="32"/>
          <w:szCs w:val="32"/>
          <w:highlight w:val="none"/>
        </w:rPr>
        <w:t>完成重点涉水企业产污、治污、用水、排水等监控设备的安装，全时段监控企业水平衡</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强化有奖举报和网格化管控措施，加强群防群治。</w:t>
      </w:r>
    </w:p>
    <w:p w14:paraId="45B3D7D0">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lang w:val="en-US" w:eastAsia="zh-CN"/>
        </w:rPr>
        <w:t>推进重点流域综合治理。</w:t>
      </w:r>
      <w:r>
        <w:rPr>
          <w:rFonts w:hint="default" w:ascii="Times New Roman" w:hAnsi="Times New Roman" w:eastAsia="仿宋_GB2312" w:cs="Times New Roman"/>
          <w:b w:val="0"/>
          <w:bCs w:val="0"/>
          <w:sz w:val="32"/>
          <w:szCs w:val="32"/>
          <w:highlight w:val="none"/>
          <w:lang w:val="en-US" w:eastAsia="zh-CN"/>
        </w:rPr>
        <w:t>持续推进石马河流域治理与生态修复，全面改善水环境质量，</w:t>
      </w:r>
      <w:r>
        <w:rPr>
          <w:rFonts w:hint="default" w:ascii="Times New Roman" w:hAnsi="Times New Roman" w:eastAsia="仿宋_GB2312" w:cs="Times New Roman"/>
          <w:sz w:val="32"/>
          <w:szCs w:val="32"/>
          <w:highlight w:val="none"/>
        </w:rPr>
        <w:t>提升全流域沿岸空间品质和价值，形成水清岸绿城美的生态宜居环境，增强水生态环境治理的价值反哺。巩固提升攻坚成果，推进入河排污口规范化管理体系建设，建立入河排污口动态更新及定期排查机制，推进开展污染河涌及微小水体综合整治，深入推进内河涌剿黑消劣治理，</w:t>
      </w:r>
      <w:r>
        <w:rPr>
          <w:rFonts w:hint="default" w:ascii="Times New Roman" w:hAnsi="Times New Roman" w:eastAsia="仿宋_GB2312" w:cs="Times New Roman"/>
          <w:sz w:val="32"/>
          <w:szCs w:val="32"/>
          <w:highlight w:val="none"/>
          <w:lang w:val="en-US" w:eastAsia="zh-CN"/>
        </w:rPr>
        <w:t>确保</w:t>
      </w:r>
      <w:r>
        <w:rPr>
          <w:rFonts w:hint="default" w:ascii="Times New Roman" w:hAnsi="Times New Roman" w:eastAsia="仿宋_GB2312" w:cs="Times New Roman"/>
          <w:sz w:val="32"/>
          <w:szCs w:val="32"/>
          <w:highlight w:val="none"/>
        </w:rPr>
        <w:t>全</w:t>
      </w:r>
      <w:r>
        <w:rPr>
          <w:rFonts w:hint="default" w:ascii="Times New Roman" w:hAnsi="Times New Roman" w:eastAsia="仿宋_GB2312" w:cs="Times New Roman"/>
          <w:sz w:val="32"/>
          <w:szCs w:val="32"/>
          <w:highlight w:val="none"/>
          <w:lang w:val="en-US" w:eastAsia="zh-CN"/>
        </w:rPr>
        <w:t>镇</w:t>
      </w:r>
      <w:r>
        <w:rPr>
          <w:rFonts w:hint="default" w:ascii="Times New Roman" w:hAnsi="Times New Roman" w:eastAsia="仿宋_GB2312" w:cs="Times New Roman"/>
          <w:sz w:val="32"/>
          <w:szCs w:val="32"/>
          <w:highlight w:val="none"/>
        </w:rPr>
        <w:t>整体水环境基本消除黑臭，重现鱼翔浅底的景象。</w:t>
      </w:r>
    </w:p>
    <w:p w14:paraId="6FFC1E96">
      <w:pPr>
        <w:pageBreakBefore w:val="0"/>
        <w:numPr>
          <w:ilvl w:val="0"/>
          <w:numId w:val="0"/>
        </w:numPr>
        <w:kinsoku/>
        <w:wordWrap/>
        <w:autoSpaceDE w:val="0"/>
        <w:autoSpaceDN w:val="0"/>
        <w:bidi w:val="0"/>
        <w:adjustRightInd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加强水功能区水质达标工作。</w:t>
      </w:r>
      <w:r>
        <w:rPr>
          <w:rFonts w:hint="default" w:ascii="Times New Roman" w:hAnsi="Times New Roman" w:eastAsia="仿宋_GB2312" w:cs="Times New Roman"/>
          <w:b w:val="0"/>
          <w:bCs w:val="0"/>
          <w:sz w:val="32"/>
          <w:szCs w:val="32"/>
          <w:highlight w:val="none"/>
          <w:lang w:val="en-US" w:eastAsia="zh-CN"/>
        </w:rPr>
        <w:t>按照上级部门部署，落实水功能区划和水环境功能区划整合。坚持国控、省控、市控断面达标导向，按照“流域治理+一河一策+最后100米攻坚”治理模式，</w:t>
      </w:r>
      <w:r>
        <w:rPr>
          <w:rFonts w:hint="default" w:ascii="Times New Roman" w:hAnsi="Times New Roman" w:eastAsia="仿宋_GB2312" w:cs="Times New Roman"/>
          <w:sz w:val="32"/>
          <w:szCs w:val="32"/>
          <w:highlight w:val="none"/>
        </w:rPr>
        <w:t>开展水功能区水质监测，制定不达标水功能区整改方案，力争实现“十四五”</w:t>
      </w:r>
      <w:r>
        <w:rPr>
          <w:rFonts w:hint="eastAsia" w:eastAsia="仿宋_GB2312" w:cs="Times New Roman"/>
          <w:sz w:val="32"/>
          <w:szCs w:val="32"/>
          <w:highlight w:val="none"/>
          <w:lang w:eastAsia="zh-CN"/>
        </w:rPr>
        <w:t>规划</w:t>
      </w:r>
      <w:r>
        <w:rPr>
          <w:rFonts w:hint="default" w:ascii="Times New Roman" w:hAnsi="Times New Roman" w:eastAsia="仿宋_GB2312" w:cs="Times New Roman"/>
          <w:sz w:val="32"/>
          <w:szCs w:val="32"/>
          <w:highlight w:val="none"/>
        </w:rPr>
        <w:t>水功能区水质达标目标。</w:t>
      </w:r>
    </w:p>
    <w:p w14:paraId="5EF3AF5B">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三、持续推进内河涌系统治理</w:t>
      </w:r>
    </w:p>
    <w:p w14:paraId="22A09F32">
      <w:pPr>
        <w:pageBreakBefore w:val="0"/>
        <w:kinsoku/>
        <w:wordWrap/>
        <w:bidi w:val="0"/>
        <w:spacing w:line="360" w:lineRule="auto"/>
        <w:ind w:firstLine="643" w:firstLineChars="200"/>
        <w:rPr>
          <w:rFonts w:hint="default" w:ascii="Times New Roman" w:hAnsi="Times New Roman" w:eastAsia="仿宋_GB2312" w:cs="Times New Roman"/>
          <w:b/>
          <w:bCs w:val="0"/>
          <w:kern w:val="0"/>
          <w:sz w:val="32"/>
          <w:szCs w:val="32"/>
          <w:highlight w:val="none"/>
          <w:lang w:val="en-US" w:eastAsia="zh-CN"/>
        </w:rPr>
      </w:pPr>
      <w:r>
        <w:rPr>
          <w:rFonts w:hint="default" w:ascii="Times New Roman" w:hAnsi="Times New Roman" w:eastAsia="仿宋_GB2312" w:cs="Times New Roman"/>
          <w:b/>
          <w:bCs w:val="0"/>
          <w:kern w:val="0"/>
          <w:sz w:val="32"/>
          <w:szCs w:val="32"/>
          <w:highlight w:val="none"/>
          <w:lang w:val="en-US" w:eastAsia="zh-CN"/>
        </w:rPr>
        <w:t>持续攻坚内河涌消劣治理。</w:t>
      </w:r>
      <w:r>
        <w:rPr>
          <w:rFonts w:hint="default" w:ascii="Times New Roman" w:hAnsi="Times New Roman" w:eastAsia="仿宋_GB2312" w:cs="Times New Roman"/>
          <w:b w:val="0"/>
          <w:bCs/>
          <w:kern w:val="0"/>
          <w:sz w:val="32"/>
          <w:szCs w:val="32"/>
          <w:highlight w:val="none"/>
          <w:lang w:val="en-US" w:eastAsia="zh-CN"/>
        </w:rPr>
        <w:t>深化全镇内河涌综合整治，综合利用截污控源、内源治理、生态修复等措施，常态化开展全镇内河涌监测和智能化管理，精准溯源治理水污染；推动河湖日常保洁，加强“清漂”工作的组织管理和巡查督导，实现水域岸滩干净整洁，</w:t>
      </w:r>
      <w:r>
        <w:rPr>
          <w:rFonts w:hint="default" w:ascii="Times New Roman" w:hAnsi="Times New Roman" w:eastAsia="仿宋_GB2312" w:cs="Times New Roman"/>
          <w:b/>
          <w:bCs w:val="0"/>
          <w:kern w:val="0"/>
          <w:sz w:val="32"/>
          <w:szCs w:val="32"/>
          <w:highlight w:val="none"/>
          <w:lang w:val="en-US" w:eastAsia="zh-CN"/>
        </w:rPr>
        <w:t>确保到2025年年底前全镇内河涌消除劣V类比例达到90%以上，</w:t>
      </w:r>
      <w:r>
        <w:rPr>
          <w:rFonts w:hint="eastAsia" w:eastAsia="仿宋_GB2312" w:cs="Times New Roman"/>
          <w:b/>
          <w:bCs w:val="0"/>
          <w:kern w:val="0"/>
          <w:sz w:val="32"/>
          <w:szCs w:val="32"/>
          <w:highlight w:val="none"/>
          <w:lang w:val="en-US" w:eastAsia="zh-CN"/>
        </w:rPr>
        <w:t>2030</w:t>
      </w:r>
      <w:r>
        <w:rPr>
          <w:rFonts w:hint="default" w:ascii="Times New Roman" w:hAnsi="Times New Roman" w:eastAsia="仿宋_GB2312" w:cs="Times New Roman"/>
          <w:b/>
          <w:bCs w:val="0"/>
          <w:kern w:val="0"/>
          <w:sz w:val="32"/>
          <w:szCs w:val="32"/>
          <w:highlight w:val="none"/>
          <w:lang w:val="en-US" w:eastAsia="zh-CN"/>
        </w:rPr>
        <w:t>年底前内河涌水质稳定达到环境功能要求。</w:t>
      </w:r>
    </w:p>
    <w:p w14:paraId="6E1B0963">
      <w:pPr>
        <w:pageBreakBefore w:val="0"/>
        <w:kinsoku/>
        <w:wordWrap/>
        <w:bidi w:val="0"/>
        <w:spacing w:line="360" w:lineRule="auto"/>
        <w:ind w:firstLine="643" w:firstLineChars="200"/>
        <w:rPr>
          <w:rFonts w:hint="default" w:ascii="Times New Roman" w:hAnsi="Times New Roman" w:eastAsia="仿宋_GB2312" w:cs="Times New Roman"/>
          <w:b/>
          <w:bCs w:val="0"/>
          <w:kern w:val="0"/>
          <w:sz w:val="32"/>
          <w:szCs w:val="32"/>
          <w:highlight w:val="none"/>
          <w:lang w:val="en-US" w:eastAsia="zh-CN"/>
        </w:rPr>
      </w:pPr>
      <w:r>
        <w:rPr>
          <w:rFonts w:hint="default" w:ascii="Times New Roman" w:hAnsi="Times New Roman" w:eastAsia="仿宋_GB2312" w:cs="Times New Roman"/>
          <w:b/>
          <w:bCs w:val="0"/>
          <w:kern w:val="0"/>
          <w:sz w:val="32"/>
          <w:szCs w:val="32"/>
          <w:highlight w:val="none"/>
          <w:lang w:val="en-US" w:eastAsia="zh-CN"/>
        </w:rPr>
        <w:t>强化暗渠综合治理</w:t>
      </w:r>
      <w:r>
        <w:rPr>
          <w:rFonts w:hint="eastAsia" w:eastAsia="仿宋_GB2312" w:cs="Times New Roman"/>
          <w:b/>
          <w:bCs w:val="0"/>
          <w:kern w:val="0"/>
          <w:sz w:val="32"/>
          <w:szCs w:val="32"/>
          <w:highlight w:val="none"/>
          <w:lang w:val="en-US" w:eastAsia="zh-CN"/>
        </w:rPr>
        <w:t>。</w:t>
      </w:r>
      <w:r>
        <w:rPr>
          <w:rFonts w:hint="default" w:ascii="Times New Roman" w:hAnsi="Times New Roman" w:eastAsia="仿宋_GB2312" w:cs="Times New Roman"/>
          <w:b w:val="0"/>
          <w:bCs/>
          <w:kern w:val="0"/>
          <w:sz w:val="32"/>
          <w:szCs w:val="32"/>
          <w:highlight w:val="none"/>
          <w:lang w:val="en-US" w:eastAsia="zh-CN"/>
        </w:rPr>
        <w:t>持续开展辖区暗渠、暗涵排查工作，制定暗渠/暗涵名录。优先开展已排查出的14条（段）暗渠精准溯源，合理制定整治方案，实施截污及暗渠收水范围雨污分流改造，</w:t>
      </w:r>
      <w:r>
        <w:rPr>
          <w:rFonts w:hint="default" w:ascii="Times New Roman" w:hAnsi="Times New Roman" w:eastAsia="仿宋_GB2312" w:cs="Times New Roman"/>
          <w:b/>
          <w:bCs w:val="0"/>
          <w:kern w:val="0"/>
          <w:sz w:val="32"/>
          <w:szCs w:val="32"/>
          <w:highlight w:val="none"/>
          <w:lang w:val="en-US" w:eastAsia="zh-CN"/>
        </w:rPr>
        <w:t>力争到2025年底14条暗渠基本恢复自然流向，有条件的暗渠实施“返清复明”工程，提高水体自净能力。</w:t>
      </w:r>
    </w:p>
    <w:p w14:paraId="4A874F52">
      <w:pPr>
        <w:pageBreakBefore w:val="0"/>
        <w:kinsoku/>
        <w:wordWrap/>
        <w:bidi w:val="0"/>
        <w:spacing w:line="360" w:lineRule="auto"/>
        <w:ind w:firstLine="643" w:firstLineChars="200"/>
        <w:rPr>
          <w:rFonts w:hint="default" w:ascii="Times New Roman" w:hAnsi="Times New Roman" w:eastAsia="仿宋_GB2312" w:cs="Times New Roman"/>
          <w:b/>
          <w:kern w:val="0"/>
          <w:sz w:val="32"/>
          <w:szCs w:val="32"/>
          <w:highlight w:val="none"/>
          <w:lang w:val="en-US" w:eastAsia="zh-CN"/>
        </w:rPr>
      </w:pPr>
      <w:r>
        <w:rPr>
          <w:rFonts w:hint="default" w:ascii="Times New Roman" w:hAnsi="Times New Roman" w:eastAsia="仿宋_GB2312" w:cs="Times New Roman"/>
          <w:b/>
          <w:kern w:val="0"/>
          <w:sz w:val="32"/>
          <w:szCs w:val="32"/>
          <w:highlight w:val="none"/>
          <w:lang w:val="en-US" w:eastAsia="zh-CN"/>
        </w:rPr>
        <w:t>推进河道清淤疏浚与水体连通。</w:t>
      </w:r>
      <w:r>
        <w:rPr>
          <w:rFonts w:hint="default" w:ascii="Times New Roman" w:hAnsi="Times New Roman" w:eastAsia="仿宋_GB2312" w:cs="Times New Roman"/>
          <w:b w:val="0"/>
          <w:bCs/>
          <w:kern w:val="0"/>
          <w:sz w:val="32"/>
          <w:szCs w:val="32"/>
          <w:highlight w:val="none"/>
          <w:lang w:val="en-US" w:eastAsia="zh-CN"/>
        </w:rPr>
        <w:t>制定全镇清淤疏浚计划，有序开展轮疏，降低内源污染，完成全镇河涌淤积情况排查和整治工作。以大小河涌为连通网线，以水库、湿地公园及鱼塘等为生态节点，加强水网生态廊道建设，完善引流活水工程，充分运用现有河涌及闸泵网络体系，促进水体有序流动，提升水体自净能力和水生态修复能力。</w:t>
      </w:r>
    </w:p>
    <w:p w14:paraId="77CA3506">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rPr>
      </w:pPr>
      <w:r>
        <w:rPr>
          <w:rFonts w:hint="eastAsia" w:ascii="黑体" w:hAnsi="黑体" w:eastAsia="黑体" w:cs="黑体"/>
          <w:b w:val="0"/>
          <w:kern w:val="2"/>
          <w:sz w:val="32"/>
          <w:szCs w:val="32"/>
          <w:highlight w:val="none"/>
          <w:lang w:val="en-US" w:eastAsia="zh-CN"/>
        </w:rPr>
        <w:t>四、</w:t>
      </w:r>
      <w:r>
        <w:rPr>
          <w:rFonts w:hint="eastAsia" w:ascii="黑体" w:hAnsi="黑体" w:eastAsia="黑体" w:cs="黑体"/>
          <w:b w:val="0"/>
          <w:kern w:val="2"/>
          <w:sz w:val="32"/>
          <w:szCs w:val="32"/>
          <w:highlight w:val="none"/>
        </w:rPr>
        <w:t>加快污水收集处理提质增效</w:t>
      </w:r>
    </w:p>
    <w:p w14:paraId="7700F73A">
      <w:pPr>
        <w:widowControl w:val="0"/>
        <w:wordWrap/>
        <w:adjustRightInd w:val="0"/>
        <w:snapToGrid/>
        <w:spacing w:line="240" w:lineRule="auto"/>
        <w:ind w:firstLine="643" w:firstLineChars="200"/>
        <w:jc w:val="both"/>
        <w:textAlignment w:val="auto"/>
        <w:rPr>
          <w:rFonts w:ascii="Times New Roman" w:hAnsi="Times New Roman"/>
          <w:caps w:val="0"/>
          <w:sz w:val="32"/>
          <w:szCs w:val="32"/>
          <w:highlight w:val="none"/>
        </w:rPr>
      </w:pPr>
      <w:r>
        <w:rPr>
          <w:rFonts w:hint="default" w:ascii="Times New Roman" w:hAnsi="Times New Roman" w:eastAsia="仿宋_GB2312" w:cs="Times New Roman"/>
          <w:b/>
          <w:bCs/>
          <w:kern w:val="0"/>
          <w:sz w:val="32"/>
          <w:szCs w:val="32"/>
          <w:highlight w:val="none"/>
        </w:rPr>
        <w:t>联网提效建设污水收集管网。</w:t>
      </w:r>
      <w:r>
        <w:rPr>
          <w:rFonts w:hint="default" w:ascii="Times New Roman" w:hAnsi="Times New Roman" w:eastAsia="仿宋_GB2312" w:cs="Times New Roman"/>
          <w:kern w:val="0"/>
          <w:sz w:val="32"/>
          <w:szCs w:val="32"/>
          <w:highlight w:val="none"/>
        </w:rPr>
        <w:t>按照“分片建设，建设一片，见效一片”的思路，提升存量、做优增量。加快</w:t>
      </w:r>
      <w:r>
        <w:rPr>
          <w:rFonts w:hint="default" w:ascii="Times New Roman" w:hAnsi="Times New Roman" w:eastAsia="仿宋_GB2312" w:cs="Times New Roman"/>
          <w:kern w:val="0"/>
          <w:sz w:val="32"/>
          <w:szCs w:val="32"/>
          <w:highlight w:val="none"/>
          <w:lang w:val="en-US" w:eastAsia="zh-CN"/>
        </w:rPr>
        <w:t>镇郊区、</w:t>
      </w:r>
      <w:r>
        <w:rPr>
          <w:rFonts w:hint="default" w:ascii="Times New Roman" w:hAnsi="Times New Roman" w:eastAsia="仿宋_GB2312" w:cs="Times New Roman"/>
          <w:kern w:val="0"/>
          <w:sz w:val="32"/>
          <w:szCs w:val="32"/>
          <w:highlight w:val="none"/>
        </w:rPr>
        <w:t>农村</w:t>
      </w:r>
      <w:r>
        <w:rPr>
          <w:rFonts w:hint="default" w:ascii="Times New Roman" w:hAnsi="Times New Roman" w:eastAsia="仿宋_GB2312" w:cs="Times New Roman"/>
          <w:kern w:val="0"/>
          <w:sz w:val="32"/>
          <w:szCs w:val="32"/>
          <w:highlight w:val="none"/>
          <w:lang w:val="en-US" w:eastAsia="zh-CN"/>
        </w:rPr>
        <w:t>等相对落后</w:t>
      </w:r>
      <w:r>
        <w:rPr>
          <w:rFonts w:hint="default" w:ascii="Times New Roman" w:hAnsi="Times New Roman" w:eastAsia="仿宋_GB2312" w:cs="Times New Roman"/>
          <w:kern w:val="0"/>
          <w:sz w:val="32"/>
          <w:szCs w:val="32"/>
          <w:highlight w:val="none"/>
        </w:rPr>
        <w:t>地区生活污水管网</w:t>
      </w:r>
      <w:r>
        <w:rPr>
          <w:rFonts w:hint="default" w:ascii="Times New Roman" w:hAnsi="Times New Roman" w:eastAsia="仿宋_GB2312" w:cs="Times New Roman"/>
          <w:kern w:val="0"/>
          <w:sz w:val="32"/>
          <w:szCs w:val="32"/>
          <w:highlight w:val="none"/>
          <w:lang w:val="en-US" w:eastAsia="zh-CN"/>
        </w:rPr>
        <w:t>建设</w:t>
      </w:r>
      <w:r>
        <w:rPr>
          <w:rFonts w:hint="default" w:ascii="Times New Roman" w:hAnsi="Times New Roman" w:eastAsia="仿宋_GB2312" w:cs="Times New Roman"/>
          <w:kern w:val="0"/>
          <w:sz w:val="32"/>
          <w:szCs w:val="32"/>
          <w:highlight w:val="none"/>
        </w:rPr>
        <w:t>，填补污水收集管网空白区；加快推进已建污水处理厂配套管网建设，有针对性补充市政道路缺漏的截污次支管网</w:t>
      </w:r>
      <w:r>
        <w:rPr>
          <w:rFonts w:hint="eastAsia" w:eastAsia="仿宋_GB2312" w:cs="Times New Roman"/>
          <w:kern w:val="0"/>
          <w:sz w:val="32"/>
          <w:szCs w:val="32"/>
          <w:highlight w:val="none"/>
          <w:lang w:eastAsia="zh-CN"/>
        </w:rPr>
        <w:t>，</w:t>
      </w:r>
      <w:r>
        <w:rPr>
          <w:rFonts w:hint="eastAsia" w:eastAsia="仿宋_GB2312"/>
          <w:kern w:val="0"/>
          <w:sz w:val="32"/>
          <w:szCs w:val="32"/>
          <w:highlight w:val="none"/>
        </w:rPr>
        <w:t>全面检查</w:t>
      </w:r>
      <w:r>
        <w:rPr>
          <w:rFonts w:hint="eastAsia" w:eastAsia="仿宋_GB2312"/>
          <w:kern w:val="0"/>
          <w:sz w:val="32"/>
          <w:szCs w:val="32"/>
          <w:highlight w:val="none"/>
          <w:lang w:val="en-US" w:eastAsia="zh-CN"/>
        </w:rPr>
        <w:t>已建</w:t>
      </w:r>
      <w:r>
        <w:rPr>
          <w:rFonts w:hint="eastAsia" w:eastAsia="仿宋_GB2312"/>
          <w:kern w:val="0"/>
          <w:sz w:val="32"/>
          <w:szCs w:val="32"/>
          <w:highlight w:val="none"/>
        </w:rPr>
        <w:t>管网系统健康运行情况，以剔除外水为中心目标编制“一厂一策”方案</w:t>
      </w:r>
      <w:r>
        <w:rPr>
          <w:rFonts w:hint="eastAsia" w:eastAsia="仿宋_GB2312"/>
          <w:kern w:val="0"/>
          <w:sz w:val="32"/>
          <w:szCs w:val="32"/>
          <w:highlight w:val="none"/>
          <w:lang w:eastAsia="zh-CN"/>
        </w:rPr>
        <w:t>。</w:t>
      </w:r>
      <w:r>
        <w:rPr>
          <w:rFonts w:hint="default" w:ascii="Times New Roman" w:hAnsi="Times New Roman" w:eastAsia="仿宋_GB2312" w:cs="Times New Roman"/>
          <w:kern w:val="0"/>
          <w:sz w:val="32"/>
          <w:szCs w:val="32"/>
          <w:highlight w:val="none"/>
        </w:rPr>
        <w:t>结合</w:t>
      </w:r>
      <w:r>
        <w:rPr>
          <w:rFonts w:hint="default" w:ascii="Times New Roman" w:hAnsi="Times New Roman" w:eastAsia="仿宋_GB2312" w:cs="Times New Roman"/>
          <w:kern w:val="0"/>
          <w:sz w:val="32"/>
          <w:szCs w:val="32"/>
          <w:highlight w:val="none"/>
          <w:lang w:val="en-US" w:eastAsia="zh-CN"/>
        </w:rPr>
        <w:t>内河涌</w:t>
      </w:r>
      <w:r>
        <w:rPr>
          <w:rFonts w:hint="default" w:ascii="Times New Roman" w:hAnsi="Times New Roman" w:eastAsia="仿宋_GB2312" w:cs="Times New Roman"/>
          <w:kern w:val="0"/>
          <w:sz w:val="32"/>
          <w:szCs w:val="32"/>
          <w:highlight w:val="none"/>
        </w:rPr>
        <w:t>整治、初期雨水污染控制、海绵城市建设、旧城改造、小区建设等同步敷设污水管道，全面提升污水收集率和进水浓度。</w:t>
      </w:r>
      <w:r>
        <w:rPr>
          <w:rFonts w:hint="default" w:ascii="Times New Roman" w:hAnsi="Times New Roman" w:eastAsia="仿宋_GB2312" w:cs="Times New Roman"/>
          <w:b/>
          <w:bCs/>
          <w:kern w:val="0"/>
          <w:sz w:val="32"/>
          <w:szCs w:val="32"/>
          <w:highlight w:val="none"/>
        </w:rPr>
        <w:t>到2025年</w:t>
      </w:r>
      <w:r>
        <w:rPr>
          <w:rFonts w:hint="eastAsia" w:eastAsia="仿宋_GB2312" w:cs="Times New Roman"/>
          <w:b/>
          <w:bCs/>
          <w:kern w:val="0"/>
          <w:sz w:val="32"/>
          <w:szCs w:val="32"/>
          <w:highlight w:val="none"/>
          <w:lang w:val="en-US" w:eastAsia="zh-CN"/>
        </w:rPr>
        <w:t>底</w:t>
      </w:r>
      <w:r>
        <w:rPr>
          <w:rFonts w:hint="default" w:ascii="Times New Roman" w:hAnsi="Times New Roman" w:eastAsia="仿宋_GB2312" w:cs="Times New Roman"/>
          <w:b/>
          <w:bCs/>
          <w:kern w:val="0"/>
          <w:sz w:val="32"/>
          <w:szCs w:val="32"/>
          <w:highlight w:val="none"/>
        </w:rPr>
        <w:t>，</w:t>
      </w:r>
      <w:r>
        <w:rPr>
          <w:rFonts w:hint="eastAsia" w:eastAsia="仿宋_GB2312" w:cs="Times New Roman"/>
          <w:b/>
          <w:bCs/>
          <w:kern w:val="0"/>
          <w:sz w:val="32"/>
          <w:szCs w:val="32"/>
          <w:highlight w:val="none"/>
          <w:lang w:val="en-US" w:eastAsia="zh-CN"/>
        </w:rPr>
        <w:t>城镇</w:t>
      </w:r>
      <w:r>
        <w:rPr>
          <w:rFonts w:hint="default" w:ascii="Times New Roman" w:hAnsi="Times New Roman" w:eastAsia="仿宋_GB2312" w:cs="Times New Roman"/>
          <w:b/>
          <w:bCs/>
          <w:kern w:val="0"/>
          <w:sz w:val="32"/>
          <w:szCs w:val="32"/>
          <w:highlight w:val="none"/>
        </w:rPr>
        <w:t>生活污水</w:t>
      </w:r>
      <w:r>
        <w:rPr>
          <w:rFonts w:hint="eastAsia" w:eastAsia="仿宋_GB2312" w:cs="Times New Roman"/>
          <w:b/>
          <w:bCs/>
          <w:kern w:val="0"/>
          <w:sz w:val="32"/>
          <w:szCs w:val="32"/>
          <w:highlight w:val="none"/>
          <w:lang w:val="en-US" w:eastAsia="zh-CN"/>
        </w:rPr>
        <w:t>收集</w:t>
      </w:r>
      <w:r>
        <w:rPr>
          <w:rFonts w:hint="default" w:ascii="Times New Roman" w:hAnsi="Times New Roman" w:eastAsia="仿宋_GB2312" w:cs="Times New Roman"/>
          <w:b/>
          <w:bCs/>
          <w:kern w:val="0"/>
          <w:sz w:val="32"/>
          <w:szCs w:val="32"/>
          <w:highlight w:val="none"/>
        </w:rPr>
        <w:t>率达到</w:t>
      </w:r>
      <w:r>
        <w:rPr>
          <w:rFonts w:hint="eastAsia" w:eastAsia="仿宋_GB2312" w:cs="Times New Roman"/>
          <w:b/>
          <w:bCs/>
          <w:kern w:val="0"/>
          <w:sz w:val="32"/>
          <w:szCs w:val="32"/>
          <w:highlight w:val="none"/>
          <w:lang w:val="en-US" w:eastAsia="zh-CN"/>
        </w:rPr>
        <w:t>78</w:t>
      </w:r>
      <w:r>
        <w:rPr>
          <w:rFonts w:hint="default" w:ascii="Times New Roman" w:hAnsi="Times New Roman" w:eastAsia="仿宋_GB2312" w:cs="Times New Roman"/>
          <w:b/>
          <w:bCs/>
          <w:kern w:val="0"/>
          <w:sz w:val="32"/>
          <w:szCs w:val="32"/>
          <w:highlight w:val="none"/>
        </w:rPr>
        <w:t>%</w:t>
      </w:r>
      <w:r>
        <w:rPr>
          <w:rFonts w:hint="eastAsia" w:eastAsia="仿宋_GB2312" w:cs="Times New Roman"/>
          <w:b/>
          <w:bCs/>
          <w:kern w:val="0"/>
          <w:sz w:val="32"/>
          <w:szCs w:val="32"/>
          <w:highlight w:val="none"/>
          <w:lang w:val="en-US" w:eastAsia="zh-CN"/>
        </w:rPr>
        <w:t>以上</w:t>
      </w:r>
      <w:r>
        <w:rPr>
          <w:rFonts w:hint="default" w:ascii="Times New Roman" w:hAnsi="Times New Roman" w:eastAsia="仿宋_GB2312" w:cs="Times New Roman"/>
          <w:b/>
          <w:bCs/>
          <w:kern w:val="0"/>
          <w:sz w:val="32"/>
          <w:szCs w:val="32"/>
          <w:highlight w:val="none"/>
          <w:lang w:eastAsia="zh-CN"/>
        </w:rPr>
        <w:t>。</w:t>
      </w:r>
      <w:r>
        <w:rPr>
          <w:rFonts w:ascii="Times New Roman" w:hAnsi="Times New Roman" w:eastAsia="仿宋_GB2312"/>
          <w:b/>
          <w:bCs/>
          <w:caps w:val="0"/>
          <w:kern w:val="0"/>
          <w:sz w:val="32"/>
          <w:szCs w:val="32"/>
          <w:highlight w:val="none"/>
        </w:rPr>
        <w:t>到</w:t>
      </w:r>
      <w:r>
        <w:rPr>
          <w:rFonts w:hint="eastAsia" w:eastAsia="仿宋_GB2312"/>
          <w:b/>
          <w:bCs/>
          <w:caps w:val="0"/>
          <w:kern w:val="0"/>
          <w:sz w:val="32"/>
          <w:szCs w:val="32"/>
          <w:highlight w:val="none"/>
          <w:lang w:eastAsia="zh-CN"/>
        </w:rPr>
        <w:t>2030</w:t>
      </w:r>
      <w:r>
        <w:rPr>
          <w:rFonts w:ascii="Times New Roman" w:hAnsi="Times New Roman" w:eastAsia="仿宋_GB2312"/>
          <w:b/>
          <w:bCs/>
          <w:caps w:val="0"/>
          <w:kern w:val="0"/>
          <w:sz w:val="32"/>
          <w:szCs w:val="32"/>
          <w:highlight w:val="none"/>
        </w:rPr>
        <w:t>年</w:t>
      </w:r>
      <w:r>
        <w:rPr>
          <w:rFonts w:hint="eastAsia" w:eastAsia="仿宋_GB2312"/>
          <w:b/>
          <w:bCs/>
          <w:caps w:val="0"/>
          <w:kern w:val="0"/>
          <w:sz w:val="32"/>
          <w:szCs w:val="32"/>
          <w:highlight w:val="none"/>
          <w:lang w:val="en-US" w:eastAsia="zh-CN"/>
        </w:rPr>
        <w:t>底</w:t>
      </w:r>
      <w:r>
        <w:rPr>
          <w:rFonts w:ascii="Times New Roman" w:hAnsi="Times New Roman" w:eastAsia="仿宋_GB2312"/>
          <w:b/>
          <w:bCs/>
          <w:caps w:val="0"/>
          <w:kern w:val="0"/>
          <w:sz w:val="32"/>
          <w:szCs w:val="32"/>
          <w:highlight w:val="none"/>
        </w:rPr>
        <w:t>，</w:t>
      </w:r>
      <w:r>
        <w:rPr>
          <w:rFonts w:hint="eastAsia" w:eastAsia="仿宋_GB2312"/>
          <w:b/>
          <w:bCs/>
          <w:kern w:val="0"/>
          <w:sz w:val="32"/>
          <w:szCs w:val="32"/>
          <w:highlight w:val="none"/>
        </w:rPr>
        <w:t>进一步提高污水处理厂出水水质，并探讨提升中水回用率。</w:t>
      </w:r>
    </w:p>
    <w:p w14:paraId="2A5AFE68">
      <w:pPr>
        <w:pageBreakBefore w:val="0"/>
        <w:kinsoku/>
        <w:wordWrap/>
        <w:bidi w:val="0"/>
        <w:spacing w:line="360" w:lineRule="auto"/>
        <w:ind w:firstLine="643" w:firstLineChars="200"/>
        <w:rPr>
          <w:rFonts w:hint="default" w:ascii="Times New Roman" w:hAnsi="Times New Roman" w:eastAsia="仿宋_GB2312" w:cs="Times New Roman"/>
          <w:b w:val="0"/>
          <w:bCs w:val="0"/>
          <w:kern w:val="0"/>
          <w:sz w:val="32"/>
          <w:szCs w:val="32"/>
          <w:highlight w:val="none"/>
        </w:rPr>
      </w:pPr>
      <w:r>
        <w:rPr>
          <w:rFonts w:hint="default" w:ascii="Times New Roman" w:hAnsi="Times New Roman" w:eastAsia="仿宋_GB2312" w:cs="Times New Roman"/>
          <w:b/>
          <w:bCs/>
          <w:i w:val="0"/>
          <w:iCs w:val="0"/>
          <w:kern w:val="0"/>
          <w:sz w:val="32"/>
          <w:szCs w:val="32"/>
          <w:highlight w:val="none"/>
        </w:rPr>
        <w:t>提高溢流和初雨污染治理能力。</w:t>
      </w:r>
      <w:r>
        <w:rPr>
          <w:rFonts w:hint="default" w:ascii="Times New Roman" w:hAnsi="Times New Roman" w:eastAsia="仿宋_GB2312" w:cs="Times New Roman"/>
          <w:b w:val="0"/>
          <w:bCs w:val="0"/>
          <w:kern w:val="0"/>
          <w:sz w:val="32"/>
          <w:szCs w:val="32"/>
          <w:highlight w:val="none"/>
        </w:rPr>
        <w:t>对</w:t>
      </w:r>
      <w:r>
        <w:rPr>
          <w:rFonts w:hint="eastAsia" w:eastAsia="仿宋_GB2312" w:cs="Times New Roman"/>
          <w:b w:val="0"/>
          <w:bCs w:val="0"/>
          <w:kern w:val="0"/>
          <w:sz w:val="32"/>
          <w:szCs w:val="32"/>
          <w:highlight w:val="none"/>
          <w:lang w:val="en-US" w:eastAsia="zh-CN"/>
        </w:rPr>
        <w:t>已实现雨污分流排放的区域，</w:t>
      </w:r>
      <w:r>
        <w:rPr>
          <w:rFonts w:hint="default" w:ascii="Times New Roman" w:hAnsi="Times New Roman" w:eastAsia="仿宋_GB2312" w:cs="Times New Roman"/>
          <w:b w:val="0"/>
          <w:bCs w:val="0"/>
          <w:kern w:val="0"/>
          <w:sz w:val="32"/>
          <w:szCs w:val="32"/>
          <w:highlight w:val="none"/>
        </w:rPr>
        <w:t>根据上级部门的要求分阶段开展水污染治理全面评估。对</w:t>
      </w:r>
      <w:r>
        <w:rPr>
          <w:rFonts w:hint="eastAsia" w:eastAsia="仿宋_GB2312" w:cs="Times New Roman"/>
          <w:b w:val="0"/>
          <w:bCs w:val="0"/>
          <w:kern w:val="0"/>
          <w:sz w:val="32"/>
          <w:szCs w:val="32"/>
          <w:highlight w:val="none"/>
          <w:lang w:val="en-US" w:eastAsia="zh-CN"/>
        </w:rPr>
        <w:t>未实现</w:t>
      </w:r>
      <w:r>
        <w:rPr>
          <w:rFonts w:hint="default" w:ascii="Times New Roman" w:hAnsi="Times New Roman" w:eastAsia="仿宋_GB2312" w:cs="Times New Roman"/>
          <w:b w:val="0"/>
          <w:bCs w:val="0"/>
          <w:kern w:val="0"/>
          <w:sz w:val="32"/>
          <w:szCs w:val="32"/>
          <w:highlight w:val="none"/>
        </w:rPr>
        <w:t>雨污分流的区域，</w:t>
      </w:r>
      <w:r>
        <w:rPr>
          <w:rFonts w:hint="eastAsia" w:eastAsia="仿宋_GB2312" w:cs="Times New Roman"/>
          <w:b w:val="0"/>
          <w:bCs w:val="0"/>
          <w:kern w:val="0"/>
          <w:sz w:val="32"/>
          <w:szCs w:val="32"/>
          <w:highlight w:val="none"/>
          <w:lang w:val="en-US" w:eastAsia="zh-CN"/>
        </w:rPr>
        <w:t>因地制宜推进雨污分流改造，暂不具备改造条件的，通过截流、调蓄等方式，减少雨季溢流污染，提高雨水排放能力。</w:t>
      </w:r>
    </w:p>
    <w:p w14:paraId="3B1DFE4E">
      <w:pPr>
        <w:pStyle w:val="2"/>
        <w:spacing w:after="0" w:line="360" w:lineRule="auto"/>
        <w:rPr>
          <w:rFonts w:hint="default" w:ascii="Times New Roman" w:hAnsi="Times New Roman" w:cs="Times New Roman"/>
          <w:highlight w:val="none"/>
        </w:rPr>
      </w:pPr>
      <w:r>
        <w:rPr>
          <w:rFonts w:hint="default" w:ascii="Times New Roman" w:hAnsi="Times New Roman" w:eastAsia="仿宋_GB2312" w:cs="Times New Roman"/>
          <w:b/>
          <w:bCs/>
          <w:kern w:val="0"/>
          <w:sz w:val="32"/>
          <w:szCs w:val="32"/>
          <w:highlight w:val="none"/>
        </w:rPr>
        <w:t>一体推进污水处理设施建设。</w:t>
      </w:r>
      <w:r>
        <w:rPr>
          <w:rFonts w:hint="default" w:ascii="Times New Roman" w:hAnsi="Times New Roman" w:eastAsia="仿宋_GB2312" w:cs="Times New Roman"/>
          <w:b w:val="0"/>
          <w:bCs w:val="0"/>
          <w:kern w:val="0"/>
          <w:sz w:val="32"/>
          <w:szCs w:val="32"/>
          <w:highlight w:val="none"/>
        </w:rPr>
        <w:t>结</w:t>
      </w:r>
      <w:r>
        <w:rPr>
          <w:rFonts w:hint="default" w:ascii="Times New Roman" w:hAnsi="Times New Roman" w:eastAsia="仿宋_GB2312" w:cs="Times New Roman"/>
          <w:kern w:val="0"/>
          <w:sz w:val="32"/>
          <w:szCs w:val="32"/>
          <w:highlight w:val="none"/>
        </w:rPr>
        <w:t>合经济社会发展现状和城市发展规划，科学推进城镇污水处理设施建设，完成</w:t>
      </w:r>
      <w:r>
        <w:rPr>
          <w:rFonts w:hint="default" w:ascii="Times New Roman" w:hAnsi="Times New Roman" w:eastAsia="仿宋_GB2312" w:cs="Times New Roman"/>
          <w:kern w:val="0"/>
          <w:sz w:val="32"/>
          <w:szCs w:val="32"/>
          <w:highlight w:val="none"/>
          <w:lang w:val="en-US" w:eastAsia="zh-CN"/>
        </w:rPr>
        <w:t>清溪厦坭污水处理厂二期工程建设</w:t>
      </w:r>
      <w:r>
        <w:rPr>
          <w:rFonts w:hint="default" w:ascii="Times New Roman" w:hAnsi="Times New Roman" w:eastAsia="仿宋_GB2312" w:cs="Times New Roman"/>
          <w:kern w:val="0"/>
          <w:sz w:val="32"/>
          <w:szCs w:val="32"/>
          <w:highlight w:val="none"/>
        </w:rPr>
        <w:t>，新增</w:t>
      </w:r>
      <w:r>
        <w:rPr>
          <w:rFonts w:hint="eastAsia" w:eastAsia="仿宋_GB2312" w:cs="Times New Roman"/>
          <w:kern w:val="0"/>
          <w:sz w:val="32"/>
          <w:szCs w:val="32"/>
          <w:highlight w:val="none"/>
          <w:lang w:val="en-US" w:eastAsia="zh-CN"/>
        </w:rPr>
        <w:t>5</w:t>
      </w:r>
      <w:r>
        <w:rPr>
          <w:rFonts w:hint="default" w:ascii="Times New Roman" w:hAnsi="Times New Roman" w:eastAsia="仿宋_GB2312" w:cs="Times New Roman"/>
          <w:kern w:val="0"/>
          <w:sz w:val="32"/>
          <w:szCs w:val="32"/>
          <w:highlight w:val="none"/>
        </w:rPr>
        <w:t>万</w:t>
      </w:r>
      <w:r>
        <w:rPr>
          <w:rFonts w:hint="default" w:ascii="Times New Roman" w:hAnsi="Times New Roman" w:eastAsia="仿宋_GB2312" w:cs="Times New Roman"/>
          <w:kern w:val="0"/>
          <w:sz w:val="32"/>
          <w:szCs w:val="32"/>
          <w:highlight w:val="none"/>
          <w:lang w:val="en-US" w:eastAsia="zh-CN"/>
        </w:rPr>
        <w:t>吨</w:t>
      </w:r>
      <w:r>
        <w:rPr>
          <w:rFonts w:hint="default" w:ascii="Times New Roman" w:hAnsi="Times New Roman" w:eastAsia="仿宋_GB2312" w:cs="Times New Roman"/>
          <w:kern w:val="0"/>
          <w:sz w:val="32"/>
          <w:szCs w:val="32"/>
          <w:highlight w:val="none"/>
        </w:rPr>
        <w:t>/日处理规模</w:t>
      </w:r>
      <w:r>
        <w:rPr>
          <w:rFonts w:hint="default" w:ascii="Times New Roman" w:hAnsi="Times New Roman" w:eastAsia="仿宋_GB2312" w:cs="Times New Roman"/>
          <w:kern w:val="0"/>
          <w:sz w:val="32"/>
          <w:szCs w:val="32"/>
          <w:highlight w:val="none"/>
          <w:lang w:eastAsia="zh-CN"/>
        </w:rPr>
        <w:t>，</w:t>
      </w:r>
      <w:r>
        <w:rPr>
          <w:rFonts w:hint="default" w:ascii="Times New Roman" w:hAnsi="Times New Roman" w:eastAsia="仿宋_GB2312" w:cs="Times New Roman"/>
          <w:kern w:val="0"/>
          <w:sz w:val="32"/>
          <w:szCs w:val="32"/>
          <w:highlight w:val="none"/>
        </w:rPr>
        <w:t>扩建城镇污水处理设施严格执行相应的排放标准，结合区域水环境质量要求，因地制宜地采取人工湿地水质净化工程等生态措施，持续推进污水处理设施建设。</w:t>
      </w:r>
    </w:p>
    <w:p w14:paraId="5D150C63">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五、加强水生态系统修复</w:t>
      </w:r>
    </w:p>
    <w:p w14:paraId="266024A9">
      <w:pPr>
        <w:pageBreakBefore w:val="0"/>
        <w:kinsoku/>
        <w:wordWrap/>
        <w:bidi w:val="0"/>
        <w:spacing w:line="360" w:lineRule="auto"/>
        <w:ind w:firstLine="643" w:firstLineChars="200"/>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推进重点流域水生态调查与评估。</w:t>
      </w:r>
      <w:r>
        <w:rPr>
          <w:rFonts w:hint="default" w:ascii="Times New Roman" w:hAnsi="Times New Roman" w:eastAsia="仿宋_GB2312" w:cs="Times New Roman"/>
          <w:b w:val="0"/>
          <w:bCs w:val="0"/>
          <w:sz w:val="32"/>
          <w:szCs w:val="32"/>
          <w:highlight w:val="none"/>
          <w:lang w:val="en-US" w:eastAsia="zh-CN"/>
        </w:rPr>
        <w:t>按照上级部门部署，</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在石马河</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流域</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范围内分阶段、分区域开展水生态调查评估，摸清河湖水生态状况，试点开展流域水生生物完整性指数评价，实施洄游通道保护、天然生境恢复、生境替代保护、“三场”保护与修复及增殖放流等任务，提升水生生物完整性。对镇内重点河涌，实施水生态环境综合治理及修复工作，持续改善河涌水环境。</w:t>
      </w:r>
    </w:p>
    <w:p w14:paraId="3C60DB65">
      <w:pPr>
        <w:pageBreakBefore w:val="0"/>
        <w:kinsoku/>
        <w:wordWrap/>
        <w:bidi w:val="0"/>
        <w:spacing w:line="360" w:lineRule="auto"/>
        <w:ind w:firstLine="643" w:firstLineChars="200"/>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highlight w:val="none"/>
          <w:lang w:val="en-US" w:eastAsia="zh-CN"/>
          <w14:textFill>
            <w14:solidFill>
              <w14:schemeClr w14:val="tx1"/>
            </w14:solidFill>
          </w14:textFill>
        </w:rPr>
        <w:t>推动美丽河湖建设。</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做好美丽中国在水生态环境领域的任务分解，聚焦《美丽河湖保护与建设清单》水体，参照</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东莞市美丽河湖评定标准，</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加快推进</w:t>
      </w:r>
      <w:r>
        <w:rPr>
          <w:rFonts w:hint="eastAsia" w:eastAsia="仿宋_GB2312" w:cs="Times New Roman"/>
          <w:b w:val="0"/>
          <w:bCs w:val="0"/>
          <w:color w:val="000000" w:themeColor="text1"/>
          <w:sz w:val="32"/>
          <w:szCs w:val="32"/>
          <w:highlight w:val="none"/>
          <w:lang w:val="en-US" w:eastAsia="zh-CN"/>
          <w14:textFill>
            <w14:solidFill>
              <w14:schemeClr w14:val="tx1"/>
            </w14:solidFill>
          </w14:textFill>
        </w:rPr>
        <w:t>清溪镇</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美丽河湖建设。建立健全</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镇级</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美丽河湖建设项目库，以清溪镇清溪水为</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示范</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，分期、分批</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谋划</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重点河流、重点河段和水库水源地</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美丽河湖建设</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打造一批</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“一河一湖一景一品韵”的</w:t>
      </w:r>
      <w:r>
        <w:rPr>
          <w:rFonts w:hint="eastAsia"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市级</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美丽河湖。</w:t>
      </w:r>
    </w:p>
    <w:p w14:paraId="31949C36">
      <w:pPr>
        <w:pStyle w:val="5"/>
        <w:keepNext w:val="0"/>
        <w:keepLines w:val="0"/>
        <w:pageBreakBefore w:val="0"/>
        <w:kinsoku/>
        <w:wordWrap/>
        <w:bidi w:val="0"/>
        <w:spacing w:beforeLines="0" w:afterLines="0" w:line="360" w:lineRule="auto"/>
        <w:ind w:firstLine="640" w:firstLineChars="200"/>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六、加强水资源高效利用</w:t>
      </w:r>
    </w:p>
    <w:p w14:paraId="7DAEB2B2">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提升水资源利用效率。</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大力实施节水行动，强化水资源刚性约束，实行水资源消耗总量和强度双控，推进节水型社会建设</w:t>
      </w:r>
      <w:r>
        <w:rPr>
          <w:rFonts w:hint="eastAsia"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深入抓好工业、农业、城镇节水</w:t>
      </w:r>
      <w:r>
        <w:rPr>
          <w:rFonts w:hint="eastAsia" w:eastAsia="仿宋_GB2312" w:cs="Times New Roman"/>
          <w:b w:val="0"/>
          <w:bCs/>
          <w:color w:val="000000" w:themeColor="text1"/>
          <w:sz w:val="32"/>
          <w:szCs w:val="32"/>
          <w:highlight w:val="none"/>
          <w:lang w:val="en-US" w:eastAsia="zh-CN"/>
          <w14:textFill>
            <w14:solidFill>
              <w14:schemeClr w14:val="tx1"/>
            </w14:solidFill>
          </w14:textFill>
        </w:rPr>
        <w:t>，</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把节约用水贯穿于经济社会发展和群众生产生活全过程。在工业领域，加快企业节水改造，重点抓好高用水行业节水减排技改以及重复用水工程建设，提高工业用水循环利用率；在农业领域，推广管道输水、喷灌和微灌等高效节水灌溉技术；在城镇生活领域，加强节水载体建设，普及节水器具，严格控制供水管网漏损率。</w:t>
      </w:r>
    </w:p>
    <w:p w14:paraId="5A93B238">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优化闸坝水库水系联通。</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开展建成区江河湖水系连通工程建设，增强水动力，提升水体的流动性，改善水质和水生态。基于中小河流治理，开展部分农村水系连通工程，恢复农村坑塘、河湖等水体自然连通，促进水体顺畅流动，改善水力联系，恢复农村水系完整格局，建设智慧水务融合工程、智慧生态环保设施。</w:t>
      </w:r>
    </w:p>
    <w:p w14:paraId="4782B3E7">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促进再生水循环利用。</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科学规划再生水循环利用，</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以建成区、清溪河和厦坭河沿线为主要实施区域，着力构建持续、健康的水循环系统，</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将污水厂提标升级改造、水生态修复、海绵城市等再生水作为补充水源，促进再生水循环利用，实现“优质优用、低质低用”。</w:t>
      </w:r>
    </w:p>
    <w:p w14:paraId="228D5BC6">
      <w:pPr>
        <w:pStyle w:val="4"/>
        <w:adjustRightInd w:val="0"/>
        <w:snapToGrid w:val="0"/>
        <w:spacing w:before="312" w:beforeLines="100" w:after="78" w:afterLines="25" w:line="560" w:lineRule="exact"/>
        <w:ind w:firstLine="0" w:firstLineChars="0"/>
        <w:jc w:val="center"/>
        <w:rPr>
          <w:rFonts w:hint="default" w:ascii="Times New Roman" w:hAnsi="Times New Roman" w:eastAsia="楷体_GB2312" w:cs="Times New Roman"/>
          <w:b/>
          <w:bCs w:val="0"/>
          <w:snapToGrid w:val="0"/>
          <w:highlight w:val="none"/>
          <w:lang w:val="en-US" w:eastAsia="zh-CN"/>
        </w:rPr>
      </w:pPr>
      <w:bookmarkStart w:id="248" w:name="_Toc51"/>
      <w:bookmarkStart w:id="249" w:name="_Toc3622"/>
      <w:bookmarkStart w:id="250" w:name="_Toc9765"/>
      <w:bookmarkStart w:id="251" w:name="_Toc6141"/>
      <w:bookmarkStart w:id="252" w:name="_Toc7579"/>
      <w:bookmarkStart w:id="253" w:name="_Toc30803"/>
      <w:bookmarkStart w:id="254" w:name="_Toc30905"/>
      <w:bookmarkStart w:id="255" w:name="_Toc28595"/>
      <w:bookmarkStart w:id="256" w:name="_Toc4083"/>
      <w:bookmarkStart w:id="257" w:name="_Toc9630"/>
      <w:bookmarkStart w:id="258" w:name="_Toc25105"/>
      <w:r>
        <w:rPr>
          <w:rFonts w:hint="default" w:ascii="Times New Roman" w:hAnsi="Times New Roman" w:eastAsia="楷体_GB2312" w:cs="Times New Roman"/>
          <w:b/>
          <w:bCs w:val="0"/>
          <w:snapToGrid w:val="0"/>
          <w:highlight w:val="none"/>
          <w:lang w:val="en-US" w:eastAsia="zh-CN"/>
        </w:rPr>
        <w:t>第三节 深化土壤污染防治，协同防控地下水污染</w:t>
      </w:r>
      <w:bookmarkEnd w:id="248"/>
      <w:bookmarkEnd w:id="249"/>
      <w:bookmarkEnd w:id="250"/>
      <w:bookmarkEnd w:id="251"/>
      <w:bookmarkEnd w:id="252"/>
      <w:bookmarkEnd w:id="253"/>
      <w:bookmarkEnd w:id="254"/>
      <w:bookmarkEnd w:id="255"/>
      <w:bookmarkEnd w:id="256"/>
      <w:bookmarkEnd w:id="257"/>
      <w:bookmarkEnd w:id="258"/>
    </w:p>
    <w:p w14:paraId="2A132594">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一、完善土壤与地下水污染状况详查及成果应用</w:t>
      </w:r>
    </w:p>
    <w:p w14:paraId="4EA5C595">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完善土壤环境污染状况详查。</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协助完成农用地土壤污染状况详查及重点行业企业用地调查样品分析测试、数据上报、审核与入库等工作，掌握全镇农用地及重点行业企业土壤环境污染现状。</w:t>
      </w:r>
    </w:p>
    <w:p w14:paraId="0ECC4CF1">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建立土壤环境数据库并动态监管。</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整合全镇农用地、重点行业企业用地土壤环境详查结果及建设用地开发利用土壤污染状况调查结果等数据，将详查、调查过程中发现的潜在污染地块，及时纳入全国污染地块土壤环境管理系统，实现动态监管。</w:t>
      </w:r>
    </w:p>
    <w:p w14:paraId="372D0D8C">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深化土壤污染状况详查成果应用。</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结合重点行业企业用地调查，对调查发现可能存在风险的在产企业，督促开展土壤污染隐患排查；对调查发现的关闭搬迁疑似污染地块或污染地块，纳入全国污染地块土壤环境管理系统监管。</w:t>
      </w:r>
    </w:p>
    <w:p w14:paraId="4B546D0D">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持续开展地下水环境状况调查评估。</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结合市级地下水环境监测网建设要求，配合东莞市生态环境局开展水文地质钻探、地下水监测井建设和地下水环境状况采样监测工作，配合开展地下水风险评价及地下水污染防治分区划分。加强地下水环境监测井的运行维护和管理，完善监测数据报送制度，积极推进数据共享共用。</w:t>
      </w:r>
    </w:p>
    <w:p w14:paraId="65520E81">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二、强化建设用地风险防控</w:t>
      </w:r>
    </w:p>
    <w:p w14:paraId="7CEB8DD3">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依法开展建设用地土壤污染状况调查。</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对拟收回、转让土地使用权的化工、电镀、制革、医药制造和危险化学品生产、储存、使用等行业企业用地，火力发电、燃气生产和供应、垃圾填埋场和污泥处理处置等用地，全镇土壤污染重点监管单位的生产经营用地，以及用途拟变更为住宅、公共管理与公共服务用地的企业用地，由土地使用权人负责开展土壤环境状况调查评估；已经收回的，由负责收储土地的镇人民政府组织开展调查评估。</w:t>
      </w:r>
    </w:p>
    <w:p w14:paraId="08F5C0E1">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强化建设用地开发利用环境管控。</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严格审批涉及新（改、扩）建土壤污染重点行业及排放重点污染物的其他行业建设项目立项，禁止在敏感用地建设项目周边新、改、扩建可能造成土壤污染的建设项目。对疑似污染地块在办理土地收储、土地供应（协议出让、公开出让、流转出让、集体地自用）、三旧改造、用途改变等手续时严格按照对应流程执行，有效防控污染地块土壤环境风险。</w:t>
      </w:r>
    </w:p>
    <w:p w14:paraId="0BA4ED1A">
      <w:pPr>
        <w:pageBreakBefore w:val="0"/>
        <w:kinsoku/>
        <w:wordWrap/>
        <w:bidi w:val="0"/>
        <w:spacing w:line="360" w:lineRule="auto"/>
        <w:ind w:firstLine="643" w:firstLineChars="200"/>
        <w:rPr>
          <w:rFonts w:hint="default" w:eastAsia="仿宋_GB2312"/>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加强土壤污染重点监管单位管控。</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对全镇涉市生态环境局每年制定并更新的土壤污染重点监管单位名录中的企业，督促重点监管单位依法落实自行监测、隐患排查，纳入排污许可管理等有关要求；并对重点监管单位周边土壤进行监测。</w:t>
      </w:r>
      <w:r>
        <w:rPr>
          <w:rFonts w:hint="default" w:ascii="Times New Roman" w:hAnsi="Times New Roman" w:eastAsia="仿宋_GB2312" w:cs="Times New Roman"/>
          <w:b/>
          <w:bCs w:val="0"/>
          <w:color w:val="000000" w:themeColor="text1"/>
          <w:sz w:val="32"/>
          <w:szCs w:val="32"/>
          <w:highlight w:val="none"/>
          <w14:textFill>
            <w14:solidFill>
              <w14:schemeClr w14:val="tx1"/>
            </w14:solidFill>
          </w14:textFill>
        </w:rPr>
        <w:t>到2025年底，全</w:t>
      </w: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镇</w:t>
      </w:r>
      <w:r>
        <w:rPr>
          <w:rFonts w:hint="default" w:ascii="Times New Roman" w:hAnsi="Times New Roman" w:eastAsia="仿宋_GB2312" w:cs="Times New Roman"/>
          <w:b/>
          <w:bCs w:val="0"/>
          <w:color w:val="000000" w:themeColor="text1"/>
          <w:sz w:val="32"/>
          <w:szCs w:val="32"/>
          <w:highlight w:val="none"/>
          <w14:textFill>
            <w14:solidFill>
              <w14:schemeClr w14:val="tx1"/>
            </w14:solidFill>
          </w14:textFill>
        </w:rPr>
        <w:t>土壤污染重点监管单位排污许可证全部载明土壤污染防治义务，按规定开展土壤和地下水污染隐患排查。</w:t>
      </w:r>
      <w:r>
        <w:rPr>
          <w:rFonts w:hint="default" w:eastAsia="仿宋_GB2312"/>
          <w:b/>
          <w:bCs w:val="0"/>
          <w:color w:val="000000" w:themeColor="text1"/>
          <w:sz w:val="32"/>
          <w:szCs w:val="32"/>
          <w:highlight w:val="none"/>
          <w14:textFill>
            <w14:solidFill>
              <w14:schemeClr w14:val="tx1"/>
            </w14:solidFill>
          </w14:textFill>
        </w:rPr>
        <w:t>到</w:t>
      </w:r>
      <w:r>
        <w:rPr>
          <w:rFonts w:hint="eastAsia" w:eastAsia="仿宋_GB2312"/>
          <w:b/>
          <w:bCs w:val="0"/>
          <w:color w:val="000000" w:themeColor="text1"/>
          <w:sz w:val="32"/>
          <w:szCs w:val="32"/>
          <w:highlight w:val="none"/>
          <w:lang w:eastAsia="zh-CN"/>
          <w14:textFill>
            <w14:solidFill>
              <w14:schemeClr w14:val="tx1"/>
            </w14:solidFill>
          </w14:textFill>
        </w:rPr>
        <w:t>2030</w:t>
      </w:r>
      <w:r>
        <w:rPr>
          <w:rFonts w:hint="default" w:eastAsia="仿宋_GB2312"/>
          <w:b/>
          <w:bCs w:val="0"/>
          <w:color w:val="000000" w:themeColor="text1"/>
          <w:sz w:val="32"/>
          <w:szCs w:val="32"/>
          <w:highlight w:val="none"/>
          <w14:textFill>
            <w14:solidFill>
              <w14:schemeClr w14:val="tx1"/>
            </w14:solidFill>
          </w14:textFill>
        </w:rPr>
        <w:t>年底</w:t>
      </w:r>
      <w:r>
        <w:rPr>
          <w:rFonts w:hint="eastAsia" w:eastAsia="仿宋_GB2312"/>
          <w:b/>
          <w:bCs w:val="0"/>
          <w:color w:val="000000" w:themeColor="text1"/>
          <w:sz w:val="32"/>
          <w:szCs w:val="32"/>
          <w:highlight w:val="none"/>
          <w:lang w:eastAsia="zh-CN"/>
          <w14:textFill>
            <w14:solidFill>
              <w14:schemeClr w14:val="tx1"/>
            </w14:solidFill>
          </w14:textFill>
        </w:rPr>
        <w:t>，</w:t>
      </w:r>
      <w:r>
        <w:rPr>
          <w:rFonts w:hint="default" w:eastAsia="仿宋_GB2312"/>
          <w:b/>
          <w:bCs w:val="0"/>
          <w:color w:val="000000" w:themeColor="text1"/>
          <w:sz w:val="32"/>
          <w:szCs w:val="32"/>
          <w:highlight w:val="none"/>
          <w14:textFill>
            <w14:solidFill>
              <w14:schemeClr w14:val="tx1"/>
            </w14:solidFill>
          </w14:textFill>
        </w:rPr>
        <w:t>全镇土壤环境质量稳中向好</w:t>
      </w:r>
      <w:r>
        <w:rPr>
          <w:rFonts w:hint="eastAsia" w:eastAsia="仿宋_GB2312"/>
          <w:b/>
          <w:bCs w:val="0"/>
          <w:color w:val="000000" w:themeColor="text1"/>
          <w:sz w:val="32"/>
          <w:szCs w:val="32"/>
          <w:highlight w:val="none"/>
          <w:lang w:eastAsia="zh-CN"/>
          <w14:textFill>
            <w14:solidFill>
              <w14:schemeClr w14:val="tx1"/>
            </w14:solidFill>
          </w14:textFill>
        </w:rPr>
        <w:t>，</w:t>
      </w:r>
      <w:r>
        <w:rPr>
          <w:rFonts w:hint="default" w:eastAsia="仿宋_GB2312"/>
          <w:b/>
          <w:bCs w:val="0"/>
          <w:color w:val="000000" w:themeColor="text1"/>
          <w:sz w:val="32"/>
          <w:szCs w:val="32"/>
          <w:highlight w:val="none"/>
          <w14:textFill>
            <w14:solidFill>
              <w14:schemeClr w14:val="tx1"/>
            </w14:solidFill>
          </w14:textFill>
        </w:rPr>
        <w:t>土壤污染防治体系</w:t>
      </w:r>
      <w:r>
        <w:rPr>
          <w:rFonts w:hint="eastAsia" w:eastAsia="仿宋_GB2312"/>
          <w:b/>
          <w:bCs w:val="0"/>
          <w:color w:val="000000" w:themeColor="text1"/>
          <w:sz w:val="32"/>
          <w:szCs w:val="32"/>
          <w:highlight w:val="none"/>
          <w:lang w:val="en-US" w:eastAsia="zh-CN"/>
          <w14:textFill>
            <w14:solidFill>
              <w14:schemeClr w14:val="tx1"/>
            </w14:solidFill>
          </w14:textFill>
        </w:rPr>
        <w:t>基本</w:t>
      </w:r>
      <w:r>
        <w:rPr>
          <w:rFonts w:hint="default" w:eastAsia="仿宋_GB2312"/>
          <w:b/>
          <w:bCs w:val="0"/>
          <w:color w:val="000000" w:themeColor="text1"/>
          <w:sz w:val="32"/>
          <w:szCs w:val="32"/>
          <w:highlight w:val="none"/>
          <w14:textFill>
            <w14:solidFill>
              <w14:schemeClr w14:val="tx1"/>
            </w14:solidFill>
          </w14:textFill>
        </w:rPr>
        <w:t>建立。</w:t>
      </w:r>
    </w:p>
    <w:p w14:paraId="6E0E8204">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深入开展重金属土壤污染综合防治。</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全面深化重点行业和重点防控区重金属污染综合整治，推进重金属污染防控体系现代化，对重金属环境风险隐患进行有效管控，确保生态环境安全；建立健全落后产能退出机制，依法淘汰落后产能，逐步淘汰落后产品，排查并公布未达标涉重金属企业名单；加强金属表面处理及热处理加工行业等涉重金属污染行业综合整治。</w:t>
      </w:r>
    </w:p>
    <w:p w14:paraId="106DDEDB">
      <w:pPr>
        <w:pStyle w:val="5"/>
        <w:pageBreakBefore w:val="0"/>
        <w:numPr>
          <w:ilvl w:val="0"/>
          <w:numId w:val="0"/>
        </w:numPr>
        <w:kinsoku/>
        <w:wordWrap/>
        <w:bidi w:val="0"/>
        <w:adjustRightInd w:val="0"/>
        <w:spacing w:line="360" w:lineRule="auto"/>
        <w:ind w:firstLine="640" w:firstLineChars="200"/>
        <w:rPr>
          <w:rFonts w:hint="default" w:ascii="Times New Roman" w:hAnsi="Times New Roman" w:cs="Times New Roman"/>
          <w:highlight w:val="none"/>
          <w:lang w:val="en-US" w:eastAsia="zh-CN"/>
        </w:rPr>
      </w:pPr>
      <w:r>
        <w:rPr>
          <w:rFonts w:hint="eastAsia" w:ascii="黑体" w:hAnsi="黑体" w:eastAsia="黑体" w:cs="黑体"/>
          <w:b w:val="0"/>
          <w:highlight w:val="none"/>
          <w:lang w:val="en-US" w:eastAsia="zh-CN"/>
        </w:rPr>
        <w:t>三、实施农用地分类管理</w:t>
      </w:r>
    </w:p>
    <w:p w14:paraId="5CE2D28E">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加大优先保护类农用地保护力度。</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坚持最严格的耕地保护制度，强化国土空间规划和用途管控，落实基本农田等空间管控边界。以永久基本农田集中区域为重点，推行使用有机肥、推广中碱性肥料、种植绿肥等管护措施，探索安全利用长效管护运行模式与管理机制，构建优先保护类农用地安全利用保障体系，确保农用地土壤环境质量不下降，实现优先保护类农用地持续安全利用。</w:t>
      </w:r>
    </w:p>
    <w:p w14:paraId="1C7DA3FD">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加强农用地土壤环境管控。</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落实农用地分类管理，优先保护永久基本农田。农用地土壤环境管控应坚持保护优先、强化用途管控、保障农田质量的原则。农用地优先保护区和污染风险重点管控区应首先落实《中华人民共和国土壤污染防治法》对优先保护类农用地、安全利用类、严格管控类农用地的管控要求。农用地污染风险重点管控区应对安全利用类农用地、严格管控类农用地的农产品生产、农用地利用要求有所差异。</w:t>
      </w:r>
    </w:p>
    <w:p w14:paraId="07EF2113">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推进土壤污染治理与修复。</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研究对耕地重点超标区域、工业搬迁场地、受污染耕地开展重金属土壤修复工作，解决历史遗留问题。充分发挥市场与政府相结合的作用，建立多元化的土壤修复治理方式。</w:t>
      </w:r>
    </w:p>
    <w:p w14:paraId="368CD213">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四、有效管控地下水污染风险</w:t>
      </w:r>
    </w:p>
    <w:p w14:paraId="06E07FCA">
      <w:pPr>
        <w:pageBreakBefore w:val="0"/>
        <w:kinsoku/>
        <w:wordWrap/>
        <w:bidi w:val="0"/>
        <w:spacing w:line="360" w:lineRule="auto"/>
        <w:ind w:firstLine="643" w:firstLineChars="200"/>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实施地下水分区管理。</w:t>
      </w:r>
      <w:r>
        <w:rPr>
          <w:rFonts w:hint="eastAsia" w:eastAsia="仿宋_GB2312" w:cs="Times New Roman"/>
          <w:b w:val="0"/>
          <w:bCs/>
          <w:color w:val="000000" w:themeColor="text1"/>
          <w:sz w:val="32"/>
          <w:szCs w:val="32"/>
          <w:highlight w:val="none"/>
          <w:lang w:val="en-US" w:eastAsia="zh-CN"/>
          <w14:textFill>
            <w14:solidFill>
              <w14:schemeClr w14:val="tx1"/>
            </w14:solidFill>
          </w14:textFill>
        </w:rPr>
        <w:t>根据</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东莞市地下水污染调查和污染防治区划</w:t>
      </w:r>
      <w:r>
        <w:rPr>
          <w:rFonts w:hint="eastAsia" w:eastAsia="仿宋_GB2312" w:cs="Times New Roman"/>
          <w:b w:val="0"/>
          <w:bCs/>
          <w:color w:val="000000" w:themeColor="text1"/>
          <w:sz w:val="32"/>
          <w:szCs w:val="32"/>
          <w:highlight w:val="none"/>
          <w:lang w:val="en-US" w:eastAsia="zh-CN"/>
          <w14:textFill>
            <w14:solidFill>
              <w14:schemeClr w14:val="tx1"/>
            </w14:solidFill>
          </w14:textFill>
        </w:rPr>
        <w:t>工作部署，按照管控区</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的划定等级要求，</w:t>
      </w:r>
      <w:r>
        <w:rPr>
          <w:rFonts w:hint="eastAsia" w:eastAsia="仿宋_GB2312" w:cs="Times New Roman"/>
          <w:b w:val="0"/>
          <w:bCs/>
          <w:color w:val="000000" w:themeColor="text1"/>
          <w:sz w:val="32"/>
          <w:szCs w:val="32"/>
          <w:highlight w:val="none"/>
          <w:lang w:val="en-US" w:eastAsia="zh-CN"/>
          <w14:textFill>
            <w14:solidFill>
              <w14:schemeClr w14:val="tx1"/>
            </w14:solidFill>
          </w14:textFill>
        </w:rPr>
        <w:t>落实</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分类、分级地下水污染防治措施，实施地下水污染源分类监管。综合考虑区域地下水水文地质特点、污染状况和行政区划等因素，结合流域汇水范围，探索地下水污染分区防治模式与配套政策。按照《地下水环境监测技术规范》的要求，</w:t>
      </w:r>
      <w:r>
        <w:rPr>
          <w:rFonts w:hint="eastAsia" w:eastAsia="仿宋_GB2312" w:cs="Times New Roman"/>
          <w:b w:val="0"/>
          <w:bCs/>
          <w:color w:val="000000" w:themeColor="text1"/>
          <w:sz w:val="32"/>
          <w:szCs w:val="32"/>
          <w:highlight w:val="none"/>
          <w:lang w:val="en-US" w:eastAsia="zh-CN"/>
          <w14:textFill>
            <w14:solidFill>
              <w14:schemeClr w14:val="tx1"/>
            </w14:solidFill>
          </w14:textFill>
        </w:rPr>
        <w:t>做好</w:t>
      </w:r>
      <w:r>
        <w:rPr>
          <w:rFonts w:hint="default" w:eastAsia="仿宋_GB2312"/>
          <w:bCs/>
          <w:color w:val="000000" w:themeColor="text1"/>
          <w:sz w:val="32"/>
          <w:szCs w:val="32"/>
          <w:highlight w:val="none"/>
          <w14:textFill>
            <w14:solidFill>
              <w14:schemeClr w14:val="tx1"/>
            </w14:solidFill>
          </w14:textFill>
        </w:rPr>
        <w:t>国家地下水环境质量考核点位监测井井体、保护设施与标识、出入道路及周边环境状况等的管理和维护，保持监测井及周边环境条件符合监测技术规范要求</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。按照国家地下水监测点位管理制度要求，做好地下水监测井的保护和管理保障工作，杜绝人为影响甚至破坏地下水监测井设施情况发生。</w:t>
      </w: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到2025年</w:t>
      </w:r>
      <w:r>
        <w:rPr>
          <w:rFonts w:hint="eastAsia" w:eastAsia="仿宋_GB2312" w:cs="Times New Roman"/>
          <w:b/>
          <w:bCs w:val="0"/>
          <w:color w:val="000000" w:themeColor="text1"/>
          <w:sz w:val="32"/>
          <w:szCs w:val="32"/>
          <w:highlight w:val="none"/>
          <w:lang w:val="en-US" w:eastAsia="zh-CN"/>
          <w14:textFill>
            <w14:solidFill>
              <w14:schemeClr w14:val="tx1"/>
            </w14:solidFill>
          </w14:textFill>
        </w:rPr>
        <w:t>底</w:t>
      </w: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，配合上级部门建立全市地下环境监测与水污染防治管理体系，确保典型地下水污染源得到有效监控，地下水污染加剧趋势得到有效遏制。</w:t>
      </w:r>
    </w:p>
    <w:p w14:paraId="642515EA">
      <w:pPr>
        <w:pageBreakBefore w:val="0"/>
        <w:kinsoku/>
        <w:wordWrap/>
        <w:bidi w:val="0"/>
        <w:spacing w:line="360" w:lineRule="auto"/>
        <w:ind w:firstLine="643"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有效管控地下水生态风险。</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根据地下水环境风险状况，实施地下水污染风险管控和修复，探索地下水污染修复治理模式，开展地下水污染风险管控试点。</w:t>
      </w:r>
      <w:r>
        <w:rPr>
          <w:rFonts w:hint="default" w:ascii="Times New Roman" w:hAnsi="Times New Roman" w:eastAsia="仿宋_GB2312" w:cs="Times New Roman"/>
          <w:b/>
          <w:bCs w:val="0"/>
          <w:color w:val="000000" w:themeColor="text1"/>
          <w:sz w:val="32"/>
          <w:szCs w:val="32"/>
          <w:highlight w:val="none"/>
          <w:lang w:val="en-US" w:eastAsia="zh-CN"/>
          <w14:textFill>
            <w14:solidFill>
              <w14:schemeClr w14:val="tx1"/>
            </w14:solidFill>
          </w14:textFill>
        </w:rPr>
        <w:t>到2025年底，力争完成重点污染源工业聚集区地下水污染风险管控工作。</w:t>
      </w: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油气开采、油泥堆放场等废物收集、贮存处理处置设施应按照技术规范要求采取防渗措施，防止采出水回注对地下水造成污染。</w:t>
      </w:r>
    </w:p>
    <w:p w14:paraId="462ADC42">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五、加强地下水污染协同防治</w:t>
      </w:r>
    </w:p>
    <w:p w14:paraId="16BB8E76">
      <w:pPr>
        <w:pageBreakBefore w:val="0"/>
        <w:kinsoku/>
        <w:wordWrap/>
        <w:bidi w:val="0"/>
        <w:spacing w:line="360" w:lineRule="auto"/>
        <w:ind w:firstLine="640" w:firstLineChars="200"/>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对安全利用类和严格管控类的农用地地块土壤污染影响或可能影响地下水的，制定污染防治方案时，应纳入地下水的内容；对污染物含量超过土壤污染风险管控标准的建设用地地块，土壤污染状况调查报告应包括地下水是否受到污染等内容；对列入风险管控和修复名录中的建设用地地块，实施风险管控措施应包括地下水污染防治的内容；实施修复的地块，修复方案应包括地下水污染修复的内容。</w:t>
      </w:r>
    </w:p>
    <w:p w14:paraId="706ABDA5">
      <w:pPr>
        <w:pStyle w:val="4"/>
        <w:numPr>
          <w:ilvl w:val="0"/>
          <w:numId w:val="0"/>
        </w:numPr>
        <w:adjustRightInd w:val="0"/>
        <w:snapToGrid w:val="0"/>
        <w:spacing w:before="312" w:beforeLines="100" w:after="78" w:afterLines="25" w:line="560" w:lineRule="exact"/>
        <w:jc w:val="center"/>
        <w:rPr>
          <w:rFonts w:hint="default" w:ascii="Times New Roman" w:hAnsi="Times New Roman" w:eastAsia="Times New Roman" w:cs="Times New Roman"/>
          <w:b/>
          <w:bCs w:val="0"/>
          <w:snapToGrid w:val="0"/>
          <w:sz w:val="32"/>
          <w:szCs w:val="32"/>
          <w:highlight w:val="none"/>
        </w:rPr>
      </w:pPr>
      <w:bookmarkStart w:id="259" w:name="_Toc15712"/>
      <w:bookmarkStart w:id="260" w:name="_Toc7597"/>
      <w:bookmarkStart w:id="261" w:name="_Toc22311"/>
      <w:bookmarkStart w:id="262" w:name="_Toc31539"/>
      <w:bookmarkStart w:id="263" w:name="_Toc22245"/>
      <w:bookmarkStart w:id="264" w:name="_Toc4352"/>
      <w:bookmarkStart w:id="265" w:name="_Toc15676"/>
      <w:bookmarkStart w:id="266" w:name="_Toc20147"/>
      <w:bookmarkStart w:id="267" w:name="_Toc4476"/>
      <w:bookmarkStart w:id="268" w:name="_Toc13681"/>
      <w:bookmarkStart w:id="269" w:name="_Toc19662"/>
      <w:r>
        <w:rPr>
          <w:rFonts w:hint="default" w:ascii="Times New Roman" w:hAnsi="Times New Roman" w:eastAsia="楷体_GB2312" w:cs="Times New Roman"/>
          <w:b/>
          <w:bCs w:val="0"/>
          <w:snapToGrid w:val="0"/>
          <w:sz w:val="32"/>
          <w:szCs w:val="32"/>
          <w:highlight w:val="none"/>
        </w:rPr>
        <w:t>第四节 推动无废建设，系统开展固体废物治理</w:t>
      </w:r>
      <w:bookmarkEnd w:id="259"/>
      <w:bookmarkEnd w:id="260"/>
      <w:bookmarkEnd w:id="261"/>
      <w:bookmarkEnd w:id="262"/>
      <w:bookmarkEnd w:id="263"/>
      <w:bookmarkEnd w:id="264"/>
      <w:bookmarkEnd w:id="265"/>
      <w:bookmarkEnd w:id="266"/>
      <w:bookmarkEnd w:id="267"/>
      <w:bookmarkEnd w:id="268"/>
    </w:p>
    <w:p w14:paraId="3650E11F">
      <w:pPr>
        <w:pStyle w:val="5"/>
        <w:keepNext w:val="0"/>
        <w:keepLines w:val="0"/>
        <w:numPr>
          <w:ilvl w:val="-1"/>
          <w:numId w:val="0"/>
        </w:numPr>
        <w:spacing w:beforeLines="0" w:afterLines="0" w:line="360" w:lineRule="auto"/>
        <w:ind w:firstLine="643"/>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一、推进生活源固废处理处置</w:t>
      </w:r>
    </w:p>
    <w:p w14:paraId="73014051">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推进生活垃圾源头减量</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lang w:val="en-US" w:eastAsia="zh-CN"/>
        </w:rPr>
        <w:t>采取行政、经济等多种手段鼓励和引导实体销售、快递、外卖等企业严格落实限制商品过度包装的有关规定，有效减少包装废弃物的产生</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加大“限塑令”的执行力度，引导消费者使用可反复循环使用的环保袋，减少一次性用品的供应和使用，提倡净菜进城，减少菜帮垃圾产生量。</w:t>
      </w:r>
      <w:r>
        <w:rPr>
          <w:rFonts w:hint="default" w:ascii="Times New Roman" w:hAnsi="Times New Roman" w:eastAsia="仿宋_GB2312" w:cs="Times New Roman"/>
          <w:sz w:val="32"/>
          <w:szCs w:val="32"/>
          <w:highlight w:val="none"/>
        </w:rPr>
        <w:t>加大“无废城市”和绿色生活理念宣传力度，引导群众践行绿色生活方式和生产方式，宣传普及生活垃圾分类标准体系，提高公众垃圾分类知晓率、参与率和投放准确率。</w:t>
      </w:r>
    </w:p>
    <w:p w14:paraId="67574111">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推进生活垃圾分类回收系统建设</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rPr>
        <w:t>落实生活垃圾分类</w:t>
      </w:r>
      <w:r>
        <w:rPr>
          <w:rFonts w:hint="eastAsia" w:eastAsia="仿宋_GB2312" w:cs="Times New Roman"/>
          <w:sz w:val="32"/>
          <w:szCs w:val="32"/>
          <w:highlight w:val="none"/>
          <w:lang w:val="en-US" w:eastAsia="zh-CN"/>
        </w:rPr>
        <w:t>工作</w:t>
      </w:r>
      <w:r>
        <w:rPr>
          <w:rFonts w:hint="default" w:ascii="Times New Roman" w:hAnsi="Times New Roman" w:eastAsia="仿宋_GB2312" w:cs="Times New Roman"/>
          <w:sz w:val="32"/>
          <w:szCs w:val="32"/>
          <w:highlight w:val="none"/>
        </w:rPr>
        <w:t>，建立生活垃圾分类收运体系，多措并举，形成分类投放、分类收集、分类运输和分类处置全链条模式。将生活垃圾分类工作列入政府绩效考核内容，建立垃圾分类激励督促机制</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搭建生活垃圾分类信息化管理网络平台，规范垃圾分类过程，提高分类效率。</w:t>
      </w:r>
      <w:r>
        <w:rPr>
          <w:rFonts w:hint="default" w:ascii="Times New Roman" w:hAnsi="Times New Roman" w:eastAsia="仿宋_GB2312" w:cs="Times New Roman"/>
          <w:b/>
          <w:bCs/>
          <w:sz w:val="32"/>
          <w:szCs w:val="32"/>
          <w:highlight w:val="none"/>
        </w:rPr>
        <w:t>到2025年底，农村地区生活垃圾分类覆盖率达100%。</w:t>
      </w:r>
    </w:p>
    <w:p w14:paraId="3BE15F26">
      <w:pPr>
        <w:spacing w:beforeLines="0" w:afterLines="0" w:line="360" w:lineRule="auto"/>
        <w:ind w:firstLine="643" w:firstLineChars="20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sz w:val="32"/>
          <w:szCs w:val="32"/>
          <w:highlight w:val="none"/>
        </w:rPr>
        <w:t>完善可回收分类收运处理系统</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rPr>
        <w:t>推进再生资源回收网点建设，提高再生资源回收率。推动再生资源系统与环卫系统有机衔接，促进生活垃圾分类与资源回收体系“两网融合”。引导可回收企业进小区、进村（社区）设置可回收物便民交售点，做到应收尽收、建立台账、体系完整等。完善再生资源回收利用系统，加强再生资源回收处理日常监管，优化再生资源回收行业市场秩序。针对违规设点经营、无证无照经营及“散乱污”等再生资源回收行业经营突出问题开展专项整治行动。</w:t>
      </w:r>
      <w:r>
        <w:rPr>
          <w:rFonts w:hint="default" w:ascii="Times New Roman" w:hAnsi="Times New Roman" w:eastAsia="仿宋_GB2312" w:cs="Times New Roman"/>
          <w:b/>
          <w:bCs/>
          <w:sz w:val="32"/>
          <w:szCs w:val="32"/>
          <w:highlight w:val="none"/>
        </w:rPr>
        <w:t>2025年底生活垃圾回收利用率达40%</w:t>
      </w:r>
      <w:r>
        <w:rPr>
          <w:rFonts w:hint="eastAsia" w:eastAsia="仿宋_GB2312" w:cs="Times New Roman"/>
          <w:b/>
          <w:bCs/>
          <w:sz w:val="32"/>
          <w:szCs w:val="32"/>
          <w:highlight w:val="none"/>
          <w:lang w:eastAsia="zh-CN"/>
        </w:rPr>
        <w:t>，</w:t>
      </w:r>
      <w:r>
        <w:rPr>
          <w:rFonts w:hint="default" w:eastAsia="仿宋_GB2312"/>
          <w:b/>
          <w:bCs/>
          <w:sz w:val="32"/>
          <w:szCs w:val="32"/>
          <w:highlight w:val="none"/>
        </w:rPr>
        <w:t>到</w:t>
      </w:r>
      <w:r>
        <w:rPr>
          <w:rFonts w:hint="eastAsia" w:eastAsia="仿宋_GB2312"/>
          <w:b/>
          <w:bCs/>
          <w:sz w:val="32"/>
          <w:szCs w:val="32"/>
          <w:highlight w:val="none"/>
          <w:lang w:eastAsia="zh-CN"/>
        </w:rPr>
        <w:t>2030</w:t>
      </w:r>
      <w:r>
        <w:rPr>
          <w:rFonts w:hint="default" w:eastAsia="仿宋_GB2312"/>
          <w:b/>
          <w:bCs/>
          <w:sz w:val="32"/>
          <w:szCs w:val="32"/>
          <w:highlight w:val="none"/>
        </w:rPr>
        <w:t>年</w:t>
      </w:r>
      <w:r>
        <w:rPr>
          <w:rFonts w:hint="eastAsia" w:eastAsia="仿宋_GB2312"/>
          <w:b/>
          <w:bCs/>
          <w:sz w:val="32"/>
          <w:szCs w:val="32"/>
          <w:highlight w:val="none"/>
          <w:lang w:val="en-US" w:eastAsia="zh-CN"/>
        </w:rPr>
        <w:t>底</w:t>
      </w:r>
      <w:r>
        <w:rPr>
          <w:rFonts w:hint="default" w:eastAsia="仿宋_GB2312"/>
          <w:b/>
          <w:bCs/>
          <w:sz w:val="32"/>
          <w:szCs w:val="32"/>
          <w:highlight w:val="none"/>
        </w:rPr>
        <w:t>，生活垃圾资源化利用比例达到</w:t>
      </w:r>
      <w:r>
        <w:rPr>
          <w:rFonts w:hint="eastAsia" w:eastAsia="仿宋_GB2312"/>
          <w:b/>
          <w:bCs/>
          <w:sz w:val="32"/>
          <w:szCs w:val="32"/>
          <w:highlight w:val="none"/>
          <w:lang w:val="en-US" w:eastAsia="zh-CN"/>
        </w:rPr>
        <w:t>48</w:t>
      </w:r>
      <w:r>
        <w:rPr>
          <w:rFonts w:hint="default" w:eastAsia="仿宋_GB2312"/>
          <w:b/>
          <w:bCs/>
          <w:sz w:val="32"/>
          <w:szCs w:val="32"/>
          <w:highlight w:val="none"/>
        </w:rPr>
        <w:t>%以上。</w:t>
      </w:r>
    </w:p>
    <w:p w14:paraId="4274D4CD">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完善厨余垃圾收运处理系统</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rPr>
        <w:t>配备完善小型餐厨垃圾处理设备（原则上要求20吨/日以上），重点收运农贸市场、住宅小区、自建房产生的厨余垃圾，实现厨余垃圾分类处理和资源化利用。</w:t>
      </w:r>
    </w:p>
    <w:p w14:paraId="10317166">
      <w:pPr>
        <w:spacing w:beforeLines="0" w:afterLines="0" w:line="360" w:lineRule="auto"/>
        <w:ind w:firstLine="643" w:firstLineChars="200"/>
        <w:rPr>
          <w:rFonts w:hint="default" w:eastAsia="仿宋_GB2312"/>
          <w:b/>
          <w:bCs/>
          <w:sz w:val="32"/>
          <w:szCs w:val="32"/>
          <w:highlight w:val="none"/>
        </w:rPr>
      </w:pPr>
      <w:r>
        <w:rPr>
          <w:rFonts w:hint="default" w:ascii="Times New Roman" w:hAnsi="Times New Roman" w:eastAsia="仿宋_GB2312" w:cs="Times New Roman"/>
          <w:b/>
          <w:sz w:val="32"/>
          <w:szCs w:val="32"/>
          <w:highlight w:val="none"/>
        </w:rPr>
        <w:t>完善有害垃圾收运处理系统</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rPr>
        <w:t>通过电话预约、定时回收等模式，组织环卫承包企业对辖区内的有害垃圾进行单独收集、分类收运至有害垃圾临时贮存点，定期前往有害垃圾临时存</w:t>
      </w:r>
      <w:r>
        <w:rPr>
          <w:rFonts w:hint="eastAsia" w:eastAsia="仿宋_GB2312" w:cs="Times New Roman"/>
          <w:sz w:val="32"/>
          <w:szCs w:val="32"/>
          <w:highlight w:val="none"/>
          <w:lang w:val="en-US" w:eastAsia="zh-CN"/>
        </w:rPr>
        <w:t>放</w:t>
      </w:r>
      <w:r>
        <w:rPr>
          <w:rFonts w:hint="default" w:ascii="Times New Roman" w:hAnsi="Times New Roman" w:eastAsia="仿宋_GB2312" w:cs="Times New Roman"/>
          <w:sz w:val="32"/>
          <w:szCs w:val="32"/>
          <w:highlight w:val="none"/>
        </w:rPr>
        <w:t>点进行收运处理，同时，建立有害垃圾收运台账。</w:t>
      </w:r>
      <w:r>
        <w:rPr>
          <w:rFonts w:hint="default" w:eastAsia="仿宋_GB2312"/>
          <w:b/>
          <w:bCs/>
          <w:sz w:val="32"/>
          <w:szCs w:val="32"/>
          <w:highlight w:val="none"/>
        </w:rPr>
        <w:t>2024年，改造原有有害垃圾收集容器</w:t>
      </w:r>
      <w:r>
        <w:rPr>
          <w:rFonts w:hint="eastAsia" w:eastAsia="仿宋_GB2312"/>
          <w:b/>
          <w:bCs/>
          <w:sz w:val="32"/>
          <w:szCs w:val="32"/>
          <w:highlight w:val="none"/>
          <w:lang w:eastAsia="zh-CN"/>
        </w:rPr>
        <w:t>（</w:t>
      </w:r>
      <w:r>
        <w:rPr>
          <w:rFonts w:hint="default" w:eastAsia="仿宋_GB2312"/>
          <w:b/>
          <w:bCs/>
          <w:sz w:val="32"/>
          <w:szCs w:val="32"/>
          <w:highlight w:val="none"/>
        </w:rPr>
        <w:t>回收箱</w:t>
      </w:r>
      <w:r>
        <w:rPr>
          <w:rFonts w:hint="eastAsia" w:eastAsia="仿宋_GB2312"/>
          <w:b/>
          <w:bCs/>
          <w:sz w:val="32"/>
          <w:szCs w:val="32"/>
          <w:highlight w:val="none"/>
          <w:lang w:eastAsia="zh-CN"/>
        </w:rPr>
        <w:t>）</w:t>
      </w:r>
      <w:r>
        <w:rPr>
          <w:rFonts w:hint="default" w:eastAsia="仿宋_GB2312"/>
          <w:b/>
          <w:bCs/>
          <w:sz w:val="32"/>
          <w:szCs w:val="32"/>
          <w:highlight w:val="none"/>
        </w:rPr>
        <w:t>，进一步优化有害垃圾收运处置机制</w:t>
      </w:r>
      <w:r>
        <w:rPr>
          <w:rFonts w:hint="eastAsia" w:eastAsia="仿宋_GB2312"/>
          <w:b/>
          <w:bCs/>
          <w:sz w:val="32"/>
          <w:szCs w:val="32"/>
          <w:highlight w:val="none"/>
          <w:lang w:eastAsia="zh-CN"/>
        </w:rPr>
        <w:t>；</w:t>
      </w:r>
      <w:r>
        <w:rPr>
          <w:rFonts w:hint="default" w:eastAsia="仿宋_GB2312"/>
          <w:b/>
          <w:bCs/>
          <w:sz w:val="32"/>
          <w:szCs w:val="32"/>
          <w:highlight w:val="none"/>
        </w:rPr>
        <w:t>到2025年底全镇建成完善的收运处置系统。</w:t>
      </w:r>
    </w:p>
    <w:p w14:paraId="352CC4BD">
      <w:pPr>
        <w:spacing w:beforeLines="0" w:afterLines="0" w:line="360" w:lineRule="auto"/>
        <w:ind w:firstLine="643" w:firstLineChars="20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sz w:val="32"/>
          <w:szCs w:val="32"/>
          <w:highlight w:val="none"/>
        </w:rPr>
        <w:t>完善大件垃圾和园林垃圾收运系统</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rPr>
        <w:t>合理设置大件垃圾集中投放点，其中，各村（社区）设置一个50-100平方米的集中投放点，同时配备消防设备、标识牌和应急用水等。建立大件垃圾便民收运服务，向社会公众公布预约上门收集的联系方式（不向市民另行收费）。建设大件垃圾破碎场</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处理能力不少于20吨/日</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，建立</w:t>
      </w:r>
      <w:r>
        <w:rPr>
          <w:rFonts w:hint="eastAsia" w:ascii="Times New Roman" w:hAnsi="Times New Roman" w:eastAsia="仿宋_GB2312" w:cs="Times New Roman"/>
          <w:sz w:val="32"/>
          <w:szCs w:val="32"/>
          <w:highlight w:val="none"/>
          <w:lang w:val="en-US" w:eastAsia="zh-CN"/>
        </w:rPr>
        <w:t>健全</w:t>
      </w:r>
      <w:r>
        <w:rPr>
          <w:rFonts w:hint="default" w:ascii="Times New Roman" w:hAnsi="Times New Roman" w:eastAsia="仿宋_GB2312" w:cs="Times New Roman"/>
          <w:sz w:val="32"/>
          <w:szCs w:val="32"/>
          <w:highlight w:val="none"/>
        </w:rPr>
        <w:t>大件垃圾便民</w:t>
      </w:r>
      <w:r>
        <w:rPr>
          <w:rFonts w:hint="eastAsia" w:eastAsia="仿宋_GB2312" w:cs="Times New Roman"/>
          <w:sz w:val="32"/>
          <w:szCs w:val="32"/>
          <w:highlight w:val="none"/>
          <w:lang w:eastAsia="zh-CN"/>
        </w:rPr>
        <w:t>收运体系</w:t>
      </w:r>
      <w:r>
        <w:rPr>
          <w:rFonts w:hint="eastAsia"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合并建设大件垃圾和园林废弃物处理点，实现园林废弃物单独收运处理。</w:t>
      </w:r>
      <w:r>
        <w:rPr>
          <w:rFonts w:hint="default" w:eastAsia="仿宋_GB2312"/>
          <w:b/>
          <w:bCs/>
          <w:sz w:val="32"/>
          <w:szCs w:val="32"/>
          <w:highlight w:val="none"/>
        </w:rPr>
        <w:t>2024年，建设12个大件物投放收集点，进一步优化大件垃圾收运处置机制，实现大件垃圾投放点设置全覆盖</w:t>
      </w:r>
      <w:r>
        <w:rPr>
          <w:rFonts w:hint="eastAsia" w:eastAsia="仿宋_GB2312"/>
          <w:b/>
          <w:bCs/>
          <w:sz w:val="32"/>
          <w:szCs w:val="32"/>
          <w:highlight w:val="none"/>
          <w:lang w:val="en-US" w:eastAsia="zh-CN"/>
        </w:rPr>
        <w:t>。</w:t>
      </w:r>
      <w:r>
        <w:rPr>
          <w:rFonts w:hint="default" w:eastAsia="仿宋_GB2312"/>
          <w:b/>
          <w:bCs/>
          <w:sz w:val="32"/>
          <w:szCs w:val="32"/>
          <w:highlight w:val="none"/>
        </w:rPr>
        <w:t>到2025年底，全镇建成完善的收运处置系统。</w:t>
      </w:r>
    </w:p>
    <w:p w14:paraId="3FAAD5A9">
      <w:pPr>
        <w:pStyle w:val="5"/>
        <w:keepNext w:val="0"/>
        <w:keepLines w:val="0"/>
        <w:numPr>
          <w:ilvl w:val="-1"/>
          <w:numId w:val="0"/>
        </w:numPr>
        <w:spacing w:beforeLines="0" w:afterLines="0" w:line="360" w:lineRule="auto"/>
        <w:ind w:firstLine="643"/>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二、推进工业固体废物污染防治</w:t>
      </w:r>
    </w:p>
    <w:p w14:paraId="146E0F62">
      <w:pPr>
        <w:spacing w:beforeLines="0" w:afterLines="0" w:line="360" w:lineRule="auto"/>
        <w:ind w:firstLine="643" w:firstLineChars="200"/>
        <w:rPr>
          <w:rFonts w:hint="eastAsia"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推进工业固体废物源头减量</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提高项目环境影响评价审批门槛，严控高耗能、高排放建设项目。加快推进先进、高端制造业高质量发展，强化新兴产业绿色发展，有效降低企业工业固废产生强度。持续推进工业企业清洁生产和能源替代改造，促使企业合理选择和利用原材料、能源和其他资源，采用先进的生产工艺和设备，减少工业固体废弃物的产生及降低其危害性，对工业固体废物年产生量100吨以上的企业逐步开展清洁生产审核。市水务集团下属在运行的污水处理厂长山头污水处理厂和厦坭污水处理厂配置高效脱水干化设备，降低污泥含水率，减少污水处理厂污泥处理量</w:t>
      </w:r>
      <w:r>
        <w:rPr>
          <w:rFonts w:hint="eastAsia" w:eastAsia="仿宋_GB2312" w:cs="Times New Roman"/>
          <w:sz w:val="32"/>
          <w:szCs w:val="32"/>
          <w:highlight w:val="none"/>
          <w:lang w:eastAsia="zh-CN"/>
        </w:rPr>
        <w:t>。</w:t>
      </w:r>
      <w:r>
        <w:rPr>
          <w:rFonts w:hint="eastAsia" w:eastAsia="仿宋_GB2312" w:cs="Times New Roman"/>
          <w:b/>
          <w:bCs/>
          <w:sz w:val="32"/>
          <w:szCs w:val="32"/>
          <w:highlight w:val="none"/>
          <w:lang w:val="en-US" w:eastAsia="zh-CN"/>
        </w:rPr>
        <w:t>到</w:t>
      </w:r>
      <w:r>
        <w:rPr>
          <w:rFonts w:hint="default" w:ascii="Times New Roman" w:hAnsi="Times New Roman" w:eastAsia="仿宋_GB2312" w:cs="Times New Roman"/>
          <w:b/>
          <w:bCs/>
          <w:sz w:val="32"/>
          <w:szCs w:val="32"/>
          <w:highlight w:val="none"/>
        </w:rPr>
        <w:t>2025年底工业固体废物年产生量100吨以上的企业开展清洁生产审核比例达到80%</w:t>
      </w:r>
      <w:r>
        <w:rPr>
          <w:rFonts w:hint="eastAsia" w:eastAsia="仿宋_GB2312" w:cs="Times New Roman"/>
          <w:b/>
          <w:bCs/>
          <w:sz w:val="32"/>
          <w:szCs w:val="32"/>
          <w:highlight w:val="none"/>
          <w:lang w:eastAsia="zh-CN"/>
        </w:rPr>
        <w:t>。</w:t>
      </w:r>
      <w:r>
        <w:rPr>
          <w:rFonts w:hint="eastAsia" w:eastAsia="仿宋_GB2312" w:cs="Times New Roman"/>
          <w:b/>
          <w:bCs/>
          <w:sz w:val="32"/>
          <w:szCs w:val="32"/>
          <w:highlight w:val="none"/>
          <w:lang w:val="en-US" w:eastAsia="zh-CN"/>
        </w:rPr>
        <w:t>到</w:t>
      </w:r>
      <w:r>
        <w:rPr>
          <w:rFonts w:hint="eastAsia" w:eastAsia="仿宋_GB2312" w:cs="Times New Roman"/>
          <w:b/>
          <w:bCs/>
          <w:sz w:val="32"/>
          <w:szCs w:val="32"/>
          <w:highlight w:val="none"/>
          <w:lang w:eastAsia="zh-CN"/>
        </w:rPr>
        <w:t>2030</w:t>
      </w:r>
      <w:r>
        <w:rPr>
          <w:rFonts w:hint="default" w:ascii="Times New Roman" w:hAnsi="Times New Roman" w:eastAsia="仿宋_GB2312" w:cs="Times New Roman"/>
          <w:b/>
          <w:bCs/>
          <w:sz w:val="32"/>
          <w:szCs w:val="32"/>
          <w:highlight w:val="none"/>
        </w:rPr>
        <w:t>年底工业固体废物年产生量100吨以上的企业开展清洁生产审核比例达到</w:t>
      </w:r>
      <w:r>
        <w:rPr>
          <w:rFonts w:hint="eastAsia" w:eastAsia="仿宋_GB2312" w:cs="Times New Roman"/>
          <w:b/>
          <w:bCs/>
          <w:sz w:val="32"/>
          <w:szCs w:val="32"/>
          <w:highlight w:val="none"/>
          <w:lang w:val="en-US" w:eastAsia="zh-CN"/>
        </w:rPr>
        <w:t>92%以上</w:t>
      </w:r>
      <w:r>
        <w:rPr>
          <w:rFonts w:hint="eastAsia" w:eastAsia="仿宋_GB2312" w:cs="Times New Roman"/>
          <w:b/>
          <w:bCs/>
          <w:sz w:val="32"/>
          <w:szCs w:val="32"/>
          <w:highlight w:val="none"/>
          <w:lang w:eastAsia="zh-CN"/>
        </w:rPr>
        <w:t>。</w:t>
      </w:r>
    </w:p>
    <w:p w14:paraId="282EB271">
      <w:pPr>
        <w:spacing w:beforeLines="0" w:afterLines="0" w:line="360" w:lineRule="auto"/>
        <w:ind w:firstLine="643" w:firstLineChars="200"/>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sz w:val="32"/>
          <w:szCs w:val="32"/>
          <w:highlight w:val="none"/>
        </w:rPr>
        <w:t>完善工业固体废物收运体系</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sz w:val="32"/>
          <w:szCs w:val="32"/>
          <w:highlight w:val="none"/>
        </w:rPr>
        <w:t>督促辖区内企业落实工业固体废物申报登记工作，按照区分重点、查漏补缺、逐步推进的思路，逐步梳理本辖区内的工业固体废物产生源，按省、市要求组织产废企业开展申报登记。对新（改扩）建企业的环评文件，要在环评批复上明确要求其落实工业固体废物申报登记工作。合理布局一般工业固体废物回收暂存点，解决小微企业一般工业固体废物运输难、无处置出路问题；</w:t>
      </w:r>
      <w:r>
        <w:rPr>
          <w:rFonts w:hint="default" w:ascii="Times New Roman" w:hAnsi="Times New Roman" w:eastAsia="仿宋_GB2312" w:cs="Times New Roman"/>
          <w:color w:val="auto"/>
          <w:sz w:val="32"/>
          <w:szCs w:val="32"/>
          <w:highlight w:val="none"/>
        </w:rPr>
        <w:t>加强对一般工业固体废物年产生量1000吨以上企业和危险废物重点监控企业的规范化监督管理，督促其按照要求建设贮存设施和场所，落实安全分类存放措施。</w:t>
      </w:r>
    </w:p>
    <w:p w14:paraId="0567F63B">
      <w:pPr>
        <w:spacing w:beforeLines="0" w:afterLines="0" w:line="360" w:lineRule="auto"/>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提升工业固体废物利用水平</w:t>
      </w:r>
      <w:r>
        <w:rPr>
          <w:rFonts w:hint="default" w:ascii="Times New Roman" w:hAnsi="Times New Roman" w:eastAsia="仿宋_GB2312" w:cs="Times New Roman"/>
          <w:b/>
          <w:color w:val="auto"/>
          <w:sz w:val="32"/>
          <w:szCs w:val="32"/>
          <w:highlight w:val="none"/>
          <w:lang w:eastAsia="zh-CN"/>
        </w:rPr>
        <w:t>。</w:t>
      </w:r>
      <w:r>
        <w:rPr>
          <w:rFonts w:hint="default" w:ascii="Times New Roman" w:hAnsi="Times New Roman" w:eastAsia="仿宋_GB2312" w:cs="Times New Roman"/>
          <w:color w:val="auto"/>
          <w:sz w:val="32"/>
          <w:szCs w:val="32"/>
          <w:highlight w:val="none"/>
        </w:rPr>
        <w:t>大力推进各类工业园区实行工业固体废物循环化改造，促进工业固体废物综合利用和安全处置。通过以奖代补形式促进工业园区固体废物资源化利用；在工业固体废物产生量大的企业和市政污水处理厂，推广国家鼓励的工业固体废物综合利用先进适用技术、循环经济技术、工艺和设备、有毒有害原料（产品）替代品等，推动一般工业固体废物的资源化利用；鼓励、引导产废企业、回收企业和用废企业进入固体废物交易平台，对利用途径畅通且转移风险较小的废物类别鼓励依托再生资源回收体系拓展利用出路；鼓励和引导废旧金属、废弃电器电子产品、报废汽车等领域再生利用企业转型升级，引进或培育再生资源回收龙头示范企业。</w:t>
      </w:r>
    </w:p>
    <w:p w14:paraId="604A28F2">
      <w:pPr>
        <w:pStyle w:val="5"/>
        <w:keepNext w:val="0"/>
        <w:keepLines w:val="0"/>
        <w:numPr>
          <w:ilvl w:val="-1"/>
          <w:numId w:val="0"/>
        </w:numPr>
        <w:spacing w:beforeLines="0" w:afterLines="0" w:line="360" w:lineRule="auto"/>
        <w:ind w:firstLine="643"/>
        <w:rPr>
          <w:rFonts w:hint="eastAsia" w:ascii="黑体" w:hAnsi="黑体" w:eastAsia="黑体" w:cs="黑体"/>
          <w:b w:val="0"/>
          <w:sz w:val="32"/>
          <w:szCs w:val="32"/>
          <w:highlight w:val="none"/>
        </w:rPr>
      </w:pPr>
      <w:r>
        <w:rPr>
          <w:rFonts w:hint="eastAsia" w:ascii="黑体" w:hAnsi="黑体" w:eastAsia="黑体" w:cs="黑体"/>
          <w:b w:val="0"/>
          <w:sz w:val="32"/>
          <w:szCs w:val="32"/>
          <w:highlight w:val="none"/>
        </w:rPr>
        <w:t>三、推进危险废物污染防治</w:t>
      </w:r>
    </w:p>
    <w:p w14:paraId="2C25DDFB">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推进危险废物源头减量</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进一步规范建设项目产生危险废物的环境影响评价工作，加强环评阶段固体废物属性判定，强化危险废物污染环境防治设施“三同时”管理。积极推行产品绿色设计，鼓励金属制品业、通用设备制造业、机动车、电子产品和日用品产品修理业、其他制造业等重点产废行业研发、推广减少工业危险废物产生量和降低工业危险废物危害性的生产工艺、设备，减少危险废物产生量。</w:t>
      </w:r>
    </w:p>
    <w:p w14:paraId="13F3D636">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推进工业源危险废物收运工作</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依法探索安全高效的工业园区危险废物收运模式，探索开展危险废物收集贮存试点，鼓励危险废物处置单位在有危险废物收运需求、具备条件的工业园区设立危险废物收运贮存设施，为服务范围内的产废企业提供危险废物收集、运输和贮存服务，推动危险废物分类收集专业化、规模化和园区化发展。</w:t>
      </w:r>
    </w:p>
    <w:p w14:paraId="0B97E6E8">
      <w:pPr>
        <w:spacing w:beforeLines="0" w:afterLines="0" w:line="360" w:lineRule="auto"/>
        <w:ind w:firstLine="643" w:firstLineChars="200"/>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推进小微企业及社会源危险废物收运工作</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开展小微企业及社会源危险废物排查，全面推进社会源危险废物申报登记和规范化管理，建立完善的社会源危险废物监管机制。结合现状工业企业布局，着力解决小微产废企业危险废物收集难问题，布局危险废物收集、转运、贮存的第三方经营单位，通过经营单位在不同产业集群设点收集、园区统一建设贮存设施，解决企业无法自行处理危险废物及利用处置出路不畅的问题。鼓励建立废电池、废荧光灯管、废杀虫剂等生活源危险废物回收网络；在报废机动车处理方面，完善机动车维修、拆解企业危险废物环境管理工作，明确收集贮存、废物流向等具体规定，推进机动车维修企业规范处理处置危险废物，配合市生态环境局建设完成废机油收集中转试点。探索建立实验室废物集中统一收运模式，鼓励高等院校、科研院所及其他实验室危险废物产生单位，委托处置企业</w:t>
      </w:r>
      <w:r>
        <w:rPr>
          <w:rFonts w:hint="eastAsia" w:eastAsia="仿宋_GB2312" w:cs="Times New Roman"/>
          <w:sz w:val="32"/>
          <w:szCs w:val="32"/>
          <w:highlight w:val="none"/>
          <w:lang w:eastAsia="zh-CN"/>
        </w:rPr>
        <w:t>或者其他</w:t>
      </w:r>
      <w:r>
        <w:rPr>
          <w:rFonts w:hint="default" w:ascii="Times New Roman" w:hAnsi="Times New Roman" w:eastAsia="仿宋_GB2312" w:cs="Times New Roman"/>
          <w:sz w:val="32"/>
          <w:szCs w:val="32"/>
          <w:highlight w:val="none"/>
        </w:rPr>
        <w:t>专业机构开展产废单位内部危险废物的分类、包装、贮存和转运等延伸服务，提高危险废物的规范化收集的比例和安全处置率。</w:t>
      </w:r>
      <w:r>
        <w:rPr>
          <w:rFonts w:hint="default" w:ascii="Times New Roman" w:hAnsi="Times New Roman" w:eastAsia="仿宋_GB2312" w:cs="Times New Roman"/>
          <w:b/>
          <w:bCs/>
          <w:sz w:val="32"/>
          <w:szCs w:val="32"/>
          <w:highlight w:val="none"/>
        </w:rPr>
        <w:t>到2025年</w:t>
      </w:r>
      <w:r>
        <w:rPr>
          <w:rFonts w:hint="eastAsia" w:eastAsia="仿宋_GB2312" w:cs="Times New Roman"/>
          <w:b/>
          <w:bCs/>
          <w:sz w:val="32"/>
          <w:szCs w:val="32"/>
          <w:highlight w:val="none"/>
          <w:lang w:val="en-US" w:eastAsia="zh-CN"/>
        </w:rPr>
        <w:t>底</w:t>
      </w:r>
      <w:r>
        <w:rPr>
          <w:rFonts w:hint="default" w:ascii="Times New Roman" w:hAnsi="Times New Roman" w:eastAsia="仿宋_GB2312" w:cs="Times New Roman"/>
          <w:b/>
          <w:bCs/>
          <w:sz w:val="32"/>
          <w:szCs w:val="32"/>
          <w:highlight w:val="none"/>
        </w:rPr>
        <w:t>初步形成覆盖全镇范围的社会源危险废物收运体系</w:t>
      </w:r>
      <w:r>
        <w:rPr>
          <w:rFonts w:hint="eastAsia"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bCs/>
          <w:sz w:val="32"/>
          <w:szCs w:val="32"/>
          <w:highlight w:val="none"/>
        </w:rPr>
        <w:t>到</w:t>
      </w:r>
      <w:r>
        <w:rPr>
          <w:rFonts w:hint="eastAsia" w:eastAsia="仿宋_GB2312" w:cs="Times New Roman"/>
          <w:b/>
          <w:bCs/>
          <w:sz w:val="32"/>
          <w:szCs w:val="32"/>
          <w:highlight w:val="none"/>
          <w:lang w:eastAsia="zh-CN"/>
        </w:rPr>
        <w:t>2030</w:t>
      </w:r>
      <w:r>
        <w:rPr>
          <w:rFonts w:hint="default" w:ascii="Times New Roman" w:hAnsi="Times New Roman" w:eastAsia="仿宋_GB2312" w:cs="Times New Roman"/>
          <w:b/>
          <w:bCs/>
          <w:sz w:val="32"/>
          <w:szCs w:val="32"/>
          <w:highlight w:val="none"/>
        </w:rPr>
        <w:t>年</w:t>
      </w:r>
      <w:r>
        <w:rPr>
          <w:rFonts w:hint="eastAsia" w:eastAsia="仿宋_GB2312" w:cs="Times New Roman"/>
          <w:b/>
          <w:bCs/>
          <w:sz w:val="32"/>
          <w:szCs w:val="32"/>
          <w:highlight w:val="none"/>
          <w:lang w:val="en-US" w:eastAsia="zh-CN"/>
        </w:rPr>
        <w:t>底基本</w:t>
      </w:r>
      <w:r>
        <w:rPr>
          <w:rFonts w:hint="default" w:ascii="Times New Roman" w:hAnsi="Times New Roman" w:eastAsia="仿宋_GB2312" w:cs="Times New Roman"/>
          <w:b/>
          <w:bCs/>
          <w:sz w:val="32"/>
          <w:szCs w:val="32"/>
          <w:highlight w:val="none"/>
        </w:rPr>
        <w:t>形成</w:t>
      </w:r>
      <w:r>
        <w:rPr>
          <w:rFonts w:hint="eastAsia" w:eastAsia="仿宋_GB2312" w:cs="Times New Roman"/>
          <w:b/>
          <w:bCs/>
          <w:sz w:val="32"/>
          <w:szCs w:val="32"/>
          <w:highlight w:val="none"/>
          <w:lang w:val="en-US" w:eastAsia="zh-CN"/>
        </w:rPr>
        <w:t>健全的</w:t>
      </w:r>
      <w:r>
        <w:rPr>
          <w:rFonts w:hint="default" w:ascii="Times New Roman" w:hAnsi="Times New Roman" w:eastAsia="仿宋_GB2312" w:cs="Times New Roman"/>
          <w:b/>
          <w:bCs/>
          <w:sz w:val="32"/>
          <w:szCs w:val="32"/>
          <w:highlight w:val="none"/>
        </w:rPr>
        <w:t>社会源危险废物收运体系。</w:t>
      </w:r>
    </w:p>
    <w:p w14:paraId="46DD053C">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推进医疗废物收运工作</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加强对医疗卫生机构医疗废物收集、运输和贮存过程中的疾病防治工作，进一步深化对医护人员以及工勤人员的培训，严格落实医疗废弃物分类管理、台账制度，探索推行智能化收运设备；做好输液瓶（袋）废弃物产生环节的日常管理，规范输液瓶（袋）使用量和回收量台账记录，强化医疗机构与输液瓶（袋）回收企业回收协议监管，推动输液瓶（袋）回收和利用体系建设，加强医疗机构与输液瓶（袋）回收企业监管，确保镇内输液瓶（袋）回收渠道畅通和规范处理。</w:t>
      </w:r>
    </w:p>
    <w:p w14:paraId="2E321E95">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加强</w:t>
      </w:r>
      <w:r>
        <w:rPr>
          <w:rFonts w:hint="eastAsia" w:eastAsia="仿宋_GB2312" w:cs="Times New Roman"/>
          <w:b/>
          <w:bCs/>
          <w:sz w:val="32"/>
          <w:szCs w:val="32"/>
          <w:highlight w:val="none"/>
          <w:lang w:val="en-US" w:eastAsia="zh-CN"/>
        </w:rPr>
        <w:t>危险</w:t>
      </w:r>
      <w:r>
        <w:rPr>
          <w:rFonts w:hint="default" w:ascii="Times New Roman" w:hAnsi="Times New Roman" w:eastAsia="仿宋_GB2312" w:cs="Times New Roman"/>
          <w:b/>
          <w:bCs/>
          <w:sz w:val="32"/>
          <w:szCs w:val="32"/>
          <w:highlight w:val="none"/>
        </w:rPr>
        <w:t>废物运输监管</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加强对危险废物运输过程的管理。将危险废物运输车辆纳入日常检查内容，严控非法转运。加强沿河、水库重点区域的固体废物非法贮存、倾倒和填埋点排查和监管。强化对危险废物转移的监督检查，建立转移联单管理系统，实时监控危险废物的转移流向，建立起比较全面的危险废物环境保护管理机制，使工业危险废物的综合利用做到良性发展。</w:t>
      </w:r>
    </w:p>
    <w:p w14:paraId="69CF4B2B">
      <w:pPr>
        <w:pStyle w:val="5"/>
        <w:numPr>
          <w:ilvl w:val="0"/>
          <w:numId w:val="0"/>
        </w:numPr>
        <w:spacing w:beforeLines="0" w:afterLines="0" w:line="360" w:lineRule="auto"/>
        <w:ind w:firstLine="640" w:firstLineChars="200"/>
        <w:rPr>
          <w:rFonts w:hint="eastAsia" w:ascii="黑体" w:hAnsi="黑体" w:eastAsia="黑体" w:cs="黑体"/>
          <w:b w:val="0"/>
          <w:sz w:val="32"/>
          <w:szCs w:val="32"/>
          <w:highlight w:val="none"/>
          <w:lang w:eastAsia="zh-CN"/>
        </w:rPr>
      </w:pPr>
      <w:r>
        <w:rPr>
          <w:rFonts w:hint="eastAsia" w:ascii="黑体" w:hAnsi="黑体" w:eastAsia="黑体" w:cs="黑体"/>
          <w:b w:val="0"/>
          <w:sz w:val="32"/>
          <w:szCs w:val="32"/>
          <w:highlight w:val="none"/>
          <w:lang w:eastAsia="zh-CN"/>
        </w:rPr>
        <w:t>四、加强其他固体废弃物污染处理处置</w:t>
      </w:r>
    </w:p>
    <w:p w14:paraId="7BE6BBE3">
      <w:pPr>
        <w:spacing w:beforeLines="0" w:afterLines="0" w:line="360" w:lineRule="auto"/>
        <w:ind w:firstLine="643" w:firstLineChars="200"/>
        <w:rPr>
          <w:rFonts w:hint="eastAsia" w:ascii="Times New Roman" w:hAnsi="Times New Roman" w:eastAsia="仿宋_GB2312" w:cs="Times New Roman"/>
          <w:sz w:val="32"/>
          <w:szCs w:val="32"/>
          <w:highlight w:val="none"/>
          <w:lang w:eastAsia="zh-CN"/>
        </w:rPr>
      </w:pPr>
      <w:r>
        <w:rPr>
          <w:rFonts w:hint="eastAsia" w:eastAsia="仿宋_GB2312" w:cs="Times New Roman"/>
          <w:b/>
          <w:bCs/>
          <w:sz w:val="32"/>
          <w:szCs w:val="32"/>
          <w:highlight w:val="none"/>
          <w:lang w:eastAsia="zh-CN"/>
        </w:rPr>
        <w:t>完善粪污管理体系</w:t>
      </w:r>
      <w:r>
        <w:rPr>
          <w:rFonts w:hint="eastAsia" w:eastAsia="仿宋_GB2312" w:cs="Times New Roman"/>
          <w:sz w:val="32"/>
          <w:szCs w:val="32"/>
          <w:highlight w:val="none"/>
          <w:lang w:eastAsia="zh-CN"/>
        </w:rPr>
        <w:t>。摸查镇区内粪污产生量及排放处理去向，加强对粪污排放处理管控，及时清掏维护粪污处理设施，做好粪污无害化处理，避免造成环境污染。</w:t>
      </w:r>
    </w:p>
    <w:p w14:paraId="1383AAA3">
      <w:pPr>
        <w:spacing w:beforeLines="0" w:afterLines="0" w:line="360" w:lineRule="auto"/>
        <w:ind w:firstLine="643" w:firstLineChars="200"/>
        <w:rPr>
          <w:rFonts w:hint="default" w:ascii="Times New Roman" w:hAnsi="Times New Roman" w:eastAsia="仿宋_GB2312" w:cs="Times New Roman"/>
          <w:sz w:val="32"/>
          <w:szCs w:val="32"/>
          <w:highlight w:val="none"/>
          <w:lang w:val="en-US" w:eastAsia="zh-CN"/>
        </w:rPr>
      </w:pPr>
      <w:r>
        <w:rPr>
          <w:rFonts w:hint="default" w:eastAsia="仿宋_GB2312" w:cs="Times New Roman"/>
          <w:b/>
          <w:bCs/>
          <w:sz w:val="32"/>
          <w:szCs w:val="32"/>
          <w:highlight w:val="none"/>
          <w:lang w:val="en-US" w:eastAsia="zh-CN"/>
        </w:rPr>
        <w:t>提升建筑垃圾资源化利用水平</w:t>
      </w:r>
      <w:r>
        <w:rPr>
          <w:rFonts w:hint="eastAsia" w:eastAsia="仿宋_GB2312" w:cs="Times New Roman"/>
          <w:sz w:val="32"/>
          <w:szCs w:val="32"/>
          <w:highlight w:val="none"/>
          <w:lang w:val="en-US" w:eastAsia="zh-CN"/>
        </w:rPr>
        <w:t>。推广绿色建筑与装配式建筑，强化建筑废弃物源头减量；鼓励具备条件的城市更新项目、政府投资项目，在确保环保措施落实到位的前提下，采用移动式资源化处理设备，实现建筑垃圾就地处理回用；强化推动建筑垃圾的精细化分类及分质利用，推动建筑垃圾生产再生骨料等建材制品、筑路材料和回填利用，推广成分复杂的建筑垃圾资源化成套工艺及装备的应用，完善收集、清运、分拣和再利用的一体化回收系统。加快智慧监管系统建设，探索建立建筑垃圾电子转移联单管理制度，规范现有简易渣土堆放场运营管理，合理规划设置建筑临时堆放点，完善建筑垃圾中转设施建设，设立专门的建筑垃圾收集站，运用市场化的经营方式由具有条件和资质的建筑垃圾处置单位统一收集、处置，提高建筑垃圾资源化利用能力，推进清溪绿色循环经济资源综合利用项目工程建设。</w:t>
      </w:r>
    </w:p>
    <w:p w14:paraId="3C1B2DA1">
      <w:pPr>
        <w:pStyle w:val="5"/>
        <w:keepNext w:val="0"/>
        <w:keepLines w:val="0"/>
        <w:numPr>
          <w:ilvl w:val="-1"/>
          <w:numId w:val="0"/>
        </w:numPr>
        <w:spacing w:beforeLines="0" w:afterLines="0" w:line="360" w:lineRule="auto"/>
        <w:ind w:firstLine="643"/>
        <w:rPr>
          <w:rFonts w:hint="eastAsia" w:ascii="黑体" w:hAnsi="黑体" w:eastAsia="黑体" w:cs="黑体"/>
          <w:b w:val="0"/>
          <w:sz w:val="32"/>
          <w:szCs w:val="32"/>
          <w:highlight w:val="none"/>
        </w:rPr>
      </w:pPr>
      <w:r>
        <w:rPr>
          <w:rFonts w:hint="eastAsia" w:ascii="黑体" w:hAnsi="黑体" w:eastAsia="黑体" w:cs="黑体"/>
          <w:b w:val="0"/>
          <w:sz w:val="32"/>
          <w:szCs w:val="32"/>
          <w:highlight w:val="none"/>
          <w:lang w:val="en-US" w:eastAsia="zh-CN"/>
        </w:rPr>
        <w:t>五</w:t>
      </w:r>
      <w:r>
        <w:rPr>
          <w:rFonts w:hint="eastAsia" w:ascii="黑体" w:hAnsi="黑体" w:eastAsia="黑体" w:cs="黑体"/>
          <w:b w:val="0"/>
          <w:sz w:val="32"/>
          <w:szCs w:val="32"/>
          <w:highlight w:val="none"/>
        </w:rPr>
        <w:t>、强化固体废物管理体系建设</w:t>
      </w:r>
    </w:p>
    <w:p w14:paraId="402B6857">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完善危险废物监管源清单制度</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val="0"/>
          <w:bCs w:val="0"/>
          <w:sz w:val="32"/>
          <w:szCs w:val="32"/>
          <w:highlight w:val="none"/>
          <w:lang w:val="en-US" w:eastAsia="zh-CN"/>
        </w:rPr>
        <w:t>依托</w:t>
      </w:r>
      <w:r>
        <w:rPr>
          <w:rFonts w:hint="default" w:ascii="Times New Roman" w:hAnsi="Times New Roman" w:eastAsia="仿宋_GB2312" w:cs="Times New Roman"/>
          <w:sz w:val="32"/>
          <w:szCs w:val="32"/>
          <w:highlight w:val="none"/>
        </w:rPr>
        <w:t>广东省固体废物信息管理平台，</w:t>
      </w:r>
      <w:r>
        <w:rPr>
          <w:rFonts w:hint="eastAsia" w:ascii="Times New Roman" w:hAnsi="Times New Roman" w:eastAsia="仿宋_GB2312" w:cs="Times New Roman"/>
          <w:sz w:val="32"/>
          <w:szCs w:val="32"/>
          <w:highlight w:val="none"/>
          <w:lang w:val="en-US" w:eastAsia="zh-CN"/>
        </w:rPr>
        <w:t>及</w:t>
      </w:r>
      <w:r>
        <w:rPr>
          <w:rFonts w:hint="default" w:ascii="Times New Roman" w:hAnsi="Times New Roman" w:eastAsia="仿宋_GB2312" w:cs="Times New Roman"/>
          <w:sz w:val="32"/>
          <w:szCs w:val="32"/>
          <w:highlight w:val="none"/>
        </w:rPr>
        <w:t>第二次全国污染源普查和环境统计工作</w:t>
      </w:r>
      <w:r>
        <w:rPr>
          <w:rFonts w:hint="eastAsia" w:ascii="Times New Roman" w:hAnsi="Times New Roman" w:eastAsia="仿宋_GB2312" w:cs="Times New Roman"/>
          <w:sz w:val="32"/>
          <w:szCs w:val="32"/>
          <w:highlight w:val="none"/>
          <w:lang w:val="en-US" w:eastAsia="zh-CN"/>
        </w:rPr>
        <w:t>基础</w:t>
      </w:r>
      <w:r>
        <w:rPr>
          <w:rFonts w:hint="default" w:ascii="Times New Roman" w:hAnsi="Times New Roman" w:eastAsia="仿宋_GB2312" w:cs="Times New Roman"/>
          <w:sz w:val="32"/>
          <w:szCs w:val="32"/>
          <w:highlight w:val="none"/>
        </w:rPr>
        <w:t>，建立危险废物产生单位清单和拥有危险废物自行利用处置设施的单位清单。将年产生危险废物10吨以上（含10吨）的，产生危险特性为易燃性、反应性危险废物的，产生或贮存含氰化物等剧毒性质危险废物的相关单位，纳入生态环境部门重点监管范围，并同步纳入广东省固体废物管理信息平台和全国固体废物管理信息系统实施统一管理。</w:t>
      </w:r>
    </w:p>
    <w:p w14:paraId="5B4F1C0B">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提升固体废物管理信息化水平</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加强工业固体废物年度申报登记以及固体废物环境监管工作。以第二次全国污染源普查数据为基准底数，督促产废单位全面落实固体废物申报登记制度，并建立健全企业网上报告数据质量抽查核查工作机制，持续摸查工业固体废物产生底数。推广利用东莞“智慧环保”信息化平台，实现全镇一般工业固废、危险废物、农业废弃物、生活垃圾、建筑垃圾和污泥六大类固体废物统筹管理，利用视频监控、运输车辆轨迹跟踪、在线称重、出入库电子台账、二维码标签溯源追踪等物联网先进信息技术，实现对各类固体废物产生、流向、处理处置、二次污染物产生情况等信息实时监控，推进固体废物收集、转移、处置等全过程信息化追溯工作。</w:t>
      </w:r>
    </w:p>
    <w:p w14:paraId="19861E18">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完善固体废物管理规范化体系</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落实工业企业固体废物分类管理、申报登记、经营许可、管理计划、转移联单、应急预案等管理制度。强化企业污染防治主体责任，督促企业主动落实危险废物各项法律制度和标准规范。对危险废物产生重点企业和危险废物经营企业实行规范化管理全覆盖培训，宣传贯彻危险废物规范化管理要求，落实双随机抽查机制，按照企业自查、镇（区）核查模式，有序推进危险废物规范化管理达标建设工作，加强事中事后监管。加强危险废物规范化管理督查考核和环境执法，将考核和执法情况与企业环保信用挂钩，强化联合惩戒。</w:t>
      </w:r>
    </w:p>
    <w:p w14:paraId="3785A9D4">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加大环境监管执法力度</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以危险废物为重点，实行对违法倾倒固体废物的行为的“零容忍”，营造“有案必侦破、露头必狠打、违法必严惩”的执法高压态势。加大固体废物申报登记虚报、瞒报、谎报、漏报等行为的查处力度。强化部门联防联控，生态环境部门密切联系工信、公安、交通、商务、应急、城管等相关行政主管部门，加强沟通协调，建立部门信息共享和联动执法机制。加强环境污染案件危险废物认定、环境损害评估等司法衔接，保障环境污染犯罪案件及时立案、依法查处。鼓励将危险废物非法转移、利用、处置等列为有奖举报内容，加强社会监督。</w:t>
      </w:r>
    </w:p>
    <w:p w14:paraId="3B011089">
      <w:pPr>
        <w:spacing w:beforeLines="0" w:afterLines="0" w:line="360" w:lineRule="auto"/>
        <w:ind w:firstLine="643"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提升固体废物风险防范能力</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依托危险废物经营单位建立区域危险废物环境应急处置网络，开展应急风险防范基地建设，加强应急物资储备、应急监测设备配置和应急队伍建设。强化监管队伍能力建设，支持市固体废物管理中心的支撑能力建设，增加固体废物管理专职人员配置，采取针对性培训等措施，精准提升工业固体废物监管能力。强化企业环境风险防控意识。依法将危险废物产生单位和危险废物经营单位纳入环境污染强制责任保险投保范围。</w:t>
      </w:r>
    </w:p>
    <w:bookmarkEnd w:id="269"/>
    <w:p w14:paraId="7A623089">
      <w:pPr>
        <w:pStyle w:val="4"/>
        <w:numPr>
          <w:ilvl w:val="0"/>
          <w:numId w:val="4"/>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270" w:name="_Toc31333"/>
      <w:bookmarkStart w:id="271" w:name="_Toc9070"/>
      <w:bookmarkStart w:id="272" w:name="_Toc27247"/>
      <w:bookmarkStart w:id="273" w:name="_Toc25085"/>
      <w:bookmarkStart w:id="274" w:name="_Toc2704"/>
      <w:bookmarkStart w:id="275" w:name="_Toc30097"/>
      <w:bookmarkStart w:id="276" w:name="_Toc25547"/>
      <w:bookmarkStart w:id="277" w:name="_Toc29117"/>
      <w:bookmarkStart w:id="278" w:name="_Toc21132"/>
      <w:bookmarkStart w:id="279" w:name="_Toc16850"/>
      <w:bookmarkStart w:id="280" w:name="_Toc5259"/>
      <w:r>
        <w:rPr>
          <w:rFonts w:hint="default" w:ascii="Times New Roman" w:hAnsi="Times New Roman" w:eastAsia="楷体_GB2312" w:cs="Times New Roman"/>
          <w:b/>
          <w:bCs w:val="0"/>
          <w:snapToGrid w:val="0"/>
          <w:highlight w:val="none"/>
          <w:lang w:val="en-US" w:eastAsia="zh-CN"/>
        </w:rPr>
        <w:t>改善农村环境，助推</w:t>
      </w:r>
      <w:r>
        <w:rPr>
          <w:rFonts w:hint="default" w:ascii="Times New Roman" w:hAnsi="Times New Roman" w:eastAsia="楷体_GB2312" w:cs="Times New Roman"/>
          <w:bCs w:val="0"/>
          <w:snapToGrid w:val="0"/>
          <w:highlight w:val="none"/>
        </w:rPr>
        <w:t>“百千万工程”</w:t>
      </w:r>
      <w:bookmarkEnd w:id="270"/>
      <w:bookmarkEnd w:id="271"/>
      <w:bookmarkEnd w:id="272"/>
      <w:bookmarkEnd w:id="273"/>
      <w:bookmarkEnd w:id="274"/>
      <w:bookmarkEnd w:id="275"/>
      <w:bookmarkEnd w:id="276"/>
      <w:bookmarkEnd w:id="277"/>
      <w:bookmarkEnd w:id="278"/>
      <w:bookmarkEnd w:id="279"/>
      <w:bookmarkEnd w:id="280"/>
    </w:p>
    <w:p w14:paraId="549FD27C">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一、加强畜禽养殖污染防治</w:t>
      </w:r>
    </w:p>
    <w:p w14:paraId="34E3E69F">
      <w:pPr>
        <w:pageBreakBefore w:val="0"/>
        <w:kinsoku/>
        <w:wordWrap/>
        <w:bidi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加大畜禽养殖污染监管力度。</w:t>
      </w:r>
      <w:r>
        <w:rPr>
          <w:rFonts w:hint="default" w:ascii="Times New Roman" w:hAnsi="Times New Roman" w:eastAsia="仿宋_GB2312" w:cs="Times New Roman"/>
          <w:b w:val="0"/>
          <w:bCs w:val="0"/>
          <w:sz w:val="32"/>
          <w:szCs w:val="32"/>
          <w:highlight w:val="none"/>
          <w:lang w:val="en-US" w:eastAsia="zh-CN"/>
        </w:rPr>
        <w:t>严格实施分区管理，巩固水源保护区等禁养区清退工作成果，加强常态化监管执法。</w:t>
      </w:r>
      <w:r>
        <w:rPr>
          <w:rFonts w:hint="default" w:ascii="Times New Roman" w:hAnsi="Times New Roman" w:eastAsia="仿宋_GB2312" w:cs="Times New Roman"/>
          <w:sz w:val="32"/>
          <w:szCs w:val="32"/>
          <w:highlight w:val="none"/>
        </w:rPr>
        <w:t>规范非禁养区内畜禽养殖业生产，新建、改建、扩建规模化畜禽养殖场（小区）要实施雨污分流、粪便污水资源化利用。</w:t>
      </w:r>
    </w:p>
    <w:p w14:paraId="538FE14A">
      <w:pPr>
        <w:pageBreakBefore w:val="0"/>
        <w:kinsoku/>
        <w:wordWrap/>
        <w:bidi w:val="0"/>
        <w:spacing w:line="360" w:lineRule="auto"/>
        <w:ind w:firstLine="643" w:firstLineChars="200"/>
        <w:rPr>
          <w:rFonts w:hint="default" w:ascii="Times New Roman" w:hAnsi="Times New Roman" w:eastAsia="仿宋_GB2312" w:cs="Times New Roman"/>
          <w:b/>
          <w:bCs/>
          <w:kern w:val="2"/>
          <w:sz w:val="32"/>
          <w:szCs w:val="32"/>
          <w:highlight w:val="none"/>
          <w:lang w:val="en-US" w:eastAsia="zh-CN" w:bidi="ar-SA"/>
        </w:rPr>
      </w:pPr>
      <w:r>
        <w:rPr>
          <w:rFonts w:hint="default" w:ascii="Times New Roman" w:hAnsi="Times New Roman" w:eastAsia="仿宋_GB2312" w:cs="Times New Roman"/>
          <w:b/>
          <w:bCs/>
          <w:sz w:val="32"/>
          <w:szCs w:val="32"/>
          <w:highlight w:val="none"/>
          <w:lang w:val="en-US" w:eastAsia="zh-CN"/>
        </w:rPr>
        <w:t>推进畜禽粪污资源化利用。</w:t>
      </w:r>
      <w:r>
        <w:rPr>
          <w:rFonts w:hint="default" w:ascii="Times New Roman" w:hAnsi="Times New Roman" w:eastAsia="仿宋_GB2312" w:cs="Times New Roman"/>
          <w:b w:val="0"/>
          <w:bCs w:val="0"/>
          <w:sz w:val="32"/>
          <w:szCs w:val="32"/>
          <w:highlight w:val="none"/>
          <w:lang w:val="en-US" w:eastAsia="zh-CN"/>
        </w:rPr>
        <w:t>建</w:t>
      </w:r>
      <w:r>
        <w:rPr>
          <w:rFonts w:hint="eastAsia" w:eastAsia="仿宋_GB2312" w:cs="Times New Roman"/>
          <w:b w:val="0"/>
          <w:bCs w:val="0"/>
          <w:sz w:val="32"/>
          <w:szCs w:val="32"/>
          <w:highlight w:val="none"/>
          <w:lang w:val="en-US" w:eastAsia="zh-CN"/>
        </w:rPr>
        <w:t>立农</w:t>
      </w:r>
      <w:r>
        <w:rPr>
          <w:rFonts w:hint="default" w:ascii="Times New Roman" w:hAnsi="Times New Roman" w:eastAsia="仿宋_GB2312" w:cs="Times New Roman"/>
          <w:b w:val="0"/>
          <w:bCs w:val="0"/>
          <w:sz w:val="32"/>
          <w:szCs w:val="32"/>
          <w:highlight w:val="none"/>
          <w:lang w:val="en-US" w:eastAsia="zh-CN"/>
        </w:rPr>
        <w:t>户蓄积、企业收运与处理利用的社会化的畜禽粪便收运和处置体系。鼓励和引导在养殖密集区建设集中处理中心探索建立受益者付费、第三方处理企业和社会化服务组织合理收益的运行机制。推广农牧循环，促进畜禽粪污循环利用和全量还田。落实有机肥产品生产销售、化肥农药减量有机肥替代化肥等补贴和税收减免政策。鼓励规模以下畜禽养殖户采用“种养结合”“截污建池”“收运还田”等模式。</w:t>
      </w:r>
    </w:p>
    <w:p w14:paraId="0FBBF003">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二、强化农业面源污染治理</w:t>
      </w:r>
    </w:p>
    <w:p w14:paraId="74B1694E">
      <w:pPr>
        <w:pageBreakBefore w:val="0"/>
        <w:kinsoku/>
        <w:wordWrap/>
        <w:bidi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加强农村饮用水水源保护。</w:t>
      </w:r>
      <w:r>
        <w:rPr>
          <w:rFonts w:hint="default" w:ascii="Times New Roman" w:hAnsi="Times New Roman" w:eastAsia="仿宋_GB2312" w:cs="Times New Roman"/>
          <w:b w:val="0"/>
          <w:bCs w:val="0"/>
          <w:sz w:val="32"/>
          <w:szCs w:val="32"/>
          <w:highlight w:val="none"/>
          <w:lang w:val="en-US" w:eastAsia="zh-CN"/>
        </w:rPr>
        <w:t>加快落实“千吨万人”饮用水水源地标准化建设，强化饮用水水源地物理隔离和防控措施。继续开展乡镇供水水源地及乡镇区域供水水源保护范围的环境风险排查，针对可能影响水源地环境安全的污染源全面进行排查整治。实施从源头到水龙头的全过程控制，定期监测饮用水水源供水单位供水及用户水龙头的出水的水质情况，并向社会公开。</w:t>
      </w:r>
    </w:p>
    <w:p w14:paraId="3D13B630">
      <w:pPr>
        <w:pageBreakBefore w:val="0"/>
        <w:kinsoku/>
        <w:wordWrap/>
        <w:bidi w:val="0"/>
        <w:spacing w:line="360" w:lineRule="auto"/>
        <w:ind w:firstLine="643" w:firstLineChars="200"/>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加强种植业面源污染防治。</w:t>
      </w:r>
      <w:r>
        <w:rPr>
          <w:rFonts w:hint="default" w:ascii="Times New Roman" w:hAnsi="Times New Roman" w:eastAsia="仿宋_GB2312" w:cs="Times New Roman"/>
          <w:b w:val="0"/>
          <w:bCs w:val="0"/>
          <w:sz w:val="32"/>
          <w:szCs w:val="32"/>
          <w:highlight w:val="none"/>
          <w:lang w:val="en-US" w:eastAsia="zh-CN"/>
        </w:rPr>
        <w:t>继续推动化肥农药施用减量增效，深入推进测土配方施肥和农作物病虫害统防统治与全程绿色防控。严格执行化肥、农药等农业投入品质量标准，严格控制高毒高风险农药使用。完善废旧农膜、农药、肥料包装废弃物等回收利用制度，促进农业绿色发展。切实加强秸秆禁烧管控，推进秸秆全量综合利用，优先开展就地还田。规范农业废弃物回收利用和处置。</w:t>
      </w:r>
    </w:p>
    <w:p w14:paraId="24A71767">
      <w:pPr>
        <w:pStyle w:val="5"/>
        <w:keepNext w:val="0"/>
        <w:keepLines w:val="0"/>
        <w:pageBreakBefore w:val="0"/>
        <w:numPr>
          <w:ilvl w:val="-1"/>
          <w:numId w:val="0"/>
        </w:numPr>
        <w:kinsoku/>
        <w:wordWrap/>
        <w:bidi w:val="0"/>
        <w:spacing w:beforeLines="0" w:afterLines="0" w:line="360" w:lineRule="auto"/>
        <w:ind w:firstLine="643"/>
        <w:rPr>
          <w:rFonts w:hint="eastAsia" w:ascii="黑体" w:hAnsi="黑体" w:eastAsia="黑体" w:cs="黑体"/>
          <w:b w:val="0"/>
          <w:highlight w:val="none"/>
          <w:lang w:val="en-US" w:eastAsia="zh-CN"/>
        </w:rPr>
      </w:pPr>
      <w:r>
        <w:rPr>
          <w:rFonts w:hint="eastAsia" w:ascii="黑体" w:hAnsi="黑体" w:eastAsia="黑体" w:cs="黑体"/>
          <w:b w:val="0"/>
          <w:highlight w:val="none"/>
          <w:lang w:val="en-US" w:eastAsia="zh-CN"/>
        </w:rPr>
        <w:t>三、改善农村人居环境</w:t>
      </w:r>
    </w:p>
    <w:p w14:paraId="74422213">
      <w:pPr>
        <w:pStyle w:val="43"/>
        <w:ind w:firstLine="643" w:firstLineChars="200"/>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提高农村污水处理能力。</w:t>
      </w:r>
      <w:r>
        <w:rPr>
          <w:rFonts w:hint="default" w:ascii="Times New Roman" w:hAnsi="Times New Roman" w:eastAsia="仿宋_GB2312" w:cs="Times New Roman"/>
          <w:b w:val="0"/>
          <w:bCs w:val="0"/>
          <w:sz w:val="32"/>
          <w:szCs w:val="32"/>
          <w:highlight w:val="none"/>
          <w:lang w:val="en-US" w:eastAsia="zh-CN"/>
        </w:rPr>
        <w:t>实施农村生活污水治理提升行动。加快推动城镇污水管网逐步向周边自然村庄延伸，并与农村改厕有机衔接。对已建成农村生活污水治理设施运维使用情况进行“回头看”列出问题清单</w:t>
      </w:r>
      <w:r>
        <w:rPr>
          <w:rFonts w:hint="eastAsia" w:ascii="Times New Roman" w:hAnsi="Times New Roman" w:cs="Times New Roman"/>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逐项制定提升整治措施，对通过维修仍不能达到排放的治理设施采取替代方案。开展农村治理设施摸底排查工作，制定农村生活污水工作方案，明确建设目标、时间节点，组织推进工作，确保完成建设任务</w:t>
      </w:r>
      <w:r>
        <w:rPr>
          <w:rFonts w:hint="default" w:ascii="Times New Roman" w:hAnsi="Times New Roman" w:cs="Times New Roman"/>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切实解决“建得起</w:t>
      </w:r>
      <w:r>
        <w:rPr>
          <w:rFonts w:hint="default" w:ascii="Times New Roman" w:hAnsi="Times New Roman" w:cs="Times New Roman"/>
          <w:b w:val="0"/>
          <w:bCs w:val="0"/>
          <w:sz w:val="32"/>
          <w:szCs w:val="32"/>
          <w:highlight w:val="none"/>
          <w:lang w:val="en-US" w:eastAsia="zh-CN"/>
        </w:rPr>
        <w:t>、</w:t>
      </w:r>
      <w:r>
        <w:rPr>
          <w:rFonts w:hint="default" w:ascii="Times New Roman" w:hAnsi="Times New Roman" w:eastAsia="仿宋_GB2312" w:cs="Times New Roman"/>
          <w:b w:val="0"/>
          <w:bCs w:val="0"/>
          <w:sz w:val="32"/>
          <w:szCs w:val="32"/>
          <w:highlight w:val="none"/>
          <w:lang w:val="en-US" w:eastAsia="zh-CN"/>
        </w:rPr>
        <w:t>管不好”的问题。</w:t>
      </w:r>
    </w:p>
    <w:p w14:paraId="499F4490">
      <w:pPr>
        <w:pStyle w:val="43"/>
        <w:ind w:firstLine="643" w:firstLineChars="200"/>
        <w:rPr>
          <w:rFonts w:hint="default" w:ascii="Times New Roman" w:hAnsi="Times New Roman" w:cs="Times New Roman"/>
          <w:b/>
          <w:bCs/>
          <w:sz w:val="32"/>
          <w:szCs w:val="32"/>
          <w:highlight w:val="none"/>
        </w:rPr>
      </w:pPr>
      <w:r>
        <w:rPr>
          <w:rFonts w:hint="default" w:ascii="Times New Roman" w:hAnsi="Times New Roman" w:eastAsia="仿宋_GB2312" w:cs="Times New Roman"/>
          <w:b/>
          <w:bCs/>
          <w:sz w:val="32"/>
          <w:szCs w:val="32"/>
          <w:highlight w:val="none"/>
          <w:lang w:val="en-US" w:eastAsia="zh-CN"/>
        </w:rPr>
        <w:t>加快生活垃圾收运处理体系建设。</w:t>
      </w:r>
      <w:r>
        <w:rPr>
          <w:rFonts w:hint="default" w:ascii="Times New Roman" w:hAnsi="Times New Roman" w:eastAsia="仿宋_GB2312" w:cs="Times New Roman"/>
          <w:b w:val="0"/>
          <w:bCs w:val="0"/>
          <w:sz w:val="32"/>
          <w:szCs w:val="32"/>
          <w:highlight w:val="none"/>
          <w:lang w:val="en-US" w:eastAsia="zh-CN"/>
        </w:rPr>
        <w:t>因地制宜健全生活垃圾城乡一体化收运体系，加强垃圾焚烧发电厂等无害化处理设施建设。推行农村生活垃圾分类，完善农村保洁机制，建立环卫长效保洁制度和相对固定保洁队伍，引导鼓励源头分类、就地减量。加强农村生活废弃物回收处理网络设施建设，科学建立和完善农村生活废弃物分类回收处理机制，加强绿色消费理念和绿色生活方式引导，全面推动实现农村生活垃圾减量化、资源化和无害化治理。</w:t>
      </w:r>
      <w:r>
        <w:rPr>
          <w:rFonts w:hint="default" w:ascii="Times New Roman" w:hAnsi="Times New Roman" w:cs="Times New Roman"/>
          <w:b/>
          <w:bCs/>
          <w:sz w:val="32"/>
          <w:szCs w:val="32"/>
          <w:highlight w:val="none"/>
        </w:rPr>
        <w:t>到2025年</w:t>
      </w:r>
      <w:r>
        <w:rPr>
          <w:rFonts w:hint="eastAsia" w:ascii="Times New Roman" w:cs="Times New Roman"/>
          <w:b/>
          <w:bCs/>
          <w:sz w:val="32"/>
          <w:szCs w:val="32"/>
          <w:highlight w:val="none"/>
          <w:lang w:val="en-US" w:eastAsia="zh-CN"/>
        </w:rPr>
        <w:t>底</w:t>
      </w:r>
      <w:r>
        <w:rPr>
          <w:rFonts w:hint="default" w:ascii="Times New Roman" w:hAnsi="Times New Roman" w:cs="Times New Roman"/>
          <w:b/>
          <w:bCs/>
          <w:sz w:val="32"/>
          <w:szCs w:val="32"/>
          <w:highlight w:val="none"/>
        </w:rPr>
        <w:t>，全</w:t>
      </w:r>
      <w:r>
        <w:rPr>
          <w:rFonts w:hint="default" w:ascii="Times New Roman" w:hAnsi="Times New Roman" w:cs="Times New Roman"/>
          <w:b/>
          <w:bCs/>
          <w:sz w:val="32"/>
          <w:szCs w:val="32"/>
          <w:highlight w:val="none"/>
          <w:lang w:val="en-US" w:eastAsia="zh-CN"/>
        </w:rPr>
        <w:t>镇</w:t>
      </w:r>
      <w:r>
        <w:rPr>
          <w:rFonts w:hint="default" w:ascii="Times New Roman" w:hAnsi="Times New Roman" w:cs="Times New Roman"/>
          <w:b/>
          <w:bCs/>
          <w:sz w:val="32"/>
          <w:szCs w:val="32"/>
          <w:highlight w:val="none"/>
        </w:rPr>
        <w:t>基本建成生活垃圾分类处理城乡一体化系统。</w:t>
      </w:r>
    </w:p>
    <w:p w14:paraId="10B46CA7">
      <w:pPr>
        <w:pStyle w:val="43"/>
        <w:ind w:firstLine="643" w:firstLineChars="200"/>
        <w:rPr>
          <w:rFonts w:hint="default" w:ascii="Times New Roman" w:hAnsi="Times New Roman" w:cs="Times New Roman"/>
          <w:highlight w:val="none"/>
          <w:lang w:val="en-US" w:eastAsia="zh-CN"/>
        </w:rPr>
      </w:pPr>
      <w:r>
        <w:rPr>
          <w:rFonts w:hint="default" w:ascii="Times New Roman" w:hAnsi="Times New Roman" w:cs="Times New Roman"/>
          <w:b/>
          <w:bCs/>
          <w:sz w:val="32"/>
          <w:szCs w:val="32"/>
          <w:highlight w:val="none"/>
          <w:lang w:val="en-US" w:eastAsia="zh-CN"/>
        </w:rPr>
        <w:t>建设生态宜居美丽乡村</w:t>
      </w:r>
      <w:r>
        <w:rPr>
          <w:rFonts w:hint="eastAsia" w:ascii="Times New Roman" w:cs="Times New Roman"/>
          <w:b/>
          <w:bCs/>
          <w:sz w:val="32"/>
          <w:szCs w:val="32"/>
          <w:highlight w:val="none"/>
          <w:lang w:val="en-US" w:eastAsia="zh-CN"/>
        </w:rPr>
        <w:t>，</w:t>
      </w:r>
      <w:r>
        <w:rPr>
          <w:rFonts w:hint="default" w:ascii="Times New Roman" w:hAnsi="Times New Roman" w:cs="Times New Roman"/>
          <w:b/>
          <w:bCs/>
          <w:sz w:val="32"/>
          <w:szCs w:val="32"/>
          <w:highlight w:val="none"/>
          <w:lang w:val="en-US" w:eastAsia="zh-CN"/>
        </w:rPr>
        <w:t>提升村级经济发展质量。</w:t>
      </w:r>
      <w:r>
        <w:rPr>
          <w:rFonts w:hint="default" w:ascii="Times New Roman" w:hAnsi="Times New Roman" w:cs="Times New Roman"/>
          <w:b w:val="0"/>
          <w:bCs w:val="0"/>
          <w:sz w:val="32"/>
          <w:szCs w:val="32"/>
          <w:highlight w:val="none"/>
          <w:lang w:val="en-US" w:eastAsia="zh-CN"/>
        </w:rPr>
        <w:t>以农村人居环境整治为抓手，持续做好生活垃圾规范收集处理，巩固提升“三清三拆三整治”、厕所革命、老村旧村改造</w:t>
      </w:r>
      <w:r>
        <w:rPr>
          <w:rFonts w:hint="eastAsia" w:ascii="Times New Roman" w:cs="Times New Roman"/>
          <w:b w:val="0"/>
          <w:bCs w:val="0"/>
          <w:sz w:val="32"/>
          <w:szCs w:val="32"/>
          <w:highlight w:val="none"/>
          <w:lang w:val="en-US" w:eastAsia="zh-CN"/>
        </w:rPr>
        <w:t>、</w:t>
      </w:r>
      <w:r>
        <w:rPr>
          <w:rFonts w:hint="default" w:ascii="Times New Roman" w:hAnsi="Times New Roman" w:cs="Times New Roman"/>
          <w:b w:val="0"/>
          <w:bCs w:val="0"/>
          <w:sz w:val="32"/>
          <w:szCs w:val="32"/>
          <w:highlight w:val="none"/>
          <w:lang w:val="en-US" w:eastAsia="zh-CN"/>
        </w:rPr>
        <w:t>“四小园”</w:t>
      </w:r>
      <w:r>
        <w:rPr>
          <w:rFonts w:hint="eastAsia" w:ascii="Times New Roman" w:cs="Times New Roman"/>
          <w:b w:val="0"/>
          <w:bCs w:val="0"/>
          <w:sz w:val="32"/>
          <w:szCs w:val="32"/>
          <w:highlight w:val="none"/>
          <w:lang w:val="en-US" w:eastAsia="zh-CN"/>
        </w:rPr>
        <w:t>、“美丽田园”</w:t>
      </w:r>
      <w:r>
        <w:rPr>
          <w:rFonts w:hint="default" w:ascii="Times New Roman" w:hAnsi="Times New Roman" w:cs="Times New Roman"/>
          <w:b w:val="0"/>
          <w:bCs w:val="0"/>
          <w:sz w:val="32"/>
          <w:szCs w:val="32"/>
          <w:highlight w:val="none"/>
          <w:lang w:val="en-US" w:eastAsia="zh-CN"/>
        </w:rPr>
        <w:t>建设等工作。</w:t>
      </w:r>
    </w:p>
    <w:p w14:paraId="333B8798">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1E1EDAA">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281" w:name="_Toc15300"/>
      <w:bookmarkStart w:id="282" w:name="_Toc10149"/>
      <w:bookmarkStart w:id="283" w:name="_Toc31434"/>
      <w:bookmarkStart w:id="284" w:name="_Toc28956"/>
      <w:bookmarkStart w:id="285" w:name="_Toc19267"/>
      <w:bookmarkStart w:id="286" w:name="_Toc15576"/>
      <w:bookmarkStart w:id="287" w:name="_Toc28621"/>
      <w:bookmarkStart w:id="288" w:name="_Toc3903"/>
      <w:bookmarkStart w:id="289" w:name="_Toc28388"/>
      <w:bookmarkStart w:id="290" w:name="_Toc18588"/>
      <w:bookmarkStart w:id="291" w:name="_Toc12126"/>
      <w:r>
        <w:rPr>
          <w:rFonts w:hint="default" w:ascii="Times New Roman" w:hAnsi="Times New Roman" w:eastAsia="黑体" w:cs="Times New Roman"/>
          <w:b w:val="0"/>
          <w:bCs/>
          <w:kern w:val="44"/>
          <w:sz w:val="36"/>
          <w:szCs w:val="44"/>
          <w:highlight w:val="none"/>
          <w:lang w:val="en-US" w:eastAsia="zh-CN" w:bidi="ar-SA"/>
        </w:rPr>
        <w:t>第六章 同保共育，优化区域生态格局</w:t>
      </w:r>
      <w:bookmarkEnd w:id="281"/>
      <w:bookmarkEnd w:id="282"/>
      <w:bookmarkEnd w:id="283"/>
      <w:bookmarkEnd w:id="284"/>
      <w:bookmarkEnd w:id="285"/>
      <w:bookmarkEnd w:id="286"/>
      <w:bookmarkEnd w:id="287"/>
      <w:bookmarkEnd w:id="288"/>
      <w:bookmarkEnd w:id="289"/>
      <w:bookmarkEnd w:id="290"/>
      <w:bookmarkEnd w:id="291"/>
    </w:p>
    <w:p w14:paraId="1F4632B1">
      <w:pPr>
        <w:pStyle w:val="4"/>
        <w:numPr>
          <w:ilvl w:val="0"/>
          <w:numId w:val="0"/>
        </w:numPr>
        <w:adjustRightInd w:val="0"/>
        <w:snapToGrid w:val="0"/>
        <w:spacing w:before="312" w:beforeLines="100" w:after="78" w:afterLines="25" w:line="560" w:lineRule="exact"/>
        <w:jc w:val="center"/>
        <w:rPr>
          <w:rFonts w:ascii="Times New Roman" w:hAnsi="Times New Roman" w:cs="Times New Roman"/>
          <w:highlight w:val="none"/>
        </w:rPr>
      </w:pPr>
      <w:bookmarkStart w:id="292" w:name="_Toc13448"/>
      <w:bookmarkStart w:id="293" w:name="_Toc22836"/>
      <w:bookmarkStart w:id="294" w:name="_Toc458"/>
      <w:bookmarkStart w:id="295" w:name="_Toc22864"/>
      <w:bookmarkStart w:id="296" w:name="_Toc20891"/>
      <w:bookmarkStart w:id="297" w:name="_Toc4396"/>
      <w:bookmarkStart w:id="298" w:name="_Toc23676"/>
      <w:bookmarkStart w:id="299" w:name="_Toc13071"/>
      <w:bookmarkStart w:id="300" w:name="_Toc19025"/>
      <w:bookmarkStart w:id="301" w:name="_Toc20672"/>
      <w:bookmarkStart w:id="302" w:name="_Toc25388"/>
      <w:r>
        <w:rPr>
          <w:rFonts w:ascii="Times New Roman" w:hAnsi="Times New Roman" w:eastAsia="楷体_GB2312" w:cs="Times New Roman"/>
          <w:color w:val="000000"/>
          <w:kern w:val="0"/>
          <w:sz w:val="32"/>
          <w:szCs w:val="32"/>
          <w:highlight w:val="none"/>
          <w:lang w:val="en-US" w:eastAsia="zh-CN" w:bidi="ar"/>
        </w:rPr>
        <w:t>第一节 提升生态系统质量和稳定性</w:t>
      </w:r>
      <w:bookmarkEnd w:id="292"/>
      <w:bookmarkEnd w:id="293"/>
      <w:bookmarkEnd w:id="294"/>
      <w:bookmarkEnd w:id="295"/>
      <w:bookmarkEnd w:id="296"/>
      <w:bookmarkEnd w:id="297"/>
      <w:bookmarkEnd w:id="298"/>
      <w:bookmarkEnd w:id="299"/>
      <w:bookmarkEnd w:id="300"/>
      <w:bookmarkEnd w:id="301"/>
      <w:bookmarkEnd w:id="302"/>
    </w:p>
    <w:p w14:paraId="7CEFA39A">
      <w:pPr>
        <w:widowControl/>
        <w:spacing w:beforeLines="0" w:afterLines="0"/>
        <w:ind w:firstLine="643"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加强林地保护和建设。</w:t>
      </w:r>
      <w:r>
        <w:rPr>
          <w:rFonts w:hint="default" w:ascii="Times New Roman" w:hAnsi="Times New Roman" w:eastAsia="仿宋_GB2312" w:cs="Times New Roman"/>
          <w:sz w:val="32"/>
          <w:szCs w:val="32"/>
          <w:highlight w:val="none"/>
        </w:rPr>
        <w:t>切实加强林业建设，因地制宜启动一批森林生态建设工程。通过补植套种、封育管护等人工造林形式，不断加强水乡生态林网和生态景观林带建设和保护工程力度，持续开展育林工程。同时，对近年改造的林分进行透光伐抚育，对生物防火林带进行清带抚育，全面提升林地生产力和林木生长量，切实提高森林质量。</w:t>
      </w:r>
    </w:p>
    <w:p w14:paraId="456F59E9">
      <w:pPr>
        <w:widowControl/>
        <w:spacing w:beforeLines="0" w:afterLines="0"/>
        <w:ind w:firstLine="643" w:firstLineChars="200"/>
        <w:jc w:val="left"/>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color w:val="000000"/>
          <w:kern w:val="0"/>
          <w:sz w:val="32"/>
          <w:szCs w:val="32"/>
          <w:highlight w:val="none"/>
          <w:lang w:bidi="ar"/>
        </w:rPr>
        <w:t>推进湿地保护和修复</w:t>
      </w:r>
      <w:r>
        <w:rPr>
          <w:rFonts w:hint="default" w:ascii="Times New Roman" w:hAnsi="Times New Roman" w:eastAsia="仿宋_GB2312" w:cs="Times New Roman"/>
          <w:color w:val="000000"/>
          <w:kern w:val="0"/>
          <w:sz w:val="32"/>
          <w:szCs w:val="32"/>
          <w:highlight w:val="none"/>
          <w:lang w:bidi="ar"/>
        </w:rPr>
        <w:t>。</w:t>
      </w:r>
      <w:r>
        <w:rPr>
          <w:rFonts w:hint="default" w:ascii="Times New Roman" w:hAnsi="Times New Roman" w:eastAsia="仿宋_GB2312" w:cs="Times New Roman"/>
          <w:sz w:val="32"/>
          <w:szCs w:val="24"/>
          <w:highlight w:val="none"/>
        </w:rPr>
        <w:t>加强湿地自然保护区、湿地公园建设，对生态区位特别重要或受严重破坏的自然湿地予以抢救性保护。全面加强自然湿地资源保护，加大湿地违法查处力度，坚决遏制擅自开垦围垦湿地、乱采乱挖，违规占用湿地、侵占自然湿地保护区水源涵养空间等违法行为发生。</w:t>
      </w:r>
    </w:p>
    <w:p w14:paraId="437A26C0">
      <w:pPr>
        <w:spacing w:beforeLines="0" w:afterLines="0"/>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加强生态修复与保护。</w:t>
      </w:r>
      <w:r>
        <w:rPr>
          <w:rFonts w:hint="default" w:ascii="Times New Roman" w:hAnsi="Times New Roman" w:eastAsia="仿宋_GB2312" w:cs="Times New Roman"/>
          <w:sz w:val="32"/>
          <w:szCs w:val="24"/>
          <w:highlight w:val="none"/>
        </w:rPr>
        <w:t>系统性推进</w:t>
      </w:r>
      <w:r>
        <w:rPr>
          <w:rFonts w:hint="default" w:ascii="Times New Roman" w:hAnsi="Times New Roman" w:eastAsia="仿宋_GB2312" w:cs="Times New Roman"/>
          <w:sz w:val="32"/>
          <w:szCs w:val="24"/>
          <w:highlight w:val="none"/>
          <w:lang w:val="en-US" w:eastAsia="zh-CN"/>
        </w:rPr>
        <w:t>镇</w:t>
      </w:r>
      <w:r>
        <w:rPr>
          <w:rFonts w:hint="default" w:ascii="Times New Roman" w:hAnsi="Times New Roman" w:eastAsia="仿宋_GB2312" w:cs="Times New Roman"/>
          <w:sz w:val="32"/>
          <w:szCs w:val="24"/>
          <w:highlight w:val="none"/>
        </w:rPr>
        <w:t>域山水林田湖草生态保护与修复，织密织牢生态保护安全网，确保资源高效永续利用。实施河道水系连通畅流、河道护岸生态化改造等自然生态</w:t>
      </w:r>
      <w:r>
        <w:rPr>
          <w:rFonts w:hint="eastAsia" w:eastAsia="仿宋_GB2312" w:cs="Times New Roman"/>
          <w:sz w:val="32"/>
          <w:szCs w:val="24"/>
          <w:highlight w:val="none"/>
          <w:lang w:eastAsia="zh-CN"/>
        </w:rPr>
        <w:t>修复</w:t>
      </w:r>
      <w:r>
        <w:rPr>
          <w:rFonts w:hint="default" w:ascii="Times New Roman" w:hAnsi="Times New Roman" w:eastAsia="仿宋_GB2312" w:cs="Times New Roman"/>
          <w:sz w:val="32"/>
          <w:szCs w:val="24"/>
          <w:highlight w:val="none"/>
        </w:rPr>
        <w:t>措施。</w:t>
      </w:r>
    </w:p>
    <w:p w14:paraId="07182ACC">
      <w:pPr>
        <w:pStyle w:val="4"/>
        <w:numPr>
          <w:ilvl w:val="0"/>
          <w:numId w:val="0"/>
        </w:numPr>
        <w:adjustRightInd w:val="0"/>
        <w:snapToGrid w:val="0"/>
        <w:spacing w:before="312" w:beforeLines="100" w:after="78" w:afterLines="25" w:line="560" w:lineRule="exact"/>
        <w:jc w:val="center"/>
        <w:rPr>
          <w:rFonts w:ascii="Times New Roman" w:hAnsi="Times New Roman" w:eastAsia="楷体_GB2312" w:cs="Times New Roman"/>
          <w:color w:val="000000"/>
          <w:kern w:val="0"/>
          <w:sz w:val="32"/>
          <w:szCs w:val="32"/>
          <w:highlight w:val="none"/>
          <w:lang w:val="en-US" w:eastAsia="zh-CN" w:bidi="ar"/>
        </w:rPr>
      </w:pPr>
      <w:bookmarkStart w:id="303" w:name="_Toc2359"/>
      <w:bookmarkStart w:id="304" w:name="_Toc3964"/>
      <w:bookmarkStart w:id="305" w:name="_Toc19491"/>
      <w:bookmarkStart w:id="306" w:name="_Toc617"/>
      <w:bookmarkStart w:id="307" w:name="_Toc17515"/>
      <w:bookmarkStart w:id="308" w:name="_Toc4893"/>
      <w:bookmarkStart w:id="309" w:name="_Toc30625"/>
      <w:bookmarkStart w:id="310" w:name="_Toc17547"/>
      <w:bookmarkStart w:id="311" w:name="_Toc28364"/>
      <w:bookmarkStart w:id="312" w:name="_Toc19452"/>
      <w:bookmarkStart w:id="313" w:name="_Toc1320"/>
      <w:r>
        <w:rPr>
          <w:rFonts w:ascii="Times New Roman" w:hAnsi="Times New Roman" w:eastAsia="楷体_GB2312" w:cs="Times New Roman"/>
          <w:color w:val="000000"/>
          <w:kern w:val="0"/>
          <w:sz w:val="32"/>
          <w:szCs w:val="32"/>
          <w:highlight w:val="none"/>
          <w:lang w:val="en-US" w:eastAsia="zh-CN" w:bidi="ar"/>
        </w:rPr>
        <w:t xml:space="preserve">第二节 </w:t>
      </w:r>
      <w:r>
        <w:rPr>
          <w:rFonts w:hint="default" w:ascii="Times New Roman" w:hAnsi="Times New Roman" w:eastAsia="楷体_GB2312" w:cs="Times New Roman"/>
          <w:color w:val="000000"/>
          <w:kern w:val="0"/>
          <w:sz w:val="32"/>
          <w:szCs w:val="32"/>
          <w:highlight w:val="none"/>
          <w:lang w:val="en-US" w:eastAsia="zh-CN" w:bidi="ar"/>
        </w:rPr>
        <w:t>完善生态红线管理体系</w:t>
      </w:r>
      <w:bookmarkEnd w:id="303"/>
      <w:bookmarkEnd w:id="304"/>
      <w:bookmarkEnd w:id="305"/>
      <w:bookmarkEnd w:id="306"/>
      <w:bookmarkEnd w:id="307"/>
      <w:bookmarkEnd w:id="308"/>
      <w:bookmarkEnd w:id="309"/>
      <w:bookmarkEnd w:id="310"/>
      <w:bookmarkEnd w:id="311"/>
      <w:bookmarkEnd w:id="312"/>
      <w:bookmarkEnd w:id="313"/>
    </w:p>
    <w:p w14:paraId="707E2807">
      <w:pPr>
        <w:spacing w:beforeLines="0" w:afterLines="0"/>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加强生态保护红线管控。</w:t>
      </w:r>
      <w:r>
        <w:rPr>
          <w:rFonts w:hint="default" w:ascii="Times New Roman" w:hAnsi="Times New Roman" w:eastAsia="仿宋_GB2312" w:cs="Times New Roman"/>
          <w:b w:val="0"/>
          <w:bCs/>
          <w:sz w:val="32"/>
          <w:szCs w:val="24"/>
          <w:highlight w:val="none"/>
          <w:lang w:val="en-US" w:eastAsia="zh-CN"/>
        </w:rPr>
        <w:t>协助完成</w:t>
      </w:r>
      <w:r>
        <w:rPr>
          <w:rFonts w:hint="default" w:ascii="Times New Roman" w:hAnsi="Times New Roman" w:eastAsia="仿宋_GB2312" w:cs="Times New Roman"/>
          <w:sz w:val="32"/>
          <w:szCs w:val="24"/>
          <w:highlight w:val="none"/>
        </w:rPr>
        <w:t>生态保护红线评估调整，</w:t>
      </w:r>
      <w:r>
        <w:rPr>
          <w:rFonts w:hint="default" w:ascii="Times New Roman" w:hAnsi="Times New Roman" w:eastAsia="仿宋_GB2312" w:cs="Times New Roman"/>
          <w:sz w:val="32"/>
          <w:szCs w:val="24"/>
          <w:highlight w:val="none"/>
          <w:lang w:val="en-US" w:eastAsia="zh-CN"/>
        </w:rPr>
        <w:t>协助</w:t>
      </w:r>
      <w:r>
        <w:rPr>
          <w:rFonts w:hint="default" w:ascii="Times New Roman" w:hAnsi="Times New Roman" w:eastAsia="仿宋_GB2312" w:cs="Times New Roman"/>
          <w:sz w:val="32"/>
          <w:szCs w:val="24"/>
          <w:highlight w:val="none"/>
        </w:rPr>
        <w:t>开展生态保护红线勘界定标工作。强化生态保护红线空间管控，将生态保护红线作为编制空间规划的基础和前提，相关规划要符合生态保护红线空间管控要求，不符合的要及时进行调整。严格生态保护红线管理，禁止随意调整生态保护红线用途和范围。</w:t>
      </w:r>
      <w:r>
        <w:rPr>
          <w:rFonts w:hint="default" w:ascii="Times New Roman" w:hAnsi="Times New Roman" w:eastAsia="仿宋_GB2312" w:cs="Times New Roman"/>
          <w:sz w:val="32"/>
          <w:szCs w:val="24"/>
          <w:highlight w:val="none"/>
          <w:lang w:val="en-US" w:eastAsia="zh-CN"/>
        </w:rPr>
        <w:t>协助建设东莞市</w:t>
      </w:r>
      <w:r>
        <w:rPr>
          <w:rFonts w:hint="default" w:ascii="Times New Roman" w:hAnsi="Times New Roman" w:eastAsia="仿宋_GB2312" w:cs="Times New Roman"/>
          <w:sz w:val="32"/>
          <w:highlight w:val="none"/>
        </w:rPr>
        <w:t>生态保护红线监测网络体系，</w:t>
      </w:r>
      <w:r>
        <w:rPr>
          <w:rFonts w:hint="default" w:ascii="Times New Roman" w:hAnsi="Times New Roman" w:eastAsia="仿宋_GB2312" w:cs="Times New Roman"/>
          <w:sz w:val="32"/>
          <w:szCs w:val="24"/>
          <w:highlight w:val="none"/>
        </w:rPr>
        <w:t>加大对生态保护红线内违法开发建设活动以及毁林、捕猎等破坏生态环境行为的查处力度。</w:t>
      </w:r>
    </w:p>
    <w:p w14:paraId="4E547A4F">
      <w:pPr>
        <w:spacing w:beforeLines="0" w:afterLines="0"/>
        <w:ind w:firstLine="643" w:firstLineChars="200"/>
        <w:rPr>
          <w:rFonts w:hint="default" w:ascii="Times New Roman" w:hAnsi="Times New Roman" w:eastAsia="仿宋_GB2312" w:cs="Times New Roman"/>
          <w:b w:val="0"/>
          <w:bCs/>
          <w:sz w:val="32"/>
          <w:szCs w:val="24"/>
          <w:highlight w:val="none"/>
        </w:rPr>
      </w:pPr>
      <w:r>
        <w:rPr>
          <w:rFonts w:hint="default" w:ascii="Times New Roman" w:hAnsi="Times New Roman" w:eastAsia="仿宋_GB2312" w:cs="Times New Roman"/>
          <w:b/>
          <w:sz w:val="32"/>
          <w:szCs w:val="24"/>
          <w:highlight w:val="none"/>
        </w:rPr>
        <w:fldChar w:fldCharType="begin"/>
      </w:r>
      <w:r>
        <w:rPr>
          <w:rFonts w:hint="default" w:ascii="Times New Roman" w:hAnsi="Times New Roman" w:eastAsia="仿宋_GB2312" w:cs="Times New Roman"/>
          <w:b/>
          <w:sz w:val="32"/>
          <w:szCs w:val="24"/>
          <w:highlight w:val="none"/>
        </w:rPr>
        <w:instrText xml:space="preserve"> HYPERLINK "http://www.cqfd.gov.cn/zwgk_200/zcwj/xzfwj/202201/t20220130_10366381.html" \l "_Toc20649" </w:instrText>
      </w:r>
      <w:r>
        <w:rPr>
          <w:rFonts w:hint="default" w:ascii="Times New Roman" w:hAnsi="Times New Roman" w:eastAsia="仿宋_GB2312" w:cs="Times New Roman"/>
          <w:b/>
          <w:sz w:val="32"/>
          <w:szCs w:val="24"/>
          <w:highlight w:val="none"/>
        </w:rPr>
        <w:fldChar w:fldCharType="separate"/>
      </w:r>
      <w:r>
        <w:rPr>
          <w:rFonts w:hint="default" w:ascii="Times New Roman" w:hAnsi="Times New Roman" w:eastAsia="仿宋_GB2312" w:cs="Times New Roman"/>
          <w:b/>
          <w:sz w:val="32"/>
          <w:szCs w:val="24"/>
          <w:highlight w:val="none"/>
        </w:rPr>
        <w:t>强化自然保护地保护。</w:t>
      </w:r>
      <w:r>
        <w:rPr>
          <w:rFonts w:hint="default" w:ascii="Times New Roman" w:hAnsi="Times New Roman" w:eastAsia="仿宋_GB2312" w:cs="Times New Roman"/>
          <w:b/>
          <w:sz w:val="32"/>
          <w:szCs w:val="24"/>
          <w:highlight w:val="none"/>
        </w:rPr>
        <w:fldChar w:fldCharType="end"/>
      </w:r>
      <w:r>
        <w:rPr>
          <w:rFonts w:hint="default" w:ascii="Times New Roman" w:hAnsi="Times New Roman" w:eastAsia="仿宋_GB2312" w:cs="Times New Roman"/>
          <w:b w:val="0"/>
          <w:bCs/>
          <w:sz w:val="32"/>
          <w:szCs w:val="24"/>
          <w:highlight w:val="none"/>
        </w:rPr>
        <w:t>完成自然保护地优化调整，加强各级各类自然保护地统筹管护力度。常态化开展自然保护地监测、评估、考核和监督工作。</w:t>
      </w:r>
      <w:r>
        <w:rPr>
          <w:rFonts w:hint="eastAsia" w:eastAsia="仿宋_GB2312" w:cs="Times New Roman"/>
          <w:b w:val="0"/>
          <w:bCs/>
          <w:sz w:val="32"/>
          <w:szCs w:val="24"/>
          <w:highlight w:val="none"/>
          <w:lang w:eastAsia="zh-CN"/>
        </w:rPr>
        <w:t>建立</w:t>
      </w:r>
      <w:r>
        <w:rPr>
          <w:rFonts w:hint="default" w:ascii="Times New Roman" w:hAnsi="Times New Roman" w:eastAsia="仿宋_GB2312" w:cs="Times New Roman"/>
          <w:b w:val="0"/>
          <w:bCs/>
          <w:sz w:val="32"/>
          <w:szCs w:val="24"/>
          <w:highlight w:val="none"/>
        </w:rPr>
        <w:t>自然保护地科学评估体系，开展自然保护地优化和保护成效评估，加强自然保护地内人类活动监控监测。</w:t>
      </w:r>
    </w:p>
    <w:p w14:paraId="1E4E87C6">
      <w:pPr>
        <w:spacing w:beforeLines="0" w:afterLines="0"/>
        <w:ind w:firstLine="643" w:firstLineChars="200"/>
        <w:rPr>
          <w:rFonts w:hint="default" w:ascii="Times New Roman" w:hAnsi="Times New Roman" w:eastAsia="仿宋_GB2312" w:cs="Times New Roman"/>
          <w:b w:val="0"/>
          <w:bCs/>
          <w:sz w:val="32"/>
          <w:szCs w:val="24"/>
          <w:highlight w:val="none"/>
        </w:rPr>
      </w:pPr>
      <w:r>
        <w:rPr>
          <w:rFonts w:hint="default" w:ascii="Times New Roman" w:hAnsi="Times New Roman" w:eastAsia="仿宋_GB2312" w:cs="Times New Roman"/>
          <w:b/>
          <w:sz w:val="32"/>
          <w:szCs w:val="24"/>
          <w:highlight w:val="none"/>
        </w:rPr>
        <w:t>强化生态空间监督管理。</w:t>
      </w:r>
      <w:r>
        <w:rPr>
          <w:rFonts w:hint="default" w:ascii="Times New Roman" w:hAnsi="Times New Roman" w:eastAsia="仿宋_GB2312" w:cs="Times New Roman"/>
          <w:b w:val="0"/>
          <w:bCs/>
          <w:sz w:val="32"/>
          <w:szCs w:val="24"/>
          <w:highlight w:val="none"/>
        </w:rPr>
        <w:t>深入开展专项行动自然保护地督查，借助遥感等现代化手段，科学预警预测监控脆弱区域内生态保护红线、生态空间管控区变化状况，实施差别化管控措施。</w:t>
      </w:r>
    </w:p>
    <w:p w14:paraId="4CCC7D19">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color w:val="000000"/>
          <w:kern w:val="0"/>
          <w:sz w:val="32"/>
          <w:szCs w:val="32"/>
          <w:highlight w:val="none"/>
          <w:lang w:val="en-US" w:eastAsia="zh-CN" w:bidi="ar"/>
        </w:rPr>
      </w:pPr>
      <w:bookmarkStart w:id="314" w:name="_Toc25802"/>
      <w:bookmarkStart w:id="315" w:name="_Toc16319"/>
      <w:bookmarkStart w:id="316" w:name="_Toc17841"/>
      <w:bookmarkStart w:id="317" w:name="_Toc3157"/>
      <w:bookmarkStart w:id="318" w:name="_Toc8361"/>
      <w:bookmarkStart w:id="319" w:name="_Toc11180"/>
      <w:bookmarkStart w:id="320" w:name="_Toc7922"/>
      <w:bookmarkStart w:id="321" w:name="_Toc4898"/>
      <w:bookmarkStart w:id="322" w:name="_Toc28723"/>
      <w:bookmarkStart w:id="323" w:name="_Toc10320"/>
      <w:bookmarkStart w:id="324" w:name="_Toc8236"/>
      <w:r>
        <w:rPr>
          <w:rFonts w:hint="default" w:ascii="Times New Roman" w:hAnsi="Times New Roman" w:eastAsia="楷体_GB2312" w:cs="Times New Roman"/>
          <w:color w:val="000000"/>
          <w:kern w:val="0"/>
          <w:sz w:val="32"/>
          <w:szCs w:val="32"/>
          <w:highlight w:val="none"/>
          <w:lang w:val="en-US" w:eastAsia="zh-CN" w:bidi="ar"/>
        </w:rPr>
        <w:t>第三节 加强生物多样性保护</w:t>
      </w:r>
      <w:bookmarkEnd w:id="314"/>
      <w:bookmarkEnd w:id="315"/>
      <w:bookmarkEnd w:id="316"/>
      <w:bookmarkEnd w:id="317"/>
      <w:bookmarkEnd w:id="318"/>
      <w:bookmarkEnd w:id="319"/>
      <w:bookmarkEnd w:id="320"/>
      <w:bookmarkEnd w:id="321"/>
      <w:bookmarkEnd w:id="322"/>
      <w:bookmarkEnd w:id="323"/>
      <w:bookmarkEnd w:id="324"/>
    </w:p>
    <w:p w14:paraId="161E5494">
      <w:pPr>
        <w:spacing w:beforeLines="0" w:afterLines="0"/>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开展生物多样性资源本底调查。</w:t>
      </w:r>
      <w:r>
        <w:rPr>
          <w:rFonts w:hint="default" w:ascii="Times New Roman" w:hAnsi="Times New Roman" w:eastAsia="仿宋_GB2312" w:cs="Times New Roman"/>
          <w:b w:val="0"/>
          <w:bCs/>
          <w:sz w:val="32"/>
          <w:szCs w:val="24"/>
          <w:highlight w:val="none"/>
          <w:lang w:val="en-US" w:eastAsia="zh-CN"/>
        </w:rPr>
        <w:t>协助</w:t>
      </w:r>
      <w:r>
        <w:rPr>
          <w:rFonts w:hint="default" w:ascii="Times New Roman" w:hAnsi="Times New Roman" w:eastAsia="仿宋_GB2312" w:cs="Times New Roman"/>
          <w:sz w:val="32"/>
          <w:szCs w:val="24"/>
          <w:highlight w:val="none"/>
        </w:rPr>
        <w:t>开展野生动植物资源普查及其栖息地状况调查、监测和评估，进一步摸清区域内的动植物种群、数量及分布，并建立动植物种群、数量、分布及其生境的资源档案。对重要生态系统和生物种类的分布格局、变化趋势、保护现状及存在问题进行全面评估，适时发布综合评估报告。</w:t>
      </w:r>
    </w:p>
    <w:p w14:paraId="6FF7CF21">
      <w:pPr>
        <w:spacing w:beforeLines="0" w:afterLines="0"/>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加强生物多样性保护。</w:t>
      </w:r>
      <w:r>
        <w:rPr>
          <w:rFonts w:hint="default" w:ascii="Times New Roman" w:hAnsi="Times New Roman" w:eastAsia="仿宋_GB2312" w:cs="Times New Roman"/>
          <w:sz w:val="32"/>
          <w:szCs w:val="24"/>
          <w:highlight w:val="none"/>
        </w:rPr>
        <w:t>积极推动实施生物多样性保护工程，加强生物栖息地、繁衍地、停歇地保护。加强重要野生动植物资源、湿地资源和自然保护区的动态监测，建立野生动植物及其栖息地保护网络。加强野生鸟类资源的保护。加强水生生物资源养护。</w:t>
      </w:r>
    </w:p>
    <w:p w14:paraId="47C45179">
      <w:pPr>
        <w:spacing w:beforeLines="0" w:afterLines="0"/>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加强外来物种管控。</w:t>
      </w:r>
      <w:r>
        <w:rPr>
          <w:rFonts w:hint="default" w:ascii="Times New Roman" w:hAnsi="Times New Roman" w:eastAsia="仿宋_GB2312" w:cs="Times New Roman"/>
          <w:sz w:val="32"/>
          <w:szCs w:val="24"/>
          <w:highlight w:val="none"/>
        </w:rPr>
        <w:t>按照国家、省</w:t>
      </w:r>
      <w:r>
        <w:rPr>
          <w:rFonts w:hint="default" w:ascii="Times New Roman" w:hAnsi="Times New Roman" w:eastAsia="仿宋_GB2312" w:cs="Times New Roman"/>
          <w:sz w:val="32"/>
          <w:szCs w:val="24"/>
          <w:highlight w:val="none"/>
          <w:lang w:eastAsia="zh-CN"/>
        </w:rPr>
        <w:t>、</w:t>
      </w:r>
      <w:r>
        <w:rPr>
          <w:rFonts w:hint="default" w:ascii="Times New Roman" w:hAnsi="Times New Roman" w:eastAsia="仿宋_GB2312" w:cs="Times New Roman"/>
          <w:sz w:val="32"/>
          <w:szCs w:val="24"/>
          <w:highlight w:val="none"/>
          <w:lang w:val="en-US" w:eastAsia="zh-CN"/>
        </w:rPr>
        <w:t>市</w:t>
      </w:r>
      <w:r>
        <w:rPr>
          <w:rFonts w:hint="default" w:ascii="Times New Roman" w:hAnsi="Times New Roman" w:eastAsia="仿宋_GB2312" w:cs="Times New Roman"/>
          <w:sz w:val="32"/>
          <w:szCs w:val="24"/>
          <w:highlight w:val="none"/>
        </w:rPr>
        <w:t>要求，严格落实生物安全法，落实生物安全监测评估、跟踪检查、定期报告、风险防控计划和应急预案制度。开展外来入侵物种普查，构建外来入侵物种风险评估与预警体系，对严重威胁生态系统的外来入侵物种及时采取防控和治理措施。</w:t>
      </w:r>
    </w:p>
    <w:p w14:paraId="77DC7E6E">
      <w:pPr>
        <w:spacing w:beforeLines="0" w:afterLines="0"/>
        <w:ind w:firstLine="643" w:firstLineChars="200"/>
        <w:rPr>
          <w:rFonts w:hint="default" w:ascii="Times New Roman" w:hAnsi="Times New Roman" w:eastAsia="仿宋_GB2312" w:cs="Times New Roman"/>
          <w:b/>
          <w:bCs w:val="0"/>
          <w:kern w:val="2"/>
          <w:sz w:val="32"/>
          <w:szCs w:val="2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b/>
          <w:bCs w:val="0"/>
          <w:kern w:val="2"/>
          <w:sz w:val="32"/>
          <w:szCs w:val="24"/>
          <w:highlight w:val="none"/>
          <w:lang w:val="en-US" w:eastAsia="zh-CN" w:bidi="ar-SA"/>
        </w:rPr>
        <w:t>严格执法监督。</w:t>
      </w:r>
      <w:r>
        <w:rPr>
          <w:rFonts w:hint="default" w:ascii="Times New Roman" w:hAnsi="Times New Roman" w:eastAsia="仿宋_GB2312" w:cs="Times New Roman"/>
          <w:sz w:val="32"/>
          <w:szCs w:val="24"/>
          <w:highlight w:val="none"/>
          <w:lang w:val="en-US" w:eastAsia="zh-CN"/>
        </w:rPr>
        <w:t>建立重要保护物种栖息地生态破坏定期遥感监测机制，健全联合执法机制，严厉打击非法猎捕、采集、运输、交易野生动植物及其制品等违法犯罪行为，对严重破坏重要生物物种、生物遗传资源等构成犯罪的依法追究刑事责任。</w:t>
      </w:r>
    </w:p>
    <w:p w14:paraId="15161240">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325" w:name="_Toc25502"/>
      <w:bookmarkStart w:id="326" w:name="_Toc24782"/>
      <w:bookmarkStart w:id="327" w:name="_Toc23448"/>
      <w:bookmarkStart w:id="328" w:name="_Toc20830"/>
      <w:bookmarkStart w:id="329" w:name="_Toc2443"/>
      <w:bookmarkStart w:id="330" w:name="_Toc20634"/>
      <w:bookmarkStart w:id="331" w:name="_Toc5902"/>
      <w:bookmarkStart w:id="332" w:name="_Toc32713"/>
      <w:bookmarkStart w:id="333" w:name="_Toc32196"/>
      <w:bookmarkStart w:id="334" w:name="_Toc31684"/>
      <w:bookmarkStart w:id="335" w:name="_Toc19150"/>
      <w:r>
        <w:rPr>
          <w:rFonts w:hint="default" w:ascii="Times New Roman" w:hAnsi="Times New Roman" w:eastAsia="黑体" w:cs="Times New Roman"/>
          <w:b w:val="0"/>
          <w:bCs/>
          <w:kern w:val="44"/>
          <w:sz w:val="36"/>
          <w:szCs w:val="44"/>
          <w:highlight w:val="none"/>
          <w:lang w:val="en-US" w:eastAsia="zh-CN" w:bidi="ar-SA"/>
        </w:rPr>
        <w:t>第七章 强化风险防控，守牢环境安全底线</w:t>
      </w:r>
      <w:bookmarkEnd w:id="325"/>
      <w:bookmarkEnd w:id="326"/>
      <w:bookmarkEnd w:id="327"/>
      <w:bookmarkEnd w:id="328"/>
      <w:bookmarkEnd w:id="329"/>
      <w:bookmarkEnd w:id="330"/>
      <w:bookmarkEnd w:id="331"/>
      <w:bookmarkEnd w:id="332"/>
      <w:bookmarkEnd w:id="333"/>
      <w:bookmarkEnd w:id="334"/>
      <w:bookmarkEnd w:id="335"/>
    </w:p>
    <w:p w14:paraId="497AE22F">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336" w:name="_Toc12796"/>
      <w:bookmarkStart w:id="337" w:name="_Toc12600"/>
      <w:bookmarkStart w:id="338" w:name="_Toc9519"/>
      <w:bookmarkStart w:id="339" w:name="_Toc15862"/>
      <w:bookmarkStart w:id="340" w:name="_Toc30703"/>
      <w:bookmarkStart w:id="341" w:name="_Toc19070"/>
      <w:bookmarkStart w:id="342" w:name="_Toc3436"/>
      <w:bookmarkStart w:id="343" w:name="_Toc26517"/>
      <w:bookmarkStart w:id="344" w:name="_Toc22637"/>
      <w:bookmarkStart w:id="345" w:name="_Toc2077"/>
      <w:bookmarkStart w:id="346" w:name="_Toc25583"/>
      <w:r>
        <w:rPr>
          <w:rFonts w:hint="default" w:ascii="Times New Roman" w:hAnsi="Times New Roman" w:eastAsia="楷体_GB2312" w:cs="Times New Roman"/>
          <w:b/>
          <w:bCs w:val="0"/>
          <w:snapToGrid w:val="0"/>
          <w:highlight w:val="none"/>
          <w:lang w:val="en-US" w:eastAsia="zh-CN"/>
        </w:rPr>
        <w:t>第一节 加强危险废物利用处置</w:t>
      </w:r>
      <w:bookmarkEnd w:id="336"/>
      <w:bookmarkEnd w:id="337"/>
      <w:bookmarkEnd w:id="338"/>
      <w:bookmarkEnd w:id="339"/>
      <w:bookmarkEnd w:id="340"/>
      <w:bookmarkEnd w:id="341"/>
      <w:bookmarkEnd w:id="342"/>
      <w:bookmarkEnd w:id="343"/>
      <w:bookmarkEnd w:id="344"/>
      <w:bookmarkEnd w:id="345"/>
      <w:bookmarkEnd w:id="346"/>
    </w:p>
    <w:p w14:paraId="7924C5DC">
      <w:pPr>
        <w:pageBreakBefore w:val="0"/>
        <w:kinsoku/>
        <w:wordWrap/>
        <w:bidi w:val="0"/>
        <w:spacing w:line="360" w:lineRule="auto"/>
        <w:ind w:firstLine="640" w:firstLineChars="200"/>
        <w:rPr>
          <w:rFonts w:hint="default" w:ascii="Times New Roman" w:hAnsi="Times New Roman" w:eastAsia="仿宋_GB2312" w:cs="Times New Roman"/>
          <w:b w:val="0"/>
          <w:bCs/>
          <w:sz w:val="32"/>
          <w:szCs w:val="32"/>
          <w:highlight w:val="none"/>
          <w:lang w:val="en-US" w:eastAsia="zh-CN"/>
        </w:rPr>
      </w:pPr>
      <w:r>
        <w:rPr>
          <w:rFonts w:hint="default" w:ascii="Times New Roman" w:hAnsi="Times New Roman" w:eastAsia="仿宋_GB2312" w:cs="Times New Roman"/>
          <w:b w:val="0"/>
          <w:bCs/>
          <w:sz w:val="32"/>
          <w:szCs w:val="32"/>
          <w:highlight w:val="none"/>
          <w:lang w:val="en-US" w:eastAsia="zh-CN"/>
        </w:rPr>
        <w:t>鼓励现有资源化利用设施提档升级，淘汰一批利用规模小、工艺水平落后、污染物不能稳定达标的综合利用设施。限制本镇能力过剩或低水平重复建设的新建和扩建危险废物综合利用项目，鼓励显著提升生产工艺水平的危险废物综合利用改建项目和全镇能力不足的危险废物类别综合利用新建、扩建项目，提高危险废物资源化利用水平。推动较高利用价值危险废物的资源化利用，鼓励大力开展废活性炭、废酸、含镍废物、含铜废物、生活垃圾焚烧飞灰等类别危险废物的利用处置和污染环境防治适用技术研究，推进相关危废资源化利用设施建设及市内危险废物区域协同资源化利用，提升本镇危险废物资源化利用水平。</w:t>
      </w:r>
    </w:p>
    <w:p w14:paraId="0099E549">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347" w:name="_Toc14763"/>
      <w:bookmarkStart w:id="348" w:name="_Toc7781"/>
      <w:bookmarkStart w:id="349" w:name="_Toc19425"/>
      <w:bookmarkStart w:id="350" w:name="_Toc21702"/>
      <w:bookmarkStart w:id="351" w:name="_Toc3719"/>
      <w:bookmarkStart w:id="352" w:name="_Toc3881"/>
      <w:bookmarkStart w:id="353" w:name="_Toc27038"/>
      <w:bookmarkStart w:id="354" w:name="_Toc26915"/>
      <w:bookmarkStart w:id="355" w:name="_Toc2506"/>
      <w:bookmarkStart w:id="356" w:name="_Toc13725"/>
      <w:bookmarkStart w:id="357" w:name="_Toc660"/>
      <w:r>
        <w:rPr>
          <w:rFonts w:hint="default" w:ascii="Times New Roman" w:hAnsi="Times New Roman" w:eastAsia="楷体_GB2312" w:cs="Times New Roman"/>
          <w:b/>
          <w:bCs w:val="0"/>
          <w:snapToGrid w:val="0"/>
          <w:highlight w:val="none"/>
          <w:lang w:val="en-US" w:eastAsia="zh-CN"/>
        </w:rPr>
        <w:t>第二节 完善环境风险管理体系</w:t>
      </w:r>
      <w:bookmarkEnd w:id="347"/>
      <w:bookmarkEnd w:id="348"/>
      <w:bookmarkEnd w:id="349"/>
      <w:bookmarkEnd w:id="350"/>
      <w:bookmarkEnd w:id="351"/>
      <w:bookmarkEnd w:id="352"/>
      <w:bookmarkEnd w:id="353"/>
      <w:bookmarkEnd w:id="354"/>
      <w:bookmarkEnd w:id="355"/>
      <w:bookmarkEnd w:id="356"/>
      <w:bookmarkEnd w:id="357"/>
    </w:p>
    <w:p w14:paraId="263EC8C9">
      <w:pPr>
        <w:pStyle w:val="5"/>
        <w:pageBreakBefore w:val="0"/>
        <w:kinsoku/>
        <w:wordWrap/>
        <w:bidi w:val="0"/>
        <w:spacing w:beforeLines="0" w:afterLines="0" w:line="360" w:lineRule="auto"/>
        <w:ind w:firstLine="596" w:firstLineChars="200"/>
        <w:outlineLvl w:val="2"/>
        <w:rPr>
          <w:rFonts w:hint="eastAsia" w:ascii="黑体" w:hAnsi="黑体" w:eastAsia="黑体" w:cs="黑体"/>
          <w:b w:val="0"/>
          <w:bCs/>
          <w:spacing w:val="-11"/>
          <w:sz w:val="32"/>
          <w:szCs w:val="32"/>
          <w:highlight w:val="none"/>
          <w:lang w:val="en-US" w:eastAsia="zh-CN"/>
        </w:rPr>
      </w:pPr>
      <w:r>
        <w:rPr>
          <w:rFonts w:hint="eastAsia" w:ascii="黑体" w:hAnsi="黑体" w:eastAsia="黑体" w:cs="黑体"/>
          <w:b w:val="0"/>
          <w:spacing w:val="-11"/>
          <w:sz w:val="32"/>
          <w:szCs w:val="32"/>
          <w:highlight w:val="none"/>
        </w:rPr>
        <w:t>一、加大环境风险源管控力度，强化企事业单位主体责任</w:t>
      </w:r>
    </w:p>
    <w:p w14:paraId="5A40DBB0">
      <w:pPr>
        <w:pageBreakBefore w:val="0"/>
        <w:kinsoku/>
        <w:wordWrap/>
        <w:bidi w:val="0"/>
        <w:spacing w:line="360" w:lineRule="auto"/>
        <w:ind w:firstLine="640" w:firstLineChars="200"/>
        <w:rPr>
          <w:rFonts w:hint="default" w:ascii="Times New Roman" w:hAnsi="Times New Roman" w:eastAsia="仿宋_GB2312" w:cs="Times New Roman"/>
          <w:b w:val="0"/>
          <w:bCs/>
          <w:sz w:val="32"/>
          <w:szCs w:val="32"/>
          <w:highlight w:val="none"/>
          <w:lang w:val="en-US" w:eastAsia="zh-CN"/>
        </w:rPr>
      </w:pPr>
      <w:r>
        <w:rPr>
          <w:rFonts w:hint="default" w:ascii="Times New Roman" w:hAnsi="Times New Roman" w:eastAsia="仿宋_GB2312" w:cs="Times New Roman"/>
          <w:b w:val="0"/>
          <w:bCs/>
          <w:sz w:val="32"/>
          <w:szCs w:val="32"/>
          <w:highlight w:val="none"/>
          <w:lang w:val="en-US" w:eastAsia="zh-CN"/>
        </w:rPr>
        <w:t>依托新一轮污染普查，全面调查与综合评估重点环境风险源和环境敏感点，摸清环境风险的高发区和潜在区。实施清溪镇企业环境风险等级评估工作，定量分析企业生产、使用、存储或释放的事故环境风险物质，全面排查镇内企业主要环境风险类型与风险程度，建设清溪镇环境风险源信息数据库，实行风险源清单管理，实施环境风险分类管理，实现各类重大环境风险源的识别、评估、监控、处置等全过程动态管理。</w:t>
      </w:r>
    </w:p>
    <w:p w14:paraId="29A4556B">
      <w:pPr>
        <w:pStyle w:val="5"/>
        <w:pageBreakBefore w:val="0"/>
        <w:kinsoku/>
        <w:wordWrap/>
        <w:bidi w:val="0"/>
        <w:spacing w:beforeLines="0" w:afterLines="0" w:line="360" w:lineRule="auto"/>
        <w:ind w:firstLine="640" w:firstLineChars="200"/>
        <w:outlineLvl w:val="2"/>
        <w:rPr>
          <w:rFonts w:hint="eastAsia" w:ascii="黑体" w:hAnsi="黑体" w:eastAsia="黑体" w:cs="黑体"/>
          <w:b w:val="0"/>
          <w:bCs/>
          <w:sz w:val="32"/>
          <w:szCs w:val="32"/>
          <w:highlight w:val="none"/>
          <w:lang w:val="en-US" w:eastAsia="zh-CN"/>
        </w:rPr>
      </w:pPr>
      <w:r>
        <w:rPr>
          <w:rFonts w:hint="eastAsia" w:ascii="黑体" w:hAnsi="黑体" w:eastAsia="黑体" w:cs="黑体"/>
          <w:b w:val="0"/>
          <w:bCs/>
          <w:sz w:val="32"/>
          <w:szCs w:val="32"/>
          <w:highlight w:val="none"/>
          <w:lang w:val="en-US" w:eastAsia="zh-CN"/>
        </w:rPr>
        <w:t>二、强化重金属污染综合防控</w:t>
      </w:r>
    </w:p>
    <w:p w14:paraId="3791F8D2">
      <w:pPr>
        <w:pageBreakBefore w:val="0"/>
        <w:kinsoku/>
        <w:wordWrap/>
        <w:bidi w:val="0"/>
        <w:spacing w:line="360" w:lineRule="auto"/>
        <w:ind w:firstLine="643" w:firstLineChars="200"/>
        <w:rPr>
          <w:rFonts w:hint="default" w:ascii="Times New Roman" w:hAnsi="Times New Roman" w:eastAsia="仿宋_GB2312" w:cs="Times New Roman"/>
          <w:b/>
          <w:bCs w:val="0"/>
          <w:sz w:val="32"/>
          <w:szCs w:val="32"/>
          <w:highlight w:val="none"/>
          <w:lang w:val="en-US" w:eastAsia="zh-CN"/>
        </w:rPr>
      </w:pPr>
      <w:r>
        <w:rPr>
          <w:rFonts w:hint="default" w:ascii="Times New Roman" w:hAnsi="Times New Roman" w:eastAsia="仿宋_GB2312" w:cs="Times New Roman"/>
          <w:b/>
          <w:bCs w:val="0"/>
          <w:sz w:val="32"/>
          <w:szCs w:val="32"/>
          <w:highlight w:val="none"/>
          <w:lang w:val="en-US" w:eastAsia="zh-CN"/>
        </w:rPr>
        <w:t>严格控制新增重金属排放。</w:t>
      </w:r>
      <w:r>
        <w:rPr>
          <w:rFonts w:hint="default" w:ascii="Times New Roman" w:hAnsi="Times New Roman" w:eastAsia="仿宋_GB2312" w:cs="Times New Roman"/>
          <w:b w:val="0"/>
          <w:bCs/>
          <w:sz w:val="32"/>
          <w:szCs w:val="32"/>
          <w:highlight w:val="none"/>
          <w:lang w:val="en-US" w:eastAsia="zh-CN"/>
        </w:rPr>
        <w:t>持续开展重金属污染专项整治行动，强化重金属排放建设项目监管，建立新开工项目管理的部门联动机制和项目审批问责制。严格控制在优先保护类耕地集中区域新建金属表面处理及热处理加工业（电镀）、电子元件及电子专用材料制造（印制电路板）、皮革及其制品制造业等行业企业。加强重金属企业工厂搬迁场地的工业用地风险防控，加强土地使用性质改变风险防控，鼓励发展产污强度低、能耗低、清洁生产水平高的生产工艺和设备。</w:t>
      </w:r>
    </w:p>
    <w:p w14:paraId="6FACA887">
      <w:pPr>
        <w:pageBreakBefore w:val="0"/>
        <w:kinsoku/>
        <w:wordWrap/>
        <w:bidi w:val="0"/>
        <w:spacing w:line="360" w:lineRule="auto"/>
        <w:ind w:firstLine="643" w:firstLineChars="200"/>
        <w:rPr>
          <w:rFonts w:hint="default" w:ascii="Times New Roman" w:hAnsi="Times New Roman" w:eastAsia="仿宋_GB2312" w:cs="Times New Roman"/>
          <w:b w:val="0"/>
          <w:bCs/>
          <w:sz w:val="32"/>
          <w:szCs w:val="32"/>
          <w:highlight w:val="none"/>
          <w:lang w:val="en-US" w:eastAsia="zh-CN"/>
        </w:rPr>
      </w:pPr>
      <w:r>
        <w:rPr>
          <w:rFonts w:hint="default" w:ascii="Times New Roman" w:hAnsi="Times New Roman" w:eastAsia="仿宋_GB2312" w:cs="Times New Roman"/>
          <w:b/>
          <w:bCs w:val="0"/>
          <w:sz w:val="32"/>
          <w:szCs w:val="32"/>
          <w:highlight w:val="none"/>
          <w:lang w:val="en-US" w:eastAsia="zh-CN"/>
        </w:rPr>
        <w:t>深化重点行业综合治理。</w:t>
      </w:r>
      <w:r>
        <w:rPr>
          <w:rFonts w:hint="default" w:ascii="Times New Roman" w:hAnsi="Times New Roman" w:eastAsia="仿宋_GB2312" w:cs="Times New Roman"/>
          <w:b w:val="0"/>
          <w:bCs/>
          <w:sz w:val="32"/>
          <w:szCs w:val="32"/>
          <w:highlight w:val="none"/>
          <w:lang w:val="en-US" w:eastAsia="zh-CN"/>
        </w:rPr>
        <w:t>以污染物排放标准、产排污强度、稳定达标排放管理为主要抓手，大力实施涉重金属企业清洁化改造。加强污水治理设施升级改造，金属表面处理及热处理加工（电镀）行业推广采用三价铬镀铬、镀锌层钝化非六价铬转化膜等工艺技术，推广采用镀铬溶液净化回收技术。皮革及其制品制造业推广采用高吸收铬鞣及其铬鞣废液资源化利用技术，鼓励企业采用无铬鞣法技术工艺。</w:t>
      </w:r>
    </w:p>
    <w:p w14:paraId="7A7D7B9D">
      <w:pPr>
        <w:pageBreakBefore w:val="0"/>
        <w:numPr>
          <w:ilvl w:val="0"/>
          <w:numId w:val="2"/>
        </w:numPr>
        <w:kinsoku/>
        <w:wordWrap/>
        <w:bidi w:val="0"/>
        <w:spacing w:beforeLines="0" w:afterLines="0" w:line="360" w:lineRule="auto"/>
        <w:ind w:firstLine="640" w:firstLineChars="200"/>
        <w:outlineLvl w:val="2"/>
        <w:rPr>
          <w:rFonts w:hint="eastAsia" w:ascii="黑体" w:hAnsi="黑体" w:eastAsia="黑体" w:cs="黑体"/>
          <w:bCs/>
          <w:sz w:val="32"/>
          <w:szCs w:val="32"/>
          <w:highlight w:val="none"/>
        </w:rPr>
      </w:pPr>
      <w:r>
        <w:rPr>
          <w:rFonts w:hint="eastAsia" w:ascii="黑体" w:hAnsi="黑体" w:eastAsia="黑体" w:cs="黑体"/>
          <w:bCs/>
          <w:sz w:val="32"/>
          <w:szCs w:val="32"/>
          <w:highlight w:val="none"/>
        </w:rPr>
        <w:t>加强新污染物治理和有毒有害化学物质环境风险防控</w:t>
      </w:r>
    </w:p>
    <w:p w14:paraId="3D5592D4">
      <w:pPr>
        <w:pageBreakBefore w:val="0"/>
        <w:kinsoku/>
        <w:wordWrap/>
        <w:bidi w:val="0"/>
        <w:spacing w:beforeLines="0" w:afterLines="-2147483648" w:line="240" w:lineRule="auto"/>
        <w:ind w:firstLine="643" w:firstLineChars="200"/>
        <w:outlineLvl w:val="9"/>
        <w:rPr>
          <w:rFonts w:hint="default" w:eastAsia="仿宋_GB2312"/>
          <w:bCs/>
          <w:sz w:val="32"/>
          <w:szCs w:val="32"/>
          <w:highlight w:val="none"/>
        </w:rPr>
      </w:pPr>
      <w:r>
        <w:rPr>
          <w:rFonts w:hint="default" w:eastAsia="仿宋_GB2312"/>
          <w:b/>
          <w:bCs w:val="0"/>
          <w:sz w:val="32"/>
          <w:szCs w:val="32"/>
          <w:highlight w:val="none"/>
        </w:rPr>
        <w:t>开展新污染物环境调查监测。</w:t>
      </w:r>
      <w:r>
        <w:rPr>
          <w:rFonts w:hint="default" w:eastAsia="仿宋_GB2312"/>
          <w:bCs/>
          <w:sz w:val="32"/>
          <w:szCs w:val="32"/>
          <w:highlight w:val="none"/>
        </w:rPr>
        <w:t>配合市级开展重点管控新污染物、优先控制化学品、内分泌干扰物、抗生素等新污染物的管控性环境监测</w:t>
      </w:r>
      <w:r>
        <w:rPr>
          <w:rFonts w:hint="eastAsia" w:eastAsia="仿宋_GB2312"/>
          <w:bCs/>
          <w:sz w:val="32"/>
          <w:szCs w:val="32"/>
          <w:highlight w:val="none"/>
          <w:lang w:val="en-US" w:eastAsia="zh-CN"/>
        </w:rPr>
        <w:t>以及</w:t>
      </w:r>
      <w:r>
        <w:rPr>
          <w:rFonts w:hint="default" w:eastAsia="仿宋_GB2312"/>
          <w:bCs/>
          <w:sz w:val="32"/>
          <w:szCs w:val="32"/>
          <w:highlight w:val="none"/>
        </w:rPr>
        <w:t>潜在新污染物的筛查性环境监测。推动对集中式饮用水水源地、重点行业企业、典型工业园区、城镇污水处理厂开展新污染物监测。</w:t>
      </w:r>
    </w:p>
    <w:p w14:paraId="0D4D273D">
      <w:pPr>
        <w:pageBreakBefore w:val="0"/>
        <w:kinsoku/>
        <w:wordWrap/>
        <w:bidi w:val="0"/>
        <w:spacing w:beforeLines="0" w:afterLines="-2147483648" w:line="240" w:lineRule="auto"/>
        <w:ind w:firstLine="643" w:firstLineChars="200"/>
        <w:outlineLvl w:val="9"/>
        <w:rPr>
          <w:rFonts w:hint="default" w:eastAsia="仿宋_GB2312"/>
          <w:bCs/>
          <w:sz w:val="32"/>
          <w:szCs w:val="32"/>
          <w:highlight w:val="none"/>
        </w:rPr>
      </w:pPr>
      <w:r>
        <w:rPr>
          <w:rFonts w:hint="default" w:eastAsia="仿宋_GB2312"/>
          <w:b/>
          <w:bCs w:val="0"/>
          <w:sz w:val="32"/>
          <w:szCs w:val="32"/>
          <w:highlight w:val="none"/>
        </w:rPr>
        <w:t>加强现场执法环境监督</w:t>
      </w:r>
      <w:r>
        <w:rPr>
          <w:rFonts w:hint="eastAsia" w:eastAsia="仿宋_GB2312"/>
          <w:b/>
          <w:bCs w:val="0"/>
          <w:sz w:val="32"/>
          <w:szCs w:val="32"/>
          <w:highlight w:val="none"/>
          <w:lang w:eastAsia="zh-CN"/>
        </w:rPr>
        <w:t>。</w:t>
      </w:r>
      <w:r>
        <w:rPr>
          <w:rFonts w:hint="default" w:eastAsia="仿宋_GB2312"/>
          <w:bCs/>
          <w:sz w:val="32"/>
          <w:szCs w:val="32"/>
          <w:highlight w:val="none"/>
        </w:rPr>
        <w:t>全面落实新化学物质环境管理登记制度。严格执行《新化学物质环境管理登记办法》，督促登记企事业单位严格执行登记证上载明的环境管理要求和环境风险控制措施，落实环境风险防控主体责任。全面落实重点管控新污染物清单要求，禁止、限制重点管控新污染物的生产和加工使用，严格执法监督。</w:t>
      </w:r>
    </w:p>
    <w:p w14:paraId="404A856D">
      <w:pPr>
        <w:pageBreakBefore w:val="0"/>
        <w:kinsoku/>
        <w:wordWrap/>
        <w:bidi w:val="0"/>
        <w:spacing w:beforeLines="0" w:afterLines="-2147483648" w:line="240" w:lineRule="auto"/>
        <w:ind w:firstLine="643" w:firstLineChars="200"/>
        <w:outlineLvl w:val="9"/>
        <w:rPr>
          <w:rFonts w:hint="default" w:eastAsia="仿宋_GB2312"/>
          <w:bCs/>
          <w:sz w:val="32"/>
          <w:szCs w:val="32"/>
          <w:highlight w:val="none"/>
        </w:rPr>
      </w:pPr>
      <w:r>
        <w:rPr>
          <w:rFonts w:hint="default" w:eastAsia="仿宋_GB2312"/>
          <w:b/>
          <w:bCs w:val="0"/>
          <w:sz w:val="32"/>
          <w:szCs w:val="32"/>
          <w:highlight w:val="none"/>
        </w:rPr>
        <w:t>加强新污染物排放管控与协同治理。</w:t>
      </w:r>
      <w:r>
        <w:rPr>
          <w:rFonts w:hint="default" w:eastAsia="仿宋_GB2312"/>
          <w:bCs/>
          <w:sz w:val="32"/>
          <w:szCs w:val="32"/>
          <w:highlight w:val="none"/>
        </w:rPr>
        <w:t>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将生产、加工使用或排放重点管控新污染物清单中所列化学物质的企事业单位，纳入重点排污单位名录。排放重点管控新污染物的企事业单位和其他生产经营者要定期对排放（污）口及其周边环境开展环境监测，评估环境风险，排查整治环境安全隐患，依法公开新污染物信息，采取措施防范环境风险。</w:t>
      </w:r>
    </w:p>
    <w:p w14:paraId="2396B33F">
      <w:pPr>
        <w:pageBreakBefore w:val="0"/>
        <w:kinsoku/>
        <w:wordWrap/>
        <w:bidi w:val="0"/>
        <w:spacing w:beforeLines="0" w:afterLines="0" w:line="360" w:lineRule="auto"/>
        <w:ind w:firstLine="640" w:firstLineChars="200"/>
        <w:outlineLvl w:val="2"/>
        <w:rPr>
          <w:rFonts w:hint="eastAsia" w:ascii="黑体" w:hAnsi="黑体" w:eastAsia="黑体" w:cs="黑体"/>
          <w:b w:val="0"/>
          <w:bCs/>
          <w:sz w:val="32"/>
          <w:szCs w:val="32"/>
          <w:highlight w:val="none"/>
          <w:lang w:val="en-US" w:eastAsia="zh-CN"/>
        </w:rPr>
      </w:pPr>
      <w:r>
        <w:rPr>
          <w:rFonts w:hint="eastAsia" w:ascii="黑体" w:hAnsi="黑体" w:eastAsia="黑体" w:cs="黑体"/>
          <w:b w:val="0"/>
          <w:bCs/>
          <w:sz w:val="32"/>
          <w:szCs w:val="32"/>
          <w:highlight w:val="none"/>
          <w:lang w:val="en-US" w:eastAsia="zh-CN"/>
        </w:rPr>
        <w:t>四、加强环境应急能力建设</w:t>
      </w:r>
    </w:p>
    <w:p w14:paraId="4EF69324">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32"/>
          <w:highlight w:val="none"/>
        </w:rPr>
        <w:t>推进</w:t>
      </w:r>
      <w:r>
        <w:rPr>
          <w:rFonts w:hint="default" w:ascii="Times New Roman" w:hAnsi="Times New Roman" w:eastAsia="仿宋_GB2312" w:cs="Times New Roman"/>
          <w:b/>
          <w:sz w:val="32"/>
          <w:szCs w:val="24"/>
          <w:highlight w:val="none"/>
        </w:rPr>
        <w:t>应急预案科学化运作</w:t>
      </w:r>
      <w:r>
        <w:rPr>
          <w:rFonts w:hint="default" w:ascii="Times New Roman" w:hAnsi="Times New Roman" w:eastAsia="仿宋_GB2312" w:cs="Times New Roman"/>
          <w:sz w:val="32"/>
          <w:szCs w:val="24"/>
          <w:highlight w:val="none"/>
        </w:rPr>
        <w:t>。有序推进突发环境事件预案责任、制度、措施的落地。强化预案的“修、练、用、评”，扎实推进应急准备工作。</w:t>
      </w:r>
    </w:p>
    <w:p w14:paraId="7F689AF3">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仿宋_GB2312" w:cs="Times New Roman"/>
          <w:b/>
          <w:sz w:val="32"/>
          <w:szCs w:val="24"/>
          <w:highlight w:val="none"/>
        </w:rPr>
        <w:t>加强环境应急能力建设。</w:t>
      </w:r>
      <w:r>
        <w:rPr>
          <w:rFonts w:hint="default" w:ascii="Times New Roman" w:hAnsi="Times New Roman" w:eastAsia="仿宋_GB2312" w:cs="Times New Roman"/>
          <w:sz w:val="32"/>
          <w:szCs w:val="24"/>
          <w:highlight w:val="none"/>
        </w:rPr>
        <w:t>依托应急管理队伍、应急专家队伍和应急救援队伍，建立环境应急处置队伍。不断强化各类应急专业人员的学习和培训，着力提升应急队伍专业化水平。配备完善现代化的环境应急装备、设施，全面提升环境应急装备水平。建立全</w:t>
      </w:r>
      <w:r>
        <w:rPr>
          <w:rFonts w:hint="default" w:ascii="Times New Roman" w:hAnsi="Times New Roman" w:eastAsia="仿宋_GB2312" w:cs="Times New Roman"/>
          <w:sz w:val="32"/>
          <w:szCs w:val="24"/>
          <w:highlight w:val="none"/>
          <w:lang w:val="en-US" w:eastAsia="zh-CN"/>
        </w:rPr>
        <w:t>镇</w:t>
      </w:r>
      <w:r>
        <w:rPr>
          <w:rFonts w:hint="default" w:ascii="Times New Roman" w:hAnsi="Times New Roman" w:eastAsia="仿宋_GB2312" w:cs="Times New Roman"/>
          <w:sz w:val="32"/>
          <w:szCs w:val="24"/>
          <w:highlight w:val="none"/>
        </w:rPr>
        <w:t>的物资储备、调度、征用、共享机制，提高应急物资综合协调、分类分级保障能力，推进应急物资精准化、集约化管理。</w:t>
      </w:r>
    </w:p>
    <w:p w14:paraId="1BB105BF">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358" w:name="_Toc13122"/>
      <w:bookmarkStart w:id="359" w:name="_Toc11225"/>
      <w:bookmarkStart w:id="360" w:name="_Toc26206"/>
      <w:bookmarkStart w:id="361" w:name="_Toc26573"/>
      <w:bookmarkStart w:id="362" w:name="_Toc4273"/>
      <w:bookmarkStart w:id="363" w:name="_Toc28934"/>
      <w:bookmarkStart w:id="364" w:name="_Toc1791"/>
      <w:bookmarkStart w:id="365" w:name="_Toc10360"/>
      <w:bookmarkStart w:id="366" w:name="_Toc3803"/>
      <w:bookmarkStart w:id="367" w:name="_Toc24982"/>
      <w:bookmarkStart w:id="368" w:name="_Toc16472"/>
      <w:r>
        <w:rPr>
          <w:rFonts w:hint="default" w:ascii="Times New Roman" w:hAnsi="Times New Roman" w:eastAsia="黑体" w:cs="Times New Roman"/>
          <w:b w:val="0"/>
          <w:bCs/>
          <w:kern w:val="44"/>
          <w:sz w:val="36"/>
          <w:szCs w:val="44"/>
          <w:highlight w:val="none"/>
          <w:lang w:val="en-US" w:eastAsia="zh-CN" w:bidi="ar-SA"/>
        </w:rPr>
        <w:t xml:space="preserve">第八章 </w:t>
      </w:r>
      <w:r>
        <w:rPr>
          <w:rFonts w:hint="default" w:ascii="Times New Roman" w:hAnsi="Times New Roman" w:eastAsia="黑体" w:cs="Times New Roman"/>
          <w:b w:val="0"/>
          <w:spacing w:val="-23"/>
          <w:sz w:val="36"/>
          <w:highlight w:val="none"/>
        </w:rPr>
        <w:t>构建现代化环境治理体系，提升生态环境治理能力</w:t>
      </w:r>
      <w:bookmarkEnd w:id="358"/>
      <w:bookmarkEnd w:id="359"/>
      <w:bookmarkEnd w:id="360"/>
      <w:bookmarkEnd w:id="361"/>
      <w:bookmarkEnd w:id="362"/>
      <w:bookmarkEnd w:id="363"/>
      <w:bookmarkEnd w:id="364"/>
      <w:bookmarkEnd w:id="365"/>
      <w:bookmarkEnd w:id="366"/>
      <w:bookmarkEnd w:id="367"/>
      <w:bookmarkEnd w:id="368"/>
    </w:p>
    <w:bookmarkEnd w:id="132"/>
    <w:p w14:paraId="26F680B7">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369" w:name="_Toc11228"/>
      <w:bookmarkStart w:id="370" w:name="_Toc7903"/>
      <w:bookmarkStart w:id="371" w:name="_Toc31066"/>
      <w:bookmarkStart w:id="372" w:name="_Toc27749"/>
      <w:bookmarkStart w:id="373" w:name="_Toc22118"/>
      <w:bookmarkStart w:id="374" w:name="_Toc13304"/>
      <w:bookmarkStart w:id="375" w:name="_Toc4315"/>
      <w:bookmarkStart w:id="376" w:name="_Toc25830"/>
      <w:bookmarkStart w:id="377" w:name="_Toc24350"/>
      <w:bookmarkStart w:id="378" w:name="_Toc20669"/>
      <w:bookmarkStart w:id="379" w:name="_Toc29251"/>
      <w:bookmarkStart w:id="380" w:name="_Toc475439315"/>
      <w:bookmarkStart w:id="381" w:name="_Toc495559206"/>
      <w:r>
        <w:rPr>
          <w:rFonts w:hint="default" w:ascii="Times New Roman" w:hAnsi="Times New Roman" w:eastAsia="楷体_GB2312" w:cs="Times New Roman"/>
          <w:b/>
          <w:bCs w:val="0"/>
          <w:snapToGrid w:val="0"/>
          <w:highlight w:val="none"/>
          <w:lang w:val="en-US" w:eastAsia="zh-CN"/>
        </w:rPr>
        <w:t>第一节 完善管理制度，压实环境治理领导责任</w:t>
      </w:r>
      <w:bookmarkEnd w:id="369"/>
      <w:bookmarkEnd w:id="370"/>
      <w:bookmarkEnd w:id="371"/>
      <w:bookmarkEnd w:id="372"/>
      <w:bookmarkEnd w:id="373"/>
      <w:bookmarkEnd w:id="374"/>
      <w:bookmarkEnd w:id="375"/>
      <w:bookmarkEnd w:id="376"/>
      <w:bookmarkEnd w:id="377"/>
      <w:bookmarkEnd w:id="378"/>
      <w:bookmarkEnd w:id="379"/>
    </w:p>
    <w:p w14:paraId="21CB88AC">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强化党政领导责任。</w:t>
      </w:r>
      <w:r>
        <w:rPr>
          <w:rFonts w:hint="default" w:ascii="Times New Roman" w:hAnsi="Times New Roman" w:eastAsia="仿宋_GB2312" w:cs="Times New Roman"/>
          <w:sz w:val="32"/>
          <w:szCs w:val="24"/>
          <w:highlight w:val="none"/>
        </w:rPr>
        <w:t>按照“党政同责、一岗双责、失职担责、终身追责”要求，落实生态环境保护责任清单，压实各级各部门责任。负有生态环境保护重要职责的部门及国有企业，明确承担生态环境保护工作的机构和岗位，全面落实“管发展必须管环保、管行业必须管环保、管生产必须管环保”要求。落实环境保护目标责任制和考核评价制度，将环境保护目标完成情况纳入各级各部门考核内容。积极开展自然资源资产离任审计和责任追究，不断完善审计方式方法，实行生态环境损害责任终身追究制。</w:t>
      </w:r>
    </w:p>
    <w:p w14:paraId="2C513582">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color w:val="auto"/>
          <w:sz w:val="32"/>
          <w:szCs w:val="32"/>
          <w:highlight w:val="none"/>
        </w:rPr>
        <w:t>健全生态环境协同治理机制。</w:t>
      </w:r>
      <w:r>
        <w:rPr>
          <w:rFonts w:hint="default" w:ascii="Times New Roman" w:hAnsi="Times New Roman" w:eastAsia="仿宋_GB2312" w:cs="Times New Roman"/>
          <w:sz w:val="32"/>
          <w:szCs w:val="24"/>
          <w:highlight w:val="none"/>
        </w:rPr>
        <w:t>推进环境要素协同治理机制，建立地表水、地下水、土壤环境协同保护机制，完善“散乱污”联合预警监察系统和响应机制，开展地表水、地下水和土壤协同治理修复。建立温室气体与大气污染物排放协同管控机制，为环境污染执法和应急预警提供数据支撑和技术支持，助推大气污染防治攻坚工作，打赢打好蓝天保卫战。</w:t>
      </w:r>
    </w:p>
    <w:p w14:paraId="4838E446">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val="0"/>
          <w:snapToGrid w:val="0"/>
          <w:highlight w:val="none"/>
          <w:lang w:val="en-US" w:eastAsia="zh-CN"/>
        </w:rPr>
      </w:pPr>
      <w:bookmarkStart w:id="382" w:name="_Toc24259"/>
      <w:bookmarkStart w:id="383" w:name="_Toc24101"/>
      <w:bookmarkStart w:id="384" w:name="_Toc9808"/>
      <w:bookmarkStart w:id="385" w:name="_Toc1356"/>
      <w:bookmarkStart w:id="386" w:name="_Toc1985"/>
      <w:bookmarkStart w:id="387" w:name="_Toc10822"/>
      <w:bookmarkStart w:id="388" w:name="_Toc22222"/>
      <w:bookmarkStart w:id="389" w:name="_Toc24539"/>
      <w:bookmarkStart w:id="390" w:name="_Toc7343"/>
      <w:bookmarkStart w:id="391" w:name="_Toc15889"/>
      <w:bookmarkStart w:id="392" w:name="_Toc26837"/>
      <w:r>
        <w:rPr>
          <w:rFonts w:hint="default" w:ascii="Times New Roman" w:hAnsi="Times New Roman" w:eastAsia="楷体_GB2312" w:cs="Times New Roman"/>
          <w:b/>
          <w:bCs w:val="0"/>
          <w:snapToGrid w:val="0"/>
          <w:highlight w:val="none"/>
          <w:lang w:val="en-US" w:eastAsia="zh-CN"/>
        </w:rPr>
        <w:t>第二节 推进基础能力建设，提升环境监管力度</w:t>
      </w:r>
      <w:bookmarkEnd w:id="382"/>
      <w:bookmarkEnd w:id="383"/>
      <w:bookmarkEnd w:id="384"/>
      <w:bookmarkEnd w:id="385"/>
      <w:bookmarkEnd w:id="386"/>
      <w:bookmarkEnd w:id="387"/>
      <w:bookmarkEnd w:id="388"/>
      <w:bookmarkEnd w:id="389"/>
      <w:bookmarkEnd w:id="390"/>
      <w:bookmarkEnd w:id="391"/>
      <w:bookmarkEnd w:id="392"/>
    </w:p>
    <w:p w14:paraId="1338353E">
      <w:pPr>
        <w:pageBreakBefore w:val="0"/>
        <w:kinsoku/>
        <w:wordWrap/>
        <w:bidi w:val="0"/>
        <w:spacing w:line="360" w:lineRule="auto"/>
        <w:ind w:firstLine="643" w:firstLineChars="200"/>
        <w:rPr>
          <w:rFonts w:hint="eastAsia" w:eastAsia="仿宋_GB2312"/>
          <w:b w:val="0"/>
          <w:bCs/>
          <w:sz w:val="32"/>
          <w:highlight w:val="none"/>
          <w:lang w:eastAsia="zh-CN"/>
        </w:rPr>
      </w:pPr>
      <w:r>
        <w:rPr>
          <w:rFonts w:hint="default" w:eastAsia="仿宋_GB2312"/>
          <w:b/>
          <w:sz w:val="32"/>
          <w:highlight w:val="none"/>
        </w:rPr>
        <w:t>做好环境监测制度改革落地。</w:t>
      </w:r>
      <w:r>
        <w:rPr>
          <w:rFonts w:hint="default" w:eastAsia="仿宋_GB2312"/>
          <w:b w:val="0"/>
          <w:bCs/>
          <w:sz w:val="32"/>
          <w:highlight w:val="none"/>
        </w:rPr>
        <w:t>配合省、市做好环境监测体制改革，对监测机构的组织机构、职责权限和运行机制进行优化调整，深化内部改革，优化内设机构，基本形成科学独立权威高效的监测体系，重构高效的管理模式和协调机制，全面提升环境管理服务能力。深化社会化监测机构的生态环境监测质量管理，落实其数据质量责任，保障监测数据的准确性</w:t>
      </w:r>
      <w:r>
        <w:rPr>
          <w:rFonts w:hint="eastAsia" w:eastAsia="仿宋_GB2312"/>
          <w:b w:val="0"/>
          <w:bCs/>
          <w:sz w:val="32"/>
          <w:highlight w:val="none"/>
          <w:lang w:eastAsia="zh-CN"/>
        </w:rPr>
        <w:t>。</w:t>
      </w:r>
    </w:p>
    <w:p w14:paraId="088EBA79">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sz w:val="32"/>
          <w:szCs w:val="24"/>
          <w:highlight w:val="none"/>
        </w:rPr>
        <w:t>强化环境执法能力。</w:t>
      </w:r>
      <w:r>
        <w:rPr>
          <w:rFonts w:hint="default" w:ascii="Times New Roman" w:hAnsi="Times New Roman" w:eastAsia="仿宋_GB2312" w:cs="Times New Roman"/>
          <w:sz w:val="32"/>
          <w:szCs w:val="24"/>
          <w:highlight w:val="none"/>
        </w:rPr>
        <w:t>提高环境执法配置，按工作职责配备相应工作力量，确保装备与生态环境保护任务相匹配。健全网格化环境监管体系，提升基层网格员执法能力。全面推进生态环境监测监察执法能力标准化建设，建立统一规范的生态环境综合执法体系，加快综合行政执法改革落地。完善执法监管机制，推进联合执法、交叉执法。全面推行“双随机”制度，对企业的日常执法监管，采取随机抽取检查对象、随机选派执法检查人员方式开展，做到铁腕执法、重点治污。加强企业环境守法信用体系建设，建立企业环保守信激励、失信惩戒机制，强化部门协同监管、联合惩戒。</w:t>
      </w:r>
    </w:p>
    <w:p w14:paraId="7EFF8574">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393" w:name="_Toc15373"/>
      <w:bookmarkStart w:id="394" w:name="_Toc453"/>
      <w:bookmarkStart w:id="395" w:name="_Toc10874"/>
      <w:bookmarkStart w:id="396" w:name="_Toc7319"/>
      <w:bookmarkStart w:id="397" w:name="_Toc2654"/>
      <w:bookmarkStart w:id="398" w:name="_Toc24354"/>
      <w:bookmarkStart w:id="399" w:name="_Toc21079"/>
      <w:bookmarkStart w:id="400" w:name="_Toc29232"/>
      <w:bookmarkStart w:id="401" w:name="_Toc10928"/>
      <w:bookmarkStart w:id="402" w:name="_Toc22317"/>
      <w:bookmarkStart w:id="403" w:name="_Toc8407"/>
      <w:r>
        <w:rPr>
          <w:rFonts w:hint="default" w:ascii="Times New Roman" w:hAnsi="Times New Roman" w:eastAsia="楷体_GB2312" w:cs="Times New Roman"/>
          <w:b/>
          <w:bCs w:val="0"/>
          <w:snapToGrid w:val="0"/>
          <w:highlight w:val="none"/>
          <w:lang w:val="en-US" w:eastAsia="zh-CN"/>
        </w:rPr>
        <w:t>第三节 强化数字赋能，提升生态环境信息化水平</w:t>
      </w:r>
      <w:bookmarkEnd w:id="393"/>
      <w:bookmarkEnd w:id="394"/>
      <w:bookmarkEnd w:id="395"/>
      <w:bookmarkEnd w:id="396"/>
      <w:bookmarkEnd w:id="397"/>
      <w:bookmarkEnd w:id="398"/>
      <w:bookmarkEnd w:id="399"/>
      <w:bookmarkEnd w:id="400"/>
      <w:bookmarkEnd w:id="401"/>
      <w:bookmarkEnd w:id="402"/>
      <w:bookmarkEnd w:id="403"/>
    </w:p>
    <w:p w14:paraId="24471880">
      <w:pPr>
        <w:pageBreakBefore w:val="0"/>
        <w:kinsoku/>
        <w:wordWrap/>
        <w:bidi w:val="0"/>
        <w:spacing w:line="360" w:lineRule="auto"/>
        <w:ind w:firstLine="640"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sz w:val="32"/>
          <w:szCs w:val="24"/>
          <w:highlight w:val="none"/>
        </w:rPr>
        <w:t>配合市级生态环境部门建设智慧生态环境大数据中心，实现多部门数据的有效集成和互联共享；深化大数据在指挥调度、执法监管、政务服务、绩效评估等方面的应用，实现用数据管理、用数据决策。</w:t>
      </w:r>
    </w:p>
    <w:p w14:paraId="66567D03">
      <w:pPr>
        <w:pageBreakBefore w:val="0"/>
        <w:kinsoku/>
        <w:wordWrap/>
        <w:bidi w:val="0"/>
        <w:spacing w:line="360" w:lineRule="auto"/>
        <w:ind w:firstLine="640" w:firstLineChars="200"/>
        <w:rPr>
          <w:rFonts w:hint="default" w:ascii="Times New Roman" w:hAnsi="Times New Roman" w:eastAsia="仿宋_GB2312" w:cs="Times New Roman"/>
          <w:sz w:val="32"/>
          <w:szCs w:val="24"/>
          <w:highlight w:val="none"/>
        </w:rPr>
      </w:pPr>
    </w:p>
    <w:p w14:paraId="0B67955C">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404" w:name="_Toc11784"/>
      <w:bookmarkStart w:id="405" w:name="_Toc26794"/>
      <w:bookmarkStart w:id="406" w:name="_Toc30372"/>
      <w:bookmarkStart w:id="407" w:name="_Toc17623"/>
      <w:bookmarkStart w:id="408" w:name="_Toc19480"/>
      <w:bookmarkStart w:id="409" w:name="_Toc7895"/>
      <w:bookmarkStart w:id="410" w:name="_Toc11370"/>
      <w:bookmarkStart w:id="411" w:name="_Toc22588"/>
      <w:bookmarkStart w:id="412" w:name="_Toc22187"/>
      <w:bookmarkStart w:id="413" w:name="_Toc8278"/>
      <w:bookmarkStart w:id="414" w:name="_Toc32651"/>
      <w:r>
        <w:rPr>
          <w:rFonts w:hint="default" w:ascii="Times New Roman" w:hAnsi="Times New Roman" w:eastAsia="楷体_GB2312" w:cs="Times New Roman"/>
          <w:b/>
          <w:bCs w:val="0"/>
          <w:snapToGrid w:val="0"/>
          <w:highlight w:val="none"/>
          <w:lang w:val="en-US" w:eastAsia="zh-CN"/>
        </w:rPr>
        <w:t>第四节 健全企业责任体系，提升源头治污水平</w:t>
      </w:r>
      <w:bookmarkEnd w:id="404"/>
      <w:bookmarkEnd w:id="405"/>
      <w:bookmarkEnd w:id="406"/>
      <w:bookmarkEnd w:id="407"/>
      <w:bookmarkEnd w:id="408"/>
      <w:bookmarkEnd w:id="409"/>
      <w:bookmarkEnd w:id="410"/>
      <w:bookmarkEnd w:id="411"/>
      <w:bookmarkEnd w:id="412"/>
      <w:bookmarkEnd w:id="413"/>
      <w:bookmarkEnd w:id="414"/>
    </w:p>
    <w:p w14:paraId="4457E39B">
      <w:pPr>
        <w:pageBreakBefore w:val="0"/>
        <w:kinsoku/>
        <w:wordWrap/>
        <w:bidi w:val="0"/>
        <w:spacing w:line="360" w:lineRule="auto"/>
        <w:ind w:firstLine="643" w:firstLineChars="200"/>
        <w:rPr>
          <w:rFonts w:hint="default" w:ascii="Times New Roman" w:hAnsi="Times New Roman" w:eastAsia="仿宋_GB2312" w:cs="Times New Roman"/>
          <w:b/>
          <w:sz w:val="32"/>
          <w:szCs w:val="24"/>
          <w:highlight w:val="none"/>
        </w:rPr>
      </w:pPr>
      <w:r>
        <w:rPr>
          <w:rFonts w:hint="default" w:ascii="Times New Roman" w:hAnsi="Times New Roman" w:eastAsia="仿宋_GB2312" w:cs="Times New Roman"/>
          <w:b/>
          <w:sz w:val="32"/>
          <w:szCs w:val="24"/>
          <w:highlight w:val="none"/>
        </w:rPr>
        <w:t>严格落实企业为第一责任制度，建立环境保护责任制度。</w:t>
      </w:r>
      <w:r>
        <w:rPr>
          <w:rFonts w:hint="default" w:ascii="Times New Roman" w:hAnsi="Times New Roman" w:eastAsia="仿宋_GB2312" w:cs="Times New Roman"/>
          <w:b w:val="0"/>
          <w:bCs/>
          <w:sz w:val="32"/>
          <w:szCs w:val="24"/>
          <w:highlight w:val="none"/>
        </w:rPr>
        <w:t>企业应根据工作岗位的性质、特点和内容，明确各岗位的责任人员、责任范围和责任清单；加强环境保护管理机构和人员配备，设置环境保护管理机构；加强员工环境保护理论教学与实践技能培训，使企业负责人和环境保护管理人员具备与岗位相适应的环境保护知识和管理能力；依法开展生产经营活动。遵守环境影响评价、“三同时”验收和排污许可要求。依法履行环评手续，防治污染的设施应当与主体工程同时设计、同时施工、同时投产使用，开展“三同时”自主验收。严格按照排污许可证排污，不得超标、超总量排污；严禁通过逃避监管方式排污；参照企业环境信用评价办法（试行）开展</w:t>
      </w:r>
      <w:r>
        <w:rPr>
          <w:rFonts w:hint="default" w:ascii="Times New Roman" w:hAnsi="Times New Roman" w:eastAsia="仿宋_GB2312" w:cs="Times New Roman"/>
          <w:b w:val="0"/>
          <w:bCs/>
          <w:sz w:val="32"/>
          <w:szCs w:val="24"/>
          <w:highlight w:val="none"/>
          <w:lang w:val="en-US" w:eastAsia="zh-CN"/>
        </w:rPr>
        <w:t>镇</w:t>
      </w:r>
      <w:r>
        <w:rPr>
          <w:rFonts w:hint="default" w:ascii="Times New Roman" w:hAnsi="Times New Roman" w:eastAsia="仿宋_GB2312" w:cs="Times New Roman"/>
          <w:b w:val="0"/>
          <w:bCs/>
          <w:sz w:val="32"/>
          <w:szCs w:val="24"/>
          <w:highlight w:val="none"/>
        </w:rPr>
        <w:t>内重点企业环境信用评价工作，加强企业环境信息公开，鼓励排污企业设立企业开放日、建设教育体验场所等形式，向社会公众开放。</w:t>
      </w:r>
    </w:p>
    <w:p w14:paraId="41A567D3">
      <w:pPr>
        <w:pageBreakBefore w:val="0"/>
        <w:kinsoku/>
        <w:wordWrap/>
        <w:bidi w:val="0"/>
        <w:spacing w:line="360" w:lineRule="auto"/>
        <w:ind w:firstLine="643" w:firstLineChars="200"/>
        <w:rPr>
          <w:rFonts w:hint="default" w:ascii="Times New Roman" w:hAnsi="Times New Roman" w:eastAsia="仿宋_GB2312" w:cs="Times New Roman"/>
          <w:b w:val="0"/>
          <w:bCs/>
          <w:snapToGrid w:val="0"/>
          <w:highlight w:val="none"/>
          <w:lang w:val="en-US" w:eastAsia="zh-CN"/>
        </w:rPr>
      </w:pPr>
      <w:r>
        <w:rPr>
          <w:rFonts w:hint="default" w:ascii="Times New Roman" w:hAnsi="Times New Roman" w:eastAsia="仿宋_GB2312" w:cs="Times New Roman"/>
          <w:b/>
          <w:sz w:val="32"/>
          <w:szCs w:val="24"/>
          <w:highlight w:val="none"/>
        </w:rPr>
        <w:t>推广</w:t>
      </w:r>
      <w:r>
        <w:rPr>
          <w:rFonts w:hint="default" w:ascii="Times New Roman" w:hAnsi="Times New Roman" w:eastAsia="仿宋_GB2312" w:cs="Times New Roman"/>
          <w:b/>
          <w:sz w:val="32"/>
          <w:szCs w:val="24"/>
          <w:highlight w:val="none"/>
          <w:lang w:val="en-US" w:eastAsia="zh-CN"/>
        </w:rPr>
        <w:t>第三方</w:t>
      </w:r>
      <w:r>
        <w:rPr>
          <w:rFonts w:hint="default" w:ascii="Times New Roman" w:hAnsi="Times New Roman" w:eastAsia="仿宋_GB2312" w:cs="Times New Roman"/>
          <w:b/>
          <w:sz w:val="32"/>
          <w:szCs w:val="24"/>
          <w:highlight w:val="none"/>
        </w:rPr>
        <w:t>服务模式。</w:t>
      </w:r>
      <w:r>
        <w:rPr>
          <w:rFonts w:hint="default" w:ascii="Times New Roman" w:hAnsi="Times New Roman" w:eastAsia="仿宋_GB2312" w:cs="Times New Roman"/>
          <w:b w:val="0"/>
          <w:bCs/>
          <w:sz w:val="32"/>
          <w:szCs w:val="24"/>
          <w:highlight w:val="none"/>
        </w:rPr>
        <w:t>鼓励园区及企业引入环境污染第三方治理，提供环境污染问题诊断、污染</w:t>
      </w:r>
      <w:r>
        <w:rPr>
          <w:rFonts w:hint="eastAsia" w:eastAsia="仿宋_GB2312" w:cs="Times New Roman"/>
          <w:b w:val="0"/>
          <w:bCs/>
          <w:sz w:val="32"/>
          <w:szCs w:val="24"/>
          <w:highlight w:val="none"/>
          <w:lang w:eastAsia="zh-CN"/>
        </w:rPr>
        <w:t>防治措施</w:t>
      </w:r>
      <w:r>
        <w:rPr>
          <w:rFonts w:hint="default" w:ascii="Times New Roman" w:hAnsi="Times New Roman" w:eastAsia="仿宋_GB2312" w:cs="Times New Roman"/>
          <w:b w:val="0"/>
          <w:bCs/>
          <w:sz w:val="32"/>
          <w:szCs w:val="24"/>
          <w:highlight w:val="none"/>
        </w:rPr>
        <w:t>、污染物排放监测以及监管信息平台等环境综合治理服务。依法依规公布治理效果不达标、技术服务能力弱、运营管理水平低、综合信用差的第三方治理企业名单，并将违法违规信息纳入信用信息共享平台。</w:t>
      </w:r>
      <w:r>
        <w:rPr>
          <w:rFonts w:hint="default" w:ascii="Times New Roman" w:hAnsi="Times New Roman" w:eastAsia="仿宋_GB2312" w:cs="Times New Roman"/>
          <w:b w:val="0"/>
          <w:bCs/>
          <w:sz w:val="32"/>
          <w:szCs w:val="24"/>
          <w:highlight w:val="none"/>
          <w:lang w:val="en-US" w:eastAsia="zh-CN"/>
        </w:rPr>
        <w:t>推动</w:t>
      </w:r>
      <w:r>
        <w:rPr>
          <w:rFonts w:hint="default" w:ascii="Times New Roman" w:hAnsi="Times New Roman" w:eastAsia="仿宋_GB2312" w:cs="Times New Roman"/>
          <w:b w:val="0"/>
          <w:bCs/>
          <w:sz w:val="32"/>
          <w:szCs w:val="24"/>
          <w:highlight w:val="none"/>
        </w:rPr>
        <w:t>环保管家服务，依托环保管家为政府—园区—企业提供环境监测、环保设施运营、污染治理、园区生态化循环化改造等一站式综合生态环境保护综合服务。</w:t>
      </w:r>
    </w:p>
    <w:p w14:paraId="0BA20C87">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415" w:name="_Toc31553"/>
      <w:bookmarkStart w:id="416" w:name="_Toc10115"/>
      <w:bookmarkStart w:id="417" w:name="_Toc23939"/>
      <w:bookmarkStart w:id="418" w:name="_Toc6222"/>
      <w:bookmarkStart w:id="419" w:name="_Toc1391"/>
      <w:bookmarkStart w:id="420" w:name="_Toc22378"/>
      <w:bookmarkStart w:id="421" w:name="_Toc5379"/>
      <w:bookmarkStart w:id="422" w:name="_Toc7031"/>
      <w:bookmarkStart w:id="423" w:name="_Toc16515"/>
      <w:bookmarkStart w:id="424" w:name="_Toc27052"/>
      <w:bookmarkStart w:id="425" w:name="_Toc24998"/>
      <w:r>
        <w:rPr>
          <w:rFonts w:hint="default" w:ascii="Times New Roman" w:hAnsi="Times New Roman" w:eastAsia="楷体_GB2312" w:cs="Times New Roman"/>
          <w:b/>
          <w:bCs w:val="0"/>
          <w:snapToGrid w:val="0"/>
          <w:highlight w:val="none"/>
          <w:lang w:val="en-US" w:eastAsia="zh-CN"/>
        </w:rPr>
        <w:t>第五节 发挥市场机制，推进生态环境保护力度</w:t>
      </w:r>
      <w:bookmarkEnd w:id="415"/>
      <w:bookmarkEnd w:id="416"/>
      <w:bookmarkEnd w:id="417"/>
      <w:bookmarkEnd w:id="418"/>
      <w:bookmarkEnd w:id="419"/>
      <w:bookmarkEnd w:id="420"/>
      <w:bookmarkEnd w:id="421"/>
      <w:bookmarkEnd w:id="422"/>
      <w:bookmarkEnd w:id="423"/>
      <w:bookmarkEnd w:id="424"/>
      <w:bookmarkEnd w:id="425"/>
    </w:p>
    <w:p w14:paraId="6D5617FE">
      <w:pPr>
        <w:pageBreakBefore w:val="0"/>
        <w:kinsoku/>
        <w:wordWrap/>
        <w:bidi w:val="0"/>
        <w:spacing w:line="360" w:lineRule="auto"/>
        <w:ind w:firstLine="640" w:firstLineChars="200"/>
        <w:rPr>
          <w:rFonts w:hint="default" w:ascii="Times New Roman" w:hAnsi="Times New Roman" w:eastAsia="仿宋_GB2312" w:cs="Times New Roman"/>
          <w:sz w:val="32"/>
          <w:szCs w:val="24"/>
          <w:highlight w:val="none"/>
          <w:lang w:val="en-US" w:eastAsia="zh-CN"/>
        </w:rPr>
      </w:pPr>
      <w:r>
        <w:rPr>
          <w:rFonts w:hint="default" w:ascii="Times New Roman" w:hAnsi="Times New Roman" w:eastAsia="仿宋_GB2312" w:cs="Times New Roman"/>
          <w:sz w:val="32"/>
          <w:szCs w:val="24"/>
          <w:highlight w:val="none"/>
        </w:rPr>
        <w:t>加大对生态功能重要区域的生态保护补偿力度，健全生态补偿机制。鼓励生态受益地区与生态保护地区、流域下游与流域上游通过资金补偿、对口协作、产业转移、人才培训、共建园区等方式建立横向补偿关系。</w:t>
      </w:r>
    </w:p>
    <w:p w14:paraId="1AE75464">
      <w:pPr>
        <w:pStyle w:val="4"/>
        <w:numPr>
          <w:ilvl w:val="0"/>
          <w:numId w:val="0"/>
        </w:numPr>
        <w:adjustRightInd w:val="0"/>
        <w:snapToGrid w:val="0"/>
        <w:spacing w:before="312" w:beforeLines="100" w:after="78" w:afterLines="25" w:line="560" w:lineRule="exact"/>
        <w:jc w:val="center"/>
        <w:rPr>
          <w:rFonts w:hint="default" w:ascii="Times New Roman" w:hAnsi="Times New Roman" w:eastAsia="楷体_GB2312" w:cs="Times New Roman"/>
          <w:b/>
          <w:bCs w:val="0"/>
          <w:snapToGrid w:val="0"/>
          <w:highlight w:val="none"/>
          <w:lang w:val="en-US" w:eastAsia="zh-CN"/>
        </w:rPr>
      </w:pPr>
      <w:bookmarkStart w:id="426" w:name="_Toc15583"/>
      <w:bookmarkStart w:id="427" w:name="_Toc1197"/>
      <w:bookmarkStart w:id="428" w:name="_Toc28983"/>
      <w:bookmarkStart w:id="429" w:name="_Toc19796"/>
      <w:bookmarkStart w:id="430" w:name="_Toc25551"/>
      <w:bookmarkStart w:id="431" w:name="_Toc27677"/>
      <w:bookmarkStart w:id="432" w:name="_Toc5011"/>
      <w:bookmarkStart w:id="433" w:name="_Toc28490"/>
      <w:bookmarkStart w:id="434" w:name="_Toc15808"/>
      <w:bookmarkStart w:id="435" w:name="_Toc27201"/>
      <w:bookmarkStart w:id="436" w:name="_Toc29415"/>
      <w:r>
        <w:rPr>
          <w:rFonts w:hint="default" w:ascii="Times New Roman" w:hAnsi="Times New Roman" w:eastAsia="楷体_GB2312" w:cs="Times New Roman"/>
          <w:b/>
          <w:bCs w:val="0"/>
          <w:snapToGrid w:val="0"/>
          <w:highlight w:val="none"/>
          <w:lang w:val="en-US" w:eastAsia="zh-CN"/>
        </w:rPr>
        <w:t>第六节 开展全民行动，积极践行绿色生活方式</w:t>
      </w:r>
      <w:bookmarkEnd w:id="426"/>
      <w:bookmarkEnd w:id="427"/>
      <w:bookmarkEnd w:id="428"/>
      <w:bookmarkEnd w:id="429"/>
      <w:bookmarkEnd w:id="430"/>
      <w:bookmarkEnd w:id="431"/>
      <w:bookmarkEnd w:id="432"/>
      <w:bookmarkEnd w:id="433"/>
      <w:bookmarkEnd w:id="434"/>
      <w:bookmarkEnd w:id="435"/>
      <w:bookmarkEnd w:id="436"/>
    </w:p>
    <w:p w14:paraId="4B715D73">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bCs/>
          <w:sz w:val="32"/>
          <w:szCs w:val="24"/>
          <w:highlight w:val="none"/>
        </w:rPr>
        <w:t>加强公众生态环保宣传培训。</w:t>
      </w:r>
      <w:r>
        <w:rPr>
          <w:rFonts w:hint="default" w:ascii="Times New Roman" w:hAnsi="Times New Roman" w:eastAsia="仿宋_GB2312" w:cs="Times New Roman"/>
          <w:sz w:val="32"/>
          <w:szCs w:val="24"/>
          <w:highlight w:val="none"/>
        </w:rPr>
        <w:t>开展绿色环保主题宣传活动，充分利用科普读物、宣传手册、教育培训、微信公众号等多种形式，将环境知识延伸到</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社会各个层次，培育居民生态环境保护法律意识，引导公众推行绿色消费，反对奢侈浪费和不合理消费。</w:t>
      </w:r>
    </w:p>
    <w:p w14:paraId="60C6ACBF">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bCs/>
          <w:sz w:val="32"/>
          <w:szCs w:val="24"/>
          <w:highlight w:val="none"/>
        </w:rPr>
        <w:t>建立全民行动体系。</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党政机关要发挥表率作用，推行绿色办公、绿色行政。推行严格的绿色采购制度。积极推进</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重点企业和重点园区清洁生产，引导重点企业和重点园区建设清洁生产示范工程，树立标杆。鼓励社会团体自觉参与</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生态环境保护。工会、共青团、妇联等群团组织应积极动员广大职工、青年、妇女参与生态环境保护。引导环保技术志愿服务队伍发展壮大，加强环保团体、环保志愿者能力培训。</w:t>
      </w:r>
    </w:p>
    <w:p w14:paraId="424E7C07">
      <w:pPr>
        <w:pageBreakBefore w:val="0"/>
        <w:kinsoku/>
        <w:wordWrap/>
        <w:bidi w:val="0"/>
        <w:spacing w:line="360" w:lineRule="auto"/>
        <w:ind w:firstLine="643" w:firstLineChars="200"/>
        <w:rPr>
          <w:rFonts w:hint="default" w:ascii="Times New Roman" w:hAnsi="Times New Roman" w:eastAsia="仿宋_GB2312" w:cs="Times New Roman"/>
          <w:sz w:val="32"/>
          <w:szCs w:val="24"/>
          <w:highlight w:val="none"/>
        </w:rPr>
      </w:pPr>
      <w:r>
        <w:rPr>
          <w:rFonts w:hint="default" w:ascii="Times New Roman" w:hAnsi="Times New Roman" w:eastAsia="仿宋_GB2312" w:cs="Times New Roman"/>
          <w:b/>
          <w:bCs/>
          <w:sz w:val="32"/>
          <w:szCs w:val="24"/>
          <w:highlight w:val="none"/>
        </w:rPr>
        <w:t>强化公众监督。</w:t>
      </w:r>
      <w:r>
        <w:rPr>
          <w:rFonts w:hint="default" w:ascii="Times New Roman" w:hAnsi="Times New Roman" w:eastAsia="仿宋_GB2312" w:cs="Times New Roman"/>
          <w:sz w:val="32"/>
          <w:szCs w:val="24"/>
          <w:highlight w:val="none"/>
        </w:rPr>
        <w:t>建立健全</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公众参与平台，拓宽公众监督与参与渠道。完善</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环境信息公开制度，在</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人民政府官网、微信公众号等媒介上及时公布环境信息和生态环保工作动态，丰富公民获取信息的渠道。引导企业落实信息公开机制，加强公众和新闻媒体对企业的社会监督。健全</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环境污染举报制度，定期公布举报动态和查处结果。发挥</w:t>
      </w:r>
      <w:r>
        <w:rPr>
          <w:rFonts w:hint="default" w:ascii="Times New Roman" w:hAnsi="Times New Roman" w:eastAsia="仿宋_GB2312" w:cs="Times New Roman"/>
          <w:sz w:val="32"/>
          <w:szCs w:val="24"/>
          <w:highlight w:val="none"/>
          <w:lang w:val="en-US" w:eastAsia="zh-CN"/>
        </w:rPr>
        <w:t>清溪镇</w:t>
      </w:r>
      <w:r>
        <w:rPr>
          <w:rFonts w:hint="default" w:ascii="Times New Roman" w:hAnsi="Times New Roman" w:eastAsia="仿宋_GB2312" w:cs="Times New Roman"/>
          <w:sz w:val="32"/>
          <w:szCs w:val="24"/>
          <w:highlight w:val="none"/>
        </w:rPr>
        <w:t>公众媒体曝光台的警示教育作用，选取典型案件作为宣传材料，通过新闻媒体强势宣传，</w:t>
      </w:r>
      <w:r>
        <w:rPr>
          <w:rFonts w:hint="eastAsia" w:eastAsia="仿宋_GB2312" w:cs="Times New Roman"/>
          <w:sz w:val="32"/>
          <w:szCs w:val="24"/>
          <w:highlight w:val="none"/>
          <w:lang w:eastAsia="zh-CN"/>
        </w:rPr>
        <w:t>增强</w:t>
      </w:r>
      <w:r>
        <w:rPr>
          <w:rFonts w:hint="default" w:ascii="Times New Roman" w:hAnsi="Times New Roman" w:eastAsia="仿宋_GB2312" w:cs="Times New Roman"/>
          <w:sz w:val="32"/>
          <w:szCs w:val="24"/>
          <w:highlight w:val="none"/>
        </w:rPr>
        <w:t>企业经营管理者的守法意识，杜绝违法排污的侥幸心理。</w:t>
      </w:r>
    </w:p>
    <w:p w14:paraId="3C73766E">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437" w:name="_Toc17128"/>
    </w:p>
    <w:p w14:paraId="60CD58CA">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438" w:name="_Toc12440"/>
      <w:bookmarkStart w:id="439" w:name="_Toc605"/>
      <w:bookmarkStart w:id="440" w:name="_Toc2538"/>
      <w:bookmarkStart w:id="441" w:name="_Toc30768"/>
      <w:bookmarkStart w:id="442" w:name="_Toc31908"/>
      <w:bookmarkStart w:id="443" w:name="_Toc8318"/>
      <w:bookmarkStart w:id="444" w:name="_Toc26441"/>
      <w:bookmarkStart w:id="445" w:name="_Toc27713"/>
      <w:bookmarkStart w:id="446" w:name="_Toc7328"/>
      <w:bookmarkStart w:id="447" w:name="_Toc21735"/>
      <w:r>
        <w:rPr>
          <w:rFonts w:hint="default" w:ascii="Times New Roman" w:hAnsi="Times New Roman" w:eastAsia="黑体" w:cs="Times New Roman"/>
          <w:b w:val="0"/>
          <w:bCs/>
          <w:kern w:val="44"/>
          <w:sz w:val="36"/>
          <w:szCs w:val="44"/>
          <w:highlight w:val="none"/>
          <w:lang w:val="en-US" w:eastAsia="zh-CN" w:bidi="ar-SA"/>
        </w:rPr>
        <w:t>第九章 重点工程</w:t>
      </w:r>
      <w:bookmarkEnd w:id="380"/>
      <w:bookmarkEnd w:id="381"/>
      <w:bookmarkEnd w:id="437"/>
      <w:bookmarkEnd w:id="438"/>
      <w:bookmarkEnd w:id="439"/>
      <w:bookmarkEnd w:id="440"/>
      <w:bookmarkEnd w:id="441"/>
      <w:bookmarkEnd w:id="442"/>
      <w:bookmarkEnd w:id="443"/>
      <w:bookmarkEnd w:id="444"/>
      <w:bookmarkEnd w:id="445"/>
      <w:bookmarkEnd w:id="446"/>
      <w:bookmarkEnd w:id="447"/>
    </w:p>
    <w:p w14:paraId="77693C08">
      <w:pPr>
        <w:pageBreakBefore w:val="0"/>
        <w:kinsoku/>
        <w:wordWrap/>
        <w:bidi w:val="0"/>
        <w:spacing w:line="360" w:lineRule="auto"/>
        <w:ind w:firstLine="640" w:firstLineChars="200"/>
        <w:rPr>
          <w:rFonts w:hint="default" w:ascii="Times New Roman" w:hAnsi="Times New Roman" w:eastAsia="仿宋_GB2312" w:cs="Times New Roman"/>
          <w:b w:val="0"/>
          <w:bCs w:val="0"/>
          <w:sz w:val="32"/>
          <w:szCs w:val="24"/>
          <w:highlight w:val="none"/>
          <w:lang w:val="en-US" w:eastAsia="zh-CN"/>
        </w:rPr>
      </w:pPr>
      <w:r>
        <w:rPr>
          <w:rFonts w:hint="default" w:ascii="Times New Roman" w:hAnsi="Times New Roman" w:eastAsia="仿宋_GB2312" w:cs="Times New Roman"/>
          <w:b w:val="0"/>
          <w:bCs w:val="0"/>
          <w:sz w:val="32"/>
          <w:szCs w:val="24"/>
          <w:highlight w:val="none"/>
        </w:rPr>
        <w:t>为实现规划目标和任务，需落实</w:t>
      </w:r>
      <w:r>
        <w:rPr>
          <w:rFonts w:hint="default" w:ascii="Times New Roman" w:hAnsi="Times New Roman" w:eastAsia="仿宋_GB2312" w:cs="Times New Roman"/>
          <w:b w:val="0"/>
          <w:bCs w:val="0"/>
          <w:sz w:val="32"/>
          <w:szCs w:val="24"/>
          <w:highlight w:val="none"/>
          <w:lang w:val="en-US" w:eastAsia="zh-CN"/>
        </w:rPr>
        <w:t>产业绿色发展、应对气候变化、</w:t>
      </w:r>
      <w:r>
        <w:rPr>
          <w:rFonts w:hint="default" w:ascii="Times New Roman" w:hAnsi="Times New Roman" w:eastAsia="仿宋_GB2312" w:cs="Times New Roman"/>
          <w:sz w:val="32"/>
          <w:highlight w:val="none"/>
        </w:rPr>
        <w:t>环境质量改善及污染防治</w:t>
      </w:r>
      <w:r>
        <w:rPr>
          <w:rFonts w:hint="default" w:ascii="Times New Roman" w:hAnsi="Times New Roman" w:eastAsia="仿宋_GB2312" w:cs="Times New Roman"/>
          <w:sz w:val="32"/>
          <w:highlight w:val="none"/>
          <w:lang w:eastAsia="zh-CN"/>
        </w:rPr>
        <w:t>、</w:t>
      </w:r>
      <w:r>
        <w:rPr>
          <w:rFonts w:hint="default" w:ascii="Times New Roman" w:hAnsi="Times New Roman" w:eastAsia="仿宋_GB2312" w:cs="Times New Roman"/>
          <w:sz w:val="32"/>
          <w:highlight w:val="none"/>
          <w:lang w:val="en-US" w:eastAsia="zh-CN"/>
        </w:rPr>
        <w:t>生态保护与空间管控、环境风险防控、生态环境质量能力建设</w:t>
      </w:r>
      <w:r>
        <w:rPr>
          <w:rFonts w:hint="default" w:ascii="Times New Roman" w:hAnsi="Times New Roman" w:eastAsia="仿宋_GB2312" w:cs="Times New Roman"/>
          <w:b w:val="0"/>
          <w:bCs w:val="0"/>
          <w:sz w:val="32"/>
          <w:szCs w:val="24"/>
          <w:highlight w:val="none"/>
        </w:rPr>
        <w:t>六大类重点工程</w:t>
      </w:r>
      <w:r>
        <w:rPr>
          <w:rFonts w:hint="default" w:ascii="Times New Roman" w:hAnsi="Times New Roman" w:eastAsia="仿宋_GB2312" w:cs="Times New Roman"/>
          <w:b w:val="0"/>
          <w:bCs w:val="0"/>
          <w:sz w:val="32"/>
          <w:szCs w:val="24"/>
          <w:highlight w:val="none"/>
          <w:lang w:eastAsia="zh-CN"/>
        </w:rPr>
        <w:t>，</w:t>
      </w:r>
      <w:r>
        <w:rPr>
          <w:rFonts w:hint="default" w:ascii="Times New Roman" w:hAnsi="Times New Roman" w:eastAsia="仿宋_GB2312" w:cs="Times New Roman"/>
          <w:b w:val="0"/>
          <w:bCs w:val="0"/>
          <w:sz w:val="32"/>
          <w:szCs w:val="24"/>
          <w:highlight w:val="none"/>
        </w:rPr>
        <w:t>合计</w:t>
      </w:r>
      <w:r>
        <w:rPr>
          <w:rFonts w:hint="eastAsia" w:eastAsia="仿宋_GB2312" w:cs="Times New Roman"/>
          <w:b w:val="0"/>
          <w:bCs w:val="0"/>
          <w:sz w:val="32"/>
          <w:szCs w:val="24"/>
          <w:highlight w:val="none"/>
          <w:lang w:val="en-US" w:eastAsia="zh-CN"/>
        </w:rPr>
        <w:t>38</w:t>
      </w:r>
      <w:r>
        <w:rPr>
          <w:rFonts w:hint="default" w:ascii="Times New Roman" w:hAnsi="Times New Roman" w:eastAsia="仿宋_GB2312" w:cs="Times New Roman"/>
          <w:b w:val="0"/>
          <w:bCs w:val="0"/>
          <w:sz w:val="32"/>
          <w:szCs w:val="24"/>
          <w:highlight w:val="none"/>
        </w:rPr>
        <w:t>项重点项目</w:t>
      </w:r>
      <w:r>
        <w:rPr>
          <w:rFonts w:hint="eastAsia" w:eastAsia="仿宋_GB2312" w:cs="Times New Roman"/>
          <w:b w:val="0"/>
          <w:bCs w:val="0"/>
          <w:sz w:val="32"/>
          <w:szCs w:val="24"/>
          <w:highlight w:val="none"/>
          <w:lang w:eastAsia="zh-CN"/>
        </w:rPr>
        <w:t>，</w:t>
      </w:r>
      <w:r>
        <w:rPr>
          <w:rFonts w:hint="eastAsia" w:eastAsia="仿宋_GB2312" w:cs="Times New Roman"/>
          <w:b w:val="0"/>
          <w:bCs w:val="0"/>
          <w:sz w:val="32"/>
          <w:szCs w:val="24"/>
          <w:highlight w:val="none"/>
          <w:lang w:val="en-US" w:eastAsia="zh-CN"/>
        </w:rPr>
        <w:t>项目分布表见表9-1，预计总投资28.64亿元，具体内容详见附表2-附表7</w:t>
      </w:r>
      <w:r>
        <w:rPr>
          <w:rFonts w:hint="default" w:ascii="Times New Roman" w:hAnsi="Times New Roman" w:eastAsia="仿宋_GB2312" w:cs="Times New Roman"/>
          <w:b w:val="0"/>
          <w:bCs w:val="0"/>
          <w:sz w:val="32"/>
          <w:szCs w:val="24"/>
          <w:highlight w:val="none"/>
          <w:lang w:val="en-US" w:eastAsia="zh-CN"/>
        </w:rPr>
        <w:t>。</w:t>
      </w:r>
    </w:p>
    <w:p w14:paraId="77A19186">
      <w:pPr>
        <w:pStyle w:val="5"/>
        <w:keepNext w:val="0"/>
        <w:keepLines w:val="0"/>
        <w:numPr>
          <w:ilvl w:val="-1"/>
          <w:numId w:val="0"/>
        </w:numPr>
        <w:spacing w:beforeLines="0" w:afterLines="0" w:line="360" w:lineRule="auto"/>
        <w:ind w:firstLine="643"/>
        <w:rPr>
          <w:rFonts w:hint="default" w:ascii="黑体" w:hAnsi="黑体" w:eastAsia="黑体" w:cs="黑体"/>
          <w:b w:val="0"/>
          <w:sz w:val="32"/>
          <w:szCs w:val="32"/>
          <w:highlight w:val="none"/>
        </w:rPr>
      </w:pPr>
      <w:r>
        <w:rPr>
          <w:rFonts w:hint="default" w:ascii="黑体" w:hAnsi="黑体" w:eastAsia="黑体" w:cs="黑体"/>
          <w:b w:val="0"/>
          <w:sz w:val="32"/>
          <w:szCs w:val="32"/>
          <w:highlight w:val="none"/>
        </w:rPr>
        <w:t>一</w:t>
      </w:r>
      <w:r>
        <w:rPr>
          <w:rFonts w:hint="eastAsia" w:ascii="黑体" w:hAnsi="黑体" w:eastAsia="黑体" w:cs="黑体"/>
          <w:b w:val="0"/>
          <w:sz w:val="32"/>
          <w:szCs w:val="32"/>
          <w:highlight w:val="none"/>
          <w:lang w:eastAsia="zh-CN"/>
        </w:rPr>
        <w:t>、</w:t>
      </w:r>
      <w:r>
        <w:rPr>
          <w:rFonts w:hint="default" w:ascii="黑体" w:hAnsi="黑体" w:eastAsia="黑体" w:cs="黑体"/>
          <w:b w:val="0"/>
          <w:sz w:val="32"/>
          <w:szCs w:val="32"/>
          <w:highlight w:val="none"/>
        </w:rPr>
        <w:t>产业绿色发展重点工程</w:t>
      </w:r>
    </w:p>
    <w:p w14:paraId="0325332A">
      <w:pPr>
        <w:pageBreakBefore w:val="0"/>
        <w:kinsoku/>
        <w:wordWrap/>
        <w:bidi w:val="0"/>
        <w:spacing w:line="360" w:lineRule="auto"/>
        <w:ind w:firstLine="640" w:firstLineChars="200"/>
        <w:rPr>
          <w:rFonts w:hint="default" w:ascii="Times New Roman" w:hAnsi="Times New Roman" w:eastAsia="仿宋_GB2312" w:cs="Times New Roman"/>
          <w:b w:val="0"/>
          <w:bCs w:val="0"/>
          <w:sz w:val="32"/>
          <w:szCs w:val="24"/>
          <w:highlight w:val="none"/>
        </w:rPr>
      </w:pPr>
      <w:r>
        <w:rPr>
          <w:rFonts w:hint="default" w:ascii="Times New Roman" w:hAnsi="Times New Roman" w:eastAsia="仿宋_GB2312" w:cs="Times New Roman"/>
          <w:b w:val="0"/>
          <w:bCs w:val="0"/>
          <w:sz w:val="32"/>
          <w:szCs w:val="24"/>
          <w:highlight w:val="none"/>
        </w:rPr>
        <w:t>产业绿色发展重点工程主要包括空间管控优化工程、产业更替工程</w:t>
      </w:r>
      <w:r>
        <w:rPr>
          <w:rFonts w:hint="eastAsia" w:eastAsia="仿宋_GB2312" w:cs="Times New Roman"/>
          <w:b w:val="0"/>
          <w:bCs w:val="0"/>
          <w:sz w:val="32"/>
          <w:szCs w:val="24"/>
          <w:highlight w:val="none"/>
          <w:lang w:eastAsia="zh-CN"/>
        </w:rPr>
        <w:t>、推动企业进步发展</w:t>
      </w:r>
      <w:r>
        <w:rPr>
          <w:rFonts w:hint="eastAsia" w:eastAsia="仿宋_GB2312" w:cs="Times New Roman"/>
          <w:b w:val="0"/>
          <w:bCs w:val="0"/>
          <w:sz w:val="32"/>
          <w:szCs w:val="24"/>
          <w:highlight w:val="none"/>
          <w:lang w:val="en-US" w:eastAsia="zh-CN"/>
        </w:rPr>
        <w:t>3</w:t>
      </w:r>
      <w:r>
        <w:rPr>
          <w:rFonts w:hint="default" w:ascii="Times New Roman" w:hAnsi="Times New Roman" w:eastAsia="仿宋_GB2312" w:cs="Times New Roman"/>
          <w:b w:val="0"/>
          <w:bCs w:val="0"/>
          <w:sz w:val="32"/>
          <w:szCs w:val="24"/>
          <w:highlight w:val="none"/>
        </w:rPr>
        <w:t>个项目，有效促进</w:t>
      </w:r>
      <w:r>
        <w:rPr>
          <w:rFonts w:hint="eastAsia" w:eastAsia="仿宋_GB2312" w:cs="Times New Roman"/>
          <w:b w:val="0"/>
          <w:bCs w:val="0"/>
          <w:sz w:val="32"/>
          <w:szCs w:val="24"/>
          <w:highlight w:val="none"/>
          <w:lang w:val="en-US" w:eastAsia="zh-CN"/>
        </w:rPr>
        <w:t>清溪</w:t>
      </w:r>
      <w:r>
        <w:rPr>
          <w:rFonts w:hint="default" w:ascii="Times New Roman" w:hAnsi="Times New Roman" w:eastAsia="仿宋_GB2312" w:cs="Times New Roman"/>
          <w:b w:val="0"/>
          <w:bCs w:val="0"/>
          <w:sz w:val="32"/>
          <w:szCs w:val="24"/>
          <w:highlight w:val="none"/>
        </w:rPr>
        <w:t>镇</w:t>
      </w:r>
      <w:r>
        <w:rPr>
          <w:rFonts w:hint="eastAsia" w:eastAsia="仿宋_GB2312" w:cs="Times New Roman"/>
          <w:b w:val="0"/>
          <w:bCs w:val="0"/>
          <w:sz w:val="32"/>
          <w:szCs w:val="24"/>
          <w:highlight w:val="none"/>
          <w:lang w:val="en-US" w:eastAsia="zh-CN"/>
        </w:rPr>
        <w:t>调整优化产业结构</w:t>
      </w:r>
      <w:r>
        <w:rPr>
          <w:rFonts w:hint="default" w:ascii="Times New Roman" w:hAnsi="Times New Roman" w:eastAsia="仿宋_GB2312" w:cs="Times New Roman"/>
          <w:b w:val="0"/>
          <w:bCs w:val="0"/>
          <w:sz w:val="32"/>
          <w:szCs w:val="24"/>
          <w:highlight w:val="none"/>
        </w:rPr>
        <w:t>，</w:t>
      </w:r>
      <w:r>
        <w:rPr>
          <w:rFonts w:hint="eastAsia" w:eastAsia="仿宋_GB2312" w:cs="Times New Roman"/>
          <w:b w:val="0"/>
          <w:bCs w:val="0"/>
          <w:sz w:val="32"/>
          <w:szCs w:val="24"/>
          <w:highlight w:val="none"/>
          <w:lang w:val="en-US" w:eastAsia="zh-CN"/>
        </w:rPr>
        <w:t>推进产业绿色发展</w:t>
      </w:r>
      <w:r>
        <w:rPr>
          <w:rFonts w:hint="default" w:ascii="Times New Roman" w:hAnsi="Times New Roman" w:eastAsia="仿宋_GB2312" w:cs="Times New Roman"/>
          <w:b w:val="0"/>
          <w:bCs w:val="0"/>
          <w:sz w:val="32"/>
          <w:szCs w:val="24"/>
          <w:highlight w:val="none"/>
        </w:rPr>
        <w:t>。</w:t>
      </w:r>
    </w:p>
    <w:p w14:paraId="7409A28A">
      <w:pPr>
        <w:pStyle w:val="5"/>
        <w:keepNext w:val="0"/>
        <w:keepLines w:val="0"/>
        <w:numPr>
          <w:ilvl w:val="-1"/>
          <w:numId w:val="0"/>
        </w:numPr>
        <w:spacing w:beforeLines="0" w:afterLines="0" w:line="360" w:lineRule="auto"/>
        <w:ind w:firstLine="643"/>
        <w:rPr>
          <w:rFonts w:hint="default" w:ascii="黑体" w:hAnsi="黑体" w:eastAsia="黑体" w:cs="黑体"/>
          <w:b w:val="0"/>
          <w:sz w:val="32"/>
          <w:szCs w:val="32"/>
          <w:highlight w:val="none"/>
        </w:rPr>
      </w:pPr>
      <w:r>
        <w:rPr>
          <w:rFonts w:hint="eastAsia" w:ascii="黑体" w:hAnsi="黑体" w:eastAsia="黑体" w:cs="黑体"/>
          <w:b w:val="0"/>
          <w:sz w:val="32"/>
          <w:szCs w:val="32"/>
          <w:highlight w:val="none"/>
          <w:lang w:val="en-US" w:eastAsia="zh-CN"/>
        </w:rPr>
        <w:t>二、应对气候变化</w:t>
      </w:r>
      <w:r>
        <w:rPr>
          <w:rFonts w:hint="default" w:ascii="黑体" w:hAnsi="黑体" w:eastAsia="黑体" w:cs="黑体"/>
          <w:b w:val="0"/>
          <w:sz w:val="32"/>
          <w:szCs w:val="32"/>
          <w:highlight w:val="none"/>
        </w:rPr>
        <w:t>重点工程</w:t>
      </w:r>
    </w:p>
    <w:p w14:paraId="58C82921">
      <w:pPr>
        <w:pageBreakBefore w:val="0"/>
        <w:kinsoku/>
        <w:wordWrap/>
        <w:bidi w:val="0"/>
        <w:spacing w:line="360" w:lineRule="auto"/>
        <w:ind w:firstLine="640" w:firstLineChars="200"/>
        <w:rPr>
          <w:rFonts w:hint="default" w:ascii="Times New Roman" w:hAnsi="Times New Roman" w:eastAsia="仿宋_GB2312" w:cs="Times New Roman"/>
          <w:b w:val="0"/>
          <w:bCs w:val="0"/>
          <w:sz w:val="32"/>
          <w:szCs w:val="24"/>
          <w:highlight w:val="none"/>
          <w:lang w:val="en-US" w:eastAsia="zh-CN"/>
        </w:rPr>
      </w:pPr>
      <w:r>
        <w:rPr>
          <w:rFonts w:hint="default" w:ascii="Times New Roman" w:hAnsi="Times New Roman" w:eastAsia="仿宋_GB2312" w:cs="Times New Roman"/>
          <w:b w:val="0"/>
          <w:bCs w:val="0"/>
          <w:sz w:val="32"/>
          <w:szCs w:val="24"/>
          <w:highlight w:val="none"/>
        </w:rPr>
        <w:t>应对气候变化重点工程</w:t>
      </w:r>
      <w:r>
        <w:rPr>
          <w:rFonts w:hint="eastAsia" w:eastAsia="仿宋_GB2312" w:cs="Times New Roman"/>
          <w:b w:val="0"/>
          <w:bCs w:val="0"/>
          <w:sz w:val="32"/>
          <w:szCs w:val="24"/>
          <w:highlight w:val="none"/>
          <w:lang w:val="en-US" w:eastAsia="zh-CN"/>
        </w:rPr>
        <w:t>主要包括清洁能源利用工程、清洁生产推广工程、清洁能源保障工程3个项目，积极开展应对气候变化工作，推动清溪镇经济社会绿色低碳转型。</w:t>
      </w:r>
    </w:p>
    <w:p w14:paraId="02C01F20">
      <w:pPr>
        <w:pStyle w:val="5"/>
        <w:keepNext w:val="0"/>
        <w:keepLines w:val="0"/>
        <w:numPr>
          <w:ilvl w:val="-1"/>
          <w:numId w:val="0"/>
        </w:numPr>
        <w:spacing w:beforeLines="0" w:afterLines="0" w:line="360" w:lineRule="auto"/>
        <w:ind w:firstLine="643"/>
        <w:rPr>
          <w:rFonts w:hint="default" w:ascii="黑体" w:hAnsi="黑体" w:eastAsia="黑体" w:cs="黑体"/>
          <w:b w:val="0"/>
          <w:sz w:val="32"/>
          <w:szCs w:val="32"/>
          <w:highlight w:val="none"/>
          <w:lang w:val="en-US" w:eastAsia="zh-CN"/>
        </w:rPr>
      </w:pPr>
      <w:r>
        <w:rPr>
          <w:rFonts w:hint="eastAsia" w:ascii="黑体" w:hAnsi="黑体" w:eastAsia="黑体" w:cs="黑体"/>
          <w:b w:val="0"/>
          <w:sz w:val="32"/>
          <w:szCs w:val="32"/>
          <w:highlight w:val="none"/>
          <w:lang w:val="en-US" w:eastAsia="zh-CN"/>
        </w:rPr>
        <w:t>三、环境质量改善及污染防治重点工程</w:t>
      </w:r>
    </w:p>
    <w:p w14:paraId="3AF315DC">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eastAsia="仿宋_GB2312"/>
          <w:b w:val="0"/>
          <w:bCs w:val="0"/>
          <w:sz w:val="32"/>
          <w:highlight w:val="none"/>
        </w:rPr>
      </w:pPr>
      <w:r>
        <w:rPr>
          <w:rFonts w:hint="default" w:eastAsia="仿宋_GB2312"/>
          <w:b/>
          <w:bCs/>
          <w:sz w:val="32"/>
          <w:highlight w:val="none"/>
        </w:rPr>
        <w:t>大气污染防治重点工程。</w:t>
      </w:r>
      <w:r>
        <w:rPr>
          <w:rFonts w:hint="default" w:eastAsia="仿宋_GB2312"/>
          <w:b w:val="0"/>
          <w:bCs w:val="0"/>
          <w:sz w:val="32"/>
          <w:highlight w:val="none"/>
        </w:rPr>
        <w:t>主要包括挥发性有机物污染控制工程、移动源大气污染防治工程、面源污染控制工程、企业分级评价和差异化管理、大气网格化监测网络建设、大气污染源排放调查与数据库更新、共性工厂建设</w:t>
      </w:r>
      <w:r>
        <w:rPr>
          <w:rFonts w:hint="eastAsia" w:eastAsia="仿宋_GB2312"/>
          <w:b w:val="0"/>
          <w:bCs w:val="0"/>
          <w:sz w:val="32"/>
          <w:highlight w:val="none"/>
          <w:lang w:val="en-US" w:eastAsia="zh-CN"/>
        </w:rPr>
        <w:t>8</w:t>
      </w:r>
      <w:r>
        <w:rPr>
          <w:rFonts w:hint="default" w:eastAsia="仿宋_GB2312"/>
          <w:b w:val="0"/>
          <w:bCs w:val="0"/>
          <w:sz w:val="32"/>
          <w:highlight w:val="none"/>
        </w:rPr>
        <w:t>个项目，持续改善清溪镇大气环境。</w:t>
      </w:r>
    </w:p>
    <w:p w14:paraId="4241EE93">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eastAsia="仿宋_GB2312"/>
          <w:b w:val="0"/>
          <w:bCs w:val="0"/>
          <w:sz w:val="32"/>
          <w:highlight w:val="none"/>
        </w:rPr>
      </w:pPr>
      <w:r>
        <w:rPr>
          <w:rFonts w:hint="default" w:eastAsia="仿宋_GB2312"/>
          <w:b/>
          <w:bCs/>
          <w:sz w:val="32"/>
          <w:highlight w:val="none"/>
        </w:rPr>
        <w:t>水污染防治重点工程。</w:t>
      </w:r>
      <w:r>
        <w:rPr>
          <w:rFonts w:hint="default" w:eastAsia="仿宋_GB2312"/>
          <w:b w:val="0"/>
          <w:bCs w:val="0"/>
          <w:sz w:val="32"/>
          <w:highlight w:val="none"/>
        </w:rPr>
        <w:t>主要包括石马河流域综合整治、碧道工程、集中式污水处理厂扩建、污水处理提质增效、截污主干管改造提升、污水管网连通工程、污染河涌整治、美丽河湖建设8个项目，逐步改善清溪镇地表水环境质量。</w:t>
      </w:r>
    </w:p>
    <w:p w14:paraId="1F57E318">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eastAsia="仿宋_GB2312"/>
          <w:b w:val="0"/>
          <w:bCs w:val="0"/>
          <w:sz w:val="32"/>
          <w:highlight w:val="none"/>
        </w:rPr>
      </w:pPr>
      <w:r>
        <w:rPr>
          <w:rFonts w:hint="default" w:eastAsia="仿宋_GB2312"/>
          <w:b/>
          <w:bCs/>
          <w:sz w:val="32"/>
          <w:highlight w:val="none"/>
        </w:rPr>
        <w:t>土壤与地下水污染防治重点工程。</w:t>
      </w:r>
      <w:r>
        <w:rPr>
          <w:rFonts w:hint="default" w:eastAsia="仿宋_GB2312"/>
          <w:b w:val="0"/>
          <w:bCs w:val="0"/>
          <w:sz w:val="32"/>
          <w:highlight w:val="none"/>
        </w:rPr>
        <w:t>主要包括地下水污染调查、地下水国控环境区域点位日常管理和维护2个项目，稳步推进清溪镇土壤与地下水污染防治工作。</w:t>
      </w:r>
    </w:p>
    <w:p w14:paraId="1D941609">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default" w:eastAsia="仿宋_GB2312"/>
          <w:b w:val="0"/>
          <w:bCs w:val="0"/>
          <w:sz w:val="32"/>
          <w:highlight w:val="none"/>
        </w:rPr>
      </w:pPr>
      <w:r>
        <w:rPr>
          <w:rFonts w:hint="default" w:eastAsia="仿宋_GB2312"/>
          <w:b/>
          <w:bCs/>
          <w:sz w:val="32"/>
          <w:highlight w:val="none"/>
        </w:rPr>
        <w:t>固废污染防治重点工程。</w:t>
      </w:r>
      <w:r>
        <w:rPr>
          <w:rFonts w:hint="default" w:eastAsia="仿宋_GB2312"/>
          <w:b w:val="0"/>
          <w:bCs w:val="0"/>
          <w:sz w:val="32"/>
          <w:highlight w:val="none"/>
        </w:rPr>
        <w:t>主要包括生活垃圾分类工程、固体废物集中收存项目、清溪绿色循环经济资源综合利用项目3个项目，持续提升清溪镇固体废物利用与处置水平。</w:t>
      </w:r>
    </w:p>
    <w:p w14:paraId="2E68397F">
      <w:pPr>
        <w:pageBreakBefore w:val="0"/>
        <w:kinsoku/>
        <w:wordWrap/>
        <w:bidi w:val="0"/>
        <w:spacing w:line="360" w:lineRule="auto"/>
        <w:ind w:firstLine="643" w:firstLineChars="200"/>
        <w:rPr>
          <w:rFonts w:hint="default" w:eastAsia="仿宋_GB2312" w:cs="Times New Roman"/>
          <w:b w:val="0"/>
          <w:bCs w:val="0"/>
          <w:sz w:val="32"/>
          <w:szCs w:val="24"/>
          <w:highlight w:val="none"/>
          <w:lang w:val="en-US" w:eastAsia="zh-CN"/>
        </w:rPr>
      </w:pPr>
      <w:r>
        <w:rPr>
          <w:rFonts w:hint="default" w:eastAsia="仿宋_GB2312"/>
          <w:b/>
          <w:bCs/>
          <w:sz w:val="32"/>
          <w:highlight w:val="none"/>
        </w:rPr>
        <w:t>农业农村污染防治重点工程。</w:t>
      </w:r>
      <w:r>
        <w:rPr>
          <w:rFonts w:hint="default" w:eastAsia="仿宋_GB2312"/>
          <w:b w:val="0"/>
          <w:bCs w:val="0"/>
          <w:sz w:val="32"/>
          <w:highlight w:val="none"/>
        </w:rPr>
        <w:t>主要开展村容村貌提升工程1个项目，不断提升清溪镇农村人居环境。</w:t>
      </w:r>
    </w:p>
    <w:p w14:paraId="765768D8">
      <w:pPr>
        <w:pStyle w:val="5"/>
        <w:keepNext w:val="0"/>
        <w:keepLines w:val="0"/>
        <w:numPr>
          <w:ilvl w:val="-1"/>
          <w:numId w:val="0"/>
        </w:numPr>
        <w:spacing w:beforeLines="0" w:afterLines="0" w:line="360" w:lineRule="auto"/>
        <w:ind w:firstLine="643"/>
        <w:rPr>
          <w:rFonts w:hint="default" w:ascii="黑体" w:hAnsi="黑体" w:eastAsia="黑体" w:cs="黑体"/>
          <w:b w:val="0"/>
          <w:sz w:val="32"/>
          <w:szCs w:val="32"/>
          <w:highlight w:val="none"/>
          <w:lang w:val="en-US" w:eastAsia="zh-CN"/>
        </w:rPr>
      </w:pPr>
      <w:r>
        <w:rPr>
          <w:rFonts w:hint="default" w:ascii="黑体" w:hAnsi="黑体" w:eastAsia="黑体" w:cs="黑体"/>
          <w:b w:val="0"/>
          <w:sz w:val="32"/>
          <w:szCs w:val="32"/>
          <w:highlight w:val="none"/>
        </w:rPr>
        <w:t>四</w:t>
      </w:r>
      <w:r>
        <w:rPr>
          <w:rFonts w:hint="eastAsia" w:ascii="黑体" w:hAnsi="黑体" w:eastAsia="黑体" w:cs="黑体"/>
          <w:b w:val="0"/>
          <w:sz w:val="32"/>
          <w:szCs w:val="32"/>
          <w:highlight w:val="none"/>
          <w:lang w:eastAsia="zh-CN"/>
        </w:rPr>
        <w:t>、</w:t>
      </w:r>
      <w:r>
        <w:rPr>
          <w:rFonts w:hint="default" w:ascii="黑体" w:hAnsi="黑体" w:eastAsia="黑体" w:cs="黑体"/>
          <w:b w:val="0"/>
          <w:sz w:val="32"/>
          <w:szCs w:val="32"/>
          <w:highlight w:val="none"/>
        </w:rPr>
        <w:t>生态保护与空间管控</w:t>
      </w:r>
      <w:r>
        <w:rPr>
          <w:rFonts w:hint="eastAsia" w:ascii="黑体" w:hAnsi="黑体" w:eastAsia="黑体" w:cs="黑体"/>
          <w:b w:val="0"/>
          <w:sz w:val="32"/>
          <w:szCs w:val="32"/>
          <w:highlight w:val="none"/>
          <w:lang w:val="en-US" w:eastAsia="zh-CN"/>
        </w:rPr>
        <w:t>重点工程</w:t>
      </w:r>
    </w:p>
    <w:p w14:paraId="1FC69B37">
      <w:pPr>
        <w:pStyle w:val="5"/>
        <w:keepNext w:val="0"/>
        <w:keepLines w:val="0"/>
        <w:numPr>
          <w:ilvl w:val="-1"/>
          <w:numId w:val="0"/>
        </w:numPr>
        <w:spacing w:beforeLines="0" w:afterLines="0" w:line="360" w:lineRule="auto"/>
        <w:ind w:firstLine="643"/>
        <w:rPr>
          <w:rFonts w:hint="default" w:ascii="黑体" w:hAnsi="黑体" w:eastAsia="黑体" w:cs="黑体"/>
          <w:b w:val="0"/>
          <w:sz w:val="32"/>
          <w:szCs w:val="32"/>
          <w:highlight w:val="none"/>
          <w:lang w:val="en-US" w:eastAsia="zh-CN"/>
        </w:rPr>
      </w:pPr>
      <w:r>
        <w:rPr>
          <w:rFonts w:hint="default" w:ascii="Times New Roman" w:hAnsi="Times New Roman" w:eastAsia="仿宋_GB2312" w:cs="Times New Roman"/>
          <w:b w:val="0"/>
          <w:bCs w:val="0"/>
          <w:sz w:val="32"/>
          <w:szCs w:val="24"/>
          <w:highlight w:val="none"/>
        </w:rPr>
        <w:t>生态保护与空间管控重点工程主要包括生态保护红线勘界定标及监测监管、自然保护地整合优化及分类管控、森林抚育、森林生态文化体系建设、高质量水源林建设5个项目，强化清溪镇生态空间管控，统筹抓好生态系统保护修复。</w:t>
      </w:r>
      <w:r>
        <w:rPr>
          <w:rFonts w:hint="eastAsia" w:ascii="黑体" w:hAnsi="黑体" w:eastAsia="黑体" w:cs="黑体"/>
          <w:b w:val="0"/>
          <w:sz w:val="32"/>
          <w:szCs w:val="32"/>
          <w:highlight w:val="none"/>
          <w:lang w:val="en-US" w:eastAsia="zh-CN"/>
        </w:rPr>
        <w:t>五、</w:t>
      </w:r>
      <w:r>
        <w:rPr>
          <w:rFonts w:hint="default" w:ascii="黑体" w:hAnsi="黑体" w:eastAsia="黑体" w:cs="黑体"/>
          <w:b w:val="0"/>
          <w:sz w:val="32"/>
          <w:szCs w:val="32"/>
          <w:highlight w:val="none"/>
        </w:rPr>
        <w:t>环境风险防控</w:t>
      </w:r>
      <w:r>
        <w:rPr>
          <w:rFonts w:hint="eastAsia" w:ascii="黑体" w:hAnsi="黑体" w:eastAsia="黑体" w:cs="黑体"/>
          <w:b w:val="0"/>
          <w:sz w:val="32"/>
          <w:szCs w:val="32"/>
          <w:highlight w:val="none"/>
          <w:lang w:val="en-US" w:eastAsia="zh-CN"/>
        </w:rPr>
        <w:t>重点工程</w:t>
      </w:r>
    </w:p>
    <w:p w14:paraId="744A570D">
      <w:pPr>
        <w:pageBreakBefore w:val="0"/>
        <w:kinsoku/>
        <w:wordWrap/>
        <w:bidi w:val="0"/>
        <w:spacing w:line="360" w:lineRule="auto"/>
        <w:ind w:firstLine="640" w:firstLineChars="200"/>
        <w:rPr>
          <w:rFonts w:hint="default" w:ascii="Times New Roman" w:hAnsi="Times New Roman" w:eastAsia="仿宋_GB2312" w:cs="Times New Roman"/>
          <w:b w:val="0"/>
          <w:bCs w:val="0"/>
          <w:sz w:val="32"/>
          <w:szCs w:val="24"/>
          <w:highlight w:val="none"/>
          <w:lang w:val="en-US" w:eastAsia="zh-CN"/>
        </w:rPr>
      </w:pPr>
      <w:r>
        <w:rPr>
          <w:rFonts w:hint="eastAsia" w:ascii="Times New Roman" w:hAnsi="Times New Roman" w:eastAsia="仿宋_GB2312" w:cs="Times New Roman"/>
          <w:b w:val="0"/>
          <w:bCs w:val="0"/>
          <w:sz w:val="32"/>
          <w:szCs w:val="24"/>
          <w:highlight w:val="none"/>
          <w:lang w:val="en-US" w:eastAsia="zh-CN"/>
        </w:rPr>
        <w:t>环境风险防控重点工程</w:t>
      </w:r>
      <w:r>
        <w:rPr>
          <w:rFonts w:hint="eastAsia" w:eastAsia="仿宋_GB2312" w:cs="Times New Roman"/>
          <w:b w:val="0"/>
          <w:bCs w:val="0"/>
          <w:sz w:val="32"/>
          <w:szCs w:val="24"/>
          <w:highlight w:val="none"/>
          <w:lang w:val="en-US" w:eastAsia="zh-CN"/>
        </w:rPr>
        <w:t>主要包括</w:t>
      </w:r>
      <w:r>
        <w:rPr>
          <w:rFonts w:hint="eastAsia" w:eastAsia="仿宋_GB2312"/>
          <w:sz w:val="32"/>
          <w:highlight w:val="none"/>
        </w:rPr>
        <w:t>契爷石水库水源保护工程（物理隔离工程）</w:t>
      </w:r>
      <w:r>
        <w:rPr>
          <w:rFonts w:hint="eastAsia" w:eastAsia="仿宋_GB2312"/>
          <w:sz w:val="32"/>
          <w:highlight w:val="none"/>
          <w:lang w:eastAsia="zh-CN"/>
        </w:rPr>
        <w:t>、</w:t>
      </w:r>
      <w:r>
        <w:rPr>
          <w:rFonts w:hint="eastAsia" w:eastAsia="仿宋_GB2312" w:cs="Times New Roman"/>
          <w:b w:val="0"/>
          <w:bCs w:val="0"/>
          <w:sz w:val="32"/>
          <w:szCs w:val="24"/>
          <w:highlight w:val="none"/>
          <w:lang w:val="en-US" w:eastAsia="zh-CN"/>
        </w:rPr>
        <w:t>危险废物风险管理体系建设2个项目，有效防范和化解清溪镇重大生态环境风险。</w:t>
      </w:r>
    </w:p>
    <w:p w14:paraId="3E8F6354">
      <w:pPr>
        <w:pStyle w:val="5"/>
        <w:keepNext w:val="0"/>
        <w:keepLines w:val="0"/>
        <w:numPr>
          <w:ilvl w:val="-1"/>
          <w:numId w:val="0"/>
        </w:numPr>
        <w:spacing w:beforeLines="0" w:afterLines="0" w:line="360" w:lineRule="auto"/>
        <w:ind w:firstLine="643"/>
        <w:rPr>
          <w:rFonts w:hint="default" w:ascii="黑体" w:hAnsi="黑体" w:eastAsia="黑体" w:cs="黑体"/>
          <w:b w:val="0"/>
          <w:sz w:val="32"/>
          <w:szCs w:val="32"/>
          <w:highlight w:val="none"/>
        </w:rPr>
      </w:pPr>
      <w:r>
        <w:rPr>
          <w:rFonts w:hint="eastAsia" w:ascii="黑体" w:hAnsi="黑体" w:eastAsia="黑体" w:cs="黑体"/>
          <w:b w:val="0"/>
          <w:sz w:val="32"/>
          <w:szCs w:val="32"/>
          <w:highlight w:val="none"/>
          <w:lang w:val="en-US" w:eastAsia="zh-CN"/>
        </w:rPr>
        <w:t>六、</w:t>
      </w:r>
      <w:r>
        <w:rPr>
          <w:rFonts w:hint="default" w:ascii="黑体" w:hAnsi="黑体" w:eastAsia="黑体" w:cs="黑体"/>
          <w:b w:val="0"/>
          <w:sz w:val="32"/>
          <w:szCs w:val="32"/>
          <w:highlight w:val="none"/>
        </w:rPr>
        <w:t>生态环境质量能力建设重点工程</w:t>
      </w:r>
    </w:p>
    <w:p w14:paraId="5FA6DD0A">
      <w:pPr>
        <w:pageBreakBefore w:val="0"/>
        <w:kinsoku/>
        <w:wordWrap/>
        <w:bidi w:val="0"/>
        <w:spacing w:line="360" w:lineRule="auto"/>
        <w:ind w:firstLine="640" w:firstLineChars="200"/>
        <w:rPr>
          <w:rFonts w:hint="eastAsia" w:ascii="Times New Roman" w:hAnsi="Times New Roman" w:eastAsia="仿宋_GB2312" w:cs="Times New Roman"/>
          <w:b w:val="0"/>
          <w:bCs w:val="0"/>
          <w:sz w:val="32"/>
          <w:szCs w:val="24"/>
          <w:highlight w:val="none"/>
          <w:lang w:eastAsia="zh-CN"/>
        </w:rPr>
      </w:pPr>
      <w:r>
        <w:rPr>
          <w:rFonts w:hint="default" w:ascii="Times New Roman" w:hAnsi="Times New Roman" w:eastAsia="仿宋_GB2312" w:cs="Times New Roman"/>
          <w:b w:val="0"/>
          <w:bCs w:val="0"/>
          <w:sz w:val="32"/>
          <w:szCs w:val="24"/>
          <w:highlight w:val="none"/>
        </w:rPr>
        <w:t>环保能力建设重点工程</w:t>
      </w:r>
      <w:r>
        <w:rPr>
          <w:rFonts w:hint="eastAsia" w:eastAsia="仿宋_GB2312" w:cs="Times New Roman"/>
          <w:b w:val="0"/>
          <w:bCs w:val="0"/>
          <w:sz w:val="32"/>
          <w:szCs w:val="24"/>
          <w:highlight w:val="none"/>
          <w:lang w:val="en-US" w:eastAsia="zh-CN"/>
        </w:rPr>
        <w:t>主要</w:t>
      </w:r>
      <w:r>
        <w:rPr>
          <w:rFonts w:hint="default" w:ascii="Times New Roman" w:hAnsi="Times New Roman" w:eastAsia="仿宋_GB2312" w:cs="Times New Roman"/>
          <w:b w:val="0"/>
          <w:bCs w:val="0"/>
          <w:sz w:val="32"/>
          <w:szCs w:val="24"/>
          <w:highlight w:val="none"/>
        </w:rPr>
        <w:t>包括</w:t>
      </w:r>
      <w:r>
        <w:rPr>
          <w:rFonts w:hint="eastAsia" w:eastAsia="仿宋_GB2312" w:cs="Times New Roman"/>
          <w:b w:val="0"/>
          <w:bCs w:val="0"/>
          <w:sz w:val="32"/>
          <w:szCs w:val="24"/>
          <w:highlight w:val="none"/>
          <w:lang w:eastAsia="zh-CN"/>
        </w:rPr>
        <w:t>生态环境监管执法能力提升建设、环境监测能力建设、环境应急能力建设</w:t>
      </w:r>
      <w:r>
        <w:rPr>
          <w:rFonts w:hint="eastAsia" w:eastAsia="仿宋_GB2312" w:cs="Times New Roman"/>
          <w:b w:val="0"/>
          <w:bCs w:val="0"/>
          <w:sz w:val="32"/>
          <w:szCs w:val="24"/>
          <w:highlight w:val="none"/>
          <w:lang w:val="en-US" w:eastAsia="zh-CN"/>
        </w:rPr>
        <w:t>3</w:t>
      </w:r>
      <w:r>
        <w:rPr>
          <w:rFonts w:hint="default" w:ascii="Times New Roman" w:hAnsi="Times New Roman" w:eastAsia="仿宋_GB2312" w:cs="Times New Roman"/>
          <w:b w:val="0"/>
          <w:bCs w:val="0"/>
          <w:sz w:val="32"/>
          <w:szCs w:val="24"/>
          <w:highlight w:val="none"/>
        </w:rPr>
        <w:t>个项目</w:t>
      </w:r>
      <w:r>
        <w:rPr>
          <w:rFonts w:hint="eastAsia" w:eastAsia="仿宋_GB2312" w:cs="Times New Roman"/>
          <w:b w:val="0"/>
          <w:bCs w:val="0"/>
          <w:sz w:val="32"/>
          <w:szCs w:val="24"/>
          <w:highlight w:val="none"/>
          <w:lang w:eastAsia="zh-CN"/>
        </w:rPr>
        <w:t>，提高</w:t>
      </w:r>
      <w:r>
        <w:rPr>
          <w:rFonts w:hint="eastAsia" w:eastAsia="仿宋_GB2312" w:cs="Times New Roman"/>
          <w:b w:val="0"/>
          <w:bCs w:val="0"/>
          <w:sz w:val="32"/>
          <w:szCs w:val="24"/>
          <w:highlight w:val="none"/>
          <w:lang w:val="en-US" w:eastAsia="zh-CN"/>
        </w:rPr>
        <w:t>清溪镇生态环境治理能力</w:t>
      </w:r>
      <w:r>
        <w:rPr>
          <w:rFonts w:hint="eastAsia" w:eastAsia="仿宋_GB2312" w:cs="Times New Roman"/>
          <w:b w:val="0"/>
          <w:bCs w:val="0"/>
          <w:sz w:val="32"/>
          <w:szCs w:val="24"/>
          <w:highlight w:val="none"/>
          <w:lang w:eastAsia="zh-CN"/>
        </w:rPr>
        <w:t>建设水平。</w:t>
      </w:r>
    </w:p>
    <w:p w14:paraId="473F3A6E">
      <w:pPr>
        <w:pageBreakBefore w:val="0"/>
        <w:kinsoku/>
        <w:wordWrap/>
        <w:bidi w:val="0"/>
        <w:adjustRightInd w:val="0"/>
        <w:snapToGrid w:val="0"/>
        <w:spacing w:before="156" w:beforeLines="50" w:line="360" w:lineRule="auto"/>
        <w:jc w:val="center"/>
        <w:rPr>
          <w:rFonts w:ascii="Times New Roman" w:hAnsi="Times New Roman" w:eastAsia="仿宋_GB2312" w:cs="Times New Roman"/>
          <w:b/>
          <w:kern w:val="0"/>
          <w:sz w:val="28"/>
          <w:szCs w:val="32"/>
          <w:highlight w:val="none"/>
        </w:rPr>
      </w:pPr>
      <w:bookmarkStart w:id="448" w:name="_Toc495559207"/>
      <w:bookmarkStart w:id="449" w:name="_Toc475439316"/>
      <w:r>
        <w:rPr>
          <w:rFonts w:ascii="Times New Roman" w:hAnsi="Times New Roman" w:eastAsia="仿宋_GB2312" w:cs="Times New Roman"/>
          <w:b/>
          <w:kern w:val="0"/>
          <w:sz w:val="28"/>
          <w:szCs w:val="32"/>
          <w:highlight w:val="none"/>
        </w:rPr>
        <w:t>表</w:t>
      </w:r>
      <w:r>
        <w:rPr>
          <w:rFonts w:hint="eastAsia" w:ascii="Times New Roman" w:hAnsi="Times New Roman" w:eastAsia="仿宋_GB2312" w:cs="Times New Roman"/>
          <w:b/>
          <w:kern w:val="0"/>
          <w:sz w:val="28"/>
          <w:szCs w:val="32"/>
          <w:highlight w:val="none"/>
          <w:lang w:val="en-US" w:eastAsia="zh-CN"/>
        </w:rPr>
        <w:t>9</w:t>
      </w:r>
      <w:r>
        <w:rPr>
          <w:rFonts w:ascii="Times New Roman" w:hAnsi="Times New Roman" w:eastAsia="仿宋_GB2312" w:cs="Times New Roman"/>
          <w:b/>
          <w:kern w:val="0"/>
          <w:sz w:val="28"/>
          <w:szCs w:val="32"/>
          <w:highlight w:val="none"/>
        </w:rPr>
        <w:t>-1  重点项目分布表</w:t>
      </w:r>
    </w:p>
    <w:tbl>
      <w:tblPr>
        <w:tblStyle w:val="30"/>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63"/>
        <w:gridCol w:w="4291"/>
        <w:gridCol w:w="2059"/>
      </w:tblGrid>
      <w:tr w14:paraId="6E8E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jc w:val="center"/>
        </w:trPr>
        <w:tc>
          <w:tcPr>
            <w:tcW w:w="900" w:type="dxa"/>
            <w:tcBorders>
              <w:top w:val="single" w:color="auto" w:sz="4" w:space="0"/>
              <w:left w:val="single" w:color="auto" w:sz="4" w:space="0"/>
              <w:bottom w:val="single" w:color="auto" w:sz="4" w:space="0"/>
              <w:right w:val="single" w:color="auto" w:sz="4" w:space="0"/>
            </w:tcBorders>
            <w:vAlign w:val="center"/>
          </w:tcPr>
          <w:p w14:paraId="1940E55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color w:val="000000" w:themeColor="text1"/>
                <w:sz w:val="28"/>
                <w:szCs w:val="28"/>
                <w:highlight w:val="none"/>
                <w14:textFill>
                  <w14:solidFill>
                    <w14:schemeClr w14:val="tx1"/>
                  </w14:solidFill>
                </w14:textFill>
              </w:rPr>
              <w:t>序号</w:t>
            </w:r>
          </w:p>
        </w:tc>
        <w:tc>
          <w:tcPr>
            <w:tcW w:w="5454" w:type="dxa"/>
            <w:gridSpan w:val="2"/>
            <w:tcBorders>
              <w:top w:val="single" w:color="auto" w:sz="4" w:space="0"/>
              <w:left w:val="single" w:color="auto" w:sz="4" w:space="0"/>
              <w:bottom w:val="single" w:color="auto" w:sz="4" w:space="0"/>
              <w:right w:val="single" w:color="auto" w:sz="4" w:space="0"/>
            </w:tcBorders>
            <w:vAlign w:val="center"/>
          </w:tcPr>
          <w:p w14:paraId="6514E33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color w:val="000000" w:themeColor="text1"/>
                <w:sz w:val="28"/>
                <w:szCs w:val="28"/>
                <w:highlight w:val="none"/>
                <w14:textFill>
                  <w14:solidFill>
                    <w14:schemeClr w14:val="tx1"/>
                  </w14:solidFill>
                </w14:textFill>
              </w:rPr>
              <w:t>项目名称</w:t>
            </w:r>
          </w:p>
        </w:tc>
        <w:tc>
          <w:tcPr>
            <w:tcW w:w="2059" w:type="dxa"/>
            <w:tcBorders>
              <w:top w:val="single" w:color="auto" w:sz="4" w:space="0"/>
              <w:left w:val="single" w:color="auto" w:sz="4" w:space="0"/>
              <w:bottom w:val="single" w:color="auto" w:sz="4" w:space="0"/>
              <w:right w:val="single" w:color="auto" w:sz="4" w:space="0"/>
            </w:tcBorders>
            <w:vAlign w:val="center"/>
          </w:tcPr>
          <w:p w14:paraId="69D84B0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color w:val="000000" w:themeColor="text1"/>
                <w:sz w:val="28"/>
                <w:szCs w:val="28"/>
                <w:highlight w:val="none"/>
                <w14:textFill>
                  <w14:solidFill>
                    <w14:schemeClr w14:val="tx1"/>
                  </w14:solidFill>
                </w14:textFill>
              </w:rPr>
              <w:t>子项目数（项）</w:t>
            </w:r>
          </w:p>
        </w:tc>
      </w:tr>
      <w:tr w14:paraId="789D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756442F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bookmarkStart w:id="450" w:name="_Hlk354901735"/>
            <w:bookmarkStart w:id="451" w:name="_Hlk353887436"/>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p>
        </w:tc>
        <w:tc>
          <w:tcPr>
            <w:tcW w:w="5454" w:type="dxa"/>
            <w:gridSpan w:val="2"/>
            <w:tcBorders>
              <w:top w:val="single" w:color="auto" w:sz="4" w:space="0"/>
              <w:left w:val="single" w:color="auto" w:sz="4" w:space="0"/>
              <w:bottom w:val="single" w:color="auto" w:sz="4" w:space="0"/>
              <w:right w:val="single" w:color="auto" w:sz="4" w:space="0"/>
            </w:tcBorders>
            <w:vAlign w:val="center"/>
          </w:tcPr>
          <w:p w14:paraId="283FE48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产业绿色发展</w:t>
            </w:r>
          </w:p>
        </w:tc>
        <w:tc>
          <w:tcPr>
            <w:tcW w:w="2059" w:type="dxa"/>
            <w:tcBorders>
              <w:top w:val="single" w:color="auto" w:sz="4" w:space="0"/>
              <w:left w:val="single" w:color="auto" w:sz="4" w:space="0"/>
              <w:bottom w:val="single" w:color="auto" w:sz="4" w:space="0"/>
              <w:right w:val="single" w:color="auto" w:sz="4" w:space="0"/>
            </w:tcBorders>
            <w:vAlign w:val="center"/>
          </w:tcPr>
          <w:p w14:paraId="3176DFA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3</w:t>
            </w:r>
          </w:p>
        </w:tc>
      </w:tr>
      <w:tr w14:paraId="672D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2F58351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p>
        </w:tc>
        <w:tc>
          <w:tcPr>
            <w:tcW w:w="5454" w:type="dxa"/>
            <w:gridSpan w:val="2"/>
            <w:tcBorders>
              <w:top w:val="single" w:color="auto" w:sz="4" w:space="0"/>
              <w:left w:val="single" w:color="auto" w:sz="4" w:space="0"/>
              <w:bottom w:val="single" w:color="auto" w:sz="4" w:space="0"/>
              <w:right w:val="single" w:color="auto" w:sz="4" w:space="0"/>
            </w:tcBorders>
            <w:vAlign w:val="center"/>
          </w:tcPr>
          <w:p w14:paraId="4F8E08A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应对气候变化</w:t>
            </w:r>
          </w:p>
        </w:tc>
        <w:tc>
          <w:tcPr>
            <w:tcW w:w="2059" w:type="dxa"/>
            <w:tcBorders>
              <w:top w:val="single" w:color="auto" w:sz="4" w:space="0"/>
              <w:left w:val="single" w:color="auto" w:sz="4" w:space="0"/>
              <w:bottom w:val="single" w:color="auto" w:sz="4" w:space="0"/>
              <w:right w:val="single" w:color="auto" w:sz="4" w:space="0"/>
            </w:tcBorders>
            <w:vAlign w:val="center"/>
          </w:tcPr>
          <w:p w14:paraId="3E83068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p>
        </w:tc>
      </w:tr>
      <w:tr w14:paraId="6AF6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restart"/>
            <w:tcBorders>
              <w:top w:val="single" w:color="auto" w:sz="4" w:space="0"/>
              <w:left w:val="single" w:color="auto" w:sz="4" w:space="0"/>
              <w:right w:val="single" w:color="auto" w:sz="4" w:space="0"/>
            </w:tcBorders>
            <w:vAlign w:val="center"/>
          </w:tcPr>
          <w:p w14:paraId="64F36C9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3</w:t>
            </w:r>
          </w:p>
        </w:tc>
        <w:tc>
          <w:tcPr>
            <w:tcW w:w="1163" w:type="dxa"/>
            <w:vMerge w:val="restart"/>
            <w:tcBorders>
              <w:top w:val="single" w:color="auto" w:sz="4" w:space="0"/>
              <w:left w:val="single" w:color="auto" w:sz="4" w:space="0"/>
              <w:right w:val="single" w:color="auto" w:sz="4" w:space="0"/>
            </w:tcBorders>
            <w:vAlign w:val="center"/>
          </w:tcPr>
          <w:p w14:paraId="3DCDE65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sz w:val="28"/>
                <w:szCs w:val="28"/>
                <w:highlight w:val="none"/>
              </w:rPr>
              <w:t>环境质量改善及污染防治</w:t>
            </w:r>
          </w:p>
        </w:tc>
        <w:tc>
          <w:tcPr>
            <w:tcW w:w="4291" w:type="dxa"/>
            <w:tcBorders>
              <w:top w:val="single" w:color="auto" w:sz="4" w:space="0"/>
              <w:left w:val="single" w:color="auto" w:sz="4" w:space="0"/>
              <w:bottom w:val="single" w:color="auto" w:sz="4" w:space="0"/>
              <w:right w:val="single" w:color="auto" w:sz="4" w:space="0"/>
            </w:tcBorders>
            <w:vAlign w:val="center"/>
          </w:tcPr>
          <w:p w14:paraId="4C7F98F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大气环境保护重点工程</w:t>
            </w:r>
          </w:p>
        </w:tc>
        <w:tc>
          <w:tcPr>
            <w:tcW w:w="2059" w:type="dxa"/>
            <w:tcBorders>
              <w:top w:val="single" w:color="auto" w:sz="4" w:space="0"/>
              <w:left w:val="single" w:color="auto" w:sz="4" w:space="0"/>
              <w:bottom w:val="single" w:color="auto" w:sz="4" w:space="0"/>
              <w:right w:val="single" w:color="auto" w:sz="4" w:space="0"/>
            </w:tcBorders>
            <w:vAlign w:val="center"/>
          </w:tcPr>
          <w:p w14:paraId="2F98523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8</w:t>
            </w:r>
          </w:p>
        </w:tc>
      </w:tr>
      <w:tr w14:paraId="711C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tcBorders>
              <w:left w:val="single" w:color="auto" w:sz="4" w:space="0"/>
              <w:right w:val="single" w:color="auto" w:sz="4" w:space="0"/>
            </w:tcBorders>
            <w:vAlign w:val="center"/>
          </w:tcPr>
          <w:p w14:paraId="0471455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1163" w:type="dxa"/>
            <w:vMerge w:val="continue"/>
            <w:tcBorders>
              <w:left w:val="single" w:color="auto" w:sz="4" w:space="0"/>
              <w:right w:val="single" w:color="auto" w:sz="4" w:space="0"/>
            </w:tcBorders>
            <w:vAlign w:val="center"/>
          </w:tcPr>
          <w:p w14:paraId="3DD45BC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4291" w:type="dxa"/>
            <w:tcBorders>
              <w:top w:val="single" w:color="auto" w:sz="4" w:space="0"/>
              <w:left w:val="single" w:color="auto" w:sz="4" w:space="0"/>
              <w:bottom w:val="single" w:color="auto" w:sz="4" w:space="0"/>
              <w:right w:val="single" w:color="auto" w:sz="4" w:space="0"/>
            </w:tcBorders>
            <w:vAlign w:val="center"/>
          </w:tcPr>
          <w:p w14:paraId="64A2837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水环境保护重点工程</w:t>
            </w:r>
          </w:p>
        </w:tc>
        <w:tc>
          <w:tcPr>
            <w:tcW w:w="2059" w:type="dxa"/>
            <w:tcBorders>
              <w:top w:val="single" w:color="auto" w:sz="4" w:space="0"/>
              <w:left w:val="single" w:color="auto" w:sz="4" w:space="0"/>
              <w:bottom w:val="single" w:color="auto" w:sz="4" w:space="0"/>
              <w:right w:val="single" w:color="auto" w:sz="4" w:space="0"/>
            </w:tcBorders>
            <w:vAlign w:val="center"/>
          </w:tcPr>
          <w:p w14:paraId="1CE4977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8</w:t>
            </w:r>
          </w:p>
        </w:tc>
      </w:tr>
      <w:bookmarkEnd w:id="450"/>
      <w:tr w14:paraId="12F5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tcBorders>
              <w:left w:val="single" w:color="auto" w:sz="4" w:space="0"/>
              <w:right w:val="single" w:color="auto" w:sz="4" w:space="0"/>
            </w:tcBorders>
            <w:vAlign w:val="center"/>
          </w:tcPr>
          <w:p w14:paraId="0D02AFB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1163" w:type="dxa"/>
            <w:vMerge w:val="continue"/>
            <w:tcBorders>
              <w:left w:val="single" w:color="auto" w:sz="4" w:space="0"/>
              <w:right w:val="single" w:color="auto" w:sz="4" w:space="0"/>
            </w:tcBorders>
            <w:vAlign w:val="center"/>
          </w:tcPr>
          <w:p w14:paraId="77D8FC7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4291" w:type="dxa"/>
            <w:tcBorders>
              <w:top w:val="single" w:color="auto" w:sz="4" w:space="0"/>
              <w:left w:val="single" w:color="auto" w:sz="4" w:space="0"/>
              <w:bottom w:val="single" w:color="auto" w:sz="4" w:space="0"/>
              <w:right w:val="single" w:color="auto" w:sz="4" w:space="0"/>
            </w:tcBorders>
            <w:vAlign w:val="center"/>
          </w:tcPr>
          <w:p w14:paraId="790A0A0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土壤与</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地下水</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污染防治重点工程</w:t>
            </w:r>
          </w:p>
        </w:tc>
        <w:tc>
          <w:tcPr>
            <w:tcW w:w="2059" w:type="dxa"/>
            <w:tcBorders>
              <w:top w:val="single" w:color="auto" w:sz="4" w:space="0"/>
              <w:left w:val="single" w:color="auto" w:sz="4" w:space="0"/>
              <w:bottom w:val="single" w:color="auto" w:sz="4" w:space="0"/>
              <w:right w:val="single" w:color="auto" w:sz="4" w:space="0"/>
            </w:tcBorders>
            <w:vAlign w:val="center"/>
          </w:tcPr>
          <w:p w14:paraId="02A7C96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2</w:t>
            </w:r>
          </w:p>
        </w:tc>
      </w:tr>
      <w:tr w14:paraId="7D2C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tcBorders>
              <w:left w:val="single" w:color="auto" w:sz="4" w:space="0"/>
              <w:right w:val="single" w:color="auto" w:sz="4" w:space="0"/>
            </w:tcBorders>
            <w:vAlign w:val="center"/>
          </w:tcPr>
          <w:p w14:paraId="4207BF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1163" w:type="dxa"/>
            <w:vMerge w:val="continue"/>
            <w:tcBorders>
              <w:left w:val="single" w:color="auto" w:sz="4" w:space="0"/>
              <w:right w:val="single" w:color="auto" w:sz="4" w:space="0"/>
            </w:tcBorders>
            <w:vAlign w:val="center"/>
          </w:tcPr>
          <w:p w14:paraId="25C4056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4291" w:type="dxa"/>
            <w:tcBorders>
              <w:top w:val="single" w:color="auto" w:sz="4" w:space="0"/>
              <w:left w:val="single" w:color="auto" w:sz="4" w:space="0"/>
              <w:bottom w:val="single" w:color="auto" w:sz="4" w:space="0"/>
              <w:right w:val="single" w:color="auto" w:sz="4" w:space="0"/>
            </w:tcBorders>
            <w:vAlign w:val="center"/>
          </w:tcPr>
          <w:p w14:paraId="4A464DB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zh-CN"/>
                <w14:textFill>
                  <w14:solidFill>
                    <w14:schemeClr w14:val="tx1"/>
                  </w14:solidFill>
                </w14:textFill>
              </w:rPr>
              <w:t>固体废物处理处置重点工程</w:t>
            </w:r>
          </w:p>
        </w:tc>
        <w:tc>
          <w:tcPr>
            <w:tcW w:w="2059" w:type="dxa"/>
            <w:tcBorders>
              <w:top w:val="single" w:color="auto" w:sz="4" w:space="0"/>
              <w:left w:val="single" w:color="auto" w:sz="4" w:space="0"/>
              <w:bottom w:val="single" w:color="auto" w:sz="4" w:space="0"/>
              <w:right w:val="single" w:color="auto" w:sz="4" w:space="0"/>
            </w:tcBorders>
            <w:vAlign w:val="center"/>
          </w:tcPr>
          <w:p w14:paraId="31960EE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3</w:t>
            </w:r>
          </w:p>
        </w:tc>
      </w:tr>
      <w:tr w14:paraId="6C12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vMerge w:val="continue"/>
            <w:tcBorders>
              <w:left w:val="single" w:color="auto" w:sz="4" w:space="0"/>
              <w:bottom w:val="single" w:color="auto" w:sz="4" w:space="0"/>
              <w:right w:val="single" w:color="auto" w:sz="4" w:space="0"/>
            </w:tcBorders>
            <w:vAlign w:val="center"/>
          </w:tcPr>
          <w:p w14:paraId="360BD1D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p>
        </w:tc>
        <w:tc>
          <w:tcPr>
            <w:tcW w:w="1163" w:type="dxa"/>
            <w:vMerge w:val="continue"/>
            <w:tcBorders>
              <w:left w:val="single" w:color="auto" w:sz="4" w:space="0"/>
              <w:bottom w:val="single" w:color="auto" w:sz="4" w:space="0"/>
              <w:right w:val="single" w:color="auto" w:sz="4" w:space="0"/>
            </w:tcBorders>
            <w:vAlign w:val="center"/>
          </w:tcPr>
          <w:p w14:paraId="6F6AEB8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zh-CN"/>
                <w14:textFill>
                  <w14:solidFill>
                    <w14:schemeClr w14:val="tx1"/>
                  </w14:solidFill>
                </w14:textFill>
              </w:rPr>
            </w:pPr>
          </w:p>
        </w:tc>
        <w:tc>
          <w:tcPr>
            <w:tcW w:w="4291" w:type="dxa"/>
            <w:tcBorders>
              <w:top w:val="single" w:color="auto" w:sz="4" w:space="0"/>
              <w:left w:val="single" w:color="auto" w:sz="4" w:space="0"/>
              <w:bottom w:val="single" w:color="auto" w:sz="4" w:space="0"/>
              <w:right w:val="single" w:color="auto" w:sz="4" w:space="0"/>
            </w:tcBorders>
            <w:vAlign w:val="center"/>
          </w:tcPr>
          <w:p w14:paraId="1405612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改善农村人居环境重点工程</w:t>
            </w:r>
          </w:p>
        </w:tc>
        <w:tc>
          <w:tcPr>
            <w:tcW w:w="2059" w:type="dxa"/>
            <w:tcBorders>
              <w:top w:val="single" w:color="auto" w:sz="4" w:space="0"/>
              <w:left w:val="single" w:color="auto" w:sz="4" w:space="0"/>
              <w:bottom w:val="single" w:color="auto" w:sz="4" w:space="0"/>
              <w:right w:val="single" w:color="auto" w:sz="4" w:space="0"/>
            </w:tcBorders>
            <w:vAlign w:val="center"/>
          </w:tcPr>
          <w:p w14:paraId="4114FA4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w:t>
            </w:r>
          </w:p>
        </w:tc>
      </w:tr>
      <w:tr w14:paraId="1D14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2FF5A28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4</w:t>
            </w:r>
          </w:p>
        </w:tc>
        <w:tc>
          <w:tcPr>
            <w:tcW w:w="5454" w:type="dxa"/>
            <w:gridSpan w:val="2"/>
            <w:tcBorders>
              <w:top w:val="single" w:color="auto" w:sz="4" w:space="0"/>
              <w:left w:val="single" w:color="auto" w:sz="4" w:space="0"/>
              <w:bottom w:val="single" w:color="auto" w:sz="4" w:space="0"/>
              <w:right w:val="single" w:color="auto" w:sz="4" w:space="0"/>
            </w:tcBorders>
            <w:vAlign w:val="center"/>
          </w:tcPr>
          <w:p w14:paraId="4866D43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14:textFill>
                  <w14:solidFill>
                    <w14:schemeClr w14:val="tx1"/>
                  </w14:solidFill>
                </w14:textFill>
              </w:rPr>
              <w:t>生态保护</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与</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空间管控</w:t>
            </w:r>
          </w:p>
        </w:tc>
        <w:tc>
          <w:tcPr>
            <w:tcW w:w="2059" w:type="dxa"/>
            <w:tcBorders>
              <w:top w:val="single" w:color="auto" w:sz="4" w:space="0"/>
              <w:left w:val="single" w:color="auto" w:sz="4" w:space="0"/>
              <w:bottom w:val="single" w:color="auto" w:sz="4" w:space="0"/>
              <w:right w:val="single" w:color="auto" w:sz="4" w:space="0"/>
            </w:tcBorders>
            <w:vAlign w:val="center"/>
          </w:tcPr>
          <w:p w14:paraId="1524F41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5</w:t>
            </w:r>
          </w:p>
        </w:tc>
      </w:tr>
      <w:tr w14:paraId="356E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100504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5</w:t>
            </w:r>
          </w:p>
        </w:tc>
        <w:tc>
          <w:tcPr>
            <w:tcW w:w="5454" w:type="dxa"/>
            <w:gridSpan w:val="2"/>
            <w:tcBorders>
              <w:top w:val="single" w:color="auto" w:sz="4" w:space="0"/>
              <w:left w:val="single" w:color="auto" w:sz="4" w:space="0"/>
              <w:bottom w:val="single" w:color="auto" w:sz="4" w:space="0"/>
              <w:right w:val="single" w:color="auto" w:sz="4" w:space="0"/>
            </w:tcBorders>
            <w:vAlign w:val="center"/>
          </w:tcPr>
          <w:p w14:paraId="24A62DA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环境风险防控</w:t>
            </w:r>
          </w:p>
        </w:tc>
        <w:tc>
          <w:tcPr>
            <w:tcW w:w="2059" w:type="dxa"/>
            <w:tcBorders>
              <w:top w:val="single" w:color="auto" w:sz="4" w:space="0"/>
              <w:left w:val="single" w:color="auto" w:sz="4" w:space="0"/>
              <w:bottom w:val="single" w:color="auto" w:sz="4" w:space="0"/>
              <w:right w:val="single" w:color="auto" w:sz="4" w:space="0"/>
            </w:tcBorders>
            <w:vAlign w:val="center"/>
          </w:tcPr>
          <w:p w14:paraId="5689CD8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2</w:t>
            </w:r>
          </w:p>
        </w:tc>
      </w:tr>
      <w:tr w14:paraId="049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tcBorders>
              <w:top w:val="single" w:color="auto" w:sz="4" w:space="0"/>
              <w:left w:val="single" w:color="auto" w:sz="4" w:space="0"/>
              <w:bottom w:val="single" w:color="auto" w:sz="4" w:space="0"/>
              <w:right w:val="single" w:color="auto" w:sz="4" w:space="0"/>
            </w:tcBorders>
            <w:vAlign w:val="center"/>
          </w:tcPr>
          <w:p w14:paraId="6157F49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6</w:t>
            </w:r>
          </w:p>
        </w:tc>
        <w:tc>
          <w:tcPr>
            <w:tcW w:w="5454" w:type="dxa"/>
            <w:gridSpan w:val="2"/>
            <w:tcBorders>
              <w:top w:val="single" w:color="auto" w:sz="4" w:space="0"/>
              <w:left w:val="single" w:color="auto" w:sz="4" w:space="0"/>
              <w:bottom w:val="single" w:color="auto" w:sz="4" w:space="0"/>
              <w:right w:val="single" w:color="auto" w:sz="4" w:space="0"/>
            </w:tcBorders>
            <w:vAlign w:val="center"/>
          </w:tcPr>
          <w:p w14:paraId="48E4E94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生态环境质量能力建设</w:t>
            </w:r>
          </w:p>
        </w:tc>
        <w:tc>
          <w:tcPr>
            <w:tcW w:w="2059" w:type="dxa"/>
            <w:tcBorders>
              <w:top w:val="single" w:color="auto" w:sz="4" w:space="0"/>
              <w:left w:val="single" w:color="auto" w:sz="4" w:space="0"/>
              <w:bottom w:val="single" w:color="auto" w:sz="4" w:space="0"/>
              <w:right w:val="single" w:color="auto" w:sz="4" w:space="0"/>
            </w:tcBorders>
            <w:vAlign w:val="center"/>
          </w:tcPr>
          <w:p w14:paraId="60F0033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3</w:t>
            </w:r>
          </w:p>
        </w:tc>
      </w:tr>
      <w:tr w14:paraId="5FA6B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54" w:type="dxa"/>
            <w:gridSpan w:val="3"/>
            <w:tcBorders>
              <w:top w:val="single" w:color="auto" w:sz="4" w:space="0"/>
              <w:left w:val="single" w:color="auto" w:sz="4" w:space="0"/>
              <w:bottom w:val="single" w:color="auto" w:sz="4" w:space="0"/>
              <w:right w:val="single" w:color="auto" w:sz="4" w:space="0"/>
            </w:tcBorders>
            <w:vAlign w:val="center"/>
          </w:tcPr>
          <w:p w14:paraId="2E37B3F1">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
                <w:color w:val="000000" w:themeColor="text1"/>
                <w:sz w:val="28"/>
                <w:szCs w:val="28"/>
                <w:highlight w:val="none"/>
                <w14:textFill>
                  <w14:solidFill>
                    <w14:schemeClr w14:val="tx1"/>
                  </w14:solidFill>
                </w14:textFill>
              </w:rPr>
            </w:pPr>
            <w:r>
              <w:rPr>
                <w:rFonts w:hint="default" w:ascii="Times New Roman" w:hAnsi="Times New Roman" w:eastAsia="仿宋_GB2312" w:cs="Times New Roman"/>
                <w:b/>
                <w:color w:val="000000" w:themeColor="text1"/>
                <w:sz w:val="28"/>
                <w:szCs w:val="28"/>
                <w:highlight w:val="none"/>
                <w14:textFill>
                  <w14:solidFill>
                    <w14:schemeClr w14:val="tx1"/>
                  </w14:solidFill>
                </w14:textFill>
              </w:rPr>
              <w:t>合 计</w:t>
            </w:r>
          </w:p>
        </w:tc>
        <w:tc>
          <w:tcPr>
            <w:tcW w:w="2059" w:type="dxa"/>
            <w:tcBorders>
              <w:top w:val="single" w:color="auto" w:sz="4" w:space="0"/>
              <w:left w:val="single" w:color="auto" w:sz="4" w:space="0"/>
              <w:bottom w:val="single" w:color="auto" w:sz="4" w:space="0"/>
              <w:right w:val="single" w:color="auto" w:sz="4" w:space="0"/>
            </w:tcBorders>
            <w:vAlign w:val="center"/>
          </w:tcPr>
          <w:p w14:paraId="6A77654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b/>
                <w:color w:val="000000" w:themeColor="text1"/>
                <w:sz w:val="28"/>
                <w:szCs w:val="28"/>
                <w:highlight w:val="none"/>
                <w:lang w:val="en-US"/>
                <w14:textFill>
                  <w14:solidFill>
                    <w14:schemeClr w14:val="tx1"/>
                  </w14:solidFill>
                </w14:textFill>
              </w:rPr>
            </w:pPr>
            <w:r>
              <w:rPr>
                <w:rFonts w:hint="eastAsia" w:eastAsia="仿宋_GB2312" w:cs="Times New Roman"/>
                <w:b/>
                <w:color w:val="000000" w:themeColor="text1"/>
                <w:sz w:val="28"/>
                <w:szCs w:val="28"/>
                <w:highlight w:val="none"/>
                <w:lang w:val="en-US" w:eastAsia="zh-CN"/>
                <w14:textFill>
                  <w14:solidFill>
                    <w14:schemeClr w14:val="tx1"/>
                  </w14:solidFill>
                </w14:textFill>
              </w:rPr>
              <w:t>38</w:t>
            </w:r>
          </w:p>
        </w:tc>
      </w:tr>
      <w:bookmarkEnd w:id="451"/>
    </w:tbl>
    <w:p w14:paraId="250DA1BC">
      <w:pPr>
        <w:bidi w:val="0"/>
        <w:rPr>
          <w:highlight w:val="none"/>
        </w:rPr>
      </w:pPr>
    </w:p>
    <w:p w14:paraId="54A21FBE">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452" w:name="_Toc2085"/>
      <w:bookmarkStart w:id="453" w:name="_Toc18792"/>
      <w:bookmarkStart w:id="454" w:name="_Toc31604"/>
      <w:bookmarkStart w:id="455" w:name="_Toc28275"/>
      <w:bookmarkStart w:id="456" w:name="_Toc1415"/>
      <w:bookmarkStart w:id="457" w:name="_Toc19815"/>
      <w:bookmarkStart w:id="458" w:name="_Toc21507"/>
      <w:bookmarkStart w:id="459" w:name="_Toc13006"/>
    </w:p>
    <w:p w14:paraId="6DE5C01F">
      <w:pPr>
        <w:pStyle w:val="3"/>
        <w:adjustRightInd w:val="0"/>
        <w:snapToGrid w:val="0"/>
        <w:spacing w:before="156" w:beforeLines="50" w:after="156" w:afterLines="50" w:line="560" w:lineRule="exact"/>
        <w:ind w:firstLine="0" w:firstLineChars="0"/>
        <w:jc w:val="center"/>
        <w:rPr>
          <w:rFonts w:hint="default" w:ascii="Times New Roman" w:hAnsi="Times New Roman" w:eastAsia="黑体" w:cs="Times New Roman"/>
          <w:b w:val="0"/>
          <w:bCs/>
          <w:kern w:val="44"/>
          <w:sz w:val="36"/>
          <w:szCs w:val="44"/>
          <w:highlight w:val="none"/>
          <w:lang w:val="en-US" w:eastAsia="zh-CN" w:bidi="ar-SA"/>
        </w:rPr>
      </w:pPr>
      <w:bookmarkStart w:id="460" w:name="_Toc4918"/>
      <w:bookmarkStart w:id="461" w:name="_Toc20948"/>
      <w:bookmarkStart w:id="462" w:name="_Toc8055"/>
      <w:r>
        <w:rPr>
          <w:rFonts w:hint="default" w:ascii="Times New Roman" w:hAnsi="Times New Roman" w:eastAsia="黑体" w:cs="Times New Roman"/>
          <w:b w:val="0"/>
          <w:bCs/>
          <w:kern w:val="44"/>
          <w:sz w:val="36"/>
          <w:szCs w:val="44"/>
          <w:highlight w:val="none"/>
          <w:lang w:val="en-US" w:eastAsia="zh-CN" w:bidi="ar-SA"/>
        </w:rPr>
        <w:t xml:space="preserve">第十章 </w:t>
      </w:r>
      <w:r>
        <w:rPr>
          <w:rFonts w:hint="default" w:ascii="Times New Roman" w:hAnsi="Times New Roman" w:eastAsia="黑体" w:cs="Times New Roman"/>
          <w:b w:val="0"/>
          <w:bCs/>
          <w:kern w:val="44"/>
          <w:sz w:val="36"/>
          <w:szCs w:val="44"/>
          <w:highlight w:val="none"/>
          <w:lang w:val="en-US" w:eastAsia="zh-CN" w:bidi="ar-SA"/>
        </w:rPr>
        <w:fldChar w:fldCharType="begin"/>
      </w:r>
      <w:r>
        <w:rPr>
          <w:rFonts w:hint="default" w:ascii="Times New Roman" w:hAnsi="Times New Roman" w:eastAsia="黑体" w:cs="Times New Roman"/>
          <w:b w:val="0"/>
          <w:bCs/>
          <w:kern w:val="44"/>
          <w:sz w:val="36"/>
          <w:szCs w:val="44"/>
          <w:highlight w:val="none"/>
          <w:lang w:val="en-US" w:eastAsia="zh-CN" w:bidi="ar-SA"/>
        </w:rPr>
        <w:instrText xml:space="preserve"> HYPERLINK \l "_Toc15683" </w:instrText>
      </w:r>
      <w:r>
        <w:rPr>
          <w:rFonts w:hint="default" w:ascii="Times New Roman" w:hAnsi="Times New Roman" w:eastAsia="黑体" w:cs="Times New Roman"/>
          <w:b w:val="0"/>
          <w:bCs/>
          <w:kern w:val="44"/>
          <w:sz w:val="36"/>
          <w:szCs w:val="44"/>
          <w:highlight w:val="none"/>
          <w:lang w:val="en-US" w:eastAsia="zh-CN" w:bidi="ar-SA"/>
        </w:rPr>
        <w:fldChar w:fldCharType="separate"/>
      </w:r>
      <w:r>
        <w:rPr>
          <w:rFonts w:hint="default" w:ascii="Times New Roman" w:hAnsi="Times New Roman" w:eastAsia="黑体" w:cs="Times New Roman"/>
          <w:b w:val="0"/>
          <w:bCs/>
          <w:kern w:val="44"/>
          <w:sz w:val="36"/>
          <w:szCs w:val="44"/>
          <w:highlight w:val="none"/>
          <w:lang w:val="en-US" w:eastAsia="zh-CN" w:bidi="ar-SA"/>
        </w:rPr>
        <w:t>保障措施</w:t>
      </w:r>
      <w:bookmarkEnd w:id="448"/>
      <w:bookmarkEnd w:id="449"/>
      <w:r>
        <w:rPr>
          <w:rFonts w:hint="default" w:ascii="Times New Roman" w:hAnsi="Times New Roman" w:eastAsia="黑体" w:cs="Times New Roman"/>
          <w:b w:val="0"/>
          <w:bCs/>
          <w:kern w:val="44"/>
          <w:sz w:val="36"/>
          <w:szCs w:val="44"/>
          <w:highlight w:val="none"/>
          <w:lang w:val="en-US" w:eastAsia="zh-CN" w:bidi="ar-SA"/>
        </w:rPr>
        <w:fldChar w:fldCharType="end"/>
      </w:r>
      <w:bookmarkEnd w:id="452"/>
      <w:bookmarkEnd w:id="453"/>
      <w:bookmarkEnd w:id="454"/>
      <w:bookmarkEnd w:id="455"/>
      <w:bookmarkEnd w:id="456"/>
      <w:bookmarkEnd w:id="457"/>
      <w:bookmarkEnd w:id="458"/>
      <w:bookmarkEnd w:id="459"/>
      <w:bookmarkEnd w:id="460"/>
      <w:bookmarkEnd w:id="461"/>
      <w:bookmarkEnd w:id="462"/>
    </w:p>
    <w:p w14:paraId="758E71F4">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rPr>
      </w:pPr>
      <w:bookmarkStart w:id="463" w:name="_Toc12321"/>
      <w:bookmarkStart w:id="464" w:name="_Toc66723421"/>
      <w:bookmarkStart w:id="465" w:name="_Toc5043"/>
      <w:bookmarkStart w:id="466" w:name="_Toc2153"/>
      <w:bookmarkStart w:id="467" w:name="_Toc66175774"/>
      <w:bookmarkStart w:id="468" w:name="_Toc1539"/>
      <w:bookmarkStart w:id="469" w:name="_Toc3760"/>
      <w:bookmarkStart w:id="470" w:name="_Toc6264"/>
      <w:bookmarkStart w:id="471" w:name="_Toc16857"/>
      <w:bookmarkStart w:id="472" w:name="_Toc76052748"/>
      <w:bookmarkStart w:id="473" w:name="_Toc93857772"/>
      <w:bookmarkStart w:id="474" w:name="_Toc23667"/>
      <w:bookmarkStart w:id="475" w:name="_Toc21086"/>
      <w:bookmarkStart w:id="476" w:name="_Toc18659"/>
      <w:bookmarkStart w:id="477" w:name="_Toc32249"/>
      <w:r>
        <w:rPr>
          <w:rFonts w:hint="default" w:ascii="Times New Roman" w:hAnsi="Times New Roman" w:eastAsia="楷体_GB2312" w:cs="Times New Roman"/>
          <w:b/>
          <w:bCs/>
          <w:snapToGrid w:val="0"/>
          <w:kern w:val="0"/>
          <w:sz w:val="32"/>
          <w:szCs w:val="32"/>
          <w:highlight w:val="none"/>
        </w:rPr>
        <w:t>第一节 强化组织领导，落实目标任务</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2D5F3D1B">
      <w:pPr>
        <w:pageBreakBefore w:val="0"/>
        <w:kinsoku/>
        <w:wordWrap/>
        <w:bidi w:val="0"/>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强化政府在生态环境保护建设方面的宏观调控综合管理职能，完善政府主抓、生态环境部门统一监督管理、相关部门联动工作综合管理体系。明确责任，由</w:t>
      </w:r>
      <w:r>
        <w:rPr>
          <w:rFonts w:hint="default" w:ascii="Times New Roman" w:hAnsi="Times New Roman" w:eastAsia="仿宋_GB2312" w:cs="Times New Roman"/>
          <w:sz w:val="32"/>
          <w:szCs w:val="32"/>
          <w:highlight w:val="none"/>
          <w:lang w:val="en-US" w:eastAsia="zh-CN"/>
        </w:rPr>
        <w:t>清溪镇</w:t>
      </w:r>
      <w:r>
        <w:rPr>
          <w:rFonts w:hint="default" w:ascii="Times New Roman" w:hAnsi="Times New Roman" w:eastAsia="仿宋_GB2312" w:cs="Times New Roman"/>
          <w:sz w:val="32"/>
          <w:szCs w:val="32"/>
          <w:highlight w:val="none"/>
        </w:rPr>
        <w:t>政府部署推动生态环境保护工作目标任务，各责任单位负责具体工作实施。依据本规划以及国家、省和</w:t>
      </w:r>
      <w:r>
        <w:rPr>
          <w:rFonts w:hint="default" w:ascii="Times New Roman" w:hAnsi="Times New Roman" w:eastAsia="仿宋_GB2312" w:cs="Times New Roman"/>
          <w:sz w:val="32"/>
          <w:szCs w:val="32"/>
          <w:highlight w:val="none"/>
          <w:lang w:val="en-US" w:eastAsia="zh-CN"/>
        </w:rPr>
        <w:t>东莞</w:t>
      </w:r>
      <w:r>
        <w:rPr>
          <w:rFonts w:hint="default" w:ascii="Times New Roman" w:hAnsi="Times New Roman" w:eastAsia="仿宋_GB2312" w:cs="Times New Roman"/>
          <w:sz w:val="32"/>
          <w:szCs w:val="32"/>
          <w:highlight w:val="none"/>
        </w:rPr>
        <w:t>市的相关规划，将目标任务分级纳入综合及专项年度计划，并组织实施。生态环境部门会同各有关部门依据生态环境保护工作职责，制定部门生态环境保护年度工作计划、任务清单、措施清单、责任清单，落实情况每年向</w:t>
      </w:r>
      <w:r>
        <w:rPr>
          <w:rFonts w:hint="default" w:ascii="Times New Roman" w:hAnsi="Times New Roman" w:eastAsia="仿宋_GB2312" w:cs="Times New Roman"/>
          <w:sz w:val="32"/>
          <w:szCs w:val="32"/>
          <w:highlight w:val="none"/>
          <w:lang w:val="en-US" w:eastAsia="zh-CN"/>
        </w:rPr>
        <w:t>镇</w:t>
      </w:r>
      <w:r>
        <w:rPr>
          <w:rFonts w:hint="default" w:ascii="Times New Roman" w:hAnsi="Times New Roman" w:eastAsia="仿宋_GB2312" w:cs="Times New Roman"/>
          <w:sz w:val="32"/>
          <w:szCs w:val="32"/>
          <w:highlight w:val="none"/>
        </w:rPr>
        <w:t>委</w:t>
      </w:r>
      <w:r>
        <w:rPr>
          <w:rFonts w:hint="default" w:ascii="Times New Roman" w:hAnsi="Times New Roman" w:eastAsia="仿宋_GB2312" w:cs="Times New Roman"/>
          <w:sz w:val="32"/>
          <w:szCs w:val="32"/>
          <w:highlight w:val="none"/>
          <w:lang w:val="en-US" w:eastAsia="zh-CN"/>
        </w:rPr>
        <w:t>镇</w:t>
      </w:r>
      <w:r>
        <w:rPr>
          <w:rFonts w:hint="default" w:ascii="Times New Roman" w:hAnsi="Times New Roman" w:eastAsia="仿宋_GB2312" w:cs="Times New Roman"/>
          <w:sz w:val="32"/>
          <w:szCs w:val="32"/>
          <w:highlight w:val="none"/>
        </w:rPr>
        <w:t>政府报告。各</w:t>
      </w:r>
      <w:r>
        <w:rPr>
          <w:rFonts w:hint="default" w:ascii="Times New Roman" w:hAnsi="Times New Roman" w:eastAsia="仿宋_GB2312" w:cs="Times New Roman"/>
          <w:sz w:val="32"/>
          <w:szCs w:val="32"/>
          <w:highlight w:val="none"/>
          <w:lang w:val="en-US" w:eastAsia="zh-CN"/>
        </w:rPr>
        <w:t>村（社区）</w:t>
      </w:r>
      <w:r>
        <w:rPr>
          <w:rFonts w:hint="default" w:ascii="Times New Roman" w:hAnsi="Times New Roman" w:eastAsia="仿宋_GB2312" w:cs="Times New Roman"/>
          <w:sz w:val="32"/>
          <w:szCs w:val="32"/>
          <w:highlight w:val="none"/>
        </w:rPr>
        <w:t>狠抓工作落实、密切配合，形成上下联动、协同推进的工作机制。</w:t>
      </w:r>
    </w:p>
    <w:p w14:paraId="7AED946C">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rPr>
      </w:pPr>
      <w:bookmarkStart w:id="478" w:name="_Toc66723423"/>
      <w:bookmarkStart w:id="479" w:name="_Toc17289"/>
      <w:bookmarkStart w:id="480" w:name="_Toc19850"/>
      <w:bookmarkStart w:id="481" w:name="_Toc93857773"/>
      <w:bookmarkStart w:id="482" w:name="_Toc13447"/>
      <w:bookmarkStart w:id="483" w:name="_Toc14125"/>
      <w:bookmarkStart w:id="484" w:name="_Toc8214"/>
      <w:bookmarkStart w:id="485" w:name="_Toc19142"/>
      <w:bookmarkStart w:id="486" w:name="_Toc17427"/>
      <w:bookmarkStart w:id="487" w:name="_Toc24970"/>
      <w:bookmarkStart w:id="488" w:name="_Toc20770"/>
      <w:bookmarkStart w:id="489" w:name="_Toc66175776"/>
      <w:bookmarkStart w:id="490" w:name="_Toc23413"/>
      <w:bookmarkStart w:id="491" w:name="_Toc4899"/>
      <w:bookmarkStart w:id="492" w:name="_Toc76052749"/>
      <w:r>
        <w:rPr>
          <w:rFonts w:hint="default" w:ascii="Times New Roman" w:hAnsi="Times New Roman" w:eastAsia="楷体_GB2312" w:cs="Times New Roman"/>
          <w:b/>
          <w:bCs/>
          <w:snapToGrid w:val="0"/>
          <w:kern w:val="0"/>
          <w:sz w:val="32"/>
          <w:szCs w:val="32"/>
          <w:highlight w:val="none"/>
        </w:rPr>
        <w:t>第二节 强化资金保障，实施重大工程</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0BB85AEB">
      <w:pPr>
        <w:spacing w:beforeLines="-2147483648" w:afterLines="-2147483648" w:line="360" w:lineRule="auto"/>
        <w:ind w:firstLine="640" w:firstLineChars="200"/>
        <w:rPr>
          <w:rFonts w:hint="default" w:ascii="Times New Roman" w:hAnsi="Times New Roman" w:cs="Times New Roman"/>
          <w:sz w:val="32"/>
          <w:szCs w:val="32"/>
          <w:highlight w:val="none"/>
        </w:rPr>
      </w:pPr>
      <w:r>
        <w:rPr>
          <w:rFonts w:hint="default" w:ascii="Times New Roman" w:hAnsi="Times New Roman" w:eastAsia="仿宋_GB2312" w:cs="Times New Roman"/>
          <w:sz w:val="32"/>
          <w:szCs w:val="32"/>
          <w:highlight w:val="none"/>
        </w:rPr>
        <w:t>建立以“政府引导、政策调节、市场运作”的投融资机制。把生态环境保护列入公共财政支出重点领域，加大对污染治理、生态修复、应对气候变化、环境治理体系和治理能力建设等重点工作的投入力度。积极争取国家、省、市级资金支持，提前做好项目储备，积极申报上级资金补助项目。利用市场化手段，集中资金、技术和人才优势，通过投融资、技术服务、项目管理等方式推动全市环境基础设施建设，鼓励引进第三方服务机构对环境基础设施进行集中式、专业化运营维护，形成规模效益，提高人财物的利用效率。完善多元化环保投融资机制，规范支持政府和社会资本合作项目参与环境保护与生态建设。围绕规划目标和重点问题，实施生态环境保护重点工程，作为各级财政资金优先支持对象。</w:t>
      </w:r>
    </w:p>
    <w:p w14:paraId="774725FA">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rPr>
      </w:pPr>
      <w:bookmarkStart w:id="493" w:name="_Toc66723424"/>
      <w:bookmarkStart w:id="494" w:name="_Toc17293"/>
      <w:bookmarkStart w:id="495" w:name="_Toc2130"/>
      <w:bookmarkStart w:id="496" w:name="_Toc25342"/>
      <w:bookmarkStart w:id="497" w:name="_Toc76052750"/>
      <w:bookmarkStart w:id="498" w:name="_Toc93857774"/>
      <w:bookmarkStart w:id="499" w:name="_Toc66175777"/>
      <w:bookmarkStart w:id="500" w:name="_Toc5629"/>
      <w:bookmarkStart w:id="501" w:name="_Toc24791"/>
      <w:bookmarkStart w:id="502" w:name="_Toc15985"/>
      <w:bookmarkStart w:id="503" w:name="_Toc19222"/>
      <w:bookmarkStart w:id="504" w:name="_Toc19779"/>
      <w:bookmarkStart w:id="505" w:name="_Toc23382"/>
      <w:bookmarkStart w:id="506" w:name="_Toc32607"/>
      <w:bookmarkStart w:id="507" w:name="_Toc14926"/>
      <w:r>
        <w:rPr>
          <w:rFonts w:hint="default" w:ascii="Times New Roman" w:hAnsi="Times New Roman" w:eastAsia="楷体_GB2312" w:cs="Times New Roman"/>
          <w:b/>
          <w:bCs/>
          <w:snapToGrid w:val="0"/>
          <w:kern w:val="0"/>
          <w:sz w:val="32"/>
          <w:szCs w:val="32"/>
          <w:highlight w:val="none"/>
        </w:rPr>
        <w:t>第三节 强化人才保障，增强技术支撑</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55B0DA82">
      <w:pPr>
        <w:pageBreakBefore w:val="0"/>
        <w:kinsoku/>
        <w:wordWrap/>
        <w:bidi w:val="0"/>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加强生态环境保护专业化人才队伍建设，强化专业人才梯队建设以及专业人才储备与培养，强化生态环境相关法律法规和业务知识教育培训，锻造生态环境保护铁军。保障增加生态环境保护和节能的科技投入，建立生态环境信息网络，建立高效的环境信息化管理体制和工作机制、建立完善的环境信息管理制度。加强环境信息化基础设施建设，保障环境信息的及时性、全面性和准确性，提高环境监管水平。强化信息化监管、环境污染应急水平；建设环境信息综合服务平台，提高行政管理效能。</w:t>
      </w:r>
    </w:p>
    <w:p w14:paraId="22153966">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rPr>
      </w:pPr>
      <w:bookmarkStart w:id="508" w:name="_Toc66723425"/>
      <w:bookmarkStart w:id="509" w:name="_Toc8538"/>
      <w:bookmarkStart w:id="510" w:name="_Toc25527"/>
      <w:bookmarkStart w:id="511" w:name="_Toc10768"/>
      <w:bookmarkStart w:id="512" w:name="_Toc20943"/>
      <w:bookmarkStart w:id="513" w:name="_Toc31686"/>
      <w:bookmarkStart w:id="514" w:name="_Toc15987"/>
      <w:bookmarkStart w:id="515" w:name="_Toc66175778"/>
      <w:bookmarkStart w:id="516" w:name="_Toc28638"/>
      <w:bookmarkStart w:id="517" w:name="_Toc10636"/>
      <w:bookmarkStart w:id="518" w:name="_Toc76052751"/>
      <w:bookmarkStart w:id="519" w:name="_Toc28034"/>
      <w:bookmarkStart w:id="520" w:name="_Toc5859"/>
      <w:bookmarkStart w:id="521" w:name="_Toc10106"/>
      <w:bookmarkStart w:id="522" w:name="_Toc93857775"/>
      <w:r>
        <w:rPr>
          <w:rFonts w:hint="default" w:ascii="Times New Roman" w:hAnsi="Times New Roman" w:eastAsia="楷体_GB2312" w:cs="Times New Roman"/>
          <w:b/>
          <w:bCs/>
          <w:snapToGrid w:val="0"/>
          <w:kern w:val="0"/>
          <w:sz w:val="32"/>
          <w:szCs w:val="32"/>
          <w:highlight w:val="none"/>
        </w:rPr>
        <w:t>第四节 强化信息公开，推动社会监督</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52A613C5">
      <w:pPr>
        <w:pageBreakBefore w:val="0"/>
        <w:kinsoku/>
        <w:wordWrap/>
        <w:bidi w:val="0"/>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充分利用报纸、电视、网络、社交平台和数字媒介等各类媒体，加大规划的宣传力度，定期公布环境质量、项目建设、资金投入等规划实施信息，确保规划实施情况及时公开。进一步强化全民责任意识、法治意识和企业社会责任意识，积极引导企业自觉落实污染防治主体责任。积极创新公众参与模式，充分发挥公众和新闻媒体等社会力量的监督作用，强化环保志愿者作用，建立规划实施公众反馈和监督机制，健全舆情应对机制。</w:t>
      </w:r>
    </w:p>
    <w:p w14:paraId="562076FA">
      <w:pPr>
        <w:keepNext/>
        <w:keepLines/>
        <w:spacing w:before="435" w:beforeLines="100" w:after="108" w:afterLines="25"/>
        <w:ind w:firstLine="0" w:firstLineChars="0"/>
        <w:jc w:val="center"/>
        <w:outlineLvl w:val="1"/>
        <w:rPr>
          <w:rFonts w:hint="default" w:ascii="Times New Roman" w:hAnsi="Times New Roman" w:eastAsia="楷体_GB2312" w:cs="Times New Roman"/>
          <w:b/>
          <w:bCs/>
          <w:snapToGrid w:val="0"/>
          <w:kern w:val="0"/>
          <w:sz w:val="32"/>
          <w:szCs w:val="32"/>
          <w:highlight w:val="none"/>
        </w:rPr>
      </w:pPr>
      <w:bookmarkStart w:id="523" w:name="_Toc16250"/>
      <w:bookmarkStart w:id="524" w:name="_Toc76052752"/>
      <w:bookmarkStart w:id="525" w:name="_Toc1506"/>
      <w:bookmarkStart w:id="526" w:name="_Toc8566"/>
      <w:bookmarkStart w:id="527" w:name="_Toc30496"/>
      <w:bookmarkStart w:id="528" w:name="_Toc66723422"/>
      <w:bookmarkStart w:id="529" w:name="_Toc26609"/>
      <w:bookmarkStart w:id="530" w:name="_Toc3118"/>
      <w:bookmarkStart w:id="531" w:name="_Toc31888"/>
      <w:bookmarkStart w:id="532" w:name="_Toc14538"/>
      <w:bookmarkStart w:id="533" w:name="_Toc66175775"/>
      <w:bookmarkStart w:id="534" w:name="_Toc5632"/>
      <w:bookmarkStart w:id="535" w:name="_Toc20163"/>
      <w:bookmarkStart w:id="536" w:name="_Toc93857776"/>
      <w:bookmarkStart w:id="537" w:name="_Toc15929"/>
      <w:r>
        <w:rPr>
          <w:rFonts w:hint="default" w:ascii="Times New Roman" w:hAnsi="Times New Roman" w:eastAsia="楷体_GB2312" w:cs="Times New Roman"/>
          <w:b/>
          <w:bCs/>
          <w:snapToGrid w:val="0"/>
          <w:kern w:val="0"/>
          <w:sz w:val="32"/>
          <w:szCs w:val="32"/>
          <w:highlight w:val="none"/>
        </w:rPr>
        <w:t>第五节 强化评估考核，促进规划实施</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AD380AE">
      <w:pPr>
        <w:pageBreakBefore w:val="0"/>
        <w:kinsoku/>
        <w:wordWrap/>
        <w:bidi w:val="0"/>
        <w:spacing w:line="360" w:lineRule="auto"/>
        <w:ind w:firstLine="640" w:firstLineChars="200"/>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完善考核评价体系，对各部门年度目标和任务完成情况进行考核，纳入领导干部实绩考核和奖惩任免的重要依据，对工作力度大、任务完成较好、成绩突出的单位，予以表彰和激励。对本规划执行情况进行中期评估和总结评估，评估结果向社会公布。</w:t>
      </w:r>
    </w:p>
    <w:p w14:paraId="1C8C59AB">
      <w:pPr>
        <w:pageBreakBefore w:val="0"/>
        <w:kinsoku/>
        <w:wordWrap/>
        <w:bidi w:val="0"/>
        <w:spacing w:beforeLines="0" w:afterLines="0" w:line="360" w:lineRule="auto"/>
        <w:rPr>
          <w:rFonts w:hint="default" w:ascii="Times New Roman" w:hAnsi="Times New Roman" w:eastAsia="仿宋" w:cs="Times New Roman"/>
          <w:sz w:val="32"/>
          <w:szCs w:val="24"/>
          <w:highlight w:val="none"/>
        </w:rPr>
      </w:pPr>
    </w:p>
    <w:p w14:paraId="16AFC844">
      <w:pPr>
        <w:pageBreakBefore w:val="0"/>
        <w:kinsoku/>
        <w:wordWrap/>
        <w:bidi w:val="0"/>
        <w:spacing w:line="360" w:lineRule="auto"/>
        <w:ind w:firstLine="640" w:firstLineChars="200"/>
        <w:rPr>
          <w:rFonts w:ascii="Times New Roman" w:hAnsi="Times New Roman" w:eastAsia="仿宋_GB2312" w:cs="Times New Roman"/>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188B8C9">
      <w:pPr>
        <w:pStyle w:val="4"/>
        <w:outlineLvl w:val="1"/>
        <w:rPr>
          <w:rFonts w:hint="default" w:ascii="Times New Roman" w:hAnsi="Times New Roman" w:eastAsia="黑体" w:cs="Times New Roman"/>
          <w:b w:val="0"/>
          <w:sz w:val="28"/>
          <w:highlight w:val="none"/>
        </w:rPr>
      </w:pPr>
      <w:bookmarkStart w:id="538" w:name="_Toc27753"/>
      <w:bookmarkStart w:id="539" w:name="_Toc7195"/>
      <w:bookmarkStart w:id="540" w:name="_Toc22112"/>
      <w:bookmarkStart w:id="541" w:name="_Toc30831"/>
      <w:bookmarkStart w:id="542" w:name="_Toc30449"/>
      <w:bookmarkStart w:id="543" w:name="_Toc25903"/>
      <w:bookmarkStart w:id="544" w:name="_Toc31441"/>
      <w:bookmarkStart w:id="545" w:name="_Toc28336"/>
      <w:bookmarkStart w:id="546" w:name="_Toc29896"/>
      <w:bookmarkStart w:id="547" w:name="_Toc18967"/>
      <w:bookmarkStart w:id="548" w:name="_Toc10062"/>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表1</w:t>
      </w:r>
      <w:r>
        <w:rPr>
          <w:rFonts w:ascii="Times New Roman" w:hAnsi="Times New Roman" w:eastAsia="黑体" w:cs="Times New Roman"/>
          <w:b w:val="0"/>
          <w:sz w:val="28"/>
          <w:highlight w:val="none"/>
        </w:rPr>
        <w:t xml:space="preserve"> 规划指标</w:t>
      </w:r>
      <w:r>
        <w:rPr>
          <w:rFonts w:hint="default" w:ascii="Times New Roman" w:hAnsi="Times New Roman" w:eastAsia="黑体" w:cs="Times New Roman"/>
          <w:b w:val="0"/>
          <w:sz w:val="28"/>
          <w:highlight w:val="none"/>
        </w:rPr>
        <w:t>体系</w:t>
      </w:r>
      <w:bookmarkEnd w:id="538"/>
      <w:bookmarkEnd w:id="539"/>
      <w:bookmarkEnd w:id="540"/>
      <w:bookmarkEnd w:id="541"/>
    </w:p>
    <w:tbl>
      <w:tblPr>
        <w:tblStyle w:val="30"/>
        <w:tblW w:w="5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14"/>
        <w:gridCol w:w="1919"/>
        <w:gridCol w:w="1004"/>
        <w:gridCol w:w="984"/>
        <w:gridCol w:w="51"/>
        <w:gridCol w:w="1036"/>
        <w:gridCol w:w="1886"/>
        <w:gridCol w:w="1221"/>
      </w:tblGrid>
      <w:tr w14:paraId="22CF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D87B559">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序号</w:t>
            </w:r>
          </w:p>
        </w:tc>
        <w:tc>
          <w:tcPr>
            <w:tcW w:w="514" w:type="pct"/>
            <w:tcBorders>
              <w:top w:val="single" w:color="auto" w:sz="4" w:space="0"/>
              <w:left w:val="single" w:color="auto" w:sz="4" w:space="0"/>
              <w:bottom w:val="single" w:color="auto" w:sz="4" w:space="0"/>
              <w:right w:val="single" w:color="auto" w:sz="4" w:space="0"/>
              <w:tl2br w:val="nil"/>
              <w:tr2bl w:val="nil"/>
            </w:tcBorders>
            <w:vAlign w:val="center"/>
          </w:tcPr>
          <w:p w14:paraId="5B9BE582">
            <w:pPr>
              <w:pStyle w:val="68"/>
              <w:spacing w:line="240" w:lineRule="auto"/>
              <w:ind w:left="0" w:leftChars="0" w:right="0" w:rightChars="0" w:firstLine="0" w:firstLineChars="0"/>
              <w:rPr>
                <w:rFonts w:hint="default" w:eastAsia="仿宋" w:cs="Times New Roman"/>
                <w:b/>
                <w:bCs/>
                <w:highlight w:val="none"/>
              </w:rPr>
            </w:pPr>
            <w:r>
              <w:rPr>
                <w:rFonts w:hint="default" w:eastAsia="仿宋" w:cs="Times New Roman"/>
                <w:b/>
                <w:bCs/>
                <w:highlight w:val="none"/>
              </w:rPr>
              <w:t>指标</w:t>
            </w:r>
          </w:p>
          <w:p w14:paraId="5EBBC12C">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类型</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7306D6F8">
            <w:pPr>
              <w:pStyle w:val="68"/>
              <w:spacing w:line="240" w:lineRule="auto"/>
              <w:ind w:left="0" w:leftChars="0" w:right="0" w:rightChars="0" w:firstLine="0" w:firstLineChars="0"/>
              <w:rPr>
                <w:rFonts w:hint="default" w:cs="Times New Roman"/>
                <w:b/>
                <w:bCs/>
                <w:highlight w:val="none"/>
              </w:rPr>
            </w:pPr>
            <w:r>
              <w:rPr>
                <w:rStyle w:val="69"/>
                <w:rFonts w:hint="default" w:eastAsia="仿宋"/>
                <w:b/>
                <w:bCs/>
                <w:highlight w:val="none"/>
              </w:rPr>
              <w:t>二级指</w:t>
            </w:r>
            <w:r>
              <w:rPr>
                <w:rFonts w:hint="default" w:eastAsia="仿宋" w:cs="Times New Roman"/>
                <w:b/>
                <w:bCs/>
                <w:highlight w:val="none"/>
              </w:rPr>
              <w:t>标</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0A763F01">
            <w:pPr>
              <w:pStyle w:val="68"/>
              <w:spacing w:line="240" w:lineRule="auto"/>
              <w:ind w:left="0" w:leftChars="0" w:right="0" w:rightChars="0" w:firstLine="0" w:firstLineChars="0"/>
              <w:rPr>
                <w:rFonts w:hint="default" w:cs="Times New Roman"/>
                <w:b/>
                <w:bCs/>
                <w:highlight w:val="none"/>
              </w:rPr>
            </w:pPr>
            <w:r>
              <w:rPr>
                <w:rFonts w:hint="default" w:cs="Times New Roman"/>
                <w:b/>
                <w:bCs/>
                <w:highlight w:val="none"/>
              </w:rPr>
              <w:t>202</w:t>
            </w:r>
            <w:r>
              <w:rPr>
                <w:rFonts w:hint="eastAsia" w:cs="Times New Roman"/>
                <w:b/>
                <w:bCs/>
                <w:highlight w:val="none"/>
                <w:lang w:val="en-US" w:eastAsia="zh-CN"/>
              </w:rPr>
              <w:t>3</w:t>
            </w:r>
            <w:r>
              <w:rPr>
                <w:rFonts w:hint="default" w:eastAsia="仿宋" w:cs="Times New Roman"/>
                <w:b/>
                <w:bCs/>
                <w:highlight w:val="none"/>
              </w:rPr>
              <w:t>年值</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4A0D71BB">
            <w:pPr>
              <w:pStyle w:val="68"/>
              <w:spacing w:line="240" w:lineRule="auto"/>
              <w:ind w:left="0" w:leftChars="0" w:right="0" w:rightChars="0" w:firstLine="0" w:firstLineChars="0"/>
              <w:rPr>
                <w:rFonts w:hint="default" w:cs="Times New Roman"/>
                <w:b/>
                <w:bCs/>
                <w:highlight w:val="none"/>
              </w:rPr>
            </w:pPr>
            <w:r>
              <w:rPr>
                <w:rFonts w:hint="default" w:cs="Times New Roman"/>
                <w:b/>
                <w:bCs/>
                <w:highlight w:val="none"/>
              </w:rPr>
              <w:t>2025</w:t>
            </w:r>
            <w:r>
              <w:rPr>
                <w:rFonts w:hint="default" w:eastAsia="仿宋" w:cs="Times New Roman"/>
                <w:b/>
                <w:bCs/>
                <w:highlight w:val="none"/>
              </w:rPr>
              <w:t>年值</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FF13AFD">
            <w:pPr>
              <w:pStyle w:val="68"/>
              <w:spacing w:line="240" w:lineRule="auto"/>
              <w:ind w:left="0" w:leftChars="0" w:right="0" w:rightChars="0" w:firstLine="0" w:firstLineChars="0"/>
              <w:rPr>
                <w:rFonts w:hint="default" w:cs="Times New Roman"/>
                <w:b/>
                <w:bCs/>
                <w:highlight w:val="none"/>
              </w:rPr>
            </w:pPr>
            <w:r>
              <w:rPr>
                <w:rFonts w:hint="default" w:cs="Times New Roman"/>
                <w:b/>
                <w:bCs/>
                <w:highlight w:val="none"/>
              </w:rPr>
              <w:t>20</w:t>
            </w:r>
            <w:r>
              <w:rPr>
                <w:rFonts w:hint="eastAsia" w:cs="Times New Roman"/>
                <w:b/>
                <w:bCs/>
                <w:highlight w:val="none"/>
                <w:lang w:val="en-US" w:eastAsia="zh-CN"/>
              </w:rPr>
              <w:t>30</w:t>
            </w:r>
            <w:r>
              <w:rPr>
                <w:rFonts w:hint="default" w:eastAsia="仿宋" w:cs="Times New Roman"/>
                <w:b/>
                <w:bCs/>
                <w:highlight w:val="none"/>
              </w:rPr>
              <w:t>年值</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579D290">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指标依据</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28661E72">
            <w:pPr>
              <w:pStyle w:val="68"/>
              <w:spacing w:line="240" w:lineRule="auto"/>
              <w:ind w:left="0" w:leftChars="0" w:right="0" w:rightChars="0" w:firstLine="0" w:firstLineChars="0"/>
              <w:rPr>
                <w:rFonts w:hint="default" w:cs="Times New Roman"/>
                <w:b/>
                <w:bCs/>
                <w:highlight w:val="none"/>
              </w:rPr>
            </w:pPr>
            <w:r>
              <w:rPr>
                <w:rFonts w:hint="default" w:eastAsia="仿宋" w:cs="Times New Roman"/>
                <w:b/>
                <w:bCs/>
                <w:highlight w:val="none"/>
              </w:rPr>
              <w:t>指标属性</w:t>
            </w:r>
          </w:p>
        </w:tc>
      </w:tr>
      <w:tr w14:paraId="27ED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A4499D2">
            <w:pPr>
              <w:pStyle w:val="70"/>
              <w:spacing w:line="240" w:lineRule="auto"/>
              <w:rPr>
                <w:kern w:val="2"/>
                <w:sz w:val="24"/>
                <w:szCs w:val="24"/>
                <w:highlight w:val="none"/>
              </w:rPr>
            </w:pPr>
            <w:r>
              <w:rPr>
                <w:kern w:val="2"/>
                <w:sz w:val="24"/>
                <w:szCs w:val="24"/>
                <w:highlight w:val="none"/>
              </w:rPr>
              <w:t>1</w:t>
            </w:r>
          </w:p>
        </w:tc>
        <w:tc>
          <w:tcPr>
            <w:tcW w:w="514" w:type="pct"/>
            <w:vMerge w:val="restart"/>
            <w:tcBorders>
              <w:top w:val="single" w:color="auto" w:sz="4" w:space="0"/>
              <w:left w:val="single" w:color="auto" w:sz="4" w:space="0"/>
              <w:right w:val="single" w:color="auto" w:sz="4" w:space="0"/>
              <w:tl2br w:val="nil"/>
              <w:tr2bl w:val="nil"/>
            </w:tcBorders>
            <w:vAlign w:val="center"/>
          </w:tcPr>
          <w:p w14:paraId="78F04872">
            <w:pPr>
              <w:pStyle w:val="70"/>
              <w:spacing w:line="240" w:lineRule="auto"/>
              <w:rPr>
                <w:kern w:val="2"/>
                <w:sz w:val="24"/>
                <w:szCs w:val="24"/>
                <w:highlight w:val="none"/>
              </w:rPr>
            </w:pPr>
            <w:r>
              <w:rPr>
                <w:rFonts w:eastAsia="仿宋"/>
                <w:kern w:val="2"/>
                <w:sz w:val="24"/>
                <w:szCs w:val="24"/>
                <w:highlight w:val="none"/>
              </w:rPr>
              <w:t>环境质量改善</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1EE55663">
            <w:pPr>
              <w:pStyle w:val="70"/>
              <w:spacing w:line="240" w:lineRule="auto"/>
              <w:rPr>
                <w:kern w:val="2"/>
                <w:sz w:val="24"/>
                <w:szCs w:val="24"/>
                <w:highlight w:val="none"/>
              </w:rPr>
            </w:pPr>
            <w:r>
              <w:rPr>
                <w:rFonts w:eastAsia="仿宋"/>
                <w:kern w:val="2"/>
                <w:sz w:val="24"/>
                <w:szCs w:val="24"/>
                <w:highlight w:val="none"/>
              </w:rPr>
              <w:t>环境空气质量优良天数比例</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770D1E9A">
            <w:pPr>
              <w:pStyle w:val="70"/>
              <w:spacing w:line="240" w:lineRule="auto"/>
              <w:rPr>
                <w:kern w:val="2"/>
                <w:sz w:val="24"/>
                <w:szCs w:val="24"/>
                <w:highlight w:val="none"/>
              </w:rPr>
            </w:pPr>
            <w:r>
              <w:rPr>
                <w:kern w:val="2"/>
                <w:sz w:val="24"/>
                <w:szCs w:val="24"/>
                <w:highlight w:val="none"/>
              </w:rPr>
              <w:t>9</w:t>
            </w:r>
            <w:r>
              <w:rPr>
                <w:rFonts w:hint="eastAsia"/>
                <w:kern w:val="2"/>
                <w:sz w:val="24"/>
                <w:szCs w:val="24"/>
                <w:highlight w:val="none"/>
                <w:lang w:val="en-US" w:eastAsia="zh-CN"/>
              </w:rPr>
              <w:t>6</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76314137">
            <w:pPr>
              <w:pStyle w:val="70"/>
              <w:spacing w:line="240" w:lineRule="auto"/>
              <w:rPr>
                <w:rFonts w:hint="eastAsia" w:eastAsia="仿宋_GB2312"/>
                <w:kern w:val="2"/>
                <w:sz w:val="24"/>
                <w:szCs w:val="24"/>
                <w:highlight w:val="none"/>
                <w:lang w:eastAsia="zh-CN"/>
              </w:rPr>
            </w:pPr>
            <w:r>
              <w:rPr>
                <w:rFonts w:hint="eastAsia" w:eastAsia="仿宋"/>
                <w:kern w:val="2"/>
                <w:sz w:val="24"/>
                <w:szCs w:val="24"/>
                <w:highlight w:val="none"/>
                <w:lang w:val="en-US" w:eastAsia="zh-CN"/>
              </w:rPr>
              <w:t>≥</w:t>
            </w:r>
            <w:r>
              <w:rPr>
                <w:kern w:val="2"/>
                <w:sz w:val="24"/>
                <w:szCs w:val="24"/>
                <w:highlight w:val="none"/>
              </w:rPr>
              <w:t>9</w:t>
            </w:r>
            <w:r>
              <w:rPr>
                <w:rFonts w:hint="eastAsia"/>
                <w:kern w:val="2"/>
                <w:sz w:val="24"/>
                <w:szCs w:val="24"/>
                <w:highlight w:val="none"/>
                <w:lang w:val="en-US" w:eastAsia="zh-CN"/>
              </w:rPr>
              <w:t>6</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C9BE817">
            <w:pPr>
              <w:pStyle w:val="70"/>
              <w:spacing w:line="240" w:lineRule="auto"/>
              <w:rPr>
                <w:kern w:val="2"/>
                <w:sz w:val="24"/>
                <w:szCs w:val="24"/>
                <w:highlight w:val="none"/>
              </w:rPr>
            </w:pPr>
            <w:r>
              <w:rPr>
                <w:rFonts w:hint="eastAsia" w:eastAsia="仿宋"/>
                <w:kern w:val="2"/>
                <w:sz w:val="24"/>
                <w:szCs w:val="24"/>
                <w:highlight w:val="none"/>
                <w:lang w:val="en-US" w:eastAsia="zh-CN"/>
              </w:rPr>
              <w:t>≥</w:t>
            </w:r>
            <w:r>
              <w:rPr>
                <w:kern w:val="2"/>
                <w:sz w:val="24"/>
                <w:szCs w:val="24"/>
                <w:highlight w:val="none"/>
              </w:rPr>
              <w:t>9</w:t>
            </w:r>
            <w:r>
              <w:rPr>
                <w:rFonts w:hint="eastAsia"/>
                <w:kern w:val="2"/>
                <w:sz w:val="24"/>
                <w:szCs w:val="24"/>
                <w:highlight w:val="none"/>
                <w:lang w:val="en-US" w:eastAsia="zh-CN"/>
              </w:rPr>
              <w:t>6</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58359AF">
            <w:pPr>
              <w:pStyle w:val="70"/>
              <w:spacing w:line="240" w:lineRule="auto"/>
              <w:rPr>
                <w:kern w:val="2"/>
                <w:sz w:val="24"/>
                <w:szCs w:val="24"/>
                <w:highlight w:val="none"/>
              </w:rPr>
            </w:pPr>
            <w:r>
              <w:rPr>
                <w:rFonts w:eastAsia="仿宋"/>
                <w:kern w:val="2"/>
                <w:sz w:val="24"/>
                <w:szCs w:val="24"/>
                <w:highlight w:val="none"/>
              </w:rPr>
              <w:t>《东莞市清溪镇国民经济和社会发展第十四个五年规划和2035年远景目标纲要》、《东莞市生态环境保护“十四五”规划》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0FA1135">
            <w:pPr>
              <w:pStyle w:val="70"/>
              <w:spacing w:line="240" w:lineRule="auto"/>
              <w:rPr>
                <w:kern w:val="2"/>
                <w:sz w:val="24"/>
                <w:szCs w:val="24"/>
                <w:highlight w:val="none"/>
              </w:rPr>
            </w:pPr>
            <w:r>
              <w:rPr>
                <w:rFonts w:eastAsia="仿宋"/>
                <w:kern w:val="2"/>
                <w:sz w:val="24"/>
                <w:szCs w:val="24"/>
                <w:highlight w:val="none"/>
              </w:rPr>
              <w:t>约束性</w:t>
            </w:r>
          </w:p>
        </w:tc>
      </w:tr>
      <w:tr w14:paraId="6ABE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62B4B02">
            <w:pPr>
              <w:pStyle w:val="70"/>
              <w:spacing w:line="240" w:lineRule="auto"/>
              <w:rPr>
                <w:kern w:val="2"/>
                <w:sz w:val="24"/>
                <w:szCs w:val="24"/>
                <w:highlight w:val="none"/>
              </w:rPr>
            </w:pPr>
            <w:r>
              <w:rPr>
                <w:kern w:val="2"/>
                <w:sz w:val="24"/>
                <w:szCs w:val="24"/>
                <w:highlight w:val="none"/>
              </w:rPr>
              <w:t>2</w:t>
            </w:r>
          </w:p>
        </w:tc>
        <w:tc>
          <w:tcPr>
            <w:tcW w:w="514" w:type="pct"/>
            <w:vMerge w:val="continue"/>
            <w:tcBorders>
              <w:left w:val="single" w:color="auto" w:sz="4" w:space="0"/>
              <w:right w:val="single" w:color="auto" w:sz="4" w:space="0"/>
              <w:tl2br w:val="nil"/>
              <w:tr2bl w:val="nil"/>
            </w:tcBorders>
            <w:vAlign w:val="center"/>
          </w:tcPr>
          <w:p w14:paraId="1F0F9D39">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0683B90F">
            <w:pPr>
              <w:pStyle w:val="70"/>
              <w:spacing w:line="240" w:lineRule="auto"/>
              <w:rPr>
                <w:kern w:val="2"/>
                <w:sz w:val="24"/>
                <w:szCs w:val="24"/>
                <w:highlight w:val="none"/>
              </w:rPr>
            </w:pPr>
            <w:r>
              <w:rPr>
                <w:kern w:val="2"/>
                <w:sz w:val="24"/>
                <w:szCs w:val="24"/>
                <w:highlight w:val="none"/>
              </w:rPr>
              <w:t>PM2.5</w:t>
            </w:r>
            <w:r>
              <w:rPr>
                <w:rFonts w:eastAsia="仿宋"/>
                <w:kern w:val="2"/>
                <w:sz w:val="24"/>
                <w:szCs w:val="24"/>
                <w:highlight w:val="none"/>
              </w:rPr>
              <w:t>年平均浓度</w:t>
            </w:r>
            <w:r>
              <w:rPr>
                <w:rFonts w:hint="eastAsia" w:eastAsia="仿宋"/>
                <w:kern w:val="2"/>
                <w:sz w:val="24"/>
                <w:szCs w:val="24"/>
                <w:highlight w:val="none"/>
              </w:rPr>
              <w:t>（</w:t>
            </w:r>
            <w:r>
              <w:rPr>
                <w:rFonts w:eastAsia="仿宋"/>
                <w:kern w:val="2"/>
                <w:sz w:val="24"/>
                <w:szCs w:val="24"/>
                <w:highlight w:val="none"/>
              </w:rPr>
              <w:t>μg/m</w:t>
            </w:r>
            <w:r>
              <w:rPr>
                <w:kern w:val="2"/>
                <w:sz w:val="24"/>
                <w:szCs w:val="24"/>
                <w:highlight w:val="none"/>
                <w:vertAlign w:val="superscript"/>
              </w:rPr>
              <w:t>3</w:t>
            </w:r>
            <w:r>
              <w:rPr>
                <w:rFonts w:hint="eastAsia"/>
                <w:kern w:val="2"/>
                <w:sz w:val="24"/>
                <w:szCs w:val="24"/>
                <w:highlight w:val="none"/>
                <w:vertAlign w:val="superscript"/>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4D51A0C">
            <w:pPr>
              <w:pStyle w:val="70"/>
              <w:spacing w:line="240" w:lineRule="auto"/>
              <w:rPr>
                <w:rFonts w:hint="default" w:eastAsia="仿宋_GB2312"/>
                <w:kern w:val="2"/>
                <w:sz w:val="24"/>
                <w:szCs w:val="24"/>
                <w:highlight w:val="none"/>
                <w:lang w:val="en-US" w:eastAsia="zh-CN"/>
              </w:rPr>
            </w:pPr>
            <w:r>
              <w:rPr>
                <w:kern w:val="2"/>
                <w:sz w:val="24"/>
                <w:szCs w:val="24"/>
                <w:highlight w:val="none"/>
              </w:rPr>
              <w:t>1</w:t>
            </w:r>
            <w:r>
              <w:rPr>
                <w:rFonts w:hint="eastAsia"/>
                <w:kern w:val="2"/>
                <w:sz w:val="24"/>
                <w:szCs w:val="24"/>
                <w:highlight w:val="none"/>
                <w:lang w:val="en-US" w:eastAsia="zh-CN"/>
              </w:rPr>
              <w:t>1.8</w:t>
            </w:r>
          </w:p>
        </w:tc>
        <w:tc>
          <w:tcPr>
            <w:tcW w:w="105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42762ABD">
            <w:pPr>
              <w:pStyle w:val="70"/>
              <w:spacing w:line="240" w:lineRule="auto"/>
              <w:rPr>
                <w:kern w:val="2"/>
                <w:sz w:val="24"/>
                <w:szCs w:val="24"/>
                <w:highlight w:val="none"/>
              </w:rPr>
            </w:pPr>
            <w:r>
              <w:rPr>
                <w:rFonts w:eastAsia="仿宋"/>
                <w:kern w:val="2"/>
                <w:sz w:val="24"/>
                <w:szCs w:val="24"/>
                <w:highlight w:val="none"/>
              </w:rPr>
              <w:t>按市核定目标执行</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1775D1C">
            <w:pPr>
              <w:pStyle w:val="70"/>
              <w:spacing w:line="240" w:lineRule="auto"/>
              <w:rPr>
                <w:kern w:val="2"/>
                <w:sz w:val="24"/>
                <w:szCs w:val="24"/>
                <w:highlight w:val="none"/>
              </w:rPr>
            </w:pPr>
            <w:r>
              <w:rPr>
                <w:rFonts w:eastAsia="仿宋"/>
                <w:kern w:val="2"/>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7CA9F322">
            <w:pPr>
              <w:pStyle w:val="70"/>
              <w:spacing w:line="240" w:lineRule="auto"/>
              <w:rPr>
                <w:kern w:val="2"/>
                <w:sz w:val="24"/>
                <w:szCs w:val="24"/>
                <w:highlight w:val="none"/>
              </w:rPr>
            </w:pPr>
            <w:r>
              <w:rPr>
                <w:rFonts w:eastAsia="仿宋"/>
                <w:kern w:val="2"/>
                <w:sz w:val="24"/>
                <w:szCs w:val="24"/>
                <w:highlight w:val="none"/>
              </w:rPr>
              <w:t>约束性</w:t>
            </w:r>
          </w:p>
        </w:tc>
      </w:tr>
      <w:tr w14:paraId="25CD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02A5D02E">
            <w:pPr>
              <w:pStyle w:val="70"/>
              <w:spacing w:line="240" w:lineRule="auto"/>
              <w:rPr>
                <w:kern w:val="2"/>
                <w:sz w:val="24"/>
                <w:szCs w:val="24"/>
                <w:highlight w:val="none"/>
              </w:rPr>
            </w:pPr>
            <w:r>
              <w:rPr>
                <w:kern w:val="2"/>
                <w:sz w:val="24"/>
                <w:szCs w:val="24"/>
                <w:highlight w:val="none"/>
              </w:rPr>
              <w:t>3</w:t>
            </w:r>
          </w:p>
        </w:tc>
        <w:tc>
          <w:tcPr>
            <w:tcW w:w="514" w:type="pct"/>
            <w:vMerge w:val="continue"/>
            <w:tcBorders>
              <w:left w:val="single" w:color="auto" w:sz="4" w:space="0"/>
              <w:right w:val="single" w:color="auto" w:sz="4" w:space="0"/>
              <w:tl2br w:val="nil"/>
              <w:tr2bl w:val="nil"/>
            </w:tcBorders>
            <w:vAlign w:val="center"/>
          </w:tcPr>
          <w:p w14:paraId="07369EEF">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043B180">
            <w:pPr>
              <w:pStyle w:val="70"/>
              <w:spacing w:line="240" w:lineRule="auto"/>
              <w:rPr>
                <w:kern w:val="2"/>
                <w:sz w:val="24"/>
                <w:szCs w:val="24"/>
                <w:highlight w:val="none"/>
              </w:rPr>
            </w:pPr>
            <w:r>
              <w:rPr>
                <w:kern w:val="2"/>
                <w:sz w:val="24"/>
                <w:szCs w:val="24"/>
                <w:highlight w:val="none"/>
              </w:rPr>
              <w:t>O</w:t>
            </w:r>
            <w:r>
              <w:rPr>
                <w:kern w:val="2"/>
                <w:sz w:val="24"/>
                <w:szCs w:val="24"/>
                <w:highlight w:val="none"/>
                <w:vertAlign w:val="subscript"/>
              </w:rPr>
              <w:t>3-8h</w:t>
            </w:r>
            <w:r>
              <w:rPr>
                <w:rFonts w:eastAsia="仿宋"/>
                <w:kern w:val="2"/>
                <w:sz w:val="24"/>
                <w:szCs w:val="24"/>
                <w:highlight w:val="none"/>
              </w:rPr>
              <w:t>第90百分位数浓度</w:t>
            </w:r>
            <w:r>
              <w:rPr>
                <w:rFonts w:hint="eastAsia" w:eastAsia="仿宋"/>
                <w:kern w:val="2"/>
                <w:sz w:val="24"/>
                <w:szCs w:val="24"/>
                <w:highlight w:val="none"/>
              </w:rPr>
              <w:t>（</w:t>
            </w:r>
            <w:r>
              <w:rPr>
                <w:rFonts w:eastAsia="仿宋"/>
                <w:kern w:val="2"/>
                <w:sz w:val="24"/>
                <w:szCs w:val="24"/>
                <w:highlight w:val="none"/>
              </w:rPr>
              <w:t>μg/m</w:t>
            </w:r>
            <w:r>
              <w:rPr>
                <w:kern w:val="2"/>
                <w:sz w:val="24"/>
                <w:szCs w:val="24"/>
                <w:highlight w:val="none"/>
                <w:vertAlign w:val="superscript"/>
              </w:rPr>
              <w:t>3</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A69CAE1">
            <w:pPr>
              <w:pStyle w:val="70"/>
              <w:spacing w:line="240" w:lineRule="auto"/>
              <w:rPr>
                <w:rFonts w:hint="default" w:eastAsia="仿宋"/>
                <w:kern w:val="2"/>
                <w:sz w:val="24"/>
                <w:szCs w:val="24"/>
                <w:highlight w:val="none"/>
                <w:lang w:val="en-US" w:eastAsia="zh-CN"/>
              </w:rPr>
            </w:pPr>
            <w:r>
              <w:rPr>
                <w:kern w:val="2"/>
                <w:sz w:val="24"/>
                <w:szCs w:val="24"/>
                <w:highlight w:val="none"/>
              </w:rPr>
              <w:t>1</w:t>
            </w:r>
            <w:r>
              <w:rPr>
                <w:rFonts w:hint="eastAsia" w:eastAsia="仿宋"/>
                <w:kern w:val="2"/>
                <w:sz w:val="24"/>
                <w:szCs w:val="24"/>
                <w:highlight w:val="none"/>
                <w:lang w:val="en-US" w:eastAsia="zh-CN"/>
              </w:rPr>
              <w:t>34</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278C4134">
            <w:pPr>
              <w:pStyle w:val="70"/>
              <w:spacing w:line="240" w:lineRule="auto"/>
              <w:rPr>
                <w:rFonts w:hint="default" w:eastAsia="仿宋"/>
                <w:kern w:val="2"/>
                <w:sz w:val="24"/>
                <w:szCs w:val="24"/>
                <w:highlight w:val="none"/>
                <w:lang w:val="en-US" w:eastAsia="zh-CN"/>
              </w:rPr>
            </w:pPr>
            <w:r>
              <w:rPr>
                <w:kern w:val="2"/>
                <w:sz w:val="24"/>
                <w:szCs w:val="24"/>
                <w:highlight w:val="none"/>
              </w:rPr>
              <w:t>≤1</w:t>
            </w:r>
            <w:r>
              <w:rPr>
                <w:rFonts w:hint="eastAsia" w:eastAsia="仿宋"/>
                <w:kern w:val="2"/>
                <w:sz w:val="24"/>
                <w:szCs w:val="24"/>
                <w:highlight w:val="none"/>
                <w:lang w:val="en-US" w:eastAsia="zh-CN"/>
              </w:rPr>
              <w:t>35</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4199D81">
            <w:pPr>
              <w:pStyle w:val="70"/>
              <w:spacing w:line="240" w:lineRule="auto"/>
              <w:rPr>
                <w:kern w:val="2"/>
                <w:sz w:val="24"/>
                <w:szCs w:val="24"/>
                <w:highlight w:val="none"/>
              </w:rPr>
            </w:pPr>
            <w:r>
              <w:rPr>
                <w:kern w:val="2"/>
                <w:sz w:val="24"/>
                <w:szCs w:val="24"/>
                <w:highlight w:val="none"/>
              </w:rPr>
              <w:t>≤1</w:t>
            </w:r>
            <w:r>
              <w:rPr>
                <w:rFonts w:hint="eastAsia" w:eastAsia="仿宋"/>
                <w:kern w:val="2"/>
                <w:sz w:val="24"/>
                <w:szCs w:val="24"/>
                <w:highlight w:val="none"/>
                <w:lang w:val="en-US" w:eastAsia="zh-CN"/>
              </w:rPr>
              <w:t>35</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5F639C78">
            <w:pPr>
              <w:pStyle w:val="70"/>
              <w:spacing w:line="240" w:lineRule="auto"/>
              <w:rPr>
                <w:kern w:val="2"/>
                <w:sz w:val="24"/>
                <w:szCs w:val="24"/>
                <w:highlight w:val="none"/>
              </w:rPr>
            </w:pPr>
            <w:r>
              <w:rPr>
                <w:rFonts w:eastAsia="仿宋"/>
                <w:sz w:val="24"/>
                <w:szCs w:val="24"/>
                <w:highlight w:val="none"/>
              </w:rPr>
              <w:t>《东莞市生态环境保护“十四五”规划》、《东莞市环境空气质量达标规划（2018-2025）》及自行研究确定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5A231CE7">
            <w:pPr>
              <w:pStyle w:val="70"/>
              <w:spacing w:line="240" w:lineRule="auto"/>
              <w:rPr>
                <w:kern w:val="2"/>
                <w:sz w:val="24"/>
                <w:szCs w:val="24"/>
                <w:highlight w:val="none"/>
              </w:rPr>
            </w:pPr>
            <w:r>
              <w:rPr>
                <w:rFonts w:eastAsia="仿宋"/>
                <w:kern w:val="2"/>
                <w:sz w:val="24"/>
                <w:szCs w:val="24"/>
                <w:highlight w:val="none"/>
              </w:rPr>
              <w:t>预期性</w:t>
            </w:r>
          </w:p>
        </w:tc>
      </w:tr>
      <w:tr w14:paraId="5F97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F83115F">
            <w:pPr>
              <w:pStyle w:val="70"/>
              <w:spacing w:line="240" w:lineRule="auto"/>
              <w:rPr>
                <w:kern w:val="2"/>
                <w:sz w:val="24"/>
                <w:szCs w:val="24"/>
                <w:highlight w:val="none"/>
              </w:rPr>
            </w:pPr>
            <w:r>
              <w:rPr>
                <w:kern w:val="2"/>
                <w:sz w:val="24"/>
                <w:szCs w:val="24"/>
                <w:highlight w:val="none"/>
              </w:rPr>
              <w:t>4</w:t>
            </w:r>
          </w:p>
        </w:tc>
        <w:tc>
          <w:tcPr>
            <w:tcW w:w="514" w:type="pct"/>
            <w:vMerge w:val="continue"/>
            <w:tcBorders>
              <w:left w:val="single" w:color="auto" w:sz="4" w:space="0"/>
              <w:right w:val="single" w:color="auto" w:sz="4" w:space="0"/>
              <w:tl2br w:val="nil"/>
              <w:tr2bl w:val="nil"/>
            </w:tcBorders>
            <w:vAlign w:val="center"/>
          </w:tcPr>
          <w:p w14:paraId="116034A3">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62888FE">
            <w:pPr>
              <w:pStyle w:val="70"/>
              <w:spacing w:line="240" w:lineRule="auto"/>
              <w:rPr>
                <w:kern w:val="2"/>
                <w:sz w:val="24"/>
                <w:szCs w:val="24"/>
                <w:highlight w:val="none"/>
              </w:rPr>
            </w:pPr>
            <w:r>
              <w:rPr>
                <w:rFonts w:eastAsia="仿宋"/>
                <w:kern w:val="2"/>
                <w:sz w:val="24"/>
                <w:szCs w:val="24"/>
                <w:highlight w:val="none"/>
              </w:rPr>
              <w:t>地表水劣Ⅴ类水体比例</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7DE290C">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10.7</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337A8A3E">
            <w:pPr>
              <w:pStyle w:val="70"/>
              <w:spacing w:line="240" w:lineRule="auto"/>
              <w:rPr>
                <w:rFonts w:hint="default" w:eastAsia="仿宋"/>
                <w:kern w:val="2"/>
                <w:sz w:val="24"/>
                <w:szCs w:val="24"/>
                <w:highlight w:val="none"/>
                <w:lang w:val="en-US" w:eastAsia="zh-CN"/>
              </w:rPr>
            </w:pPr>
            <w:r>
              <w:rPr>
                <w:kern w:val="2"/>
                <w:sz w:val="24"/>
                <w:szCs w:val="24"/>
                <w:highlight w:val="none"/>
              </w:rPr>
              <w:t>≤</w:t>
            </w:r>
            <w:r>
              <w:rPr>
                <w:rFonts w:hint="eastAsia" w:eastAsia="仿宋"/>
                <w:kern w:val="2"/>
                <w:sz w:val="24"/>
                <w:szCs w:val="24"/>
                <w:highlight w:val="none"/>
                <w:lang w:val="en-US" w:eastAsia="zh-CN"/>
              </w:rPr>
              <w:t>10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0818EF51">
            <w:pPr>
              <w:pStyle w:val="70"/>
              <w:spacing w:line="240" w:lineRule="auto"/>
              <w:rPr>
                <w:rFonts w:hint="default" w:eastAsia="仿宋_GB2312"/>
                <w:kern w:val="2"/>
                <w:sz w:val="24"/>
                <w:szCs w:val="24"/>
                <w:highlight w:val="none"/>
                <w:lang w:val="en-US" w:eastAsia="zh-CN"/>
              </w:rPr>
            </w:pPr>
            <w:r>
              <w:rPr>
                <w:rFonts w:hint="eastAsia" w:eastAsia="仿宋"/>
                <w:kern w:val="2"/>
                <w:sz w:val="24"/>
                <w:szCs w:val="24"/>
                <w:highlight w:val="none"/>
                <w:lang w:val="en-US" w:eastAsia="zh-CN"/>
              </w:rPr>
              <w:t>全面消除</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731378DC">
            <w:pPr>
              <w:pStyle w:val="70"/>
              <w:spacing w:line="240" w:lineRule="auto"/>
              <w:rPr>
                <w:kern w:val="2"/>
                <w:sz w:val="24"/>
                <w:szCs w:val="24"/>
                <w:highlight w:val="none"/>
              </w:rPr>
            </w:pPr>
            <w:r>
              <w:rPr>
                <w:rFonts w:hint="eastAsia" w:eastAsia="仿宋"/>
                <w:sz w:val="24"/>
                <w:szCs w:val="24"/>
                <w:highlight w:val="none"/>
              </w:rPr>
              <w:t>《东莞市水生态环境保护“十四五”规划》（2021-2025）</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7E4CF849">
            <w:pPr>
              <w:pStyle w:val="70"/>
              <w:spacing w:line="240" w:lineRule="auto"/>
              <w:rPr>
                <w:kern w:val="2"/>
                <w:sz w:val="24"/>
                <w:szCs w:val="24"/>
                <w:highlight w:val="none"/>
              </w:rPr>
            </w:pPr>
            <w:r>
              <w:rPr>
                <w:rFonts w:eastAsia="仿宋"/>
                <w:kern w:val="2"/>
                <w:sz w:val="24"/>
                <w:szCs w:val="24"/>
                <w:highlight w:val="none"/>
              </w:rPr>
              <w:t>预期性</w:t>
            </w:r>
          </w:p>
        </w:tc>
      </w:tr>
      <w:tr w14:paraId="17D2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A259805">
            <w:pPr>
              <w:pStyle w:val="70"/>
              <w:spacing w:line="240" w:lineRule="auto"/>
              <w:rPr>
                <w:kern w:val="2"/>
                <w:sz w:val="24"/>
                <w:szCs w:val="24"/>
                <w:highlight w:val="none"/>
              </w:rPr>
            </w:pPr>
            <w:r>
              <w:rPr>
                <w:kern w:val="2"/>
                <w:sz w:val="24"/>
                <w:szCs w:val="24"/>
                <w:highlight w:val="none"/>
              </w:rPr>
              <w:t>5</w:t>
            </w:r>
          </w:p>
        </w:tc>
        <w:tc>
          <w:tcPr>
            <w:tcW w:w="514" w:type="pct"/>
            <w:vMerge w:val="continue"/>
            <w:tcBorders>
              <w:left w:val="single" w:color="auto" w:sz="4" w:space="0"/>
              <w:right w:val="single" w:color="auto" w:sz="4" w:space="0"/>
              <w:tl2br w:val="nil"/>
              <w:tr2bl w:val="nil"/>
            </w:tcBorders>
            <w:vAlign w:val="center"/>
          </w:tcPr>
          <w:p w14:paraId="4D11E30C">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024CDB1B">
            <w:pPr>
              <w:pStyle w:val="70"/>
              <w:spacing w:line="240" w:lineRule="auto"/>
              <w:rPr>
                <w:kern w:val="2"/>
                <w:sz w:val="24"/>
                <w:szCs w:val="24"/>
                <w:highlight w:val="none"/>
              </w:rPr>
            </w:pPr>
            <w:r>
              <w:rPr>
                <w:rFonts w:eastAsia="仿宋"/>
                <w:kern w:val="2"/>
                <w:sz w:val="24"/>
                <w:szCs w:val="24"/>
                <w:highlight w:val="none"/>
              </w:rPr>
              <w:t>重要水功能区达标率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58FD68F1">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33.3</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725259F3">
            <w:pPr>
              <w:pStyle w:val="70"/>
              <w:spacing w:line="240" w:lineRule="auto"/>
              <w:rPr>
                <w:rFonts w:hint="default"/>
                <w:kern w:val="2"/>
                <w:sz w:val="24"/>
                <w:szCs w:val="24"/>
                <w:highlight w:val="none"/>
                <w:lang w:val="en-US"/>
              </w:rPr>
            </w:pPr>
            <w:r>
              <w:rPr>
                <w:rFonts w:hint="eastAsia" w:ascii="Times New Roman" w:hAnsi="Times New Roman" w:eastAsia="仿宋" w:cs="Times New Roman"/>
                <w:kern w:val="2"/>
                <w:sz w:val="24"/>
                <w:szCs w:val="24"/>
                <w:highlight w:val="none"/>
                <w:lang w:val="en-US" w:eastAsia="zh-CN" w:bidi="ar-SA"/>
              </w:rPr>
              <w:t>≥</w:t>
            </w:r>
            <w:r>
              <w:rPr>
                <w:rFonts w:hint="eastAsia" w:eastAsia="仿宋"/>
                <w:kern w:val="2"/>
                <w:sz w:val="24"/>
                <w:szCs w:val="24"/>
                <w:highlight w:val="none"/>
                <w:lang w:val="en-US" w:eastAsia="zh-CN"/>
              </w:rPr>
              <w:t>33.3</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A0B9598">
            <w:pPr>
              <w:pStyle w:val="70"/>
              <w:spacing w:line="240" w:lineRule="auto"/>
              <w:rPr>
                <w:kern w:val="2"/>
                <w:sz w:val="24"/>
                <w:szCs w:val="24"/>
                <w:highlight w:val="none"/>
              </w:rPr>
            </w:pPr>
            <w:r>
              <w:rPr>
                <w:rFonts w:hint="eastAsia" w:ascii="Times New Roman" w:hAnsi="Times New Roman" w:eastAsia="仿宋" w:cs="Times New Roman"/>
                <w:kern w:val="2"/>
                <w:sz w:val="24"/>
                <w:szCs w:val="24"/>
                <w:highlight w:val="none"/>
                <w:lang w:val="en-US" w:eastAsia="zh-CN" w:bidi="ar-SA"/>
              </w:rPr>
              <w:t>≥</w:t>
            </w:r>
            <w:r>
              <w:rPr>
                <w:rFonts w:hint="eastAsia" w:eastAsia="仿宋" w:cs="Times New Roman"/>
                <w:kern w:val="2"/>
                <w:sz w:val="24"/>
                <w:szCs w:val="24"/>
                <w:highlight w:val="none"/>
                <w:lang w:val="en-US" w:eastAsia="zh-CN" w:bidi="ar-SA"/>
              </w:rPr>
              <w:t>66.7</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22F1C170">
            <w:pPr>
              <w:pStyle w:val="70"/>
              <w:spacing w:line="240" w:lineRule="auto"/>
              <w:rPr>
                <w:kern w:val="2"/>
                <w:sz w:val="24"/>
                <w:szCs w:val="24"/>
                <w:highlight w:val="none"/>
              </w:rPr>
            </w:pPr>
            <w:r>
              <w:rPr>
                <w:rFonts w:eastAsia="仿宋"/>
                <w:sz w:val="24"/>
                <w:szCs w:val="24"/>
                <w:highlight w:val="none"/>
              </w:rPr>
              <w:t>《东莞市生态环境保护“十四五”规划》及自行研究确定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3FEB2CD">
            <w:pPr>
              <w:pStyle w:val="70"/>
              <w:spacing w:line="240" w:lineRule="auto"/>
              <w:rPr>
                <w:kern w:val="2"/>
                <w:sz w:val="24"/>
                <w:szCs w:val="24"/>
                <w:highlight w:val="none"/>
              </w:rPr>
            </w:pPr>
            <w:r>
              <w:rPr>
                <w:rFonts w:eastAsia="仿宋"/>
                <w:kern w:val="2"/>
                <w:sz w:val="24"/>
                <w:szCs w:val="24"/>
                <w:highlight w:val="none"/>
              </w:rPr>
              <w:t>预期性</w:t>
            </w:r>
          </w:p>
        </w:tc>
      </w:tr>
      <w:tr w14:paraId="2C57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15D08205">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6</w:t>
            </w:r>
          </w:p>
        </w:tc>
        <w:tc>
          <w:tcPr>
            <w:tcW w:w="514" w:type="pct"/>
            <w:vMerge w:val="continue"/>
            <w:tcBorders>
              <w:left w:val="single" w:color="auto" w:sz="4" w:space="0"/>
              <w:right w:val="single" w:color="auto" w:sz="4" w:space="0"/>
              <w:tl2br w:val="nil"/>
              <w:tr2bl w:val="nil"/>
            </w:tcBorders>
            <w:vAlign w:val="center"/>
          </w:tcPr>
          <w:p w14:paraId="0B2A4EAE">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CA42D3B">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rPr>
              <w:t>城镇污水处理厂进水BOD</w:t>
            </w:r>
            <w:r>
              <w:rPr>
                <w:rFonts w:hint="eastAsia" w:eastAsia="仿宋"/>
                <w:kern w:val="2"/>
                <w:sz w:val="24"/>
                <w:szCs w:val="24"/>
                <w:highlight w:val="none"/>
                <w:lang w:val="en-US" w:eastAsia="zh-CN"/>
              </w:rPr>
              <w:t>平均</w:t>
            </w:r>
            <w:r>
              <w:rPr>
                <w:rFonts w:hint="eastAsia" w:eastAsia="仿宋"/>
                <w:kern w:val="2"/>
                <w:sz w:val="24"/>
                <w:szCs w:val="24"/>
                <w:highlight w:val="none"/>
              </w:rPr>
              <w:t>浓度</w:t>
            </w:r>
            <w:r>
              <w:rPr>
                <w:rFonts w:hint="eastAsia" w:eastAsia="仿宋"/>
                <w:kern w:val="2"/>
                <w:sz w:val="24"/>
                <w:szCs w:val="24"/>
                <w:highlight w:val="none"/>
                <w:lang w:eastAsia="zh-CN"/>
              </w:rPr>
              <w:t>（</w:t>
            </w:r>
            <w:r>
              <w:rPr>
                <w:rFonts w:hint="eastAsia" w:eastAsia="仿宋"/>
                <w:kern w:val="2"/>
                <w:sz w:val="24"/>
                <w:szCs w:val="24"/>
                <w:highlight w:val="none"/>
              </w:rPr>
              <w:t>mg/L</w:t>
            </w:r>
            <w:r>
              <w:rPr>
                <w:rFonts w:hint="eastAsia" w:eastAsia="仿宋"/>
                <w:kern w:val="2"/>
                <w:sz w:val="24"/>
                <w:szCs w:val="24"/>
                <w:highlight w:val="none"/>
                <w:lang w:eastAsia="zh-CN"/>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1BCA8C1E">
            <w:pPr>
              <w:pStyle w:val="70"/>
              <w:spacing w:line="240" w:lineRule="auto"/>
              <w:ind w:left="0" w:leftChars="0" w:right="0" w:rightChars="0"/>
              <w:rPr>
                <w:rFonts w:hint="default" w:eastAsia="仿宋_GB2312"/>
                <w:kern w:val="2"/>
                <w:sz w:val="24"/>
                <w:szCs w:val="24"/>
                <w:highlight w:val="none"/>
                <w:lang w:val="en-US" w:eastAsia="zh-CN"/>
              </w:rPr>
            </w:pPr>
            <w:r>
              <w:rPr>
                <w:rFonts w:hint="eastAsia"/>
                <w:kern w:val="2"/>
                <w:sz w:val="24"/>
                <w:szCs w:val="24"/>
                <w:highlight w:val="none"/>
                <w:lang w:val="en-US" w:eastAsia="zh-CN"/>
              </w:rPr>
              <w:t>100</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71EB54A8">
            <w:pPr>
              <w:pStyle w:val="70"/>
              <w:spacing w:line="240" w:lineRule="auto"/>
              <w:ind w:left="0" w:leftChars="0" w:right="0" w:rightChars="0"/>
              <w:rPr>
                <w:rFonts w:hint="default" w:eastAsia="仿宋"/>
                <w:kern w:val="2"/>
                <w:sz w:val="24"/>
                <w:szCs w:val="24"/>
                <w:highlight w:val="none"/>
                <w:lang w:val="en-US" w:eastAsia="zh-CN"/>
              </w:rPr>
            </w:pPr>
            <w:r>
              <w:rPr>
                <w:rFonts w:hint="eastAsia" w:ascii="Times New Roman" w:hAnsi="Times New Roman" w:eastAsia="仿宋" w:cs="Times New Roman"/>
                <w:kern w:val="2"/>
                <w:sz w:val="24"/>
                <w:szCs w:val="24"/>
                <w:highlight w:val="none"/>
                <w:lang w:val="en-US" w:eastAsia="zh-CN" w:bidi="ar-SA"/>
              </w:rPr>
              <w:t>≥</w:t>
            </w:r>
            <w:r>
              <w:rPr>
                <w:rFonts w:hint="eastAsia" w:eastAsia="仿宋"/>
                <w:kern w:val="2"/>
                <w:sz w:val="24"/>
                <w:szCs w:val="24"/>
                <w:highlight w:val="none"/>
                <w:lang w:val="en-US" w:eastAsia="zh-CN"/>
              </w:rPr>
              <w:t>100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1034364C">
            <w:pPr>
              <w:pStyle w:val="70"/>
              <w:spacing w:line="240" w:lineRule="auto"/>
              <w:ind w:left="0" w:leftChars="0" w:right="0" w:rightChars="0"/>
              <w:rPr>
                <w:rFonts w:hint="default" w:eastAsia="仿宋"/>
                <w:kern w:val="2"/>
                <w:sz w:val="24"/>
                <w:szCs w:val="24"/>
                <w:highlight w:val="none"/>
                <w:lang w:val="en-US" w:eastAsia="zh-CN"/>
              </w:rPr>
            </w:pPr>
            <w:r>
              <w:rPr>
                <w:rFonts w:hint="eastAsia" w:ascii="Times New Roman" w:hAnsi="Times New Roman" w:eastAsia="仿宋" w:cs="Times New Roman"/>
                <w:kern w:val="2"/>
                <w:sz w:val="24"/>
                <w:szCs w:val="24"/>
                <w:highlight w:val="none"/>
                <w:lang w:val="en-US" w:eastAsia="zh-CN" w:bidi="ar-SA"/>
              </w:rPr>
              <w:t>≥</w:t>
            </w:r>
            <w:r>
              <w:rPr>
                <w:rFonts w:hint="eastAsia" w:eastAsia="仿宋"/>
                <w:kern w:val="2"/>
                <w:sz w:val="24"/>
                <w:szCs w:val="24"/>
                <w:highlight w:val="none"/>
                <w:lang w:val="en-US" w:eastAsia="zh-CN"/>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68073C86">
            <w:pPr>
              <w:pStyle w:val="70"/>
              <w:spacing w:line="240" w:lineRule="auto"/>
              <w:rPr>
                <w:rFonts w:hint="eastAsia" w:eastAsia="仿宋"/>
                <w:sz w:val="24"/>
                <w:szCs w:val="24"/>
                <w:highlight w:val="none"/>
                <w:lang w:eastAsia="zh-CN"/>
              </w:rPr>
            </w:pPr>
            <w:r>
              <w:rPr>
                <w:rFonts w:hint="eastAsia" w:eastAsia="仿宋"/>
                <w:sz w:val="24"/>
                <w:szCs w:val="24"/>
                <w:highlight w:val="none"/>
              </w:rPr>
              <w:t>《广东省城镇生活污水处理"十四五"规划</w:t>
            </w:r>
            <w:r>
              <w:rPr>
                <w:rFonts w:hint="eastAsia" w:eastAsia="仿宋"/>
                <w:sz w:val="24"/>
                <w:szCs w:val="24"/>
                <w:highlight w:val="none"/>
                <w:lang w:eastAsia="zh-CN"/>
              </w:rPr>
              <w:t>》、《</w:t>
            </w:r>
            <w:r>
              <w:rPr>
                <w:rFonts w:hint="eastAsia" w:eastAsia="仿宋"/>
                <w:sz w:val="24"/>
                <w:szCs w:val="24"/>
                <w:highlight w:val="none"/>
              </w:rPr>
              <w:t>东莞市2023年水污染防治工作方案》</w:t>
            </w:r>
            <w:r>
              <w:rPr>
                <w:rFonts w:eastAsia="仿宋"/>
                <w:sz w:val="24"/>
                <w:szCs w:val="24"/>
                <w:highlight w:val="none"/>
              </w:rPr>
              <w:t>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5BC699DA">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预期性</w:t>
            </w:r>
          </w:p>
        </w:tc>
      </w:tr>
      <w:tr w14:paraId="781A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7E4322A">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7</w:t>
            </w:r>
          </w:p>
        </w:tc>
        <w:tc>
          <w:tcPr>
            <w:tcW w:w="514" w:type="pct"/>
            <w:vMerge w:val="continue"/>
            <w:tcBorders>
              <w:left w:val="single" w:color="auto" w:sz="4" w:space="0"/>
              <w:bottom w:val="single" w:color="auto" w:sz="4" w:space="0"/>
              <w:right w:val="single" w:color="auto" w:sz="4" w:space="0"/>
              <w:tl2br w:val="nil"/>
              <w:tr2bl w:val="nil"/>
            </w:tcBorders>
            <w:vAlign w:val="center"/>
          </w:tcPr>
          <w:p w14:paraId="7E8F13BD">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736F8F89">
            <w:pPr>
              <w:pStyle w:val="70"/>
              <w:spacing w:line="240" w:lineRule="auto"/>
              <w:rPr>
                <w:rFonts w:hint="eastAsia" w:eastAsia="仿宋"/>
                <w:kern w:val="2"/>
                <w:sz w:val="24"/>
                <w:szCs w:val="24"/>
                <w:highlight w:val="none"/>
                <w:lang w:eastAsia="zh-CN"/>
              </w:rPr>
            </w:pPr>
            <w:r>
              <w:rPr>
                <w:rFonts w:hint="eastAsia" w:eastAsia="仿宋"/>
                <w:kern w:val="2"/>
                <w:sz w:val="24"/>
                <w:szCs w:val="24"/>
                <w:highlight w:val="none"/>
              </w:rPr>
              <w:t>城镇生活污水集中收集率</w:t>
            </w:r>
            <w:r>
              <w:rPr>
                <w:rFonts w:hint="eastAsia" w:eastAsia="仿宋"/>
                <w:kern w:val="2"/>
                <w:sz w:val="24"/>
                <w:szCs w:val="24"/>
                <w:highlight w:val="none"/>
                <w:lang w:eastAsia="zh-CN"/>
              </w:rPr>
              <w:t>（</w:t>
            </w:r>
            <w:r>
              <w:rPr>
                <w:rFonts w:hint="eastAsia" w:eastAsia="仿宋"/>
                <w:kern w:val="2"/>
                <w:sz w:val="24"/>
                <w:szCs w:val="24"/>
                <w:highlight w:val="none"/>
                <w:lang w:val="en-US" w:eastAsia="zh-CN"/>
              </w:rPr>
              <w:t>%</w:t>
            </w:r>
            <w:r>
              <w:rPr>
                <w:rFonts w:hint="eastAsia" w:eastAsia="仿宋"/>
                <w:kern w:val="2"/>
                <w:sz w:val="24"/>
                <w:szCs w:val="24"/>
                <w:highlight w:val="none"/>
                <w:lang w:eastAsia="zh-CN"/>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72DF4E9">
            <w:pPr>
              <w:jc w:val="center"/>
              <w:rPr>
                <w:rFonts w:hint="default"/>
                <w:highlight w:val="none"/>
                <w:lang w:val="en-US" w:eastAsia="zh-CN"/>
              </w:rPr>
            </w:pPr>
            <w:r>
              <w:rPr>
                <w:rFonts w:hint="eastAsia"/>
                <w:kern w:val="2"/>
                <w:sz w:val="24"/>
                <w:szCs w:val="24"/>
                <w:highlight w:val="none"/>
                <w:lang w:val="en-US" w:eastAsia="zh-CN"/>
              </w:rPr>
              <w:t>76</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74B1F83F">
            <w:pPr>
              <w:pStyle w:val="70"/>
              <w:spacing w:line="240" w:lineRule="auto"/>
              <w:ind w:left="0" w:leftChars="0" w:right="0" w:rightChars="0"/>
              <w:rPr>
                <w:rFonts w:hint="default" w:eastAsia="仿宋"/>
                <w:kern w:val="2"/>
                <w:sz w:val="24"/>
                <w:szCs w:val="24"/>
                <w:highlight w:val="none"/>
                <w:lang w:val="en-US" w:eastAsia="zh-CN"/>
              </w:rPr>
            </w:pPr>
            <w:r>
              <w:rPr>
                <w:rFonts w:hint="eastAsia" w:eastAsia="仿宋"/>
                <w:kern w:val="2"/>
                <w:sz w:val="24"/>
                <w:szCs w:val="24"/>
                <w:highlight w:val="none"/>
                <w:lang w:val="en-US" w:eastAsia="zh-CN"/>
              </w:rPr>
              <w:t>≥78</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C646CBF">
            <w:pPr>
              <w:pStyle w:val="70"/>
              <w:spacing w:line="240" w:lineRule="auto"/>
              <w:ind w:left="0" w:leftChars="0" w:right="0" w:rightChars="0"/>
              <w:rPr>
                <w:rFonts w:hint="eastAsia" w:eastAsia="仿宋"/>
                <w:kern w:val="2"/>
                <w:sz w:val="24"/>
                <w:szCs w:val="24"/>
                <w:highlight w:val="none"/>
                <w:lang w:val="en-US" w:eastAsia="zh-CN"/>
              </w:rPr>
            </w:pPr>
            <w:r>
              <w:rPr>
                <w:rFonts w:hint="eastAsia" w:eastAsia="仿宋"/>
                <w:kern w:val="2"/>
                <w:sz w:val="24"/>
                <w:szCs w:val="24"/>
                <w:highlight w:val="none"/>
                <w:lang w:val="en-US" w:eastAsia="zh-CN"/>
              </w:rPr>
              <w:t>≥80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0CD62CF7">
            <w:pPr>
              <w:pStyle w:val="70"/>
              <w:spacing w:line="240" w:lineRule="auto"/>
              <w:rPr>
                <w:rFonts w:eastAsia="仿宋"/>
                <w:sz w:val="24"/>
                <w:szCs w:val="24"/>
                <w:highlight w:val="none"/>
              </w:rPr>
            </w:pPr>
            <w:r>
              <w:rPr>
                <w:rFonts w:hint="eastAsia" w:eastAsia="仿宋"/>
                <w:sz w:val="24"/>
                <w:szCs w:val="24"/>
                <w:highlight w:val="none"/>
              </w:rPr>
              <w:t>《广东省城镇生活污水处理</w:t>
            </w:r>
            <w:r>
              <w:rPr>
                <w:rFonts w:hint="eastAsia" w:eastAsia="仿宋"/>
                <w:sz w:val="24"/>
                <w:szCs w:val="24"/>
                <w:highlight w:val="none"/>
                <w:lang w:eastAsia="zh-CN"/>
              </w:rPr>
              <w:t>“十四五”</w:t>
            </w:r>
            <w:r>
              <w:rPr>
                <w:rFonts w:hint="eastAsia" w:eastAsia="仿宋"/>
                <w:sz w:val="24"/>
                <w:szCs w:val="24"/>
                <w:highlight w:val="none"/>
              </w:rPr>
              <w:t>规划</w:t>
            </w:r>
            <w:r>
              <w:rPr>
                <w:rFonts w:hint="eastAsia" w:eastAsia="仿宋"/>
                <w:sz w:val="24"/>
                <w:szCs w:val="24"/>
                <w:highlight w:val="none"/>
                <w:lang w:eastAsia="zh-CN"/>
              </w:rPr>
              <w:t>》、《</w:t>
            </w:r>
            <w:r>
              <w:rPr>
                <w:rFonts w:hint="eastAsia" w:eastAsia="仿宋"/>
                <w:sz w:val="24"/>
                <w:szCs w:val="24"/>
                <w:highlight w:val="none"/>
              </w:rPr>
              <w:t>东莞市2023年水污染防治工作方案》</w:t>
            </w:r>
            <w:r>
              <w:rPr>
                <w:rFonts w:eastAsia="仿宋"/>
                <w:sz w:val="24"/>
                <w:szCs w:val="24"/>
                <w:highlight w:val="none"/>
              </w:rPr>
              <w:t>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43D1FD37">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预期性</w:t>
            </w:r>
          </w:p>
        </w:tc>
      </w:tr>
      <w:tr w14:paraId="4AE3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6FB72A7">
            <w:pPr>
              <w:pStyle w:val="70"/>
              <w:spacing w:line="240" w:lineRule="auto"/>
              <w:rPr>
                <w:rFonts w:hint="eastAsia" w:eastAsia="仿宋_GB2312"/>
                <w:kern w:val="2"/>
                <w:sz w:val="24"/>
                <w:szCs w:val="24"/>
                <w:highlight w:val="none"/>
                <w:lang w:eastAsia="zh-CN"/>
              </w:rPr>
            </w:pPr>
            <w:r>
              <w:rPr>
                <w:rFonts w:hint="eastAsia"/>
                <w:kern w:val="2"/>
                <w:sz w:val="24"/>
                <w:szCs w:val="24"/>
                <w:highlight w:val="none"/>
                <w:lang w:val="en-US" w:eastAsia="zh-CN"/>
              </w:rPr>
              <w:t>8</w:t>
            </w:r>
          </w:p>
        </w:tc>
        <w:tc>
          <w:tcPr>
            <w:tcW w:w="514"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70C354A0">
            <w:pPr>
              <w:pStyle w:val="70"/>
              <w:spacing w:line="240" w:lineRule="auto"/>
              <w:rPr>
                <w:kern w:val="2"/>
                <w:sz w:val="24"/>
                <w:szCs w:val="24"/>
                <w:highlight w:val="none"/>
              </w:rPr>
            </w:pPr>
            <w:r>
              <w:rPr>
                <w:rFonts w:eastAsia="仿宋"/>
                <w:kern w:val="2"/>
                <w:sz w:val="24"/>
                <w:szCs w:val="24"/>
                <w:highlight w:val="none"/>
              </w:rPr>
              <w:t>主要污染物总量减少</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ABBE959">
            <w:pPr>
              <w:pStyle w:val="70"/>
              <w:spacing w:line="240" w:lineRule="auto"/>
              <w:rPr>
                <w:kern w:val="2"/>
                <w:sz w:val="24"/>
                <w:szCs w:val="24"/>
                <w:highlight w:val="none"/>
              </w:rPr>
            </w:pPr>
            <w:r>
              <w:rPr>
                <w:rFonts w:eastAsia="仿宋"/>
                <w:kern w:val="2"/>
                <w:sz w:val="24"/>
                <w:szCs w:val="24"/>
                <w:highlight w:val="none"/>
              </w:rPr>
              <w:t>化学需氧量重点工程减排量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5E2BD24">
            <w:pPr>
              <w:pStyle w:val="70"/>
              <w:spacing w:line="240" w:lineRule="auto"/>
              <w:rPr>
                <w:kern w:val="2"/>
                <w:sz w:val="24"/>
                <w:szCs w:val="24"/>
                <w:highlight w:val="none"/>
              </w:rPr>
            </w:pPr>
            <w:r>
              <w:rPr>
                <w:kern w:val="2"/>
                <w:sz w:val="24"/>
                <w:szCs w:val="24"/>
                <w:highlight w:val="none"/>
              </w:rPr>
              <w:t>/</w:t>
            </w:r>
          </w:p>
        </w:tc>
        <w:tc>
          <w:tcPr>
            <w:tcW w:w="1050" w:type="pct"/>
            <w:gridSpan w:val="3"/>
            <w:vMerge w:val="restart"/>
            <w:tcBorders>
              <w:top w:val="single" w:color="auto" w:sz="4" w:space="0"/>
              <w:left w:val="single" w:color="auto" w:sz="4" w:space="0"/>
              <w:bottom w:val="single" w:color="auto" w:sz="4" w:space="0"/>
              <w:right w:val="single" w:color="auto" w:sz="4" w:space="0"/>
              <w:tl2br w:val="nil"/>
              <w:tr2bl w:val="nil"/>
            </w:tcBorders>
            <w:vAlign w:val="center"/>
          </w:tcPr>
          <w:p w14:paraId="702BBF18">
            <w:pPr>
              <w:pStyle w:val="70"/>
              <w:spacing w:line="240" w:lineRule="auto"/>
              <w:rPr>
                <w:kern w:val="2"/>
                <w:sz w:val="24"/>
                <w:szCs w:val="24"/>
                <w:highlight w:val="none"/>
              </w:rPr>
            </w:pPr>
            <w:r>
              <w:rPr>
                <w:rFonts w:eastAsia="仿宋"/>
                <w:kern w:val="2"/>
                <w:sz w:val="24"/>
                <w:szCs w:val="24"/>
                <w:highlight w:val="none"/>
              </w:rPr>
              <w:t>按市核定目标执行</w:t>
            </w:r>
          </w:p>
        </w:tc>
        <w:tc>
          <w:tcPr>
            <w:tcW w:w="956"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1AC60684">
            <w:pPr>
              <w:spacing w:line="240" w:lineRule="auto"/>
              <w:ind w:firstLine="0" w:firstLineChars="0"/>
              <w:rPr>
                <w:rFonts w:cs="Times New Roman"/>
                <w:sz w:val="24"/>
                <w:szCs w:val="24"/>
                <w:highlight w:val="none"/>
              </w:rPr>
            </w:pPr>
            <w:r>
              <w:rPr>
                <w:rFonts w:eastAsia="仿宋" w:cs="Times New Roman"/>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3A06ABBC">
            <w:pPr>
              <w:pStyle w:val="70"/>
              <w:spacing w:line="240" w:lineRule="auto"/>
              <w:rPr>
                <w:kern w:val="2"/>
                <w:sz w:val="24"/>
                <w:szCs w:val="24"/>
                <w:highlight w:val="none"/>
              </w:rPr>
            </w:pPr>
            <w:r>
              <w:rPr>
                <w:rFonts w:eastAsia="仿宋"/>
                <w:kern w:val="2"/>
                <w:sz w:val="24"/>
                <w:szCs w:val="24"/>
                <w:highlight w:val="none"/>
              </w:rPr>
              <w:t>预期性</w:t>
            </w:r>
          </w:p>
        </w:tc>
      </w:tr>
      <w:tr w14:paraId="7712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06035681">
            <w:pPr>
              <w:pStyle w:val="70"/>
              <w:spacing w:line="240" w:lineRule="auto"/>
              <w:rPr>
                <w:rFonts w:hint="eastAsia" w:eastAsia="仿宋_GB2312"/>
                <w:kern w:val="2"/>
                <w:sz w:val="24"/>
                <w:szCs w:val="24"/>
                <w:highlight w:val="none"/>
                <w:lang w:eastAsia="zh-CN"/>
              </w:rPr>
            </w:pPr>
            <w:r>
              <w:rPr>
                <w:rFonts w:hint="eastAsia"/>
                <w:kern w:val="2"/>
                <w:sz w:val="24"/>
                <w:szCs w:val="24"/>
                <w:highlight w:val="none"/>
                <w:lang w:val="en-US" w:eastAsia="zh-CN"/>
              </w:rPr>
              <w:t>9</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124D43A">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459D404B">
            <w:pPr>
              <w:pStyle w:val="70"/>
              <w:spacing w:line="240" w:lineRule="auto"/>
              <w:rPr>
                <w:kern w:val="2"/>
                <w:sz w:val="24"/>
                <w:szCs w:val="24"/>
                <w:highlight w:val="none"/>
              </w:rPr>
            </w:pPr>
            <w:r>
              <w:rPr>
                <w:rFonts w:eastAsia="仿宋"/>
                <w:kern w:val="2"/>
                <w:sz w:val="24"/>
                <w:szCs w:val="24"/>
                <w:highlight w:val="none"/>
              </w:rPr>
              <w:t>氨氮重点工程减排量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FD5F702">
            <w:pPr>
              <w:pStyle w:val="70"/>
              <w:spacing w:line="240" w:lineRule="auto"/>
              <w:rPr>
                <w:kern w:val="2"/>
                <w:sz w:val="24"/>
                <w:szCs w:val="24"/>
                <w:highlight w:val="none"/>
              </w:rPr>
            </w:pPr>
            <w:r>
              <w:rPr>
                <w:kern w:val="2"/>
                <w:sz w:val="24"/>
                <w:szCs w:val="24"/>
                <w:highlight w:val="none"/>
              </w:rPr>
              <w:t>/</w:t>
            </w:r>
          </w:p>
        </w:tc>
        <w:tc>
          <w:tcPr>
            <w:tcW w:w="1050" w:type="pct"/>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14:paraId="78B64189">
            <w:pPr>
              <w:pStyle w:val="70"/>
              <w:spacing w:line="240" w:lineRule="auto"/>
              <w:rPr>
                <w:kern w:val="2"/>
                <w:sz w:val="24"/>
                <w:szCs w:val="24"/>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FCC748C">
            <w:pPr>
              <w:pStyle w:val="70"/>
              <w:spacing w:line="240" w:lineRule="auto"/>
              <w:rPr>
                <w:kern w:val="2"/>
                <w:sz w:val="24"/>
                <w:szCs w:val="24"/>
                <w:highlight w:val="none"/>
              </w:rPr>
            </w:pP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4DD85118">
            <w:pPr>
              <w:pStyle w:val="70"/>
              <w:spacing w:line="240" w:lineRule="auto"/>
              <w:rPr>
                <w:kern w:val="2"/>
                <w:sz w:val="24"/>
                <w:szCs w:val="24"/>
                <w:highlight w:val="none"/>
              </w:rPr>
            </w:pPr>
            <w:r>
              <w:rPr>
                <w:rFonts w:eastAsia="仿宋"/>
                <w:kern w:val="2"/>
                <w:sz w:val="24"/>
                <w:szCs w:val="24"/>
                <w:highlight w:val="none"/>
              </w:rPr>
              <w:t>预期性</w:t>
            </w:r>
          </w:p>
        </w:tc>
      </w:tr>
      <w:tr w14:paraId="03A0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95CE476">
            <w:pPr>
              <w:pStyle w:val="70"/>
              <w:spacing w:line="240" w:lineRule="auto"/>
              <w:rPr>
                <w:rFonts w:hint="eastAsia" w:eastAsia="仿宋_GB2312"/>
                <w:kern w:val="2"/>
                <w:sz w:val="24"/>
                <w:szCs w:val="24"/>
                <w:highlight w:val="none"/>
                <w:lang w:val="en-US" w:eastAsia="zh-CN"/>
              </w:rPr>
            </w:pPr>
            <w:r>
              <w:rPr>
                <w:kern w:val="2"/>
                <w:sz w:val="24"/>
                <w:szCs w:val="24"/>
                <w:highlight w:val="none"/>
              </w:rPr>
              <w:t>1</w:t>
            </w:r>
            <w:r>
              <w:rPr>
                <w:rFonts w:hint="eastAsia"/>
                <w:kern w:val="2"/>
                <w:sz w:val="24"/>
                <w:szCs w:val="24"/>
                <w:highlight w:val="none"/>
                <w:lang w:val="en-US" w:eastAsia="zh-CN"/>
              </w:rPr>
              <w:t>0</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1A0510F">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47A83CB7">
            <w:pPr>
              <w:pStyle w:val="70"/>
              <w:spacing w:line="240" w:lineRule="auto"/>
              <w:rPr>
                <w:kern w:val="2"/>
                <w:sz w:val="24"/>
                <w:szCs w:val="24"/>
                <w:highlight w:val="none"/>
              </w:rPr>
            </w:pPr>
            <w:r>
              <w:rPr>
                <w:rFonts w:eastAsia="仿宋"/>
                <w:kern w:val="2"/>
                <w:sz w:val="24"/>
                <w:szCs w:val="24"/>
                <w:highlight w:val="none"/>
              </w:rPr>
              <w:t>氮氧化物重点工程减排量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57085ABD">
            <w:pPr>
              <w:pStyle w:val="70"/>
              <w:spacing w:line="240" w:lineRule="auto"/>
              <w:rPr>
                <w:kern w:val="2"/>
                <w:sz w:val="24"/>
                <w:szCs w:val="24"/>
                <w:highlight w:val="none"/>
              </w:rPr>
            </w:pPr>
            <w:r>
              <w:rPr>
                <w:kern w:val="2"/>
                <w:sz w:val="24"/>
                <w:szCs w:val="24"/>
                <w:highlight w:val="none"/>
              </w:rPr>
              <w:t>/</w:t>
            </w:r>
          </w:p>
        </w:tc>
        <w:tc>
          <w:tcPr>
            <w:tcW w:w="1050" w:type="pct"/>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14:paraId="5345C85D">
            <w:pPr>
              <w:pStyle w:val="70"/>
              <w:spacing w:line="240" w:lineRule="auto"/>
              <w:rPr>
                <w:kern w:val="2"/>
                <w:sz w:val="24"/>
                <w:szCs w:val="24"/>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FBE6D78">
            <w:pPr>
              <w:pStyle w:val="70"/>
              <w:spacing w:line="240" w:lineRule="auto"/>
              <w:rPr>
                <w:kern w:val="2"/>
                <w:sz w:val="24"/>
                <w:szCs w:val="24"/>
                <w:highlight w:val="none"/>
              </w:rPr>
            </w:pP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65D45982">
            <w:pPr>
              <w:pStyle w:val="70"/>
              <w:spacing w:line="240" w:lineRule="auto"/>
              <w:rPr>
                <w:kern w:val="2"/>
                <w:sz w:val="24"/>
                <w:szCs w:val="24"/>
                <w:highlight w:val="none"/>
              </w:rPr>
            </w:pPr>
            <w:r>
              <w:rPr>
                <w:rFonts w:eastAsia="仿宋"/>
                <w:kern w:val="2"/>
                <w:sz w:val="24"/>
                <w:szCs w:val="24"/>
                <w:highlight w:val="none"/>
              </w:rPr>
              <w:t>预期性</w:t>
            </w:r>
          </w:p>
        </w:tc>
      </w:tr>
      <w:tr w14:paraId="6BD6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B24CD3F">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1</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7FBB7059">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03308A54">
            <w:pPr>
              <w:pStyle w:val="70"/>
              <w:spacing w:line="240" w:lineRule="auto"/>
              <w:rPr>
                <w:kern w:val="2"/>
                <w:sz w:val="24"/>
                <w:szCs w:val="24"/>
                <w:highlight w:val="none"/>
              </w:rPr>
            </w:pPr>
            <w:r>
              <w:rPr>
                <w:rFonts w:eastAsia="仿宋"/>
                <w:kern w:val="2"/>
                <w:sz w:val="24"/>
                <w:szCs w:val="24"/>
                <w:highlight w:val="none"/>
              </w:rPr>
              <w:t>挥发性有机物重点工程减排量</w:t>
            </w:r>
            <w:r>
              <w:rPr>
                <w:rFonts w:hint="eastAsia" w:eastAsia="仿宋"/>
                <w:kern w:val="2"/>
                <w:sz w:val="24"/>
                <w:szCs w:val="24"/>
                <w:highlight w:val="none"/>
              </w:rPr>
              <w:t>（</w:t>
            </w:r>
            <w:r>
              <w:rPr>
                <w:rFonts w:eastAsia="仿宋"/>
                <w:kern w:val="2"/>
                <w:sz w:val="24"/>
                <w:szCs w:val="24"/>
                <w:highlight w:val="none"/>
              </w:rPr>
              <w:t>吨</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6D8B6005">
            <w:pPr>
              <w:pStyle w:val="70"/>
              <w:spacing w:line="240" w:lineRule="auto"/>
              <w:rPr>
                <w:kern w:val="2"/>
                <w:sz w:val="24"/>
                <w:szCs w:val="24"/>
                <w:highlight w:val="none"/>
              </w:rPr>
            </w:pPr>
            <w:r>
              <w:rPr>
                <w:kern w:val="2"/>
                <w:sz w:val="24"/>
                <w:szCs w:val="24"/>
                <w:highlight w:val="none"/>
              </w:rPr>
              <w:t>/</w:t>
            </w:r>
          </w:p>
        </w:tc>
        <w:tc>
          <w:tcPr>
            <w:tcW w:w="1050" w:type="pct"/>
            <w:gridSpan w:val="3"/>
            <w:vMerge w:val="continue"/>
            <w:tcBorders>
              <w:top w:val="single" w:color="auto" w:sz="4" w:space="0"/>
              <w:left w:val="single" w:color="auto" w:sz="4" w:space="0"/>
              <w:bottom w:val="single" w:color="auto" w:sz="4" w:space="0"/>
              <w:right w:val="single" w:color="auto" w:sz="4" w:space="0"/>
              <w:tl2br w:val="nil"/>
              <w:tr2bl w:val="nil"/>
            </w:tcBorders>
            <w:vAlign w:val="center"/>
          </w:tcPr>
          <w:p w14:paraId="7ABAB509">
            <w:pPr>
              <w:pStyle w:val="70"/>
              <w:spacing w:line="240" w:lineRule="auto"/>
              <w:rPr>
                <w:kern w:val="2"/>
                <w:sz w:val="24"/>
                <w:szCs w:val="24"/>
                <w:highlight w:val="none"/>
              </w:rPr>
            </w:pPr>
          </w:p>
        </w:tc>
        <w:tc>
          <w:tcPr>
            <w:tcW w:w="956"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5E145498">
            <w:pPr>
              <w:pStyle w:val="70"/>
              <w:spacing w:line="240" w:lineRule="auto"/>
              <w:rPr>
                <w:kern w:val="2"/>
                <w:sz w:val="24"/>
                <w:szCs w:val="24"/>
                <w:highlight w:val="none"/>
              </w:rPr>
            </w:pP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423142B">
            <w:pPr>
              <w:pStyle w:val="70"/>
              <w:spacing w:line="240" w:lineRule="auto"/>
              <w:rPr>
                <w:kern w:val="2"/>
                <w:sz w:val="24"/>
                <w:szCs w:val="24"/>
                <w:highlight w:val="none"/>
              </w:rPr>
            </w:pPr>
            <w:r>
              <w:rPr>
                <w:rFonts w:eastAsia="仿宋"/>
                <w:kern w:val="2"/>
                <w:sz w:val="24"/>
                <w:szCs w:val="24"/>
                <w:highlight w:val="none"/>
              </w:rPr>
              <w:t>预期性</w:t>
            </w:r>
          </w:p>
        </w:tc>
      </w:tr>
      <w:tr w14:paraId="5D15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271E6BA5">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2</w:t>
            </w:r>
          </w:p>
        </w:tc>
        <w:tc>
          <w:tcPr>
            <w:tcW w:w="514" w:type="pct"/>
            <w:vMerge w:val="restart"/>
            <w:tcBorders>
              <w:top w:val="single" w:color="auto" w:sz="4" w:space="0"/>
              <w:left w:val="single" w:color="auto" w:sz="4" w:space="0"/>
              <w:bottom w:val="single" w:color="auto" w:sz="4" w:space="0"/>
              <w:right w:val="single" w:color="auto" w:sz="4" w:space="0"/>
              <w:tl2br w:val="nil"/>
              <w:tr2bl w:val="nil"/>
            </w:tcBorders>
            <w:vAlign w:val="center"/>
          </w:tcPr>
          <w:p w14:paraId="227EBEA5">
            <w:pPr>
              <w:pStyle w:val="70"/>
              <w:spacing w:line="240" w:lineRule="auto"/>
              <w:rPr>
                <w:kern w:val="2"/>
                <w:sz w:val="24"/>
                <w:szCs w:val="24"/>
                <w:highlight w:val="none"/>
              </w:rPr>
            </w:pPr>
            <w:r>
              <w:rPr>
                <w:rFonts w:eastAsia="仿宋"/>
                <w:kern w:val="2"/>
                <w:sz w:val="24"/>
                <w:szCs w:val="24"/>
                <w:highlight w:val="none"/>
              </w:rPr>
              <w:t>环境风险防控</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13024021">
            <w:pPr>
              <w:pStyle w:val="70"/>
              <w:spacing w:line="240" w:lineRule="auto"/>
              <w:rPr>
                <w:kern w:val="2"/>
                <w:sz w:val="24"/>
                <w:szCs w:val="24"/>
                <w:highlight w:val="none"/>
              </w:rPr>
            </w:pPr>
            <w:r>
              <w:rPr>
                <w:rFonts w:eastAsia="仿宋"/>
                <w:kern w:val="2"/>
                <w:sz w:val="24"/>
                <w:szCs w:val="24"/>
                <w:highlight w:val="none"/>
              </w:rPr>
              <w:t>受污染耕地安全利用率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50890A74">
            <w:pPr>
              <w:pStyle w:val="70"/>
              <w:spacing w:line="240" w:lineRule="auto"/>
              <w:rPr>
                <w:kern w:val="2"/>
                <w:sz w:val="24"/>
                <w:szCs w:val="24"/>
                <w:highlight w:val="none"/>
              </w:rPr>
            </w:pPr>
            <w:r>
              <w:rPr>
                <w:kern w:val="2"/>
                <w:sz w:val="24"/>
                <w:szCs w:val="24"/>
                <w:highlight w:val="none"/>
              </w:rPr>
              <w:t>100</w:t>
            </w:r>
          </w:p>
        </w:tc>
        <w:tc>
          <w:tcPr>
            <w:tcW w:w="525"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B1C959E">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100</w:t>
            </w:r>
          </w:p>
        </w:tc>
        <w:tc>
          <w:tcPr>
            <w:tcW w:w="525" w:type="pct"/>
            <w:tcBorders>
              <w:top w:val="single" w:color="auto" w:sz="4" w:space="0"/>
              <w:left w:val="single" w:color="auto" w:sz="4" w:space="0"/>
              <w:bottom w:val="single" w:color="auto" w:sz="4" w:space="0"/>
              <w:right w:val="single" w:color="auto" w:sz="4" w:space="0"/>
              <w:tl2br w:val="nil"/>
              <w:tr2bl w:val="nil"/>
            </w:tcBorders>
            <w:vAlign w:val="center"/>
          </w:tcPr>
          <w:p w14:paraId="4537A460">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C517264">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536F181C">
            <w:pPr>
              <w:pStyle w:val="70"/>
              <w:spacing w:line="240" w:lineRule="auto"/>
              <w:rPr>
                <w:kern w:val="2"/>
                <w:sz w:val="24"/>
                <w:szCs w:val="24"/>
                <w:highlight w:val="none"/>
              </w:rPr>
            </w:pPr>
            <w:r>
              <w:rPr>
                <w:rFonts w:eastAsia="仿宋"/>
                <w:kern w:val="2"/>
                <w:sz w:val="24"/>
                <w:szCs w:val="24"/>
                <w:highlight w:val="none"/>
              </w:rPr>
              <w:t>预期性</w:t>
            </w:r>
          </w:p>
        </w:tc>
      </w:tr>
      <w:tr w14:paraId="05BB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941425D">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3</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81DBE0E">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301AB4FF">
            <w:pPr>
              <w:pStyle w:val="70"/>
              <w:spacing w:line="240" w:lineRule="auto"/>
              <w:rPr>
                <w:kern w:val="2"/>
                <w:sz w:val="24"/>
                <w:szCs w:val="24"/>
                <w:highlight w:val="none"/>
              </w:rPr>
            </w:pPr>
            <w:r>
              <w:rPr>
                <w:rFonts w:eastAsia="仿宋"/>
                <w:kern w:val="2"/>
                <w:sz w:val="24"/>
                <w:szCs w:val="24"/>
                <w:highlight w:val="none"/>
              </w:rPr>
              <w:t>重点建设地块安全利用率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528CE20">
            <w:pPr>
              <w:pStyle w:val="70"/>
              <w:spacing w:line="240" w:lineRule="auto"/>
              <w:rPr>
                <w:kern w:val="2"/>
                <w:sz w:val="24"/>
                <w:szCs w:val="24"/>
                <w:highlight w:val="none"/>
              </w:rPr>
            </w:pPr>
            <w:r>
              <w:rPr>
                <w:kern w:val="2"/>
                <w:sz w:val="24"/>
                <w:szCs w:val="24"/>
                <w:highlight w:val="none"/>
              </w:rPr>
              <w:t>/</w:t>
            </w:r>
          </w:p>
        </w:tc>
        <w:tc>
          <w:tcPr>
            <w:tcW w:w="105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692DD1F1">
            <w:pPr>
              <w:pStyle w:val="70"/>
              <w:spacing w:line="240" w:lineRule="auto"/>
              <w:rPr>
                <w:kern w:val="2"/>
                <w:sz w:val="24"/>
                <w:szCs w:val="24"/>
                <w:highlight w:val="none"/>
              </w:rPr>
            </w:pPr>
            <w:r>
              <w:rPr>
                <w:rFonts w:eastAsia="仿宋"/>
                <w:kern w:val="2"/>
                <w:sz w:val="24"/>
                <w:szCs w:val="24"/>
                <w:highlight w:val="none"/>
              </w:rPr>
              <w:t>按市核定目标执行</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063111DE">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D2F300D">
            <w:pPr>
              <w:pStyle w:val="70"/>
              <w:spacing w:line="240" w:lineRule="auto"/>
              <w:rPr>
                <w:kern w:val="2"/>
                <w:sz w:val="24"/>
                <w:szCs w:val="24"/>
                <w:highlight w:val="none"/>
              </w:rPr>
            </w:pPr>
            <w:r>
              <w:rPr>
                <w:rFonts w:eastAsia="仿宋"/>
                <w:kern w:val="2"/>
                <w:sz w:val="24"/>
                <w:szCs w:val="24"/>
                <w:highlight w:val="none"/>
              </w:rPr>
              <w:t>预期性</w:t>
            </w:r>
          </w:p>
        </w:tc>
      </w:tr>
      <w:tr w14:paraId="4C56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668C7018">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4</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43AD5C5E">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6ADC929B">
            <w:pPr>
              <w:pStyle w:val="70"/>
              <w:spacing w:line="240" w:lineRule="auto"/>
              <w:rPr>
                <w:kern w:val="2"/>
                <w:sz w:val="24"/>
                <w:szCs w:val="24"/>
                <w:highlight w:val="none"/>
              </w:rPr>
            </w:pPr>
            <w:r>
              <w:rPr>
                <w:rFonts w:eastAsia="仿宋"/>
                <w:kern w:val="2"/>
                <w:sz w:val="24"/>
                <w:szCs w:val="24"/>
                <w:highlight w:val="none"/>
              </w:rPr>
              <w:t>地下水国控点位V类水比例</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21A6E5DD">
            <w:pPr>
              <w:pStyle w:val="70"/>
              <w:spacing w:line="240" w:lineRule="auto"/>
              <w:rPr>
                <w:kern w:val="2"/>
                <w:sz w:val="24"/>
                <w:szCs w:val="24"/>
                <w:highlight w:val="none"/>
              </w:rPr>
            </w:pPr>
            <w:r>
              <w:rPr>
                <w:kern w:val="2"/>
                <w:sz w:val="24"/>
                <w:szCs w:val="24"/>
                <w:highlight w:val="none"/>
              </w:rPr>
              <w:t>/</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77600AF8">
            <w:pPr>
              <w:pStyle w:val="70"/>
              <w:spacing w:line="240" w:lineRule="auto"/>
              <w:rPr>
                <w:kern w:val="2"/>
                <w:sz w:val="24"/>
                <w:szCs w:val="24"/>
                <w:highlight w:val="none"/>
              </w:rPr>
            </w:pPr>
            <w:r>
              <w:rPr>
                <w:kern w:val="2"/>
                <w:sz w:val="24"/>
                <w:szCs w:val="24"/>
                <w:highlight w:val="none"/>
              </w:rPr>
              <w:t>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B3F061C">
            <w:pPr>
              <w:pStyle w:val="70"/>
              <w:spacing w:line="240" w:lineRule="auto"/>
              <w:rPr>
                <w:kern w:val="2"/>
                <w:sz w:val="24"/>
                <w:szCs w:val="24"/>
                <w:highlight w:val="none"/>
              </w:rPr>
            </w:pPr>
            <w:r>
              <w:rPr>
                <w:kern w:val="2"/>
                <w:sz w:val="24"/>
                <w:szCs w:val="24"/>
                <w:highlight w:val="none"/>
              </w:rPr>
              <w:t>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10C3E78D">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0532FA65">
            <w:pPr>
              <w:pStyle w:val="70"/>
              <w:spacing w:line="240" w:lineRule="auto"/>
              <w:rPr>
                <w:kern w:val="2"/>
                <w:sz w:val="24"/>
                <w:szCs w:val="24"/>
                <w:highlight w:val="none"/>
              </w:rPr>
            </w:pPr>
            <w:r>
              <w:rPr>
                <w:rFonts w:eastAsia="仿宋"/>
                <w:kern w:val="2"/>
                <w:sz w:val="24"/>
                <w:szCs w:val="24"/>
                <w:highlight w:val="none"/>
              </w:rPr>
              <w:t>预期性</w:t>
            </w:r>
          </w:p>
        </w:tc>
      </w:tr>
      <w:tr w14:paraId="23115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1FD245B">
            <w:pPr>
              <w:pStyle w:val="70"/>
              <w:spacing w:line="240" w:lineRule="auto"/>
              <w:rPr>
                <w:rFonts w:hint="eastAsia" w:eastAsia="仿宋_GB2312"/>
                <w:kern w:val="2"/>
                <w:sz w:val="24"/>
                <w:szCs w:val="24"/>
                <w:highlight w:val="none"/>
                <w:lang w:eastAsia="zh-CN"/>
              </w:rPr>
            </w:pPr>
            <w:r>
              <w:rPr>
                <w:kern w:val="2"/>
                <w:sz w:val="24"/>
                <w:szCs w:val="24"/>
                <w:highlight w:val="none"/>
              </w:rPr>
              <w:t>1</w:t>
            </w:r>
            <w:r>
              <w:rPr>
                <w:rFonts w:hint="eastAsia"/>
                <w:kern w:val="2"/>
                <w:sz w:val="24"/>
                <w:szCs w:val="24"/>
                <w:highlight w:val="none"/>
                <w:lang w:val="en-US" w:eastAsia="zh-CN"/>
              </w:rPr>
              <w:t>5</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3BA227AC">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54AAEF21">
            <w:pPr>
              <w:pStyle w:val="70"/>
              <w:spacing w:line="240" w:lineRule="auto"/>
              <w:rPr>
                <w:kern w:val="2"/>
                <w:sz w:val="24"/>
                <w:szCs w:val="24"/>
                <w:highlight w:val="none"/>
              </w:rPr>
            </w:pPr>
            <w:r>
              <w:rPr>
                <w:rFonts w:eastAsia="仿宋"/>
                <w:kern w:val="2"/>
                <w:sz w:val="24"/>
                <w:szCs w:val="24"/>
                <w:highlight w:val="none"/>
              </w:rPr>
              <w:t>工业危险废物利用处置率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3BA25772">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95.1</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070CC503">
            <w:pPr>
              <w:pStyle w:val="70"/>
              <w:spacing w:line="240" w:lineRule="auto"/>
              <w:rPr>
                <w:rFonts w:hint="default" w:eastAsia="仿宋_GB2312"/>
                <w:kern w:val="2"/>
                <w:sz w:val="24"/>
                <w:szCs w:val="24"/>
                <w:highlight w:val="none"/>
                <w:lang w:val="en-US" w:eastAsia="zh-CN"/>
              </w:rPr>
            </w:pPr>
            <w:r>
              <w:rPr>
                <w:rFonts w:hint="eastAsia" w:eastAsia="仿宋"/>
                <w:kern w:val="2"/>
                <w:sz w:val="24"/>
                <w:szCs w:val="24"/>
                <w:highlight w:val="none"/>
                <w:lang w:val="en-US" w:eastAsia="zh-CN"/>
              </w:rPr>
              <w:t>≥</w:t>
            </w:r>
            <w:r>
              <w:rPr>
                <w:rFonts w:hint="eastAsia"/>
                <w:kern w:val="2"/>
                <w:sz w:val="24"/>
                <w:szCs w:val="24"/>
                <w:highlight w:val="none"/>
                <w:lang w:val="en-US" w:eastAsia="zh-CN"/>
              </w:rPr>
              <w:t>99</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4718B12">
            <w:pPr>
              <w:pStyle w:val="70"/>
              <w:spacing w:line="240" w:lineRule="auto"/>
              <w:rPr>
                <w:kern w:val="2"/>
                <w:sz w:val="24"/>
                <w:szCs w:val="24"/>
                <w:highlight w:val="none"/>
              </w:rPr>
            </w:pPr>
            <w:r>
              <w:rPr>
                <w:kern w:val="2"/>
                <w:sz w:val="24"/>
                <w:szCs w:val="24"/>
                <w:highlight w:val="none"/>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59B5E35C">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1A5B1192">
            <w:pPr>
              <w:pStyle w:val="70"/>
              <w:spacing w:line="240" w:lineRule="auto"/>
              <w:rPr>
                <w:kern w:val="2"/>
                <w:sz w:val="24"/>
                <w:szCs w:val="24"/>
                <w:highlight w:val="none"/>
              </w:rPr>
            </w:pPr>
            <w:r>
              <w:rPr>
                <w:rFonts w:eastAsia="仿宋"/>
                <w:kern w:val="2"/>
                <w:sz w:val="24"/>
                <w:szCs w:val="24"/>
                <w:highlight w:val="none"/>
              </w:rPr>
              <w:t>预期性</w:t>
            </w:r>
          </w:p>
        </w:tc>
      </w:tr>
      <w:tr w14:paraId="1DF2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37FC1BFF">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16</w:t>
            </w:r>
          </w:p>
        </w:tc>
        <w:tc>
          <w:tcPr>
            <w:tcW w:w="514" w:type="pct"/>
            <w:vMerge w:val="continue"/>
            <w:tcBorders>
              <w:top w:val="single" w:color="auto" w:sz="4" w:space="0"/>
              <w:left w:val="single" w:color="auto" w:sz="4" w:space="0"/>
              <w:bottom w:val="single" w:color="auto" w:sz="4" w:space="0"/>
              <w:right w:val="single" w:color="auto" w:sz="4" w:space="0"/>
              <w:tl2br w:val="nil"/>
              <w:tr2bl w:val="nil"/>
            </w:tcBorders>
            <w:vAlign w:val="center"/>
          </w:tcPr>
          <w:p w14:paraId="281E938F">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7B23FBA1">
            <w:pPr>
              <w:pStyle w:val="70"/>
              <w:spacing w:line="240" w:lineRule="auto"/>
              <w:rPr>
                <w:kern w:val="2"/>
                <w:sz w:val="24"/>
                <w:szCs w:val="24"/>
                <w:highlight w:val="none"/>
              </w:rPr>
            </w:pPr>
            <w:r>
              <w:rPr>
                <w:rFonts w:eastAsia="仿宋"/>
                <w:kern w:val="2"/>
                <w:sz w:val="24"/>
                <w:szCs w:val="24"/>
                <w:highlight w:val="none"/>
              </w:rPr>
              <w:t>医疗废物无害化处置率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59E99746">
            <w:pPr>
              <w:pStyle w:val="70"/>
              <w:spacing w:line="240" w:lineRule="auto"/>
              <w:rPr>
                <w:kern w:val="2"/>
                <w:sz w:val="24"/>
                <w:szCs w:val="24"/>
                <w:highlight w:val="none"/>
              </w:rPr>
            </w:pPr>
            <w:r>
              <w:rPr>
                <w:kern w:val="2"/>
                <w:sz w:val="24"/>
                <w:szCs w:val="24"/>
                <w:highlight w:val="none"/>
              </w:rPr>
              <w:t>100</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57080678">
            <w:pPr>
              <w:pStyle w:val="70"/>
              <w:spacing w:line="240" w:lineRule="auto"/>
              <w:rPr>
                <w:kern w:val="2"/>
                <w:sz w:val="24"/>
                <w:szCs w:val="24"/>
                <w:highlight w:val="none"/>
              </w:rPr>
            </w:pPr>
            <w:r>
              <w:rPr>
                <w:kern w:val="2"/>
                <w:sz w:val="24"/>
                <w:szCs w:val="24"/>
                <w:highlight w:val="none"/>
              </w:rPr>
              <w:t>100</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0FC53FB2">
            <w:pPr>
              <w:pStyle w:val="70"/>
              <w:spacing w:line="240" w:lineRule="auto"/>
              <w:rPr>
                <w:kern w:val="2"/>
                <w:sz w:val="24"/>
                <w:szCs w:val="24"/>
                <w:highlight w:val="none"/>
              </w:rPr>
            </w:pPr>
            <w:r>
              <w:rPr>
                <w:kern w:val="2"/>
                <w:sz w:val="24"/>
                <w:szCs w:val="24"/>
                <w:highlight w:val="none"/>
              </w:rPr>
              <w:t>100</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01FD4E66">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4864CDC6">
            <w:pPr>
              <w:pStyle w:val="70"/>
              <w:spacing w:line="240" w:lineRule="auto"/>
              <w:rPr>
                <w:kern w:val="2"/>
                <w:sz w:val="24"/>
                <w:szCs w:val="24"/>
                <w:highlight w:val="none"/>
              </w:rPr>
            </w:pPr>
            <w:r>
              <w:rPr>
                <w:rFonts w:eastAsia="仿宋"/>
                <w:kern w:val="2"/>
                <w:sz w:val="24"/>
                <w:szCs w:val="24"/>
                <w:highlight w:val="none"/>
              </w:rPr>
              <w:t>预期性</w:t>
            </w:r>
          </w:p>
        </w:tc>
      </w:tr>
      <w:tr w14:paraId="3AC9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4DBE202C">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17</w:t>
            </w:r>
          </w:p>
        </w:tc>
        <w:tc>
          <w:tcPr>
            <w:tcW w:w="514" w:type="pct"/>
            <w:vMerge w:val="restart"/>
            <w:tcBorders>
              <w:top w:val="single" w:color="auto" w:sz="4" w:space="0"/>
              <w:left w:val="single" w:color="auto" w:sz="4" w:space="0"/>
              <w:right w:val="single" w:color="auto" w:sz="4" w:space="0"/>
              <w:tl2br w:val="nil"/>
              <w:tr2bl w:val="nil"/>
            </w:tcBorders>
            <w:vAlign w:val="center"/>
          </w:tcPr>
          <w:p w14:paraId="57D3E5D6">
            <w:pPr>
              <w:pStyle w:val="70"/>
              <w:spacing w:line="240" w:lineRule="auto"/>
              <w:rPr>
                <w:kern w:val="2"/>
                <w:sz w:val="24"/>
                <w:szCs w:val="24"/>
                <w:highlight w:val="none"/>
              </w:rPr>
            </w:pPr>
            <w:r>
              <w:rPr>
                <w:rFonts w:eastAsia="仿宋"/>
                <w:kern w:val="2"/>
                <w:sz w:val="24"/>
                <w:szCs w:val="24"/>
                <w:highlight w:val="none"/>
              </w:rPr>
              <w:t>生态保护</w:t>
            </w: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2E005B6">
            <w:pPr>
              <w:pStyle w:val="70"/>
              <w:spacing w:line="240" w:lineRule="auto"/>
              <w:rPr>
                <w:kern w:val="2"/>
                <w:sz w:val="24"/>
                <w:szCs w:val="24"/>
                <w:highlight w:val="none"/>
              </w:rPr>
            </w:pPr>
            <w:r>
              <w:rPr>
                <w:rFonts w:eastAsia="仿宋"/>
                <w:kern w:val="2"/>
                <w:sz w:val="24"/>
                <w:szCs w:val="24"/>
                <w:highlight w:val="none"/>
              </w:rPr>
              <w:t>生态保护红线（km</w:t>
            </w:r>
            <w:r>
              <w:rPr>
                <w:kern w:val="2"/>
                <w:sz w:val="24"/>
                <w:szCs w:val="24"/>
                <w:highlight w:val="none"/>
                <w:vertAlign w:val="superscript"/>
              </w:rPr>
              <w:t>2</w:t>
            </w:r>
            <w:r>
              <w:rPr>
                <w:rFonts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690049CE">
            <w:pPr>
              <w:pStyle w:val="70"/>
              <w:spacing w:line="240" w:lineRule="auto"/>
              <w:rPr>
                <w:rFonts w:hint="default" w:eastAsia="仿宋"/>
                <w:kern w:val="2"/>
                <w:sz w:val="24"/>
                <w:szCs w:val="24"/>
                <w:highlight w:val="none"/>
                <w:lang w:val="en-US" w:eastAsia="zh-CN"/>
              </w:rPr>
            </w:pPr>
            <w:r>
              <w:rPr>
                <w:rFonts w:hint="eastAsia" w:eastAsia="仿宋"/>
                <w:kern w:val="2"/>
                <w:sz w:val="24"/>
                <w:szCs w:val="24"/>
                <w:highlight w:val="none"/>
                <w:lang w:val="en-US" w:eastAsia="zh-CN"/>
              </w:rPr>
              <w:t>68.92</w:t>
            </w:r>
          </w:p>
        </w:tc>
        <w:tc>
          <w:tcPr>
            <w:tcW w:w="1050" w:type="pct"/>
            <w:gridSpan w:val="3"/>
            <w:tcBorders>
              <w:top w:val="single" w:color="auto" w:sz="4" w:space="0"/>
              <w:left w:val="single" w:color="auto" w:sz="4" w:space="0"/>
              <w:bottom w:val="single" w:color="auto" w:sz="4" w:space="0"/>
              <w:right w:val="single" w:color="auto" w:sz="4" w:space="0"/>
              <w:tl2br w:val="nil"/>
              <w:tr2bl w:val="nil"/>
            </w:tcBorders>
            <w:vAlign w:val="center"/>
          </w:tcPr>
          <w:p w14:paraId="5A9874A2">
            <w:pPr>
              <w:pStyle w:val="70"/>
              <w:spacing w:line="240" w:lineRule="auto"/>
              <w:rPr>
                <w:kern w:val="2"/>
                <w:sz w:val="24"/>
                <w:szCs w:val="24"/>
                <w:highlight w:val="none"/>
              </w:rPr>
            </w:pPr>
            <w:r>
              <w:rPr>
                <w:rFonts w:eastAsia="仿宋"/>
                <w:kern w:val="2"/>
                <w:sz w:val="24"/>
                <w:szCs w:val="24"/>
                <w:highlight w:val="none"/>
              </w:rPr>
              <w:t>面积不减少，功能不降低</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43450C1F">
            <w:pPr>
              <w:pStyle w:val="70"/>
              <w:spacing w:line="240" w:lineRule="auto"/>
              <w:rPr>
                <w:kern w:val="2"/>
                <w:sz w:val="24"/>
                <w:szCs w:val="24"/>
                <w:highlight w:val="none"/>
              </w:rPr>
            </w:pPr>
            <w:r>
              <w:rPr>
                <w:rFonts w:eastAsia="仿宋"/>
                <w:sz w:val="24"/>
                <w:szCs w:val="24"/>
                <w:highlight w:val="none"/>
              </w:rPr>
              <w:t>《东莞市生态环境保护“十四五”规划》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6D840D9B">
            <w:pPr>
              <w:pStyle w:val="70"/>
              <w:spacing w:line="240" w:lineRule="auto"/>
              <w:rPr>
                <w:kern w:val="2"/>
                <w:sz w:val="24"/>
                <w:szCs w:val="24"/>
                <w:highlight w:val="none"/>
              </w:rPr>
            </w:pPr>
            <w:r>
              <w:rPr>
                <w:rFonts w:eastAsia="仿宋"/>
                <w:kern w:val="2"/>
                <w:sz w:val="24"/>
                <w:szCs w:val="24"/>
                <w:highlight w:val="none"/>
              </w:rPr>
              <w:t>预期性</w:t>
            </w:r>
          </w:p>
        </w:tc>
      </w:tr>
      <w:tr w14:paraId="4A61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75CB6FB9">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18</w:t>
            </w:r>
          </w:p>
        </w:tc>
        <w:tc>
          <w:tcPr>
            <w:tcW w:w="514" w:type="pct"/>
            <w:vMerge w:val="continue"/>
            <w:tcBorders>
              <w:left w:val="single" w:color="auto" w:sz="4" w:space="0"/>
              <w:right w:val="single" w:color="auto" w:sz="4" w:space="0"/>
              <w:tl2br w:val="nil"/>
              <w:tr2bl w:val="nil"/>
            </w:tcBorders>
            <w:vAlign w:val="center"/>
          </w:tcPr>
          <w:p w14:paraId="0EA9719E">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180E9687">
            <w:pPr>
              <w:pStyle w:val="70"/>
              <w:spacing w:line="240" w:lineRule="auto"/>
              <w:rPr>
                <w:kern w:val="2"/>
                <w:sz w:val="24"/>
                <w:szCs w:val="24"/>
                <w:highlight w:val="none"/>
              </w:rPr>
            </w:pPr>
            <w:r>
              <w:rPr>
                <w:rFonts w:eastAsia="仿宋"/>
                <w:kern w:val="2"/>
                <w:sz w:val="24"/>
                <w:szCs w:val="24"/>
                <w:highlight w:val="none"/>
              </w:rPr>
              <w:t>森林覆盖率</w:t>
            </w:r>
            <w:r>
              <w:rPr>
                <w:rFonts w:hint="eastAsia" w:eastAsia="仿宋"/>
                <w:kern w:val="2"/>
                <w:sz w:val="24"/>
                <w:szCs w:val="24"/>
                <w:highlight w:val="none"/>
              </w:rPr>
              <w:t>（</w:t>
            </w:r>
            <w:r>
              <w:rPr>
                <w:rFonts w:eastAsia="仿宋"/>
                <w:kern w:val="2"/>
                <w:sz w:val="24"/>
                <w:szCs w:val="24"/>
                <w:highlight w:val="none"/>
              </w:rPr>
              <w:t>%</w:t>
            </w:r>
            <w:r>
              <w:rPr>
                <w:rFonts w:hint="eastAsia" w:eastAsia="仿宋"/>
                <w:kern w:val="2"/>
                <w:sz w:val="24"/>
                <w:szCs w:val="24"/>
                <w:highlight w:val="none"/>
              </w:rPr>
              <w:t>）</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0DF5251D">
            <w:pPr>
              <w:pStyle w:val="70"/>
              <w:spacing w:line="240" w:lineRule="auto"/>
              <w:rPr>
                <w:rFonts w:hint="eastAsia" w:eastAsia="仿宋_GB2312"/>
                <w:kern w:val="2"/>
                <w:sz w:val="24"/>
                <w:szCs w:val="24"/>
                <w:highlight w:val="none"/>
                <w:lang w:eastAsia="zh-CN"/>
              </w:rPr>
            </w:pPr>
            <w:r>
              <w:rPr>
                <w:kern w:val="2"/>
                <w:sz w:val="24"/>
                <w:szCs w:val="24"/>
                <w:highlight w:val="none"/>
              </w:rPr>
              <w:t>61.</w:t>
            </w:r>
            <w:r>
              <w:rPr>
                <w:rFonts w:hint="eastAsia"/>
                <w:kern w:val="2"/>
                <w:sz w:val="24"/>
                <w:szCs w:val="24"/>
                <w:highlight w:val="none"/>
                <w:lang w:val="en-US" w:eastAsia="zh-CN"/>
              </w:rPr>
              <w:t>6</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19EE4B00">
            <w:pPr>
              <w:pStyle w:val="70"/>
              <w:spacing w:line="240" w:lineRule="auto"/>
              <w:rPr>
                <w:rFonts w:hint="eastAsia" w:eastAsia="仿宋_GB2312"/>
                <w:kern w:val="2"/>
                <w:sz w:val="24"/>
                <w:szCs w:val="24"/>
                <w:highlight w:val="none"/>
                <w:lang w:eastAsia="zh-CN"/>
              </w:rPr>
            </w:pPr>
            <w:r>
              <w:rPr>
                <w:kern w:val="2"/>
                <w:sz w:val="24"/>
                <w:szCs w:val="24"/>
                <w:highlight w:val="none"/>
              </w:rPr>
              <w:t>61.</w:t>
            </w:r>
            <w:r>
              <w:rPr>
                <w:rFonts w:hint="eastAsia"/>
                <w:kern w:val="2"/>
                <w:sz w:val="24"/>
                <w:szCs w:val="24"/>
                <w:highlight w:val="none"/>
                <w:lang w:val="en-US" w:eastAsia="zh-CN"/>
              </w:rPr>
              <w:t>6</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4F7A2BA6">
            <w:pPr>
              <w:pStyle w:val="70"/>
              <w:spacing w:line="240" w:lineRule="auto"/>
              <w:rPr>
                <w:kern w:val="2"/>
                <w:sz w:val="24"/>
                <w:szCs w:val="24"/>
                <w:highlight w:val="none"/>
              </w:rPr>
            </w:pPr>
            <w:r>
              <w:rPr>
                <w:rFonts w:eastAsia="仿宋"/>
                <w:kern w:val="2"/>
                <w:sz w:val="24"/>
                <w:szCs w:val="24"/>
                <w:highlight w:val="none"/>
              </w:rPr>
              <w:t>完成市核定目标</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39535D49">
            <w:pPr>
              <w:pStyle w:val="70"/>
              <w:spacing w:line="240" w:lineRule="auto"/>
              <w:rPr>
                <w:sz w:val="24"/>
                <w:szCs w:val="24"/>
                <w:highlight w:val="none"/>
              </w:rPr>
            </w:pPr>
            <w:r>
              <w:rPr>
                <w:rFonts w:eastAsia="仿宋"/>
                <w:sz w:val="24"/>
                <w:szCs w:val="24"/>
                <w:highlight w:val="none"/>
              </w:rPr>
              <w:t>《东莞市清溪镇国民经济和社会发展第十四个五年规划和2035年目标纲要》、《东莞市生态环境保护“十四五”规划》</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4D07D913">
            <w:pPr>
              <w:pStyle w:val="70"/>
              <w:spacing w:line="240" w:lineRule="auto"/>
              <w:rPr>
                <w:kern w:val="2"/>
                <w:sz w:val="24"/>
                <w:szCs w:val="24"/>
                <w:highlight w:val="none"/>
              </w:rPr>
            </w:pPr>
            <w:r>
              <w:rPr>
                <w:rFonts w:eastAsia="仿宋"/>
                <w:kern w:val="2"/>
                <w:sz w:val="24"/>
                <w:szCs w:val="24"/>
                <w:highlight w:val="none"/>
              </w:rPr>
              <w:t>约束性</w:t>
            </w:r>
          </w:p>
        </w:tc>
      </w:tr>
      <w:tr w14:paraId="448D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376" w:type="pct"/>
            <w:tcBorders>
              <w:top w:val="single" w:color="auto" w:sz="4" w:space="0"/>
              <w:left w:val="single" w:color="auto" w:sz="4" w:space="0"/>
              <w:bottom w:val="single" w:color="auto" w:sz="4" w:space="0"/>
              <w:right w:val="single" w:color="auto" w:sz="4" w:space="0"/>
              <w:tl2br w:val="nil"/>
              <w:tr2bl w:val="nil"/>
            </w:tcBorders>
            <w:vAlign w:val="center"/>
          </w:tcPr>
          <w:p w14:paraId="597AE4F5">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lang w:val="en-US" w:eastAsia="zh-CN"/>
              </w:rPr>
              <w:t>19</w:t>
            </w:r>
          </w:p>
        </w:tc>
        <w:tc>
          <w:tcPr>
            <w:tcW w:w="514" w:type="pct"/>
            <w:vMerge w:val="continue"/>
            <w:tcBorders>
              <w:left w:val="single" w:color="auto" w:sz="4" w:space="0"/>
              <w:bottom w:val="single" w:color="auto" w:sz="4" w:space="0"/>
              <w:right w:val="single" w:color="auto" w:sz="4" w:space="0"/>
              <w:tl2br w:val="nil"/>
              <w:tr2bl w:val="nil"/>
            </w:tcBorders>
            <w:vAlign w:val="center"/>
          </w:tcPr>
          <w:p w14:paraId="46EA94E7">
            <w:pPr>
              <w:pStyle w:val="70"/>
              <w:spacing w:line="240" w:lineRule="auto"/>
              <w:rPr>
                <w:kern w:val="2"/>
                <w:sz w:val="24"/>
                <w:szCs w:val="24"/>
                <w:highlight w:val="none"/>
              </w:rPr>
            </w:pPr>
          </w:p>
        </w:tc>
        <w:tc>
          <w:tcPr>
            <w:tcW w:w="973" w:type="pct"/>
            <w:tcBorders>
              <w:top w:val="single" w:color="auto" w:sz="4" w:space="0"/>
              <w:left w:val="single" w:color="auto" w:sz="4" w:space="0"/>
              <w:bottom w:val="single" w:color="auto" w:sz="4" w:space="0"/>
              <w:right w:val="single" w:color="auto" w:sz="4" w:space="0"/>
              <w:tl2br w:val="nil"/>
              <w:tr2bl w:val="nil"/>
            </w:tcBorders>
            <w:vAlign w:val="center"/>
          </w:tcPr>
          <w:p w14:paraId="215E0922">
            <w:pPr>
              <w:pStyle w:val="70"/>
              <w:spacing w:line="240" w:lineRule="auto"/>
              <w:rPr>
                <w:rFonts w:eastAsia="仿宋"/>
                <w:kern w:val="2"/>
                <w:sz w:val="24"/>
                <w:szCs w:val="24"/>
                <w:highlight w:val="none"/>
              </w:rPr>
            </w:pPr>
            <w:r>
              <w:rPr>
                <w:rFonts w:hint="eastAsia" w:eastAsia="仿宋"/>
                <w:kern w:val="2"/>
                <w:sz w:val="24"/>
                <w:szCs w:val="24"/>
                <w:highlight w:val="none"/>
              </w:rPr>
              <w:t>建成“美丽河湖”个数（个）</w:t>
            </w:r>
          </w:p>
        </w:tc>
        <w:tc>
          <w:tcPr>
            <w:tcW w:w="509" w:type="pct"/>
            <w:tcBorders>
              <w:top w:val="single" w:color="auto" w:sz="4" w:space="0"/>
              <w:left w:val="single" w:color="auto" w:sz="4" w:space="0"/>
              <w:bottom w:val="single" w:color="auto" w:sz="4" w:space="0"/>
              <w:right w:val="single" w:color="auto" w:sz="4" w:space="0"/>
              <w:tl2br w:val="nil"/>
              <w:tr2bl w:val="nil"/>
            </w:tcBorders>
            <w:vAlign w:val="center"/>
          </w:tcPr>
          <w:p w14:paraId="738037DE">
            <w:pPr>
              <w:pStyle w:val="70"/>
              <w:spacing w:line="240" w:lineRule="auto"/>
              <w:rPr>
                <w:rFonts w:hint="eastAsia" w:eastAsia="仿宋_GB2312"/>
                <w:kern w:val="2"/>
                <w:sz w:val="24"/>
                <w:szCs w:val="24"/>
                <w:highlight w:val="none"/>
                <w:lang w:eastAsia="zh-CN"/>
              </w:rPr>
            </w:pPr>
            <w:r>
              <w:rPr>
                <w:rFonts w:hint="eastAsia"/>
                <w:kern w:val="2"/>
                <w:sz w:val="24"/>
                <w:szCs w:val="24"/>
                <w:highlight w:val="none"/>
                <w:lang w:val="en-US" w:eastAsia="zh-CN"/>
              </w:rPr>
              <w:t>1</w:t>
            </w:r>
          </w:p>
        </w:tc>
        <w:tc>
          <w:tcPr>
            <w:tcW w:w="499" w:type="pct"/>
            <w:tcBorders>
              <w:top w:val="single" w:color="auto" w:sz="4" w:space="0"/>
              <w:left w:val="single" w:color="auto" w:sz="4" w:space="0"/>
              <w:bottom w:val="single" w:color="auto" w:sz="4" w:space="0"/>
              <w:right w:val="single" w:color="auto" w:sz="4" w:space="0"/>
              <w:tl2br w:val="nil"/>
              <w:tr2bl w:val="nil"/>
            </w:tcBorders>
            <w:vAlign w:val="center"/>
          </w:tcPr>
          <w:p w14:paraId="0CFCEAA9">
            <w:pPr>
              <w:pStyle w:val="70"/>
              <w:spacing w:line="240" w:lineRule="auto"/>
              <w:rPr>
                <w:rFonts w:hint="default" w:eastAsia="仿宋_GB2312"/>
                <w:kern w:val="2"/>
                <w:sz w:val="24"/>
                <w:szCs w:val="24"/>
                <w:highlight w:val="none"/>
                <w:lang w:val="en-US" w:eastAsia="zh-CN"/>
              </w:rPr>
            </w:pPr>
            <w:r>
              <w:rPr>
                <w:rFonts w:hint="eastAsia"/>
                <w:kern w:val="2"/>
                <w:sz w:val="24"/>
                <w:szCs w:val="24"/>
                <w:highlight w:val="none"/>
              </w:rPr>
              <w:t>1</w:t>
            </w:r>
            <w:r>
              <w:rPr>
                <w:rFonts w:hint="eastAsia"/>
                <w:kern w:val="2"/>
                <w:sz w:val="24"/>
                <w:szCs w:val="24"/>
                <w:highlight w:val="none"/>
                <w:lang w:val="en-US" w:eastAsia="zh-CN"/>
              </w:rPr>
              <w:t>-2</w:t>
            </w:r>
          </w:p>
        </w:tc>
        <w:tc>
          <w:tcPr>
            <w:tcW w:w="551"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BC25A1E">
            <w:pPr>
              <w:pStyle w:val="70"/>
              <w:spacing w:line="240" w:lineRule="auto"/>
              <w:rPr>
                <w:rFonts w:eastAsia="仿宋"/>
                <w:kern w:val="2"/>
                <w:sz w:val="24"/>
                <w:szCs w:val="24"/>
                <w:highlight w:val="none"/>
              </w:rPr>
            </w:pPr>
            <w:r>
              <w:rPr>
                <w:rFonts w:hint="eastAsia" w:eastAsia="仿宋"/>
                <w:kern w:val="2"/>
                <w:sz w:val="24"/>
                <w:szCs w:val="24"/>
                <w:highlight w:val="none"/>
                <w:lang w:val="en-US" w:eastAsia="zh-CN"/>
              </w:rPr>
              <w:t>2-3</w:t>
            </w:r>
          </w:p>
        </w:tc>
        <w:tc>
          <w:tcPr>
            <w:tcW w:w="956" w:type="pct"/>
            <w:tcBorders>
              <w:top w:val="single" w:color="auto" w:sz="4" w:space="0"/>
              <w:left w:val="single" w:color="auto" w:sz="4" w:space="0"/>
              <w:bottom w:val="single" w:color="auto" w:sz="4" w:space="0"/>
              <w:right w:val="single" w:color="auto" w:sz="4" w:space="0"/>
              <w:tl2br w:val="nil"/>
              <w:tr2bl w:val="nil"/>
            </w:tcBorders>
            <w:vAlign w:val="center"/>
          </w:tcPr>
          <w:p w14:paraId="0171AD8C">
            <w:pPr>
              <w:pStyle w:val="70"/>
              <w:spacing w:line="240" w:lineRule="auto"/>
              <w:rPr>
                <w:rFonts w:eastAsia="仿宋"/>
                <w:sz w:val="24"/>
                <w:szCs w:val="24"/>
                <w:highlight w:val="none"/>
              </w:rPr>
            </w:pPr>
            <w:r>
              <w:rPr>
                <w:rFonts w:eastAsia="仿宋"/>
                <w:sz w:val="24"/>
                <w:szCs w:val="24"/>
                <w:highlight w:val="none"/>
              </w:rPr>
              <w:t>《东莞市美丽河湖建设工作方案》及自行研究确定</w:t>
            </w:r>
          </w:p>
        </w:tc>
        <w:tc>
          <w:tcPr>
            <w:tcW w:w="619" w:type="pct"/>
            <w:tcBorders>
              <w:top w:val="single" w:color="auto" w:sz="4" w:space="0"/>
              <w:left w:val="single" w:color="auto" w:sz="4" w:space="0"/>
              <w:bottom w:val="single" w:color="auto" w:sz="4" w:space="0"/>
              <w:right w:val="single" w:color="auto" w:sz="4" w:space="0"/>
              <w:tl2br w:val="nil"/>
              <w:tr2bl w:val="nil"/>
            </w:tcBorders>
            <w:vAlign w:val="center"/>
          </w:tcPr>
          <w:p w14:paraId="5033A4C7">
            <w:pPr>
              <w:pStyle w:val="70"/>
              <w:spacing w:line="240" w:lineRule="auto"/>
              <w:rPr>
                <w:rFonts w:eastAsia="仿宋"/>
                <w:kern w:val="2"/>
                <w:sz w:val="24"/>
                <w:szCs w:val="24"/>
                <w:highlight w:val="none"/>
              </w:rPr>
            </w:pPr>
            <w:r>
              <w:rPr>
                <w:rFonts w:hint="eastAsia" w:eastAsia="仿宋"/>
                <w:kern w:val="2"/>
                <w:sz w:val="24"/>
                <w:szCs w:val="24"/>
                <w:highlight w:val="none"/>
              </w:rPr>
              <w:t>预期性</w:t>
            </w:r>
          </w:p>
        </w:tc>
      </w:tr>
    </w:tbl>
    <w:p w14:paraId="238C3B80">
      <w:pPr>
        <w:pageBreakBefore w:val="0"/>
        <w:kinsoku/>
        <w:wordWrap/>
        <w:bidi w:val="0"/>
        <w:spacing w:line="360" w:lineRule="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注1：相关指标说明及计算方法详见附件1。</w:t>
      </w:r>
    </w:p>
    <w:p w14:paraId="5C45DB14">
      <w:pPr>
        <w:pageBreakBefore w:val="0"/>
        <w:kinsoku/>
        <w:wordWrap/>
        <w:bidi w:val="0"/>
        <w:spacing w:line="360" w:lineRule="auto"/>
        <w:rPr>
          <w:rFonts w:hint="default" w:eastAsia="仿宋_GB2312"/>
          <w:color w:val="auto"/>
          <w:highlight w:val="none"/>
        </w:rPr>
      </w:pPr>
      <w:r>
        <w:rPr>
          <w:rFonts w:hint="default" w:ascii="Times New Roman" w:hAnsi="Times New Roman" w:eastAsia="仿宋_GB2312" w:cs="Times New Roman"/>
          <w:color w:val="auto"/>
          <w:highlight w:val="none"/>
        </w:rPr>
        <w:t>注</w:t>
      </w:r>
      <w:r>
        <w:rPr>
          <w:rFonts w:hint="eastAsia"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w:t>
      </w:r>
      <w:r>
        <w:rPr>
          <w:rFonts w:hint="default" w:eastAsia="仿宋_GB2312"/>
          <w:color w:val="auto"/>
          <w:highlight w:val="none"/>
        </w:rPr>
        <w:t>“/”表示尚未统计数据。</w:t>
      </w:r>
    </w:p>
    <w:p w14:paraId="42C0A426">
      <w:pPr>
        <w:pageBreakBefore w:val="0"/>
        <w:kinsoku/>
        <w:wordWrap/>
        <w:bidi w:val="0"/>
        <w:spacing w:line="360" w:lineRule="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注</w:t>
      </w:r>
      <w:r>
        <w:rPr>
          <w:rFonts w:hint="eastAsia"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rPr>
        <w:t>与东莞市生态环境保护“十四五”规划目标指标相比，结合</w:t>
      </w:r>
      <w:r>
        <w:rPr>
          <w:rFonts w:hint="default" w:ascii="Times New Roman" w:hAnsi="Times New Roman" w:eastAsia="仿宋_GB2312" w:cs="Times New Roman"/>
          <w:color w:val="auto"/>
          <w:highlight w:val="none"/>
          <w:lang w:val="en-US" w:eastAsia="zh-CN"/>
        </w:rPr>
        <w:t>清溪镇</w:t>
      </w:r>
      <w:r>
        <w:rPr>
          <w:rFonts w:hint="default" w:ascii="Times New Roman" w:hAnsi="Times New Roman" w:eastAsia="仿宋_GB2312" w:cs="Times New Roman"/>
          <w:color w:val="auto"/>
          <w:highlight w:val="none"/>
        </w:rPr>
        <w:t>街道实际情况，未设置以下指标：</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地表水达到或好于Ⅲ类水体比例（</w:t>
      </w:r>
      <w:r>
        <w:rPr>
          <w:rFonts w:hint="eastAsia" w:eastAsia="仿宋_GB2312" w:cs="Times New Roman"/>
          <w:color w:val="auto"/>
          <w:highlight w:val="none"/>
          <w:lang w:val="en-US" w:eastAsia="zh-CN"/>
        </w:rPr>
        <w:t>清溪镇属于石马河流域，关联</w:t>
      </w:r>
      <w:r>
        <w:rPr>
          <w:rFonts w:hint="eastAsia" w:eastAsia="仿宋_GB2312"/>
          <w:color w:val="auto"/>
          <w:highlight w:val="none"/>
        </w:rPr>
        <w:t>旗岭</w:t>
      </w:r>
      <w:r>
        <w:rPr>
          <w:rFonts w:hint="eastAsia" w:eastAsia="仿宋_GB2312"/>
          <w:color w:val="auto"/>
          <w:highlight w:val="none"/>
          <w:lang w:val="en-US" w:eastAsia="zh-CN"/>
        </w:rPr>
        <w:t>国考</w:t>
      </w:r>
      <w:r>
        <w:rPr>
          <w:rFonts w:hint="eastAsia" w:eastAsia="仿宋_GB2312" w:cs="Times New Roman"/>
          <w:color w:val="auto"/>
          <w:highlight w:val="none"/>
          <w:lang w:val="en-US" w:eastAsia="zh-CN"/>
        </w:rPr>
        <w:t>断面，本镇无</w:t>
      </w:r>
      <w:r>
        <w:rPr>
          <w:rFonts w:hint="default" w:ascii="Times New Roman" w:hAnsi="Times New Roman" w:eastAsia="仿宋_GB2312" w:cs="Times New Roman"/>
          <w:color w:val="auto"/>
          <w:highlight w:val="none"/>
          <w:lang w:val="en-US" w:eastAsia="zh-CN"/>
        </w:rPr>
        <w:t>国省考断面</w:t>
      </w:r>
      <w:r>
        <w:rPr>
          <w:rFonts w:hint="default" w:ascii="Times New Roman" w:hAnsi="Times New Roman" w:eastAsia="仿宋_GB2312" w:cs="Times New Roman"/>
          <w:color w:val="auto"/>
          <w:highlight w:val="none"/>
        </w:rPr>
        <w:t>）</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eastAsia="zh-CN"/>
        </w:rPr>
        <w:t>（</w:t>
      </w:r>
      <w:r>
        <w:rPr>
          <w:rFonts w:hint="eastAsia" w:eastAsia="仿宋_GB2312" w:cs="Times New Roman"/>
          <w:color w:val="auto"/>
          <w:highlight w:val="none"/>
          <w:lang w:val="en-US" w:eastAsia="zh-CN"/>
        </w:rPr>
        <w:t>2</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城市和农村黑臭水体</w:t>
      </w:r>
      <w:r>
        <w:rPr>
          <w:rFonts w:hint="eastAsia" w:eastAsia="仿宋_GB2312" w:cs="Times New Roman"/>
          <w:color w:val="auto"/>
          <w:highlight w:val="none"/>
          <w:lang w:val="en-US" w:eastAsia="zh-CN"/>
        </w:rPr>
        <w:t>消除率（不涉及）；（3）集中式饮用水源水质达标率（不涉及）</w:t>
      </w:r>
      <w:r>
        <w:rPr>
          <w:rFonts w:hint="eastAsia" w:eastAsia="仿宋_GB2312" w:cs="Times New Roman"/>
          <w:color w:val="auto"/>
          <w:highlight w:val="none"/>
          <w:lang w:eastAsia="zh-CN"/>
        </w:rPr>
        <w:t>；</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近岸海域国控点无机氮浓度年平均值（不涉及）</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大路自然岸线保有率（不涉及）</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lang w:val="en-US" w:eastAsia="zh-CN"/>
        </w:rPr>
        <w:t>基本建成“美丽海湾”个数（不涉及）；</w:t>
      </w:r>
      <w:r>
        <w:rPr>
          <w:rFonts w:hint="default" w:ascii="Times New Roman" w:hAnsi="Times New Roman" w:eastAsia="仿宋_GB2312" w:cs="Times New Roman"/>
          <w:color w:val="auto"/>
          <w:highlight w:val="none"/>
          <w:lang w:eastAsia="zh-CN"/>
        </w:rPr>
        <w:t>（</w:t>
      </w:r>
      <w:r>
        <w:rPr>
          <w:rFonts w:hint="eastAsia"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生态质量指数（只在市层面统计）。</w:t>
      </w:r>
    </w:p>
    <w:p w14:paraId="5202AB6B">
      <w:pPr>
        <w:rPr>
          <w:rFonts w:hint="eastAsia"/>
          <w:highlight w:val="none"/>
          <w:lang w:eastAsia="zh-CN"/>
        </w:rPr>
      </w:pPr>
    </w:p>
    <w:p w14:paraId="4C22FD63">
      <w:pPr>
        <w:pageBreakBefore w:val="0"/>
        <w:kinsoku/>
        <w:wordWrap/>
        <w:bidi w:val="0"/>
        <w:spacing w:line="360" w:lineRule="auto"/>
        <w:rPr>
          <w:rFonts w:ascii="Times New Roman" w:hAnsi="Times New Roman" w:cs="Times New Roman"/>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434EE0A">
      <w:pPr>
        <w:keepNext/>
        <w:keepLines/>
        <w:outlineLvl w:val="9"/>
        <w:rPr>
          <w:rFonts w:hint="eastAsia" w:ascii="Times New Roman" w:hAnsi="Times New Roman" w:eastAsia="黑体" w:cs="Times New Roman"/>
          <w:sz w:val="28"/>
          <w:highlight w:val="none"/>
          <w:lang w:eastAsia="zh-CN"/>
        </w:rPr>
      </w:pPr>
      <w:r>
        <w:rPr>
          <w:rFonts w:hint="default" w:ascii="Times New Roman" w:hAnsi="Times New Roman" w:eastAsia="黑体" w:cs="Times New Roman"/>
          <w:b w:val="0"/>
          <w:sz w:val="28"/>
          <w:highlight w:val="none"/>
        </w:rPr>
        <w:t>指标解释</w:t>
      </w:r>
      <w:bookmarkEnd w:id="542"/>
      <w:bookmarkEnd w:id="543"/>
      <w:bookmarkEnd w:id="544"/>
      <w:bookmarkEnd w:id="545"/>
      <w:bookmarkEnd w:id="546"/>
      <w:bookmarkEnd w:id="547"/>
      <w:bookmarkEnd w:id="548"/>
    </w:p>
    <w:p w14:paraId="6ED565DE">
      <w:pPr>
        <w:pageBreakBefore w:val="0"/>
        <w:kinsoku/>
        <w:wordWrap/>
        <w:bidi w:val="0"/>
        <w:spacing w:line="360" w:lineRule="auto"/>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bookmarkStart w:id="549" w:name="_Hlk102123218"/>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、环境空气质量优良天数比例：行政区域内</w:t>
      </w:r>
      <w:r>
        <w:rPr>
          <w:rFonts w:hint="default" w:eastAsia="仿宋_GB2312"/>
          <w:color w:val="000000" w:themeColor="text1"/>
          <w:sz w:val="28"/>
          <w:szCs w:val="28"/>
          <w:highlight w:val="none"/>
          <w14:textFill>
            <w14:solidFill>
              <w14:schemeClr w14:val="tx1"/>
            </w14:solidFill>
          </w14:textFill>
        </w:rPr>
        <w:t>一个日历年内环境空气质量指数AQI-100以下的天数占有效监测天数的比例。</w:t>
      </w:r>
    </w:p>
    <w:p w14:paraId="4DE005EC">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ascii="Times New Roman" w:hAnsi="Times New Roman" w:eastAsia="仿宋_GB2312" w:cs="Times New Roman"/>
          <w:color w:val="000000" w:themeColor="text1"/>
          <w:sz w:val="28"/>
          <w:szCs w:val="28"/>
          <w:highlight w:val="none"/>
          <w14:textFill>
            <w14:solidFill>
              <w14:schemeClr w14:val="tx1"/>
            </w14:solidFill>
          </w14:textFill>
        </w:rPr>
        <w:t>PM</w:t>
      </w:r>
      <w:r>
        <w:rPr>
          <w:rFonts w:ascii="Times New Roman" w:hAnsi="Times New Roman" w:eastAsia="仿宋_GB2312" w:cs="Times New Roman"/>
          <w:color w:val="000000" w:themeColor="text1"/>
          <w:sz w:val="28"/>
          <w:szCs w:val="28"/>
          <w:highlight w:val="none"/>
          <w:vertAlign w:val="subscript"/>
          <w14:textFill>
            <w14:solidFill>
              <w14:schemeClr w14:val="tx1"/>
            </w14:solidFill>
          </w14:textFill>
        </w:rPr>
        <w:t>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年平均浓度：行政区域内</w:t>
      </w:r>
      <w:r>
        <w:rPr>
          <w:rFonts w:hint="default" w:eastAsia="仿宋_GB2312"/>
          <w:color w:val="000000" w:themeColor="text1"/>
          <w:sz w:val="28"/>
          <w:szCs w:val="28"/>
          <w:highlight w:val="none"/>
          <w14:textFill>
            <w14:solidFill>
              <w14:schemeClr w14:val="tx1"/>
            </w14:solidFill>
          </w14:textFill>
        </w:rPr>
        <w:t>一个日历年内PM</w:t>
      </w:r>
      <w:r>
        <w:rPr>
          <w:rFonts w:hint="default" w:eastAsia="仿宋_GB2312"/>
          <w:color w:val="000000" w:themeColor="text1"/>
          <w:sz w:val="28"/>
          <w:szCs w:val="28"/>
          <w:highlight w:val="none"/>
          <w:vertAlign w:val="subscript"/>
          <w14:textFill>
            <w14:solidFill>
              <w14:schemeClr w14:val="tx1"/>
            </w14:solidFill>
          </w14:textFill>
        </w:rPr>
        <w:t>2.5</w:t>
      </w:r>
      <w:r>
        <w:rPr>
          <w:rFonts w:hint="default" w:eastAsia="仿宋_GB2312"/>
          <w:color w:val="000000" w:themeColor="text1"/>
          <w:sz w:val="28"/>
          <w:szCs w:val="28"/>
          <w:highlight w:val="none"/>
          <w14:textFill>
            <w14:solidFill>
              <w14:schemeClr w14:val="tx1"/>
            </w14:solidFill>
          </w14:textFill>
        </w:rPr>
        <w:t>各日平均浓度的算术平均值。</w:t>
      </w:r>
    </w:p>
    <w:p w14:paraId="2AB71E7F">
      <w:pPr>
        <w:pageBreakBefore w:val="0"/>
        <w:kinsoku/>
        <w:wordWrap/>
        <w:bidi w:val="0"/>
        <w:spacing w:line="360" w:lineRule="auto"/>
        <w:ind w:firstLine="560" w:firstLineChars="200"/>
        <w:rPr>
          <w:rFonts w:hint="default" w:eastAsia="仿宋_GB2312"/>
          <w:color w:val="000000" w:themeColor="text1"/>
          <w:sz w:val="28"/>
          <w:szCs w:val="28"/>
          <w:highlight w:val="none"/>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ascii="Times New Roman" w:hAnsi="Times New Roman" w:eastAsia="仿宋_GB2312" w:cs="Times New Roman"/>
          <w:sz w:val="28"/>
          <w:szCs w:val="28"/>
          <w:highlight w:val="none"/>
        </w:rPr>
        <w:t>O</w:t>
      </w:r>
      <w:r>
        <w:rPr>
          <w:rFonts w:ascii="Times New Roman" w:hAnsi="Times New Roman" w:eastAsia="仿宋_GB2312" w:cs="Times New Roman"/>
          <w:sz w:val="28"/>
          <w:szCs w:val="28"/>
          <w:highlight w:val="none"/>
          <w:vertAlign w:val="subscript"/>
        </w:rPr>
        <w:t>3</w:t>
      </w:r>
      <w:r>
        <w:rPr>
          <w:rFonts w:ascii="Times New Roman" w:hAnsi="Times New Roman" w:eastAsia="仿宋_GB2312" w:cs="Times New Roman"/>
          <w:sz w:val="28"/>
          <w:szCs w:val="28"/>
          <w:highlight w:val="none"/>
        </w:rPr>
        <w:t>-</w:t>
      </w:r>
      <w:r>
        <w:rPr>
          <w:rFonts w:ascii="Times New Roman" w:hAnsi="Times New Roman" w:eastAsia="仿宋_GB2312" w:cs="Times New Roman"/>
          <w:sz w:val="28"/>
          <w:szCs w:val="28"/>
          <w:highlight w:val="none"/>
          <w:vertAlign w:val="subscript"/>
        </w:rPr>
        <w:t>8h</w:t>
      </w:r>
      <w:r>
        <w:rPr>
          <w:rFonts w:hint="default" w:ascii="Times New Roman" w:hAnsi="Times New Roman" w:eastAsia="仿宋_GB2312" w:cs="Times New Roman"/>
          <w:sz w:val="28"/>
          <w:szCs w:val="28"/>
          <w:highlight w:val="none"/>
        </w:rPr>
        <w:t>第</w:t>
      </w:r>
      <w:r>
        <w:rPr>
          <w:rFonts w:ascii="Times New Roman" w:hAnsi="Times New Roman" w:eastAsia="仿宋_GB2312" w:cs="Times New Roman"/>
          <w:sz w:val="28"/>
          <w:szCs w:val="28"/>
          <w:highlight w:val="none"/>
        </w:rPr>
        <w:t>90</w:t>
      </w:r>
      <w:r>
        <w:rPr>
          <w:rFonts w:hint="default" w:ascii="Times New Roman" w:hAnsi="Times New Roman" w:eastAsia="仿宋_GB2312" w:cs="Times New Roman"/>
          <w:sz w:val="28"/>
          <w:szCs w:val="28"/>
          <w:highlight w:val="none"/>
        </w:rPr>
        <w:t>百分位数浓度</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hint="default" w:eastAsia="仿宋_GB2312"/>
          <w:color w:val="000000" w:themeColor="text1"/>
          <w:sz w:val="28"/>
          <w:szCs w:val="28"/>
          <w:highlight w:val="none"/>
          <w14:textFill>
            <w14:solidFill>
              <w14:schemeClr w14:val="tx1"/>
            </w14:solidFill>
          </w14:textFill>
        </w:rPr>
        <w:t>一个日历年内O</w:t>
      </w:r>
      <w:r>
        <w:rPr>
          <w:rFonts w:hint="default" w:eastAsia="仿宋_GB2312"/>
          <w:color w:val="000000" w:themeColor="text1"/>
          <w:sz w:val="28"/>
          <w:szCs w:val="28"/>
          <w:highlight w:val="none"/>
          <w:vertAlign w:val="subscript"/>
          <w14:textFill>
            <w14:solidFill>
              <w14:schemeClr w14:val="tx1"/>
            </w14:solidFill>
          </w14:textFill>
        </w:rPr>
        <w:t>3</w:t>
      </w:r>
      <w:r>
        <w:rPr>
          <w:rFonts w:hint="default" w:eastAsia="仿宋_GB2312"/>
          <w:color w:val="000000" w:themeColor="text1"/>
          <w:sz w:val="28"/>
          <w:szCs w:val="28"/>
          <w:highlight w:val="none"/>
          <w14:textFill>
            <w14:solidFill>
              <w14:schemeClr w14:val="tx1"/>
            </w14:solidFill>
          </w14:textFill>
        </w:rPr>
        <w:t>日最大8小时平均的第90百分位浓度。</w:t>
      </w:r>
    </w:p>
    <w:p w14:paraId="65B2CC4E">
      <w:pPr>
        <w:pageBreakBefore w:val="0"/>
        <w:kinsoku/>
        <w:wordWrap/>
        <w:bidi w:val="0"/>
        <w:spacing w:line="360" w:lineRule="auto"/>
        <w:ind w:firstLine="560" w:firstLineChars="200"/>
        <w:rPr>
          <w:rFonts w:hint="eastAsia" w:eastAsia="仿宋_GB2312"/>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、地表水质量劣Ⅴ类水体比例：</w:t>
      </w:r>
      <w:bookmarkStart w:id="550" w:name="_Hlk96099077"/>
      <w:r>
        <w:rPr>
          <w:rFonts w:hint="eastAsia" w:eastAsia="仿宋_GB2312" w:cs="Times New Roman"/>
          <w:color w:val="000000" w:themeColor="text1"/>
          <w:sz w:val="28"/>
          <w:szCs w:val="28"/>
          <w:highlight w:val="none"/>
          <w:lang w:val="en-US" w:eastAsia="zh-CN"/>
          <w14:textFill>
            <w14:solidFill>
              <w14:schemeClr w14:val="tx1"/>
            </w14:solidFill>
          </w14:textFill>
        </w:rPr>
        <w:t>行政区域内</w:t>
      </w:r>
      <w:r>
        <w:rPr>
          <w:rFonts w:hint="default" w:eastAsia="仿宋_GB2312"/>
          <w:color w:val="000000" w:themeColor="text1"/>
          <w:sz w:val="28"/>
          <w:szCs w:val="28"/>
          <w:highlight w:val="none"/>
          <w14:textFill>
            <w14:solidFill>
              <w14:schemeClr w14:val="tx1"/>
            </w14:solidFill>
          </w14:textFill>
        </w:rPr>
        <w:t>内河涌呈劣Ⅴ类水体的断面数占总</w:t>
      </w:r>
      <w:r>
        <w:rPr>
          <w:rFonts w:hint="eastAsia" w:eastAsia="仿宋_GB2312"/>
          <w:color w:val="000000" w:themeColor="text1"/>
          <w:sz w:val="28"/>
          <w:szCs w:val="28"/>
          <w:highlight w:val="none"/>
          <w:lang w:val="en-US" w:eastAsia="zh-CN"/>
          <w14:textFill>
            <w14:solidFill>
              <w14:schemeClr w14:val="tx1"/>
            </w14:solidFill>
          </w14:textFill>
        </w:rPr>
        <w:t>有效</w:t>
      </w:r>
      <w:r>
        <w:rPr>
          <w:rFonts w:hint="default" w:eastAsia="仿宋_GB2312"/>
          <w:color w:val="000000" w:themeColor="text1"/>
          <w:sz w:val="28"/>
          <w:szCs w:val="28"/>
          <w:highlight w:val="none"/>
          <w14:textFill>
            <w14:solidFill>
              <w14:schemeClr w14:val="tx1"/>
            </w14:solidFill>
          </w14:textFill>
        </w:rPr>
        <w:t>断面数量的比例。</w:t>
      </w:r>
      <w:bookmarkEnd w:id="550"/>
      <w:r>
        <w:rPr>
          <w:rFonts w:hint="eastAsia" w:eastAsia="仿宋_GB2312"/>
          <w:color w:val="000000" w:themeColor="text1"/>
          <w:sz w:val="28"/>
          <w:szCs w:val="28"/>
          <w:highlight w:val="none"/>
          <w:lang w:val="en-US" w:eastAsia="zh-CN"/>
          <w14:textFill>
            <w14:solidFill>
              <w14:schemeClr w14:val="tx1"/>
            </w14:solidFill>
          </w14:textFill>
        </w:rPr>
        <w:t>根据《</w:t>
      </w:r>
      <w:r>
        <w:rPr>
          <w:rFonts w:hint="eastAsia" w:eastAsia="仿宋_GB2312"/>
          <w:color w:val="000000" w:themeColor="text1"/>
          <w:sz w:val="28"/>
          <w:szCs w:val="28"/>
          <w:highlight w:val="none"/>
          <w14:textFill>
            <w14:solidFill>
              <w14:schemeClr w14:val="tx1"/>
            </w14:solidFill>
          </w14:textFill>
        </w:rPr>
        <w:t>关于2023年12月各镇街（园区）水污染防治工作考核结果的通报</w:t>
      </w:r>
      <w:r>
        <w:rPr>
          <w:rFonts w:hint="eastAsia" w:eastAsia="仿宋_GB2312"/>
          <w:color w:val="000000" w:themeColor="text1"/>
          <w:sz w:val="28"/>
          <w:szCs w:val="28"/>
          <w:highlight w:val="none"/>
          <w:lang w:val="en-US" w:eastAsia="zh-CN"/>
          <w14:textFill>
            <w14:solidFill>
              <w14:schemeClr w14:val="tx1"/>
            </w14:solidFill>
          </w14:textFill>
        </w:rPr>
        <w:t>》（</w:t>
      </w:r>
      <w:r>
        <w:rPr>
          <w:rFonts w:hint="eastAsia" w:eastAsia="仿宋_GB2312"/>
          <w:color w:val="000000" w:themeColor="text1"/>
          <w:sz w:val="28"/>
          <w:szCs w:val="28"/>
          <w:highlight w:val="none"/>
          <w14:textFill>
            <w14:solidFill>
              <w14:schemeClr w14:val="tx1"/>
            </w14:solidFill>
          </w14:textFill>
        </w:rPr>
        <w:t>东环委办〔2024〕4号</w:t>
      </w:r>
      <w:r>
        <w:rPr>
          <w:rFonts w:hint="eastAsia" w:eastAsia="仿宋_GB2312"/>
          <w:color w:val="000000" w:themeColor="text1"/>
          <w:sz w:val="28"/>
          <w:szCs w:val="28"/>
          <w:highlight w:val="none"/>
          <w:lang w:eastAsia="zh-CN"/>
          <w14:textFill>
            <w14:solidFill>
              <w14:schemeClr w14:val="tx1"/>
            </w14:solidFill>
          </w14:textFill>
        </w:rPr>
        <w:t>）</w:t>
      </w:r>
      <w:r>
        <w:rPr>
          <w:rFonts w:hint="eastAsia" w:eastAsia="仿宋_GB2312"/>
          <w:color w:val="000000" w:themeColor="text1"/>
          <w:sz w:val="28"/>
          <w:szCs w:val="28"/>
          <w:highlight w:val="none"/>
          <w14:textFill>
            <w14:solidFill>
              <w14:schemeClr w14:val="tx1"/>
            </w14:solidFill>
          </w14:textFill>
        </w:rPr>
        <w:t xml:space="preserve"> </w:t>
      </w:r>
      <w:r>
        <w:rPr>
          <w:rFonts w:hint="eastAsia" w:eastAsia="仿宋_GB2312"/>
          <w:color w:val="000000" w:themeColor="text1"/>
          <w:sz w:val="28"/>
          <w:szCs w:val="28"/>
          <w:highlight w:val="none"/>
          <w:lang w:val="en-US" w:eastAsia="zh-CN"/>
          <w14:textFill>
            <w14:solidFill>
              <w14:schemeClr w14:val="tx1"/>
            </w14:solidFill>
          </w14:textFill>
        </w:rPr>
        <w:t>2023年清溪镇33个河涌水质纳入年度考核，其中总有效监测断面为28个，另外4个断面水质全年无数据，1个断面数据代表性不足。28个有效监测断面中，25个断面水质能达到Ⅴ类水质标准外，3个断面水质超标。</w:t>
      </w:r>
    </w:p>
    <w:p w14:paraId="67E2FC26">
      <w:pPr>
        <w:pageBreakBefore w:val="0"/>
        <w:kinsoku/>
        <w:wordWrap/>
        <w:bidi w:val="0"/>
        <w:spacing w:line="360" w:lineRule="auto"/>
        <w:ind w:firstLine="560" w:firstLineChars="200"/>
        <w:rPr>
          <w:rFonts w:hint="eastAsia" w:ascii="Times New Roman" w:hAnsi="Times New Roman" w:eastAsia="仿宋_GB2312" w:cs="Times New Roman"/>
          <w:color w:val="000000" w:themeColor="text1"/>
          <w:sz w:val="28"/>
          <w:szCs w:val="28"/>
          <w:highlight w:val="none"/>
          <w:lang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、重要水功能区达标率：行政区域内水质达标的水功能区数量占全部监测水功能区数量的比例。根据《关于印发《广东省地表水环境功能区划》的通知》（粤环〔2011〕14号）</w:t>
      </w:r>
      <w:r>
        <w:rPr>
          <w:rFonts w:hint="eastAsia" w:eastAsia="仿宋_GB2312" w:cs="Times New Roman"/>
          <w:color w:val="000000" w:themeColor="text1"/>
          <w:sz w:val="28"/>
          <w:szCs w:val="28"/>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清溪镇</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镇域内</w:t>
      </w:r>
      <w:r>
        <w:rPr>
          <w:rFonts w:hint="eastAsia" w:eastAsia="仿宋_GB2312" w:cs="Times New Roman"/>
          <w:color w:val="000000" w:themeColor="text1"/>
          <w:sz w:val="28"/>
          <w:szCs w:val="28"/>
          <w:highlight w:val="none"/>
          <w:lang w:val="en-US" w:eastAsia="zh-CN"/>
          <w14:textFill>
            <w14:solidFill>
              <w14:schemeClr w14:val="tx1"/>
            </w14:solidFill>
          </w14:textFill>
        </w:rPr>
        <w:t>有3个</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地表水环境功能区</w:t>
      </w:r>
      <w:r>
        <w:rPr>
          <w:rFonts w:hint="eastAsia" w:eastAsia="仿宋_GB2312" w:cs="Times New Roman"/>
          <w:color w:val="000000" w:themeColor="text1"/>
          <w:sz w:val="28"/>
          <w:szCs w:val="28"/>
          <w:highlight w:val="none"/>
          <w:lang w:eastAsia="zh-CN"/>
          <w14:textFill>
            <w14:solidFill>
              <w14:schemeClr w14:val="tx1"/>
            </w14:solidFill>
          </w14:textFill>
        </w:rPr>
        <w:t>，</w:t>
      </w:r>
      <w:r>
        <w:rPr>
          <w:rFonts w:hint="eastAsia" w:eastAsia="仿宋_GB2312" w:cs="Times New Roman"/>
          <w:color w:val="000000" w:themeColor="text1"/>
          <w:sz w:val="28"/>
          <w:szCs w:val="28"/>
          <w:highlight w:val="none"/>
          <w:lang w:val="en-US" w:eastAsia="zh-CN"/>
          <w14:textFill>
            <w14:solidFill>
              <w14:schemeClr w14:val="tx1"/>
            </w14:solidFill>
          </w14:textFill>
        </w:rPr>
        <w:t>分别是三坑水库、契爷石水库和茅輋水库，水质目标均为Ⅱ类</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。2023年</w:t>
      </w:r>
      <w:r>
        <w:rPr>
          <w:rFonts w:hint="eastAsia" w:eastAsia="仿宋_GB2312" w:cs="Times New Roman"/>
          <w:color w:val="000000" w:themeColor="text1"/>
          <w:sz w:val="28"/>
          <w:szCs w:val="28"/>
          <w:highlight w:val="none"/>
          <w:lang w:val="en-US" w:eastAsia="zh-CN"/>
          <w14:textFill>
            <w14:solidFill>
              <w14:schemeClr w14:val="tx1"/>
            </w14:solidFill>
          </w14:textFill>
        </w:rPr>
        <w:t>3个水库</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水质类别</w:t>
      </w:r>
      <w:r>
        <w:rPr>
          <w:rFonts w:hint="eastAsia" w:eastAsia="仿宋_GB2312" w:cs="Times New Roman"/>
          <w:color w:val="000000" w:themeColor="text1"/>
          <w:sz w:val="28"/>
          <w:szCs w:val="28"/>
          <w:highlight w:val="none"/>
          <w:lang w:val="en-US" w:eastAsia="zh-CN"/>
          <w14:textFill>
            <w14:solidFill>
              <w14:schemeClr w14:val="tx1"/>
            </w14:solidFill>
          </w14:textFill>
        </w:rPr>
        <w:t>分别为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：三坑水库（Ⅱ类）、契爷石水库（Ⅲ类）、茅輋水库（Ⅲ类）</w:t>
      </w:r>
      <w:r>
        <w:rPr>
          <w:rFonts w:hint="eastAsia" w:eastAsia="仿宋_GB2312" w:cs="Times New Roman"/>
          <w:color w:val="000000" w:themeColor="text1"/>
          <w:sz w:val="28"/>
          <w:szCs w:val="28"/>
          <w:highlight w:val="none"/>
          <w:lang w:eastAsia="zh-CN"/>
          <w14:textFill>
            <w14:solidFill>
              <w14:schemeClr w14:val="tx1"/>
            </w14:solidFill>
          </w14:textFill>
        </w:rPr>
        <w:t>。</w:t>
      </w:r>
    </w:p>
    <w:p w14:paraId="05F357F9">
      <w:pPr>
        <w:pageBreakBefore w:val="0"/>
        <w:kinsoku/>
        <w:wordWrap/>
        <w:bidi w:val="0"/>
        <w:spacing w:line="360" w:lineRule="auto"/>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6、</w:t>
      </w:r>
      <w:r>
        <w:rPr>
          <w:rFonts w:hint="default" w:eastAsia="仿宋_GB2312"/>
          <w:color w:val="000000" w:themeColor="text1"/>
          <w:sz w:val="28"/>
          <w:szCs w:val="28"/>
          <w:highlight w:val="none"/>
          <w14:textFill>
            <w14:solidFill>
              <w14:schemeClr w14:val="tx1"/>
            </w14:solidFill>
          </w14:textFill>
        </w:rPr>
        <w:t>城镇污水处理厂进水BOD平均浓度</w:t>
      </w:r>
      <w:r>
        <w:rPr>
          <w:rFonts w:hint="eastAsia" w:eastAsia="仿宋_GB2312"/>
          <w:color w:val="000000" w:themeColor="text1"/>
          <w:sz w:val="28"/>
          <w:szCs w:val="28"/>
          <w:highlight w:val="none"/>
          <w:lang w:eastAsia="zh-CN"/>
          <w14:textFill>
            <w14:solidFill>
              <w14:schemeClr w14:val="tx1"/>
            </w14:solidFill>
          </w14:textFill>
        </w:rPr>
        <w:t>：</w:t>
      </w:r>
      <w:r>
        <w:rPr>
          <w:rFonts w:hint="eastAsia" w:eastAsia="仿宋_GB2312"/>
          <w:color w:val="000000" w:themeColor="text1"/>
          <w:sz w:val="28"/>
          <w:szCs w:val="28"/>
          <w:highlight w:val="none"/>
          <w:lang w:val="en-US" w:eastAsia="zh-CN"/>
          <w14:textFill>
            <w14:solidFill>
              <w14:schemeClr w14:val="tx1"/>
            </w14:solidFill>
          </w14:textFill>
        </w:rPr>
        <w:t>行政区域内所有</w:t>
      </w:r>
      <w:r>
        <w:rPr>
          <w:rFonts w:hint="eastAsia" w:eastAsia="仿宋_GB2312"/>
          <w:color w:val="000000" w:themeColor="text1"/>
          <w:sz w:val="28"/>
          <w:szCs w:val="28"/>
          <w:highlight w:val="none"/>
          <w14:textFill>
            <w14:solidFill>
              <w14:schemeClr w14:val="tx1"/>
            </w14:solidFill>
          </w14:textFill>
        </w:rPr>
        <w:t>城镇污水厂进水BOD浓度</w:t>
      </w:r>
      <w:r>
        <w:rPr>
          <w:rFonts w:hint="eastAsia" w:eastAsia="仿宋_GB2312"/>
          <w:color w:val="000000" w:themeColor="text1"/>
          <w:sz w:val="28"/>
          <w:szCs w:val="28"/>
          <w:highlight w:val="none"/>
          <w:lang w:val="en-US" w:eastAsia="zh-CN"/>
          <w14:textFill>
            <w14:solidFill>
              <w14:schemeClr w14:val="tx1"/>
            </w14:solidFill>
          </w14:textFill>
        </w:rPr>
        <w:t>加权平均值</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p>
    <w:p w14:paraId="44C7B680">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eastAsia="仿宋_GB2312"/>
          <w:color w:val="000000" w:themeColor="text1"/>
          <w:sz w:val="28"/>
          <w:szCs w:val="28"/>
          <w:highlight w:val="none"/>
          <w14:textFill>
            <w14:solidFill>
              <w14:schemeClr w14:val="tx1"/>
            </w14:solidFill>
          </w14:textFill>
        </w:rPr>
        <w:t>城镇生活污水集中收集率</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eastAsia="仿宋_GB2312"/>
          <w:color w:val="000000" w:themeColor="text1"/>
          <w:sz w:val="28"/>
          <w:szCs w:val="28"/>
          <w:highlight w:val="none"/>
          <w14:textFill>
            <w14:solidFill>
              <w14:schemeClr w14:val="tx1"/>
            </w14:solidFill>
          </w14:textFill>
        </w:rPr>
        <w:t>向</w:t>
      </w:r>
      <w:r>
        <w:rPr>
          <w:rFonts w:hint="eastAsia" w:eastAsia="仿宋_GB2312"/>
          <w:color w:val="000000" w:themeColor="text1"/>
          <w:sz w:val="28"/>
          <w:szCs w:val="28"/>
          <w:highlight w:val="none"/>
          <w:lang w:val="en-US" w:eastAsia="zh-CN"/>
          <w14:textFill>
            <w14:solidFill>
              <w14:schemeClr w14:val="tx1"/>
            </w14:solidFill>
          </w14:textFill>
        </w:rPr>
        <w:t>本区域内</w:t>
      </w:r>
      <w:r>
        <w:rPr>
          <w:rFonts w:hint="default" w:eastAsia="仿宋_GB2312"/>
          <w:color w:val="000000" w:themeColor="text1"/>
          <w:sz w:val="28"/>
          <w:szCs w:val="28"/>
          <w:highlight w:val="none"/>
          <w14:textFill>
            <w14:solidFill>
              <w14:schemeClr w14:val="tx1"/>
            </w14:solidFill>
          </w14:textFill>
        </w:rPr>
        <w:t>污水处理厂排水的城</w:t>
      </w:r>
      <w:r>
        <w:rPr>
          <w:rFonts w:hint="eastAsia" w:eastAsia="仿宋_GB2312"/>
          <w:color w:val="000000" w:themeColor="text1"/>
          <w:sz w:val="28"/>
          <w:szCs w:val="28"/>
          <w:highlight w:val="none"/>
          <w:lang w:val="en-US" w:eastAsia="zh-CN"/>
          <w14:textFill>
            <w14:solidFill>
              <w14:schemeClr w14:val="tx1"/>
            </w14:solidFill>
          </w14:textFill>
        </w:rPr>
        <w:t>镇</w:t>
      </w:r>
      <w:r>
        <w:rPr>
          <w:rFonts w:hint="default" w:eastAsia="仿宋_GB2312"/>
          <w:color w:val="000000" w:themeColor="text1"/>
          <w:sz w:val="28"/>
          <w:szCs w:val="28"/>
          <w:highlight w:val="none"/>
          <w14:textFill>
            <w14:solidFill>
              <w14:schemeClr w14:val="tx1"/>
            </w14:solidFill>
          </w14:textFill>
        </w:rPr>
        <w:t>人口占城</w:t>
      </w:r>
      <w:r>
        <w:rPr>
          <w:rFonts w:hint="eastAsia" w:eastAsia="仿宋_GB2312"/>
          <w:color w:val="000000" w:themeColor="text1"/>
          <w:sz w:val="28"/>
          <w:szCs w:val="28"/>
          <w:highlight w:val="none"/>
          <w:lang w:val="en-US" w:eastAsia="zh-CN"/>
          <w14:textFill>
            <w14:solidFill>
              <w14:schemeClr w14:val="tx1"/>
            </w14:solidFill>
          </w14:textFill>
        </w:rPr>
        <w:t>镇</w:t>
      </w:r>
      <w:r>
        <w:rPr>
          <w:rFonts w:hint="default" w:eastAsia="仿宋_GB2312"/>
          <w:color w:val="000000" w:themeColor="text1"/>
          <w:sz w:val="28"/>
          <w:szCs w:val="28"/>
          <w:highlight w:val="none"/>
          <w14:textFill>
            <w14:solidFill>
              <w14:schemeClr w14:val="tx1"/>
            </w14:solidFill>
          </w14:textFill>
        </w:rPr>
        <w:t>用水总人口的比例，即污水处理厂收集的生活污染物总量与城</w:t>
      </w:r>
      <w:r>
        <w:rPr>
          <w:rFonts w:hint="eastAsia" w:eastAsia="仿宋_GB2312"/>
          <w:color w:val="000000" w:themeColor="text1"/>
          <w:sz w:val="28"/>
          <w:szCs w:val="28"/>
          <w:highlight w:val="none"/>
          <w:lang w:val="en-US" w:eastAsia="zh-CN"/>
          <w14:textFill>
            <w14:solidFill>
              <w14:schemeClr w14:val="tx1"/>
            </w14:solidFill>
          </w14:textFill>
        </w:rPr>
        <w:t>镇</w:t>
      </w:r>
      <w:r>
        <w:rPr>
          <w:rFonts w:hint="default" w:eastAsia="仿宋_GB2312"/>
          <w:color w:val="000000" w:themeColor="text1"/>
          <w:sz w:val="28"/>
          <w:szCs w:val="28"/>
          <w:highlight w:val="none"/>
          <w14:textFill>
            <w14:solidFill>
              <w14:schemeClr w14:val="tx1"/>
            </w14:solidFill>
          </w14:textFill>
        </w:rPr>
        <w:t>居民用水总人口的生活污染物排放总量之比。城</w:t>
      </w:r>
      <w:r>
        <w:rPr>
          <w:rFonts w:hint="eastAsia" w:eastAsia="仿宋_GB2312"/>
          <w:color w:val="000000" w:themeColor="text1"/>
          <w:sz w:val="28"/>
          <w:szCs w:val="28"/>
          <w:highlight w:val="none"/>
          <w:lang w:val="en-US" w:eastAsia="zh-CN"/>
          <w14:textFill>
            <w14:solidFill>
              <w14:schemeClr w14:val="tx1"/>
            </w14:solidFill>
          </w14:textFill>
        </w:rPr>
        <w:t>镇</w:t>
      </w:r>
      <w:r>
        <w:rPr>
          <w:rFonts w:hint="default" w:eastAsia="仿宋_GB2312"/>
          <w:color w:val="000000" w:themeColor="text1"/>
          <w:sz w:val="28"/>
          <w:szCs w:val="28"/>
          <w:highlight w:val="none"/>
          <w14:textFill>
            <w14:solidFill>
              <w14:schemeClr w14:val="tx1"/>
            </w14:solidFill>
          </w14:textFill>
        </w:rPr>
        <w:t>生活污水集中收集率=（污水处理厂进厂水量×污水处理厂进厂的生活污染物浓度）/（城</w:t>
      </w:r>
      <w:r>
        <w:rPr>
          <w:rFonts w:hint="eastAsia" w:eastAsia="仿宋_GB2312"/>
          <w:color w:val="000000" w:themeColor="text1"/>
          <w:sz w:val="28"/>
          <w:szCs w:val="28"/>
          <w:highlight w:val="none"/>
          <w:lang w:val="en-US" w:eastAsia="zh-CN"/>
          <w14:textFill>
            <w14:solidFill>
              <w14:schemeClr w14:val="tx1"/>
            </w14:solidFill>
          </w14:textFill>
        </w:rPr>
        <w:t>镇</w:t>
      </w:r>
      <w:r>
        <w:rPr>
          <w:rFonts w:hint="default" w:eastAsia="仿宋_GB2312"/>
          <w:color w:val="000000" w:themeColor="text1"/>
          <w:sz w:val="28"/>
          <w:szCs w:val="28"/>
          <w:highlight w:val="none"/>
          <w14:textFill>
            <w14:solidFill>
              <w14:schemeClr w14:val="tx1"/>
            </w14:solidFill>
          </w14:textFill>
        </w:rPr>
        <w:t>用水总人口×人均日生活污染物排放量）。</w:t>
      </w:r>
    </w:p>
    <w:p w14:paraId="6F5532EA">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8</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、化学需氧量重点工程减排量：</w:t>
      </w:r>
      <w:r>
        <w:rPr>
          <w:rFonts w:hint="eastAsia" w:eastAsia="仿宋_GB2312" w:cs="Times New Roman"/>
          <w:color w:val="000000" w:themeColor="text1"/>
          <w:sz w:val="28"/>
          <w:szCs w:val="28"/>
          <w:highlight w:val="none"/>
          <w:lang w:val="en-US" w:eastAsia="zh-CN"/>
          <w14:textFill>
            <w14:solidFill>
              <w14:schemeClr w14:val="tx1"/>
            </w14:solidFill>
          </w14:textFill>
        </w:rPr>
        <w:t>2025年目标值计算方法为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ascii="Times New Roman" w:hAnsi="Times New Roman" w:eastAsia="仿宋_GB2312" w:cs="Times New Roman"/>
          <w:color w:val="000000" w:themeColor="text1"/>
          <w:sz w:val="28"/>
          <w:szCs w:val="28"/>
          <w:highlight w:val="none"/>
          <w14:textFill>
            <w14:solidFill>
              <w14:schemeClr w14:val="tx1"/>
            </w14:solidFill>
          </w14:textFill>
        </w:rPr>
        <w:t>2025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年化学需氧量排放较</w:t>
      </w:r>
      <w:r>
        <w:rPr>
          <w:rFonts w:ascii="Times New Roman" w:hAnsi="Times New Roman" w:eastAsia="仿宋_GB2312" w:cs="Times New Roman"/>
          <w:color w:val="000000" w:themeColor="text1"/>
          <w:sz w:val="28"/>
          <w:szCs w:val="28"/>
          <w:highlight w:val="none"/>
          <w14:textFill>
            <w14:solidFill>
              <w14:schemeClr w14:val="tx1"/>
            </w14:solidFill>
          </w14:textFill>
        </w:rPr>
        <w:t>202</w:t>
      </w:r>
      <w:r>
        <w:rPr>
          <w:rFonts w:hint="eastAsia"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r>
        <w:rPr>
          <w:rFonts w:hint="eastAsia" w:eastAsia="仿宋_GB2312" w:cs="Times New Roman"/>
          <w:color w:val="000000" w:themeColor="text1"/>
          <w:sz w:val="28"/>
          <w:szCs w:val="28"/>
          <w:highlight w:val="none"/>
          <w:lang w:val="en-US" w:eastAsia="zh-CN"/>
          <w14:textFill>
            <w14:solidFill>
              <w14:schemeClr w14:val="tx1"/>
            </w14:solidFill>
          </w14:textFill>
        </w:rPr>
        <w:t>2030年目标值计算方法为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hint="eastAsia" w:eastAsia="仿宋_GB2312" w:cs="Times New Roman"/>
          <w:color w:val="000000" w:themeColor="text1"/>
          <w:sz w:val="28"/>
          <w:szCs w:val="28"/>
          <w:highlight w:val="none"/>
          <w:lang w:eastAsia="zh-CN"/>
          <w14:textFill>
            <w14:solidFill>
              <w14:schemeClr w14:val="tx1"/>
            </w14:solidFill>
          </w14:textFill>
        </w:rPr>
        <w:t>2030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年化学需氧量排放较</w:t>
      </w:r>
      <w:r>
        <w:rPr>
          <w:rFonts w:ascii="Times New Roman" w:hAnsi="Times New Roman" w:eastAsia="仿宋_GB2312" w:cs="Times New Roman"/>
          <w:color w:val="000000" w:themeColor="text1"/>
          <w:sz w:val="28"/>
          <w:szCs w:val="28"/>
          <w:highlight w:val="none"/>
          <w14:textFill>
            <w14:solidFill>
              <w14:schemeClr w14:val="tx1"/>
            </w14:solidFill>
          </w14:textFill>
        </w:rPr>
        <w:t>20</w:t>
      </w:r>
      <w:r>
        <w:rPr>
          <w:rFonts w:hint="eastAsia" w:eastAsia="仿宋_GB2312" w:cs="Times New Roman"/>
          <w:color w:val="000000" w:themeColor="text1"/>
          <w:sz w:val="28"/>
          <w:szCs w:val="28"/>
          <w:highlight w:val="none"/>
          <w:lang w:val="en-US" w:eastAsia="zh-CN"/>
          <w14:textFill>
            <w14:solidFill>
              <w14:schemeClr w14:val="tx1"/>
            </w14:solidFill>
          </w14:textFill>
        </w:rPr>
        <w:t>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p>
    <w:p w14:paraId="630F6970">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9</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、氨氮重点工程减排量：</w:t>
      </w:r>
      <w:r>
        <w:rPr>
          <w:rFonts w:hint="eastAsia" w:eastAsia="仿宋_GB2312" w:cs="Times New Roman"/>
          <w:color w:val="000000" w:themeColor="text1"/>
          <w:sz w:val="28"/>
          <w:szCs w:val="28"/>
          <w:highlight w:val="none"/>
          <w:lang w:val="en-US" w:eastAsia="zh-CN"/>
          <w14:textFill>
            <w14:solidFill>
              <w14:schemeClr w14:val="tx1"/>
            </w14:solidFill>
          </w14:textFill>
        </w:rPr>
        <w:t>2025年目标值计算方法为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ascii="Times New Roman" w:hAnsi="Times New Roman" w:eastAsia="仿宋_GB2312" w:cs="Times New Roman"/>
          <w:color w:val="000000" w:themeColor="text1"/>
          <w:sz w:val="28"/>
          <w:szCs w:val="28"/>
          <w:highlight w:val="none"/>
          <w14:textFill>
            <w14:solidFill>
              <w14:schemeClr w14:val="tx1"/>
            </w14:solidFill>
          </w14:textFill>
        </w:rPr>
        <w:t>2025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w:t>
      </w:r>
      <w:r>
        <w:rPr>
          <w:rFonts w:hint="eastAsia" w:eastAsia="仿宋_GB2312" w:cs="Times New Roman"/>
          <w:color w:val="000000" w:themeColor="text1"/>
          <w:sz w:val="28"/>
          <w:szCs w:val="28"/>
          <w:highlight w:val="none"/>
          <w:lang w:val="en-US" w:eastAsia="zh-CN"/>
          <w14:textFill>
            <w14:solidFill>
              <w14:schemeClr w14:val="tx1"/>
            </w14:solidFill>
          </w14:textFill>
        </w:rPr>
        <w:t>氨氮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排放较</w:t>
      </w:r>
      <w:r>
        <w:rPr>
          <w:rFonts w:ascii="Times New Roman" w:hAnsi="Times New Roman" w:eastAsia="仿宋_GB2312" w:cs="Times New Roman"/>
          <w:color w:val="000000" w:themeColor="text1"/>
          <w:sz w:val="28"/>
          <w:szCs w:val="28"/>
          <w:highlight w:val="none"/>
          <w14:textFill>
            <w14:solidFill>
              <w14:schemeClr w14:val="tx1"/>
            </w14:solidFill>
          </w14:textFill>
        </w:rPr>
        <w:t>202</w:t>
      </w:r>
      <w:r>
        <w:rPr>
          <w:rFonts w:hint="eastAsia"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r>
        <w:rPr>
          <w:rFonts w:hint="eastAsia" w:eastAsia="仿宋_GB2312" w:cs="Times New Roman"/>
          <w:color w:val="000000" w:themeColor="text1"/>
          <w:sz w:val="28"/>
          <w:szCs w:val="28"/>
          <w:highlight w:val="none"/>
          <w:lang w:val="en-US" w:eastAsia="zh-CN"/>
          <w14:textFill>
            <w14:solidFill>
              <w14:schemeClr w14:val="tx1"/>
            </w14:solidFill>
          </w14:textFill>
        </w:rPr>
        <w:t>2030年目标值计算方法为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hint="eastAsia" w:eastAsia="仿宋_GB2312" w:cs="Times New Roman"/>
          <w:color w:val="000000" w:themeColor="text1"/>
          <w:sz w:val="28"/>
          <w:szCs w:val="28"/>
          <w:highlight w:val="none"/>
          <w:lang w:eastAsia="zh-CN"/>
          <w14:textFill>
            <w14:solidFill>
              <w14:schemeClr w14:val="tx1"/>
            </w14:solidFill>
          </w14:textFill>
        </w:rPr>
        <w:t>2030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w:t>
      </w:r>
      <w:r>
        <w:rPr>
          <w:rFonts w:hint="eastAsia" w:eastAsia="仿宋_GB2312" w:cs="Times New Roman"/>
          <w:color w:val="000000" w:themeColor="text1"/>
          <w:sz w:val="28"/>
          <w:szCs w:val="28"/>
          <w:highlight w:val="none"/>
          <w:lang w:val="en-US" w:eastAsia="zh-CN"/>
          <w14:textFill>
            <w14:solidFill>
              <w14:schemeClr w14:val="tx1"/>
            </w14:solidFill>
          </w14:textFill>
        </w:rPr>
        <w:t>氨氮</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排放较</w:t>
      </w:r>
      <w:r>
        <w:rPr>
          <w:rFonts w:ascii="Times New Roman" w:hAnsi="Times New Roman" w:eastAsia="仿宋_GB2312" w:cs="Times New Roman"/>
          <w:color w:val="000000" w:themeColor="text1"/>
          <w:sz w:val="28"/>
          <w:szCs w:val="28"/>
          <w:highlight w:val="none"/>
          <w14:textFill>
            <w14:solidFill>
              <w14:schemeClr w14:val="tx1"/>
            </w14:solidFill>
          </w14:textFill>
        </w:rPr>
        <w:t>20</w:t>
      </w:r>
      <w:r>
        <w:rPr>
          <w:rFonts w:hint="eastAsia" w:eastAsia="仿宋_GB2312" w:cs="Times New Roman"/>
          <w:color w:val="000000" w:themeColor="text1"/>
          <w:sz w:val="28"/>
          <w:szCs w:val="28"/>
          <w:highlight w:val="none"/>
          <w:lang w:val="en-US" w:eastAsia="zh-CN"/>
          <w14:textFill>
            <w14:solidFill>
              <w14:schemeClr w14:val="tx1"/>
            </w14:solidFill>
          </w14:textFill>
        </w:rPr>
        <w:t>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p>
    <w:p w14:paraId="76E09692">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、氮氧化物重点工程减排量：</w:t>
      </w:r>
      <w:r>
        <w:rPr>
          <w:rFonts w:hint="eastAsia" w:eastAsia="仿宋_GB2312" w:cs="Times New Roman"/>
          <w:color w:val="000000" w:themeColor="text1"/>
          <w:sz w:val="28"/>
          <w:szCs w:val="28"/>
          <w:highlight w:val="none"/>
          <w:lang w:val="en-US" w:eastAsia="zh-CN"/>
          <w14:textFill>
            <w14:solidFill>
              <w14:schemeClr w14:val="tx1"/>
            </w14:solidFill>
          </w14:textFill>
        </w:rPr>
        <w:t>2025年目标值计算方法为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ascii="Times New Roman" w:hAnsi="Times New Roman" w:eastAsia="仿宋_GB2312" w:cs="Times New Roman"/>
          <w:color w:val="000000" w:themeColor="text1"/>
          <w:sz w:val="28"/>
          <w:szCs w:val="28"/>
          <w:highlight w:val="none"/>
          <w14:textFill>
            <w14:solidFill>
              <w14:schemeClr w14:val="tx1"/>
            </w14:solidFill>
          </w14:textFill>
        </w:rPr>
        <w:t>2025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年氮氧化物排放较</w:t>
      </w:r>
      <w:r>
        <w:rPr>
          <w:rFonts w:ascii="Times New Roman" w:hAnsi="Times New Roman" w:eastAsia="仿宋_GB2312" w:cs="Times New Roman"/>
          <w:color w:val="000000" w:themeColor="text1"/>
          <w:sz w:val="28"/>
          <w:szCs w:val="28"/>
          <w:highlight w:val="none"/>
          <w14:textFill>
            <w14:solidFill>
              <w14:schemeClr w14:val="tx1"/>
            </w14:solidFill>
          </w14:textFill>
        </w:rPr>
        <w:t>202</w:t>
      </w:r>
      <w:r>
        <w:rPr>
          <w:rFonts w:hint="eastAsia"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r>
        <w:rPr>
          <w:rFonts w:hint="eastAsia" w:eastAsia="仿宋_GB2312" w:cs="Times New Roman"/>
          <w:color w:val="000000" w:themeColor="text1"/>
          <w:sz w:val="28"/>
          <w:szCs w:val="28"/>
          <w:highlight w:val="none"/>
          <w:lang w:val="en-US" w:eastAsia="zh-CN"/>
          <w14:textFill>
            <w14:solidFill>
              <w14:schemeClr w14:val="tx1"/>
            </w14:solidFill>
          </w14:textFill>
        </w:rPr>
        <w:t>2030年目标值计算方法为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hint="eastAsia" w:eastAsia="仿宋_GB2312" w:cs="Times New Roman"/>
          <w:color w:val="000000" w:themeColor="text1"/>
          <w:sz w:val="28"/>
          <w:szCs w:val="28"/>
          <w:highlight w:val="none"/>
          <w:lang w:eastAsia="zh-CN"/>
          <w14:textFill>
            <w14:solidFill>
              <w14:schemeClr w14:val="tx1"/>
            </w14:solidFill>
          </w14:textFill>
        </w:rPr>
        <w:t>2030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年氮氧化物排放较</w:t>
      </w:r>
      <w:r>
        <w:rPr>
          <w:rFonts w:ascii="Times New Roman" w:hAnsi="Times New Roman" w:eastAsia="仿宋_GB2312" w:cs="Times New Roman"/>
          <w:color w:val="000000" w:themeColor="text1"/>
          <w:sz w:val="28"/>
          <w:szCs w:val="28"/>
          <w:highlight w:val="none"/>
          <w14:textFill>
            <w14:solidFill>
              <w14:schemeClr w14:val="tx1"/>
            </w14:solidFill>
          </w14:textFill>
        </w:rPr>
        <w:t>20</w:t>
      </w:r>
      <w:r>
        <w:rPr>
          <w:rFonts w:hint="eastAsia" w:eastAsia="仿宋_GB2312" w:cs="Times New Roman"/>
          <w:color w:val="000000" w:themeColor="text1"/>
          <w:sz w:val="28"/>
          <w:szCs w:val="28"/>
          <w:highlight w:val="none"/>
          <w:lang w:val="en-US" w:eastAsia="zh-CN"/>
          <w14:textFill>
            <w14:solidFill>
              <w14:schemeClr w14:val="tx1"/>
            </w14:solidFill>
          </w14:textFill>
        </w:rPr>
        <w:t>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p>
    <w:p w14:paraId="6759E1EF">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、挥发性有机物重点工程减排量：</w:t>
      </w:r>
      <w:r>
        <w:rPr>
          <w:rFonts w:hint="eastAsia" w:eastAsia="仿宋_GB2312" w:cs="Times New Roman"/>
          <w:color w:val="000000" w:themeColor="text1"/>
          <w:sz w:val="28"/>
          <w:szCs w:val="28"/>
          <w:highlight w:val="none"/>
          <w:lang w:val="en-US" w:eastAsia="zh-CN"/>
          <w14:textFill>
            <w14:solidFill>
              <w14:schemeClr w14:val="tx1"/>
            </w14:solidFill>
          </w14:textFill>
        </w:rPr>
        <w:t>2025年目标值计算方法为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ascii="Times New Roman" w:hAnsi="Times New Roman" w:eastAsia="仿宋_GB2312" w:cs="Times New Roman"/>
          <w:color w:val="000000" w:themeColor="text1"/>
          <w:sz w:val="28"/>
          <w:szCs w:val="28"/>
          <w:highlight w:val="none"/>
          <w14:textFill>
            <w14:solidFill>
              <w14:schemeClr w14:val="tx1"/>
            </w14:solidFill>
          </w14:textFill>
        </w:rPr>
        <w:t>2025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年挥发性有机物排放较</w:t>
      </w:r>
      <w:r>
        <w:rPr>
          <w:rFonts w:ascii="Times New Roman" w:hAnsi="Times New Roman" w:eastAsia="仿宋_GB2312" w:cs="Times New Roman"/>
          <w:color w:val="000000" w:themeColor="text1"/>
          <w:sz w:val="28"/>
          <w:szCs w:val="28"/>
          <w:highlight w:val="none"/>
          <w14:textFill>
            <w14:solidFill>
              <w14:schemeClr w14:val="tx1"/>
            </w14:solidFill>
          </w14:textFill>
        </w:rPr>
        <w:t>202</w:t>
      </w:r>
      <w:r>
        <w:rPr>
          <w:rFonts w:hint="eastAsia"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r>
        <w:rPr>
          <w:rFonts w:hint="eastAsia" w:eastAsia="仿宋_GB2312" w:cs="Times New Roman"/>
          <w:color w:val="000000" w:themeColor="text1"/>
          <w:sz w:val="28"/>
          <w:szCs w:val="28"/>
          <w:highlight w:val="none"/>
          <w:lang w:val="en-US" w:eastAsia="zh-CN"/>
          <w14:textFill>
            <w14:solidFill>
              <w14:schemeClr w14:val="tx1"/>
            </w14:solidFill>
          </w14:textFill>
        </w:rPr>
        <w:t>2030年目标值计算方法为</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行政区域内</w:t>
      </w:r>
      <w:r>
        <w:rPr>
          <w:rFonts w:hint="eastAsia" w:eastAsia="仿宋_GB2312" w:cs="Times New Roman"/>
          <w:color w:val="000000" w:themeColor="text1"/>
          <w:sz w:val="28"/>
          <w:szCs w:val="28"/>
          <w:highlight w:val="none"/>
          <w:lang w:eastAsia="zh-CN"/>
          <w14:textFill>
            <w14:solidFill>
              <w14:schemeClr w14:val="tx1"/>
            </w14:solidFill>
          </w14:textFill>
        </w:rPr>
        <w:t>2030</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年挥发性有机物排放较</w:t>
      </w:r>
      <w:r>
        <w:rPr>
          <w:rFonts w:ascii="Times New Roman" w:hAnsi="Times New Roman" w:eastAsia="仿宋_GB2312" w:cs="Times New Roman"/>
          <w:color w:val="000000" w:themeColor="text1"/>
          <w:sz w:val="28"/>
          <w:szCs w:val="28"/>
          <w:highlight w:val="none"/>
          <w14:textFill>
            <w14:solidFill>
              <w14:schemeClr w14:val="tx1"/>
            </w14:solidFill>
          </w14:textFill>
        </w:rPr>
        <w:t>20</w:t>
      </w:r>
      <w:r>
        <w:rPr>
          <w:rFonts w:hint="eastAsia" w:eastAsia="仿宋_GB2312" w:cs="Times New Roman"/>
          <w:color w:val="000000" w:themeColor="text1"/>
          <w:sz w:val="28"/>
          <w:szCs w:val="28"/>
          <w:highlight w:val="none"/>
          <w:lang w:val="en-US" w:eastAsia="zh-CN"/>
          <w14:textFill>
            <w14:solidFill>
              <w14:schemeClr w14:val="tx1"/>
            </w14:solidFill>
          </w14:textFill>
        </w:rPr>
        <w:t>25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年的排放削减量。</w:t>
      </w:r>
    </w:p>
    <w:p w14:paraId="0951F0F3">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ascii="Times New Roman" w:hAnsi="Times New Roman" w:eastAsia="仿宋_GB2312" w:cs="Times New Roman"/>
          <w:color w:val="000000" w:themeColor="text1"/>
          <w:sz w:val="28"/>
          <w:szCs w:val="28"/>
          <w:highlight w:val="none"/>
          <w14:textFill>
            <w14:solidFill>
              <w14:schemeClr w14:val="tx1"/>
            </w14:solidFill>
          </w14:textFill>
        </w:rPr>
        <w:t>1</w:t>
      </w:r>
      <w:r>
        <w:rPr>
          <w:rFonts w:hint="eastAsia" w:eastAsia="仿宋_GB2312" w:cs="Times New Roman"/>
          <w:color w:val="000000" w:themeColor="text1"/>
          <w:sz w:val="28"/>
          <w:szCs w:val="28"/>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、受污染耕地安全利用率：行政区域内实现安全利用的受污染耕地面积，占受污染耕地总面积的比例。</w:t>
      </w:r>
    </w:p>
    <w:p w14:paraId="54D49CC5">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ascii="Times New Roman" w:hAnsi="Times New Roman" w:eastAsia="仿宋_GB2312" w:cs="Times New Roman"/>
          <w:color w:val="000000" w:themeColor="text1"/>
          <w:sz w:val="28"/>
          <w:szCs w:val="28"/>
          <w:highlight w:val="none"/>
          <w14:textFill>
            <w14:solidFill>
              <w14:schemeClr w14:val="tx1"/>
            </w14:solidFill>
          </w14:textFill>
        </w:rPr>
        <w:t>1</w:t>
      </w:r>
      <w:r>
        <w:rPr>
          <w:rFonts w:hint="eastAsia" w:eastAsia="仿宋_GB2312" w:cs="Times New Roman"/>
          <w:color w:val="000000" w:themeColor="text1"/>
          <w:sz w:val="28"/>
          <w:szCs w:val="28"/>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、重点建设用地安全利用率：符合规划用地土壤环境质量要求的再开发利用污染地块面积，占行政区域内全部再开发利用污染地块面积的比例。</w:t>
      </w:r>
    </w:p>
    <w:p w14:paraId="4190BD8F">
      <w:pPr>
        <w:pageBreakBefore w:val="0"/>
        <w:kinsoku/>
        <w:wordWrap/>
        <w:bidi w:val="0"/>
        <w:spacing w:line="360" w:lineRule="auto"/>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1</w:t>
      </w:r>
      <w:r>
        <w:rPr>
          <w:rFonts w:hint="eastAsia" w:eastAsia="仿宋_GB2312" w:cs="Times New Roman"/>
          <w:color w:val="000000" w:themeColor="text1"/>
          <w:sz w:val="28"/>
          <w:szCs w:val="28"/>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t>、地下水国控点位V类水：</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 xml:space="preserve">行政区域内，由东莞市设置的地下水考核点位水质为V类水体的数量占地下水总监测点位的比例。 </w:t>
      </w:r>
    </w:p>
    <w:p w14:paraId="3F4ECA0F">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ascii="Times New Roman" w:hAnsi="Times New Roman" w:eastAsia="仿宋_GB2312" w:cs="Times New Roman"/>
          <w:color w:val="000000" w:themeColor="text1"/>
          <w:sz w:val="28"/>
          <w:szCs w:val="28"/>
          <w:highlight w:val="none"/>
          <w14:textFill>
            <w14:solidFill>
              <w14:schemeClr w14:val="tx1"/>
            </w14:solidFill>
          </w14:textFill>
        </w:rPr>
        <w:t>1</w:t>
      </w:r>
      <w:r>
        <w:rPr>
          <w:rFonts w:hint="eastAsia" w:eastAsia="仿宋_GB2312" w:cs="Times New Roman"/>
          <w:color w:val="000000" w:themeColor="text1"/>
          <w:sz w:val="28"/>
          <w:szCs w:val="28"/>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、工业危险废物利用处置率：行政区域内危险废物实际综合利用和处置量占危险废物应处置量的比例。该指标用于促进提高工业危险废物安全处置水平。</w:t>
      </w:r>
    </w:p>
    <w:p w14:paraId="0D993ECB">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16</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、医疗废物无害化处置率：行政区域内医疗废物实际无害化处理的比例。</w:t>
      </w:r>
    </w:p>
    <w:p w14:paraId="1CAB1E11">
      <w:pPr>
        <w:pageBreakBefore w:val="0"/>
        <w:kinsoku/>
        <w:wordWrap/>
        <w:bidi w:val="0"/>
        <w:spacing w:line="360" w:lineRule="auto"/>
        <w:ind w:firstLine="560" w:firstLineChars="200"/>
        <w:rPr>
          <w:rFonts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17</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生态保护红线：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要求建立生态保护红线制度，确保生态保护红线面积不减少，性质不改变，主导生态功能不降低。</w:t>
      </w:r>
    </w:p>
    <w:p w14:paraId="1FA0619F">
      <w:pPr>
        <w:pageBreakBefore w:val="0"/>
        <w:kinsoku/>
        <w:wordWrap/>
        <w:bidi w:val="0"/>
        <w:spacing w:line="360" w:lineRule="auto"/>
        <w:ind w:firstLine="560" w:firstLineChars="200"/>
        <w:rPr>
          <w:rFonts w:hint="default" w:ascii="Times New Roman" w:hAnsi="Times New Roman" w:eastAsia="仿宋_GB2312" w:cs="Times New Roman"/>
          <w:color w:val="000000" w:themeColor="text1"/>
          <w:sz w:val="28"/>
          <w:szCs w:val="28"/>
          <w:highlight w:val="none"/>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18</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、森林覆盖率：以行政区域内森林面积与土地面积的百分比。根据《中华人民共和国森林法》（</w:t>
      </w:r>
      <w:r>
        <w:rPr>
          <w:rFonts w:ascii="Times New Roman" w:hAnsi="Times New Roman" w:eastAsia="仿宋_GB2312" w:cs="Times New Roman"/>
          <w:color w:val="000000" w:themeColor="text1"/>
          <w:sz w:val="28"/>
          <w:szCs w:val="28"/>
          <w:highlight w:val="none"/>
          <w14:textFill>
            <w14:solidFill>
              <w14:schemeClr w14:val="tx1"/>
            </w14:solidFill>
          </w14:textFill>
        </w:rPr>
        <w:t>2019</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年</w:t>
      </w:r>
      <w:r>
        <w:rPr>
          <w:rFonts w:ascii="Times New Roman" w:hAnsi="Times New Roman" w:eastAsia="仿宋_GB2312" w:cs="Times New Roman"/>
          <w:color w:val="000000" w:themeColor="text1"/>
          <w:sz w:val="28"/>
          <w:szCs w:val="28"/>
          <w:highlight w:val="none"/>
          <w14:textFill>
            <w14:solidFill>
              <w14:schemeClr w14:val="tx1"/>
            </w14:solidFill>
          </w14:textFill>
        </w:rPr>
        <w:t>12</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月</w:t>
      </w:r>
      <w:r>
        <w:rPr>
          <w:rFonts w:ascii="Times New Roman" w:hAnsi="Times New Roman" w:eastAsia="仿宋_GB2312" w:cs="Times New Roman"/>
          <w:color w:val="000000" w:themeColor="text1"/>
          <w:sz w:val="28"/>
          <w:szCs w:val="28"/>
          <w:highlight w:val="none"/>
          <w14:textFill>
            <w14:solidFill>
              <w14:schemeClr w14:val="tx1"/>
            </w14:solidFill>
          </w14:textFill>
        </w:rPr>
        <w:t>28</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日第十三届全国人民代表大会常务委员会第十五次会议修订），森林包括乔木林、竹林和国家特别规定的灌木林。按照《第三期全国国土调查工作分类地类认定细则》中地类分类，森林覆盖率计算公式为（乔木林</w:t>
      </w:r>
      <w:r>
        <w:rPr>
          <w:rFonts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竹林地</w:t>
      </w:r>
      <w:r>
        <w:rPr>
          <w:rFonts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灌木林）</w:t>
      </w:r>
      <w:r>
        <w:rPr>
          <w:rFonts w:ascii="Times New Roman" w:hAnsi="Times New Roman" w:eastAsia="仿宋_GB2312" w:cs="Times New Roman"/>
          <w:color w:val="000000" w:themeColor="text1"/>
          <w:sz w:val="28"/>
          <w:szCs w:val="28"/>
          <w:highlight w:val="none"/>
          <w14:textFill>
            <w14:solidFill>
              <w14:schemeClr w14:val="tx1"/>
            </w14:solidFill>
          </w14:textFill>
        </w:rPr>
        <w:t>/</w:t>
      </w:r>
      <w:r>
        <w:rPr>
          <w:rFonts w:hint="default" w:ascii="Times New Roman" w:hAnsi="Times New Roman" w:eastAsia="仿宋_GB2312" w:cs="Times New Roman"/>
          <w:color w:val="000000" w:themeColor="text1"/>
          <w:sz w:val="28"/>
          <w:szCs w:val="28"/>
          <w:highlight w:val="none"/>
          <w14:textFill>
            <w14:solidFill>
              <w14:schemeClr w14:val="tx1"/>
            </w14:solidFill>
          </w14:textFill>
        </w:rPr>
        <w:t>国土面积。</w:t>
      </w:r>
      <w:bookmarkEnd w:id="549"/>
    </w:p>
    <w:p w14:paraId="78099C06">
      <w:pPr>
        <w:pageBreakBefore w:val="0"/>
        <w:kinsoku/>
        <w:wordWrap/>
        <w:bidi w:val="0"/>
        <w:spacing w:line="360" w:lineRule="auto"/>
        <w:ind w:firstLine="560" w:firstLineChars="200"/>
        <w:rPr>
          <w:rFonts w:hint="default" w:ascii="Times New Roman" w:hAnsi="Times New Roman" w:eastAsia="仿宋_GB2312" w:cs="Times New Roman"/>
          <w:color w:val="000000" w:themeColor="text1"/>
          <w:sz w:val="28"/>
          <w:szCs w:val="28"/>
          <w:highlight w:val="none"/>
          <w:lang w:val="en-US" w:eastAsia="zh-CN"/>
          <w14:textFill>
            <w14:solidFill>
              <w14:schemeClr w14:val="tx1"/>
            </w14:solidFill>
          </w14:textFill>
        </w:rPr>
      </w:pPr>
      <w:r>
        <w:rPr>
          <w:rFonts w:hint="eastAsia" w:eastAsia="仿宋_GB2312" w:cs="Times New Roman"/>
          <w:color w:val="000000" w:themeColor="text1"/>
          <w:sz w:val="28"/>
          <w:szCs w:val="28"/>
          <w:highlight w:val="none"/>
          <w:lang w:val="en-US" w:eastAsia="zh-CN"/>
          <w14:textFill>
            <w14:solidFill>
              <w14:schemeClr w14:val="tx1"/>
            </w14:solidFill>
          </w14:textFill>
        </w:rPr>
        <w:t>19、建成“美丽河湖”个数：</w:t>
      </w:r>
      <w:r>
        <w:rPr>
          <w:rFonts w:hint="eastAsia" w:eastAsia="仿宋_GB2312"/>
          <w:color w:val="000000" w:themeColor="text1"/>
          <w:sz w:val="28"/>
          <w:szCs w:val="28"/>
          <w:highlight w:val="none"/>
          <w14:textFill>
            <w14:solidFill>
              <w14:schemeClr w14:val="tx1"/>
            </w14:solidFill>
          </w14:textFill>
        </w:rPr>
        <w:t>达到《东莞市美丽河湖评定（指引）》相关要求</w:t>
      </w:r>
      <w:r>
        <w:rPr>
          <w:rFonts w:hint="eastAsia" w:eastAsia="仿宋_GB2312"/>
          <w:color w:val="000000" w:themeColor="text1"/>
          <w:sz w:val="28"/>
          <w:szCs w:val="28"/>
          <w:highlight w:val="none"/>
          <w:lang w:eastAsia="zh-CN"/>
          <w14:textFill>
            <w14:solidFill>
              <w14:schemeClr w14:val="tx1"/>
            </w14:solidFill>
          </w14:textFill>
        </w:rPr>
        <w:t>的</w:t>
      </w:r>
      <w:r>
        <w:rPr>
          <w:rFonts w:hint="eastAsia" w:eastAsia="仿宋_GB2312"/>
          <w:color w:val="000000" w:themeColor="text1"/>
          <w:sz w:val="28"/>
          <w:szCs w:val="28"/>
          <w:highlight w:val="none"/>
          <w:lang w:val="en-US" w:eastAsia="zh-CN"/>
          <w14:textFill>
            <w14:solidFill>
              <w14:schemeClr w14:val="tx1"/>
            </w14:solidFill>
          </w14:textFill>
        </w:rPr>
        <w:t>河湖个数。</w:t>
      </w:r>
    </w:p>
    <w:p w14:paraId="3F7D58AA">
      <w:pPr>
        <w:pageBreakBefore w:val="0"/>
        <w:kinsoku/>
        <w:wordWrap/>
        <w:bidi w:val="0"/>
        <w:spacing w:line="360" w:lineRule="auto"/>
        <w:ind w:firstLine="640" w:firstLineChars="200"/>
        <w:rPr>
          <w:rFonts w:ascii="Times New Roman" w:hAnsi="Times New Roman" w:eastAsia="仿宋_GB2312" w:cs="Times New Roman"/>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A58B8CC">
      <w:pPr>
        <w:pStyle w:val="4"/>
        <w:outlineLvl w:val="1"/>
        <w:rPr>
          <w:rFonts w:hint="default" w:ascii="Times New Roman" w:hAnsi="Times New Roman" w:eastAsia="黑体" w:cs="Times New Roman"/>
          <w:b w:val="0"/>
          <w:sz w:val="28"/>
          <w:highlight w:val="none"/>
          <w:lang w:val="en-US" w:eastAsia="zh-CN"/>
        </w:rPr>
      </w:pPr>
      <w:bookmarkStart w:id="551" w:name="_Toc18483"/>
      <w:bookmarkStart w:id="552" w:name="_Toc7587"/>
      <w:bookmarkStart w:id="553" w:name="_Toc29427"/>
      <w:bookmarkStart w:id="554" w:name="_Toc9653"/>
      <w:bookmarkStart w:id="555" w:name="_Toc31817"/>
      <w:bookmarkStart w:id="556" w:name="_Toc15577"/>
      <w:bookmarkStart w:id="557" w:name="_Toc16938"/>
      <w:bookmarkStart w:id="558" w:name="_Toc27894"/>
      <w:bookmarkStart w:id="559" w:name="_Toc17349"/>
      <w:bookmarkStart w:id="560" w:name="_Toc24722"/>
      <w:bookmarkStart w:id="561" w:name="_Toc495606694"/>
      <w:bookmarkStart w:id="562" w:name="_Toc475626500"/>
      <w:bookmarkStart w:id="563" w:name="_Toc475439327"/>
      <w:bookmarkStart w:id="564" w:name="_Toc495605646"/>
      <w:bookmarkStart w:id="565" w:name="_Toc3387"/>
      <w:bookmarkStart w:id="566" w:name="_Toc16775"/>
      <w:bookmarkStart w:id="567" w:name="_Toc495561465"/>
      <w:bookmarkStart w:id="568" w:name="_Toc5218"/>
      <w:bookmarkStart w:id="569" w:name="_Toc6162"/>
      <w:bookmarkStart w:id="570" w:name="_Toc495606170"/>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表2</w:t>
      </w:r>
      <w:r>
        <w:rPr>
          <w:rFonts w:ascii="Times New Roman" w:hAnsi="Times New Roman" w:eastAsia="黑体" w:cs="Times New Roman"/>
          <w:b w:val="0"/>
          <w:sz w:val="28"/>
          <w:highlight w:val="none"/>
        </w:rPr>
        <w:t xml:space="preserve"> </w:t>
      </w:r>
      <w:bookmarkEnd w:id="551"/>
      <w:bookmarkEnd w:id="552"/>
      <w:bookmarkEnd w:id="553"/>
      <w:bookmarkEnd w:id="554"/>
      <w:bookmarkEnd w:id="555"/>
      <w:bookmarkEnd w:id="556"/>
      <w:r>
        <w:rPr>
          <w:rFonts w:hint="eastAsia" w:ascii="Times New Roman" w:hAnsi="Times New Roman" w:eastAsia="黑体" w:cs="Times New Roman"/>
          <w:b w:val="0"/>
          <w:sz w:val="28"/>
          <w:highlight w:val="none"/>
          <w:lang w:val="en-US" w:eastAsia="zh-CN"/>
        </w:rPr>
        <w:t>产业绿色发展重点工程</w:t>
      </w:r>
      <w:bookmarkEnd w:id="557"/>
      <w:bookmarkEnd w:id="558"/>
      <w:bookmarkEnd w:id="559"/>
      <w:bookmarkEnd w:id="560"/>
    </w:p>
    <w:tbl>
      <w:tblPr>
        <w:tblStyle w:val="30"/>
        <w:tblW w:w="15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812"/>
        <w:gridCol w:w="5906"/>
        <w:gridCol w:w="1272"/>
        <w:gridCol w:w="1240"/>
        <w:gridCol w:w="1253"/>
        <w:gridCol w:w="2827"/>
      </w:tblGrid>
      <w:tr w14:paraId="64B1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A44C4D">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序号</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AFDA28">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项目名称</w:t>
            </w:r>
          </w:p>
        </w:tc>
        <w:tc>
          <w:tcPr>
            <w:tcW w:w="59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B10FA4">
            <w:pPr>
              <w:autoSpaceDE w:val="0"/>
              <w:autoSpaceDN w:val="0"/>
              <w:spacing w:beforeLines="0" w:afterLines="0" w:line="240" w:lineRule="auto"/>
              <w:ind w:firstLine="0" w:firstLineChars="0"/>
              <w:jc w:val="center"/>
              <w:rPr>
                <w:rFonts w:hint="default" w:eastAsia="仿宋_GB2312"/>
                <w:b/>
                <w:sz w:val="24"/>
                <w:szCs w:val="24"/>
                <w:highlight w:val="none"/>
                <w:lang w:val="en-US" w:eastAsia="zh-CN"/>
              </w:rPr>
            </w:pPr>
            <w:r>
              <w:rPr>
                <w:rFonts w:hint="eastAsia" w:eastAsia="仿宋_GB2312"/>
                <w:b/>
                <w:sz w:val="24"/>
                <w:szCs w:val="24"/>
                <w:highlight w:val="none"/>
                <w:lang w:val="en-US" w:eastAsia="zh-CN"/>
              </w:rPr>
              <w:t>建设内容</w:t>
            </w:r>
          </w:p>
        </w:tc>
        <w:tc>
          <w:tcPr>
            <w:tcW w:w="1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A95755">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开始时间</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D7396C">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完成时间</w:t>
            </w:r>
          </w:p>
        </w:tc>
        <w:tc>
          <w:tcPr>
            <w:tcW w:w="12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50E238">
            <w:pPr>
              <w:autoSpaceDE w:val="0"/>
              <w:autoSpaceDN w:val="0"/>
              <w:spacing w:beforeLines="0" w:afterLines="0" w:line="240" w:lineRule="auto"/>
              <w:ind w:firstLine="0" w:firstLineChars="0"/>
              <w:jc w:val="center"/>
              <w:rPr>
                <w:rFonts w:hint="eastAsia" w:eastAsia="仿宋_GB2312"/>
                <w:b/>
                <w:sz w:val="24"/>
                <w:szCs w:val="24"/>
                <w:highlight w:val="none"/>
                <w:lang w:eastAsia="zh-CN"/>
              </w:rPr>
            </w:pPr>
            <w:r>
              <w:rPr>
                <w:rFonts w:hint="eastAsia" w:eastAsia="仿宋_GB2312"/>
                <w:b/>
                <w:sz w:val="24"/>
                <w:szCs w:val="24"/>
                <w:highlight w:val="none"/>
              </w:rPr>
              <w:t>投资估算</w:t>
            </w:r>
            <w:r>
              <w:rPr>
                <w:rFonts w:hint="eastAsia" w:eastAsia="仿宋_GB2312"/>
                <w:b/>
                <w:sz w:val="24"/>
                <w:szCs w:val="24"/>
                <w:highlight w:val="none"/>
                <w:lang w:eastAsia="zh-CN"/>
              </w:rPr>
              <w:t>（</w:t>
            </w:r>
            <w:r>
              <w:rPr>
                <w:rFonts w:hint="eastAsia" w:eastAsia="仿宋_GB2312"/>
                <w:b/>
                <w:sz w:val="24"/>
                <w:szCs w:val="24"/>
                <w:highlight w:val="none"/>
                <w:lang w:val="en-US" w:eastAsia="zh-CN"/>
              </w:rPr>
              <w:t>万元</w:t>
            </w:r>
            <w:r>
              <w:rPr>
                <w:rFonts w:hint="eastAsia" w:eastAsia="仿宋_GB2312"/>
                <w:b/>
                <w:sz w:val="24"/>
                <w:szCs w:val="24"/>
                <w:highlight w:val="none"/>
                <w:lang w:eastAsia="zh-CN"/>
              </w:rPr>
              <w:t>）</w:t>
            </w:r>
          </w:p>
        </w:tc>
        <w:tc>
          <w:tcPr>
            <w:tcW w:w="28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7DF55A">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负责单位</w:t>
            </w:r>
          </w:p>
        </w:tc>
      </w:tr>
      <w:tr w14:paraId="504C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33AE6B">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1</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3206E8">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空间管控优化工程</w:t>
            </w:r>
          </w:p>
        </w:tc>
        <w:tc>
          <w:tcPr>
            <w:tcW w:w="59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647572">
            <w:pPr>
              <w:autoSpaceDE w:val="0"/>
              <w:autoSpaceDN w:val="0"/>
              <w:spacing w:beforeLines="0" w:afterLines="0" w:line="240" w:lineRule="auto"/>
              <w:ind w:firstLine="480"/>
              <w:jc w:val="left"/>
              <w:rPr>
                <w:rFonts w:hint="eastAsia"/>
                <w:sz w:val="24"/>
                <w:szCs w:val="24"/>
                <w:highlight w:val="none"/>
              </w:rPr>
            </w:pPr>
            <w:r>
              <w:rPr>
                <w:rFonts w:hint="eastAsia" w:eastAsia="仿宋_GB2312"/>
                <w:sz w:val="24"/>
                <w:szCs w:val="24"/>
                <w:highlight w:val="none"/>
              </w:rPr>
              <w:t>将生态保护红线、环境质量底线、资源利用上线的硬约束系统落实到环境管控单元，实施分区管控，以关键单元的改善促进区域生态环境质量提升。</w:t>
            </w:r>
          </w:p>
        </w:tc>
        <w:tc>
          <w:tcPr>
            <w:tcW w:w="1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04BA0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BC8780">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6EAE8D">
            <w:pPr>
              <w:autoSpaceDE w:val="0"/>
              <w:autoSpaceDN w:val="0"/>
              <w:spacing w:beforeLines="0" w:afterLines="0" w:line="240" w:lineRule="auto"/>
              <w:ind w:firstLine="0" w:firstLineChars="0"/>
              <w:jc w:val="center"/>
              <w:rPr>
                <w:rFonts w:hint="default" w:eastAsia="仿宋_GB2312"/>
                <w:b/>
                <w:sz w:val="24"/>
                <w:szCs w:val="24"/>
                <w:highlight w:val="none"/>
                <w:lang w:val="en-US" w:eastAsia="zh-CN"/>
              </w:rPr>
            </w:pPr>
            <w:r>
              <w:rPr>
                <w:rFonts w:hint="eastAsia" w:eastAsia="仿宋_GB2312"/>
                <w:sz w:val="24"/>
                <w:szCs w:val="24"/>
                <w:highlight w:val="none"/>
                <w:lang w:val="en-US" w:eastAsia="zh-CN"/>
              </w:rPr>
              <w:t>/</w:t>
            </w:r>
          </w:p>
        </w:tc>
        <w:tc>
          <w:tcPr>
            <w:tcW w:w="28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01C457">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color w:val="000000"/>
                <w:sz w:val="24"/>
                <w:highlight w:val="none"/>
                <w:lang w:val="en-US" w:eastAsia="zh-CN" w:bidi="ar"/>
              </w:rPr>
              <w:t>镇</w:t>
            </w:r>
            <w:r>
              <w:rPr>
                <w:rFonts w:hint="eastAsia" w:eastAsia="仿宋_GB2312"/>
                <w:color w:val="000000"/>
                <w:sz w:val="24"/>
                <w:highlight w:val="none"/>
                <w:lang w:bidi="ar"/>
              </w:rPr>
              <w:t>自然资源分局</w:t>
            </w:r>
            <w:r>
              <w:rPr>
                <w:rFonts w:hint="eastAsia" w:eastAsia="仿宋_GB2312"/>
                <w:color w:val="000000"/>
                <w:sz w:val="24"/>
                <w:highlight w:val="none"/>
                <w:lang w:eastAsia="zh-CN" w:bidi="ar"/>
              </w:rPr>
              <w:t>、镇规划管理所、</w:t>
            </w:r>
            <w:r>
              <w:rPr>
                <w:rFonts w:hint="eastAsia" w:eastAsia="仿宋_GB2312"/>
                <w:color w:val="000000"/>
                <w:sz w:val="24"/>
                <w:szCs w:val="24"/>
                <w:highlight w:val="none"/>
                <w:lang w:bidi="ar"/>
              </w:rPr>
              <w:t>镇经济发展局</w:t>
            </w:r>
            <w:r>
              <w:rPr>
                <w:rFonts w:hint="eastAsia" w:eastAsia="仿宋_GB2312"/>
                <w:sz w:val="24"/>
                <w:szCs w:val="24"/>
                <w:highlight w:val="none"/>
              </w:rPr>
              <w:t>、镇生态环境分局、镇城市管理和综合执法分局</w:t>
            </w:r>
          </w:p>
        </w:tc>
      </w:tr>
      <w:tr w14:paraId="5D47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B4483C">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1F64E">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产业更替工程</w:t>
            </w:r>
          </w:p>
        </w:tc>
        <w:tc>
          <w:tcPr>
            <w:tcW w:w="59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9079B1">
            <w:pPr>
              <w:autoSpaceDE w:val="0"/>
              <w:autoSpaceDN w:val="0"/>
              <w:spacing w:beforeLines="0" w:afterLines="0" w:line="240" w:lineRule="auto"/>
              <w:ind w:firstLine="480"/>
              <w:jc w:val="left"/>
              <w:rPr>
                <w:rFonts w:hint="eastAsia"/>
                <w:sz w:val="24"/>
                <w:szCs w:val="24"/>
                <w:highlight w:val="none"/>
              </w:rPr>
            </w:pPr>
            <w:r>
              <w:rPr>
                <w:rFonts w:hint="eastAsia" w:eastAsia="仿宋_GB2312"/>
                <w:sz w:val="24"/>
                <w:szCs w:val="24"/>
                <w:highlight w:val="none"/>
              </w:rPr>
              <w:t>持传统产业转型升级“三部走”战略，即升级一部分、引进一部分、腾退一部分，在升级中腾退，在腾退中引进，形成传统产业升级更新换代的闭环。</w:t>
            </w:r>
          </w:p>
        </w:tc>
        <w:tc>
          <w:tcPr>
            <w:tcW w:w="1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A77AD0">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DB81B9">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90FEE4">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sz w:val="24"/>
                <w:szCs w:val="24"/>
                <w:highlight w:val="none"/>
                <w:lang w:val="en-US" w:eastAsia="zh-CN"/>
              </w:rPr>
              <w:t>/</w:t>
            </w:r>
          </w:p>
        </w:tc>
        <w:tc>
          <w:tcPr>
            <w:tcW w:w="28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A5F31">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color w:val="000000"/>
                <w:sz w:val="24"/>
                <w:szCs w:val="24"/>
                <w:highlight w:val="none"/>
                <w:lang w:bidi="ar"/>
              </w:rPr>
              <w:t>镇经济发展局</w:t>
            </w:r>
            <w:r>
              <w:rPr>
                <w:rFonts w:hint="eastAsia" w:eastAsia="仿宋_GB2312"/>
                <w:sz w:val="24"/>
                <w:szCs w:val="24"/>
                <w:highlight w:val="none"/>
              </w:rPr>
              <w:t>、</w:t>
            </w:r>
            <w:r>
              <w:rPr>
                <w:rFonts w:hint="eastAsia" w:eastAsia="仿宋_GB2312"/>
                <w:sz w:val="24"/>
                <w:highlight w:val="none"/>
              </w:rPr>
              <w:t>镇自然资源分局、</w:t>
            </w:r>
            <w:r>
              <w:rPr>
                <w:rFonts w:hint="eastAsia" w:eastAsia="仿宋_GB2312"/>
                <w:sz w:val="24"/>
                <w:szCs w:val="24"/>
                <w:highlight w:val="none"/>
              </w:rPr>
              <w:t>镇生态环境分局、镇城市管理和综合执法分局</w:t>
            </w:r>
            <w:r>
              <w:rPr>
                <w:rFonts w:hint="eastAsia" w:eastAsia="仿宋_GB2312"/>
                <w:sz w:val="24"/>
                <w:szCs w:val="24"/>
                <w:highlight w:val="none"/>
                <w:lang w:eastAsia="zh-CN"/>
              </w:rPr>
              <w:t>、</w:t>
            </w:r>
            <w:r>
              <w:rPr>
                <w:rFonts w:hint="eastAsia" w:eastAsia="仿宋_GB2312"/>
                <w:sz w:val="24"/>
                <w:szCs w:val="24"/>
                <w:highlight w:val="none"/>
              </w:rPr>
              <w:t>相关重点企业</w:t>
            </w:r>
          </w:p>
        </w:tc>
      </w:tr>
      <w:tr w14:paraId="3AC5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8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0D4CEE">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3</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9DEA9B">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推动企业进步发展</w:t>
            </w:r>
          </w:p>
        </w:tc>
        <w:tc>
          <w:tcPr>
            <w:tcW w:w="590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9CF92D">
            <w:pPr>
              <w:widowControl/>
              <w:autoSpaceDE w:val="0"/>
              <w:autoSpaceDN w:val="0"/>
              <w:spacing w:beforeLines="0" w:afterLines="0" w:line="240" w:lineRule="auto"/>
              <w:ind w:firstLine="480"/>
              <w:jc w:val="left"/>
              <w:rPr>
                <w:rFonts w:hint="eastAsia" w:eastAsia="仿宋_GB2312"/>
                <w:sz w:val="24"/>
                <w:szCs w:val="24"/>
                <w:highlight w:val="none"/>
              </w:rPr>
            </w:pPr>
            <w:r>
              <w:rPr>
                <w:rFonts w:hint="eastAsia" w:eastAsia="仿宋_GB2312"/>
                <w:sz w:val="24"/>
                <w:szCs w:val="24"/>
                <w:highlight w:val="none"/>
              </w:rPr>
              <w:t>聚焦进一步优化营商环境，精准做好企业帮扶指导，持续开展环境普法宣传活动，优化监管方式，提升效能，组建专业环保服务团队，为企业答疑解惑并提供环保政策、技术指导和帮助扶持指导和帮扶，助力企业实现精准治污，推动企业在绿色发展道路上加速提质。</w:t>
            </w:r>
          </w:p>
        </w:tc>
        <w:tc>
          <w:tcPr>
            <w:tcW w:w="127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CC963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BA4846">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5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E714A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val="en-US" w:eastAsia="zh-CN"/>
              </w:rPr>
              <w:t>/</w:t>
            </w:r>
          </w:p>
        </w:tc>
        <w:tc>
          <w:tcPr>
            <w:tcW w:w="282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D7115A">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镇生态环境分局、相关重点企业</w:t>
            </w:r>
          </w:p>
        </w:tc>
      </w:tr>
      <w:bookmarkEnd w:id="561"/>
      <w:bookmarkEnd w:id="562"/>
      <w:bookmarkEnd w:id="563"/>
      <w:bookmarkEnd w:id="564"/>
      <w:bookmarkEnd w:id="565"/>
      <w:bookmarkEnd w:id="566"/>
      <w:bookmarkEnd w:id="567"/>
      <w:bookmarkEnd w:id="568"/>
      <w:bookmarkEnd w:id="569"/>
      <w:bookmarkEnd w:id="570"/>
    </w:tbl>
    <w:p w14:paraId="243DCA40">
      <w:pPr>
        <w:pStyle w:val="4"/>
        <w:spacing w:before="260" w:beforeLines="0" w:after="260" w:afterLines="0"/>
        <w:outlineLvl w:val="1"/>
        <w:rPr>
          <w:rFonts w:ascii="Times New Roman" w:hAnsi="Times New Roman" w:eastAsia="黑体" w:cs="Times New Roman"/>
          <w:b w:val="0"/>
          <w:sz w:val="28"/>
          <w:highlight w:val="none"/>
        </w:rPr>
        <w:sectPr>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BBDEBB5">
      <w:pPr>
        <w:pStyle w:val="4"/>
        <w:spacing w:beforeLines="0" w:afterLines="0"/>
        <w:outlineLvl w:val="1"/>
        <w:rPr>
          <w:rFonts w:hint="default" w:ascii="Times New Roman" w:hAnsi="Times New Roman" w:eastAsia="黑体" w:cs="Times New Roman"/>
          <w:b w:val="0"/>
          <w:sz w:val="28"/>
          <w:highlight w:val="none"/>
          <w:lang w:val="en-US" w:eastAsia="zh-CN"/>
        </w:rPr>
      </w:pPr>
      <w:bookmarkStart w:id="571" w:name="_Toc1720"/>
      <w:bookmarkStart w:id="572" w:name="_Toc22451"/>
      <w:bookmarkStart w:id="573" w:name="_Toc27516"/>
      <w:bookmarkStart w:id="574" w:name="_Toc21081"/>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表3</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应对气候变化重点工程</w:t>
      </w:r>
      <w:bookmarkEnd w:id="571"/>
      <w:bookmarkEnd w:id="572"/>
      <w:bookmarkEnd w:id="573"/>
      <w:bookmarkEnd w:id="574"/>
    </w:p>
    <w:tbl>
      <w:tblPr>
        <w:tblStyle w:val="30"/>
        <w:tblW w:w="14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635"/>
        <w:gridCol w:w="5760"/>
        <w:gridCol w:w="1231"/>
        <w:gridCol w:w="1507"/>
        <w:gridCol w:w="1240"/>
        <w:gridCol w:w="2510"/>
      </w:tblGrid>
      <w:tr w14:paraId="160A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17E002">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序号</w:t>
            </w:r>
          </w:p>
        </w:tc>
        <w:tc>
          <w:tcPr>
            <w:tcW w:w="1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38755">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项目名称</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174CFB">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lang w:val="en-US" w:eastAsia="zh-CN"/>
              </w:rPr>
              <w:t>建设内容</w:t>
            </w:r>
          </w:p>
        </w:tc>
        <w:tc>
          <w:tcPr>
            <w:tcW w:w="12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DD0BD4">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开始时间</w:t>
            </w:r>
          </w:p>
        </w:tc>
        <w:tc>
          <w:tcPr>
            <w:tcW w:w="15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25B049">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完成时间</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96C8F5">
            <w:pPr>
              <w:autoSpaceDE w:val="0"/>
              <w:autoSpaceDN w:val="0"/>
              <w:spacing w:beforeLines="0" w:afterLines="0" w:line="240" w:lineRule="auto"/>
              <w:ind w:firstLine="0" w:firstLineChars="0"/>
              <w:jc w:val="center"/>
              <w:rPr>
                <w:rFonts w:hint="eastAsia" w:eastAsia="仿宋_GB2312"/>
                <w:b/>
                <w:sz w:val="24"/>
                <w:szCs w:val="24"/>
                <w:highlight w:val="none"/>
                <w:lang w:eastAsia="zh-CN"/>
              </w:rPr>
            </w:pPr>
            <w:r>
              <w:rPr>
                <w:rFonts w:hint="eastAsia" w:eastAsia="仿宋_GB2312"/>
                <w:b/>
                <w:sz w:val="24"/>
                <w:szCs w:val="24"/>
                <w:highlight w:val="none"/>
              </w:rPr>
              <w:t>投资估算</w:t>
            </w:r>
            <w:r>
              <w:rPr>
                <w:rFonts w:hint="eastAsia" w:eastAsia="仿宋_GB2312"/>
                <w:b/>
                <w:sz w:val="24"/>
                <w:szCs w:val="24"/>
                <w:highlight w:val="none"/>
                <w:lang w:eastAsia="zh-CN"/>
              </w:rPr>
              <w:t>（</w:t>
            </w:r>
            <w:r>
              <w:rPr>
                <w:rFonts w:hint="eastAsia" w:eastAsia="仿宋_GB2312"/>
                <w:b/>
                <w:sz w:val="24"/>
                <w:szCs w:val="24"/>
                <w:highlight w:val="none"/>
                <w:lang w:val="en-US" w:eastAsia="zh-CN"/>
              </w:rPr>
              <w:t>万元</w:t>
            </w:r>
            <w:r>
              <w:rPr>
                <w:rFonts w:hint="eastAsia" w:eastAsia="仿宋_GB2312"/>
                <w:b/>
                <w:sz w:val="24"/>
                <w:szCs w:val="24"/>
                <w:highlight w:val="none"/>
                <w:lang w:eastAsia="zh-CN"/>
              </w:rPr>
              <w:t>）</w:t>
            </w:r>
          </w:p>
        </w:tc>
        <w:tc>
          <w:tcPr>
            <w:tcW w:w="25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C32E07">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负责单位</w:t>
            </w:r>
          </w:p>
        </w:tc>
      </w:tr>
      <w:tr w14:paraId="6989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8DC13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1</w:t>
            </w:r>
          </w:p>
        </w:tc>
        <w:tc>
          <w:tcPr>
            <w:tcW w:w="1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E9D764">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highlight w:val="none"/>
              </w:rPr>
              <w:t>清洁能源利用工程</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F2FC62">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highlight w:val="none"/>
                <w:lang w:bidi="ar"/>
              </w:rPr>
              <w:t>大力发展天然气多联供应，推广应用太阳能光伏等新能源和可再生能源。</w:t>
            </w:r>
          </w:p>
        </w:tc>
        <w:tc>
          <w:tcPr>
            <w:tcW w:w="12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A06FC5">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5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F7F2A0">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7A3F07">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highlight w:val="none"/>
                <w:lang w:eastAsia="zh-CN"/>
              </w:rPr>
              <w:t>/</w:t>
            </w:r>
          </w:p>
        </w:tc>
        <w:tc>
          <w:tcPr>
            <w:tcW w:w="25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0D299C">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highlight w:val="none"/>
                <w:lang w:bidi="ar"/>
              </w:rPr>
              <w:t>镇经济发展局</w:t>
            </w:r>
          </w:p>
        </w:tc>
      </w:tr>
      <w:tr w14:paraId="663C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8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1AD38">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w:t>
            </w:r>
          </w:p>
        </w:tc>
        <w:tc>
          <w:tcPr>
            <w:tcW w:w="1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A9D599">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清洁生产推广工程</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8A153">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szCs w:val="24"/>
                <w:highlight w:val="none"/>
                <w:lang w:bidi="ar"/>
              </w:rPr>
              <w:t>配合东莞市的部署，每年推动一批企业开展清洁生产审核工作，形成一批资源消耗少、环境污染小的清洁生产企业。</w:t>
            </w:r>
          </w:p>
        </w:tc>
        <w:tc>
          <w:tcPr>
            <w:tcW w:w="12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647182">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5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1765D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2F047">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default" w:eastAsia="仿宋_GB2312"/>
                <w:sz w:val="24"/>
                <w:szCs w:val="24"/>
                <w:highlight w:val="none"/>
                <w:lang w:val="en-US" w:eastAsia="zh-CN"/>
              </w:rPr>
              <w:t>100</w:t>
            </w:r>
          </w:p>
        </w:tc>
        <w:tc>
          <w:tcPr>
            <w:tcW w:w="25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DD6026">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镇生态环境分局、镇经济发展局</w:t>
            </w:r>
          </w:p>
        </w:tc>
      </w:tr>
      <w:tr w14:paraId="6D67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8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11D786">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3</w:t>
            </w:r>
          </w:p>
        </w:tc>
        <w:tc>
          <w:tcPr>
            <w:tcW w:w="163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CF7228">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清洁能源保障工程</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D1903E">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开展电动汽车充电基础设施建设，增加电动汽车充电桩，推广应用新能源汽车，构建绿色低碳、高效运行的城市交通网络。</w:t>
            </w:r>
          </w:p>
        </w:tc>
        <w:tc>
          <w:tcPr>
            <w:tcW w:w="12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FD861">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50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10217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D26AAB">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w:t>
            </w:r>
          </w:p>
        </w:tc>
        <w:tc>
          <w:tcPr>
            <w:tcW w:w="25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D186B">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镇经济发展局、镇供电公司</w:t>
            </w:r>
          </w:p>
        </w:tc>
      </w:tr>
    </w:tbl>
    <w:p w14:paraId="2BE3705E">
      <w:pPr>
        <w:pStyle w:val="4"/>
        <w:outlineLvl w:val="1"/>
        <w:rPr>
          <w:rFonts w:ascii="Times New Roman" w:hAnsi="Times New Roman" w:eastAsia="黑体" w:cs="Times New Roman"/>
          <w:b w:val="0"/>
          <w:sz w:val="28"/>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61ADFDEB">
      <w:pPr>
        <w:pStyle w:val="4"/>
        <w:outlineLvl w:val="1"/>
        <w:rPr>
          <w:rFonts w:hint="eastAsia" w:ascii="Times New Roman" w:hAnsi="Times New Roman" w:eastAsia="黑体" w:cs="Times New Roman"/>
          <w:b w:val="0"/>
          <w:sz w:val="28"/>
          <w:highlight w:val="none"/>
          <w:lang w:val="en-US" w:eastAsia="zh-CN"/>
        </w:rPr>
      </w:pPr>
      <w:bookmarkStart w:id="575" w:name="_Toc10030"/>
      <w:bookmarkStart w:id="576" w:name="_Toc14522"/>
      <w:bookmarkStart w:id="577" w:name="_Toc25311"/>
      <w:bookmarkStart w:id="578" w:name="_Toc5372"/>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表4</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环境质量改善及污染防治重点工程</w:t>
      </w:r>
      <w:bookmarkEnd w:id="575"/>
      <w:bookmarkEnd w:id="576"/>
      <w:bookmarkEnd w:id="577"/>
      <w:bookmarkEnd w:id="578"/>
    </w:p>
    <w:tbl>
      <w:tblPr>
        <w:tblStyle w:val="30"/>
        <w:tblW w:w="14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544"/>
        <w:gridCol w:w="5296"/>
        <w:gridCol w:w="1214"/>
        <w:gridCol w:w="1401"/>
        <w:gridCol w:w="1320"/>
        <w:gridCol w:w="2571"/>
      </w:tblGrid>
      <w:tr w14:paraId="1812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B3CDD6">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序号</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BC4EFE">
            <w:pPr>
              <w:autoSpaceDE w:val="0"/>
              <w:autoSpaceDN w:val="0"/>
              <w:spacing w:beforeLines="0" w:afterLines="0" w:line="240" w:lineRule="auto"/>
              <w:ind w:firstLine="0" w:firstLineChars="0"/>
              <w:jc w:val="center"/>
              <w:rPr>
                <w:rFonts w:hint="eastAsia" w:eastAsia="仿宋_GB2312"/>
                <w:b/>
                <w:sz w:val="24"/>
                <w:szCs w:val="24"/>
                <w:highlight w:val="none"/>
              </w:rPr>
            </w:pPr>
            <w:r>
              <w:rPr>
                <w:rFonts w:hint="eastAsia" w:eastAsia="仿宋_GB2312"/>
                <w:b/>
                <w:sz w:val="24"/>
                <w:szCs w:val="24"/>
                <w:highlight w:val="none"/>
              </w:rPr>
              <w:t>项目名称</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63252D">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lang w:val="en-US" w:eastAsia="zh-CN"/>
              </w:rPr>
              <w:t>建设内容</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981E8E">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开始时间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969637">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完成时间</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730285">
            <w:pPr>
              <w:autoSpaceDE w:val="0"/>
              <w:autoSpaceDN w:val="0"/>
              <w:spacing w:beforeLines="0" w:afterLines="0" w:line="240" w:lineRule="auto"/>
              <w:ind w:firstLine="0" w:firstLineChars="0"/>
              <w:jc w:val="center"/>
              <w:rPr>
                <w:rFonts w:hint="eastAsia" w:eastAsia="仿宋_GB2312"/>
                <w:b/>
                <w:sz w:val="24"/>
                <w:szCs w:val="24"/>
                <w:highlight w:val="none"/>
                <w:lang w:eastAsia="zh-CN"/>
              </w:rPr>
            </w:pPr>
            <w:r>
              <w:rPr>
                <w:rFonts w:hint="eastAsia" w:eastAsia="仿宋_GB2312"/>
                <w:b/>
                <w:sz w:val="24"/>
                <w:szCs w:val="24"/>
                <w:highlight w:val="none"/>
              </w:rPr>
              <w:t>投资估算</w:t>
            </w:r>
            <w:r>
              <w:rPr>
                <w:rFonts w:hint="eastAsia" w:eastAsia="仿宋_GB2312"/>
                <w:b/>
                <w:sz w:val="24"/>
                <w:szCs w:val="24"/>
                <w:highlight w:val="none"/>
                <w:lang w:eastAsia="zh-CN"/>
              </w:rPr>
              <w:t>（</w:t>
            </w:r>
            <w:r>
              <w:rPr>
                <w:rFonts w:hint="eastAsia" w:eastAsia="仿宋_GB2312"/>
                <w:b/>
                <w:sz w:val="24"/>
                <w:szCs w:val="24"/>
                <w:highlight w:val="none"/>
                <w:lang w:val="en-US" w:eastAsia="zh-CN"/>
              </w:rPr>
              <w:t>万元</w:t>
            </w:r>
            <w:r>
              <w:rPr>
                <w:rFonts w:hint="eastAsia" w:eastAsia="仿宋_GB2312"/>
                <w:b/>
                <w:sz w:val="24"/>
                <w:szCs w:val="24"/>
                <w:highlight w:val="none"/>
                <w:lang w:eastAsia="zh-CN"/>
              </w:rPr>
              <w:t>）</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1C2143">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负责单位</w:t>
            </w:r>
          </w:p>
        </w:tc>
      </w:tr>
      <w:tr w14:paraId="4522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4156"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5C08BE3F">
            <w:pPr>
              <w:widowControl/>
              <w:autoSpaceDE w:val="0"/>
              <w:autoSpaceDN w:val="0"/>
              <w:spacing w:beforeLines="0" w:afterLines="0" w:line="240" w:lineRule="auto"/>
              <w:ind w:firstLine="0" w:firstLineChars="0"/>
              <w:jc w:val="center"/>
              <w:rPr>
                <w:rFonts w:hint="default" w:eastAsia="仿宋_GB2312"/>
                <w:color w:val="000000"/>
                <w:sz w:val="24"/>
                <w:szCs w:val="24"/>
                <w:highlight w:val="none"/>
                <w:lang w:val="en-US" w:eastAsia="zh-CN" w:bidi="ar"/>
              </w:rPr>
            </w:pPr>
            <w:r>
              <w:rPr>
                <w:rFonts w:hint="eastAsia" w:eastAsia="仿宋_GB2312"/>
                <w:b/>
                <w:bCs/>
                <w:color w:val="000000"/>
                <w:sz w:val="24"/>
                <w:szCs w:val="24"/>
                <w:highlight w:val="none"/>
                <w:lang w:val="en-US" w:eastAsia="zh-CN" w:bidi="ar"/>
              </w:rPr>
              <w:t>大气环境保护重点工程</w:t>
            </w:r>
          </w:p>
        </w:tc>
      </w:tr>
      <w:tr w14:paraId="47609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4B4D2D">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1</w:t>
            </w:r>
          </w:p>
        </w:tc>
        <w:tc>
          <w:tcPr>
            <w:tcW w:w="1544" w:type="dxa"/>
            <w:vMerge w:val="restart"/>
            <w:tcBorders>
              <w:top w:val="single" w:color="auto" w:sz="4" w:space="0"/>
              <w:left w:val="single" w:color="auto" w:sz="4" w:space="0"/>
              <w:right w:val="single" w:color="auto" w:sz="4" w:space="0"/>
              <w:tl2br w:val="nil"/>
              <w:tr2bl w:val="nil"/>
            </w:tcBorders>
            <w:noWrap w:val="0"/>
            <w:vAlign w:val="center"/>
          </w:tcPr>
          <w:p w14:paraId="606954B8">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挥发性有机物污染控制工程</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98EF12">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highlight w:val="none"/>
                <w:lang w:bidi="ar"/>
              </w:rPr>
              <w:t>推进VOCs重点监管企业安装在线监测设备。</w:t>
            </w:r>
            <w:r>
              <w:rPr>
                <w:rFonts w:hint="eastAsia" w:eastAsia="仿宋_GB2312"/>
                <w:color w:val="000000"/>
                <w:sz w:val="24"/>
                <w:szCs w:val="24"/>
                <w:highlight w:val="none"/>
                <w:lang w:bidi="ar"/>
              </w:rPr>
              <w:t>推动重点VOCs行业按要求提升无组织排放治理水平。</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70A944">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09B646">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w:t>
            </w:r>
            <w:r>
              <w:rPr>
                <w:rFonts w:hint="eastAsia" w:eastAsia="仿宋_GB2312"/>
                <w:sz w:val="24"/>
                <w:szCs w:val="24"/>
                <w:highlight w:val="none"/>
                <w:lang w:val="en-US" w:eastAsia="zh-CN"/>
              </w:rPr>
              <w:t>24</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97D3A3">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260（社会投资）</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04AA51">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w:t>
            </w:r>
          </w:p>
        </w:tc>
      </w:tr>
      <w:tr w14:paraId="7E2D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E01CFB">
            <w:pPr>
              <w:autoSpaceDE w:val="0"/>
              <w:autoSpaceDN w:val="0"/>
              <w:spacing w:beforeLines="0" w:afterLines="0" w:line="240" w:lineRule="auto"/>
              <w:ind w:firstLine="0" w:firstLineChars="0"/>
              <w:jc w:val="center"/>
              <w:rPr>
                <w:rFonts w:hint="eastAsia" w:eastAsia="仿宋_GB2312"/>
                <w:sz w:val="24"/>
                <w:szCs w:val="24"/>
                <w:highlight w:val="none"/>
                <w:lang w:val="en-US" w:eastAsia="zh-CN"/>
              </w:rPr>
            </w:pPr>
            <w:r>
              <w:rPr>
                <w:rFonts w:hint="eastAsia" w:eastAsia="仿宋_GB2312"/>
                <w:sz w:val="24"/>
                <w:szCs w:val="24"/>
                <w:highlight w:val="none"/>
                <w:lang w:val="en-US" w:eastAsia="zh-CN"/>
              </w:rPr>
              <w:t>2</w:t>
            </w:r>
          </w:p>
        </w:tc>
        <w:tc>
          <w:tcPr>
            <w:tcW w:w="1544" w:type="dxa"/>
            <w:vMerge w:val="continue"/>
            <w:tcBorders>
              <w:left w:val="single" w:color="auto" w:sz="4" w:space="0"/>
              <w:bottom w:val="single" w:color="auto" w:sz="4" w:space="0"/>
              <w:right w:val="single" w:color="auto" w:sz="4" w:space="0"/>
              <w:tl2br w:val="nil"/>
              <w:tr2bl w:val="nil"/>
            </w:tcBorders>
            <w:noWrap w:val="0"/>
            <w:vAlign w:val="center"/>
          </w:tcPr>
          <w:p w14:paraId="006113DF">
            <w:pPr>
              <w:widowControl/>
              <w:autoSpaceDE w:val="0"/>
              <w:autoSpaceDN w:val="0"/>
              <w:spacing w:beforeLines="0" w:afterLines="0" w:line="240" w:lineRule="auto"/>
              <w:ind w:firstLine="0" w:firstLineChars="0"/>
              <w:jc w:val="center"/>
              <w:rPr>
                <w:rFonts w:hint="eastAsia" w:eastAsia="仿宋_GB2312"/>
                <w:color w:val="000000"/>
                <w:sz w:val="24"/>
                <w:szCs w:val="24"/>
                <w:highlight w:val="none"/>
                <w:lang w:bidi="ar"/>
              </w:rPr>
            </w:pP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C67F9B">
            <w:pPr>
              <w:widowControl/>
              <w:autoSpaceDE w:val="0"/>
              <w:autoSpaceDN w:val="0"/>
              <w:spacing w:beforeLines="0" w:afterLines="0" w:line="240" w:lineRule="auto"/>
              <w:ind w:firstLine="480"/>
              <w:jc w:val="left"/>
              <w:rPr>
                <w:rFonts w:hint="eastAsia" w:eastAsia="仿宋_GB2312"/>
                <w:color w:val="000000"/>
                <w:sz w:val="24"/>
                <w:highlight w:val="none"/>
                <w:lang w:bidi="ar"/>
              </w:rPr>
            </w:pPr>
            <w:r>
              <w:rPr>
                <w:rFonts w:hint="eastAsia" w:eastAsia="仿宋_GB2312"/>
                <w:color w:val="000000"/>
                <w:sz w:val="24"/>
                <w:highlight w:val="none"/>
                <w:lang w:bidi="ar"/>
              </w:rPr>
              <w:t>引导涉VOCs重点行业企业提高低VOCs原辅材料的使用、推动使用溶剂型涂料、油墨、胶粘剂、清洗剂的企业实现应替尽替。</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F4F4C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4BD09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2025年底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78CE3D">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5683EB">
            <w:pPr>
              <w:widowControl/>
              <w:autoSpaceDE w:val="0"/>
              <w:autoSpaceDN w:val="0"/>
              <w:spacing w:beforeLines="0" w:afterLines="0" w:line="240" w:lineRule="auto"/>
              <w:ind w:firstLine="0" w:firstLineChars="0"/>
              <w:jc w:val="center"/>
              <w:rPr>
                <w:rFonts w:hint="default" w:eastAsia="仿宋_GB2312"/>
                <w:color w:val="000000"/>
                <w:sz w:val="24"/>
                <w:szCs w:val="24"/>
                <w:highlight w:val="none"/>
                <w:lang w:val="en-US" w:eastAsia="zh-CN" w:bidi="ar"/>
              </w:rPr>
            </w:pPr>
            <w:r>
              <w:rPr>
                <w:rFonts w:hint="eastAsia" w:eastAsia="仿宋_GB2312"/>
                <w:color w:val="000000"/>
                <w:sz w:val="24"/>
                <w:szCs w:val="24"/>
                <w:highlight w:val="none"/>
                <w:lang w:val="en-US" w:eastAsia="zh-CN" w:bidi="ar"/>
              </w:rPr>
              <w:t>镇生态环境分局</w:t>
            </w:r>
          </w:p>
        </w:tc>
      </w:tr>
      <w:tr w14:paraId="635A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D9054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val="en-US" w:eastAsia="zh-CN"/>
              </w:rPr>
              <w:t>3</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251033">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移动源大气污染防治工程</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F14A77">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实施机动车污染控制工程，构建机动车排污监管机构标准化建设，按标准配备办公、尾气检测、通讯设备与交通工具。</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D4C4D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5D054D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E347BC">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400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E0D612">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镇生态环境分局、镇交通运输分局</w:t>
            </w:r>
          </w:p>
        </w:tc>
      </w:tr>
      <w:tr w14:paraId="4E18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A94EA8">
            <w:pPr>
              <w:autoSpaceDE w:val="0"/>
              <w:autoSpaceDN w:val="0"/>
              <w:spacing w:beforeLines="0" w:afterLines="0" w:line="240" w:lineRule="auto"/>
              <w:ind w:firstLine="0" w:firstLineChars="0"/>
              <w:jc w:val="center"/>
              <w:rPr>
                <w:rFonts w:hint="eastAsia" w:eastAsia="仿宋_GB2312"/>
                <w:sz w:val="24"/>
                <w:szCs w:val="24"/>
                <w:highlight w:val="none"/>
                <w:lang w:val="en-US" w:eastAsia="zh-CN"/>
              </w:rPr>
            </w:pPr>
            <w:r>
              <w:rPr>
                <w:rFonts w:hint="eastAsia" w:eastAsia="仿宋_GB2312"/>
                <w:sz w:val="24"/>
                <w:szCs w:val="24"/>
                <w:highlight w:val="none"/>
                <w:lang w:val="en-US" w:eastAsia="zh-CN"/>
              </w:rPr>
              <w:t>4</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5E9545">
            <w:pPr>
              <w:widowControl/>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面源污染控制工程</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D85BCF">
            <w:pPr>
              <w:widowControl/>
              <w:autoSpaceDE w:val="0"/>
              <w:autoSpaceDN w:val="0"/>
              <w:spacing w:beforeLines="0" w:afterLines="0" w:line="240" w:lineRule="auto"/>
              <w:ind w:firstLine="480"/>
              <w:jc w:val="left"/>
              <w:rPr>
                <w:rFonts w:hint="eastAsia" w:eastAsia="仿宋_GB2312"/>
                <w:sz w:val="24"/>
                <w:highlight w:val="none"/>
                <w:lang w:val="en-US" w:eastAsia="zh-CN"/>
              </w:rPr>
            </w:pPr>
            <w:r>
              <w:rPr>
                <w:rFonts w:hint="eastAsia" w:eastAsia="仿宋_GB2312"/>
                <w:sz w:val="24"/>
                <w:highlight w:val="none"/>
              </w:rPr>
              <w:t>建立扬尘源信息库，加强建筑工地、道路、工业源和裸露土地扬尘控制</w:t>
            </w:r>
            <w:r>
              <w:rPr>
                <w:rFonts w:hint="eastAsia" w:eastAsia="仿宋_GB2312"/>
                <w:sz w:val="24"/>
                <w:highlight w:val="none"/>
                <w:lang w:eastAsia="zh-CN"/>
              </w:rPr>
              <w:t>，</w:t>
            </w:r>
            <w:r>
              <w:rPr>
                <w:rFonts w:hint="eastAsia" w:eastAsia="仿宋_GB2312"/>
                <w:sz w:val="24"/>
                <w:highlight w:val="none"/>
                <w:lang w:val="en-US" w:eastAsia="zh-CN"/>
              </w:rPr>
              <w:t>补齐</w:t>
            </w:r>
            <w:r>
              <w:rPr>
                <w:rFonts w:hint="eastAsia" w:eastAsia="仿宋_GB2312"/>
                <w:sz w:val="24"/>
                <w:highlight w:val="none"/>
              </w:rPr>
              <w:t>规模以上施工工地扬尘自动监测</w:t>
            </w:r>
            <w:r>
              <w:rPr>
                <w:rFonts w:hint="eastAsia" w:eastAsia="仿宋_GB2312"/>
                <w:sz w:val="24"/>
                <w:highlight w:val="none"/>
                <w:lang w:val="en-US" w:eastAsia="zh-CN"/>
              </w:rPr>
              <w:t>能力。</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8EB9D4">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9ECB01">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2025年底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D544D0">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120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F07EDC">
            <w:pPr>
              <w:widowControl/>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sz w:val="24"/>
                <w:highlight w:val="none"/>
              </w:rPr>
              <w:t>镇生态环境分局、镇住房和城乡建设局、镇城市管理和综合执法分局</w:t>
            </w:r>
          </w:p>
        </w:tc>
      </w:tr>
      <w:tr w14:paraId="2639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643887">
            <w:pPr>
              <w:autoSpaceDE w:val="0"/>
              <w:autoSpaceDN w:val="0"/>
              <w:spacing w:beforeLines="0" w:afterLines="0" w:line="240" w:lineRule="auto"/>
              <w:ind w:firstLine="0" w:firstLineChars="0"/>
              <w:jc w:val="center"/>
              <w:rPr>
                <w:rFonts w:hint="eastAsia" w:eastAsia="仿宋_GB2312"/>
                <w:sz w:val="24"/>
                <w:szCs w:val="24"/>
                <w:highlight w:val="none"/>
                <w:lang w:val="en-US" w:eastAsia="zh-CN"/>
              </w:rPr>
            </w:pPr>
            <w:r>
              <w:rPr>
                <w:rFonts w:hint="eastAsia" w:eastAsia="仿宋_GB2312"/>
                <w:sz w:val="24"/>
                <w:szCs w:val="24"/>
                <w:highlight w:val="none"/>
                <w:lang w:val="en-US" w:eastAsia="zh-CN"/>
              </w:rPr>
              <w:t>5</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AC8744">
            <w:pPr>
              <w:widowControl/>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highlight w:val="none"/>
              </w:rPr>
              <w:t>企业分级评价和差异化管理</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0EB4A6">
            <w:pPr>
              <w:widowControl/>
              <w:autoSpaceDE w:val="0"/>
              <w:autoSpaceDN w:val="0"/>
              <w:spacing w:beforeLines="0" w:afterLines="0" w:line="240" w:lineRule="auto"/>
              <w:ind w:firstLine="480" w:firstLineChars="200"/>
              <w:jc w:val="left"/>
              <w:rPr>
                <w:rFonts w:hint="eastAsia" w:eastAsia="仿宋_GB2312"/>
                <w:sz w:val="24"/>
                <w:szCs w:val="24"/>
                <w:highlight w:val="none"/>
                <w:lang w:val="en-US" w:eastAsia="zh-CN"/>
              </w:rPr>
            </w:pPr>
            <w:r>
              <w:rPr>
                <w:rFonts w:hint="eastAsia" w:eastAsia="仿宋_GB2312"/>
                <w:sz w:val="24"/>
                <w:highlight w:val="none"/>
              </w:rPr>
              <w:t>推动涉VOCs企业分批开展分级评价</w:t>
            </w:r>
            <w:r>
              <w:rPr>
                <w:rFonts w:hint="eastAsia" w:eastAsia="仿宋_GB2312"/>
                <w:sz w:val="24"/>
                <w:highlight w:val="none"/>
                <w:lang w:eastAsia="zh-CN"/>
              </w:rPr>
              <w:t>。</w:t>
            </w:r>
            <w:r>
              <w:rPr>
                <w:rFonts w:hint="eastAsia" w:eastAsia="仿宋_GB2312"/>
                <w:sz w:val="24"/>
                <w:szCs w:val="24"/>
                <w:highlight w:val="none"/>
                <w:lang w:val="en-US" w:eastAsia="zh-CN"/>
              </w:rPr>
              <w:t>组织企业申报评级工作，</w:t>
            </w:r>
            <w:r>
              <w:rPr>
                <w:rFonts w:hint="eastAsia" w:eastAsia="仿宋_GB2312"/>
                <w:sz w:val="24"/>
                <w:highlight w:val="none"/>
              </w:rPr>
              <w:t>对企业自评情况进行现场核查，</w:t>
            </w:r>
            <w:r>
              <w:rPr>
                <w:rFonts w:hint="eastAsia" w:eastAsia="仿宋_GB2312"/>
                <w:sz w:val="24"/>
                <w:highlight w:val="none"/>
                <w:lang w:val="en-US" w:eastAsia="zh-CN"/>
              </w:rPr>
              <w:t>完成相应初审工作，</w:t>
            </w:r>
            <w:r>
              <w:rPr>
                <w:rFonts w:hint="eastAsia" w:eastAsia="仿宋_GB2312"/>
                <w:sz w:val="24"/>
                <w:highlight w:val="none"/>
              </w:rPr>
              <w:t>配合东莞市生态环境局委派第三方专家到企业进行评级及深度治理验收。将分级纳入日常管理组织</w:t>
            </w:r>
            <w:r>
              <w:rPr>
                <w:rFonts w:hint="eastAsia" w:eastAsia="仿宋_GB2312"/>
                <w:sz w:val="24"/>
                <w:highlight w:val="none"/>
                <w:lang w:eastAsia="zh-CN"/>
              </w:rPr>
              <w:t>，</w:t>
            </w:r>
            <w:r>
              <w:rPr>
                <w:rFonts w:hint="eastAsia" w:eastAsia="仿宋_GB2312"/>
                <w:sz w:val="24"/>
                <w:highlight w:val="none"/>
                <w:lang w:val="en-US" w:eastAsia="zh-CN"/>
              </w:rPr>
              <w:t>重点督促</w:t>
            </w:r>
            <w:r>
              <w:rPr>
                <w:rFonts w:hint="eastAsia" w:eastAsia="仿宋_GB2312"/>
                <w:sz w:val="24"/>
                <w:highlight w:val="none"/>
              </w:rPr>
              <w:t>重点企业</w:t>
            </w:r>
            <w:r>
              <w:rPr>
                <w:rFonts w:hint="eastAsia" w:eastAsia="仿宋_GB2312"/>
                <w:sz w:val="24"/>
                <w:highlight w:val="none"/>
                <w:lang w:val="en-US" w:eastAsia="zh-CN"/>
              </w:rPr>
              <w:t>按照相关要求开展</w:t>
            </w:r>
            <w:r>
              <w:rPr>
                <w:rFonts w:hint="eastAsia" w:eastAsia="仿宋_GB2312"/>
                <w:sz w:val="24"/>
                <w:highlight w:val="none"/>
              </w:rPr>
              <w:t>转型升级治理，制定企业管理手册，明确治理任务、完成时间。</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2605CF">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5DA99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2030年底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9B0B0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sz w:val="24"/>
                <w:szCs w:val="24"/>
                <w:highlight w:val="none"/>
                <w:lang w:val="en-US" w:eastAsia="zh-CN"/>
              </w:rPr>
              <w:t>10</w:t>
            </w:r>
            <w:r>
              <w:rPr>
                <w:rFonts w:hint="eastAsia" w:eastAsia="仿宋_GB2312"/>
                <w:sz w:val="24"/>
                <w:szCs w:val="24"/>
                <w:highlight w:val="none"/>
                <w:lang w:val="en-US" w:eastAsia="zh-CN"/>
              </w:rPr>
              <w:t>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A1B22A">
            <w:pPr>
              <w:widowControl/>
              <w:autoSpaceDE w:val="0"/>
              <w:autoSpaceDN w:val="0"/>
              <w:spacing w:beforeLines="0" w:afterLines="0" w:line="240" w:lineRule="auto"/>
              <w:ind w:firstLine="0" w:firstLineChars="0"/>
              <w:jc w:val="center"/>
              <w:rPr>
                <w:rFonts w:hint="eastAsia" w:eastAsia="仿宋_GB2312"/>
                <w:sz w:val="24"/>
                <w:highlight w:val="none"/>
              </w:rPr>
            </w:pPr>
            <w:r>
              <w:rPr>
                <w:rFonts w:hint="eastAsia" w:eastAsia="仿宋_GB2312"/>
                <w:sz w:val="24"/>
                <w:szCs w:val="24"/>
                <w:highlight w:val="none"/>
              </w:rPr>
              <w:t>镇生态环境分局</w:t>
            </w:r>
          </w:p>
        </w:tc>
      </w:tr>
      <w:tr w14:paraId="453BF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D8AF26">
            <w:pPr>
              <w:autoSpaceDE w:val="0"/>
              <w:autoSpaceDN w:val="0"/>
              <w:spacing w:beforeLines="0" w:afterLines="0" w:line="240" w:lineRule="auto"/>
              <w:ind w:firstLine="0" w:firstLineChars="0"/>
              <w:jc w:val="center"/>
              <w:rPr>
                <w:rFonts w:hint="eastAsia" w:eastAsia="仿宋_GB2312"/>
                <w:sz w:val="24"/>
                <w:szCs w:val="24"/>
                <w:highlight w:val="none"/>
                <w:lang w:val="en-US" w:eastAsia="zh-CN"/>
              </w:rPr>
            </w:pPr>
            <w:r>
              <w:rPr>
                <w:rFonts w:hint="eastAsia" w:eastAsia="仿宋_GB2312"/>
                <w:sz w:val="24"/>
                <w:szCs w:val="24"/>
                <w:highlight w:val="none"/>
                <w:lang w:val="en-US" w:eastAsia="zh-CN"/>
              </w:rPr>
              <w:t>6</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318C8A">
            <w:pPr>
              <w:widowControl/>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大气网格化监测网络建设</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339698">
            <w:pPr>
              <w:widowControl/>
              <w:autoSpaceDE w:val="0"/>
              <w:autoSpaceDN w:val="0"/>
              <w:spacing w:beforeLines="0" w:afterLines="0" w:line="240" w:lineRule="auto"/>
              <w:ind w:firstLine="480"/>
              <w:jc w:val="left"/>
              <w:rPr>
                <w:rFonts w:hint="default" w:eastAsia="仿宋_GB2312"/>
                <w:sz w:val="24"/>
                <w:szCs w:val="24"/>
                <w:highlight w:val="none"/>
                <w:lang w:val="en-US" w:eastAsia="zh-CN"/>
              </w:rPr>
            </w:pPr>
            <w:r>
              <w:rPr>
                <w:rFonts w:hint="eastAsia" w:eastAsia="仿宋_GB2312"/>
                <w:sz w:val="24"/>
                <w:szCs w:val="24"/>
                <w:highlight w:val="none"/>
                <w:lang w:val="en-US" w:eastAsia="zh-CN"/>
              </w:rPr>
              <w:t>在现有镇内环境空气质量自动监测站的基础上，增设空气质量微型监测站。开展重点污染区域、重点企业、重点工业园区挥发性有机物走航监测分析。</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492729">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5DB499">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2030年底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FFAC93">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02EED9">
            <w:pPr>
              <w:widowControl/>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sz w:val="24"/>
                <w:highlight w:val="none"/>
              </w:rPr>
              <w:t>镇生态环境分局</w:t>
            </w:r>
          </w:p>
        </w:tc>
      </w:tr>
      <w:tr w14:paraId="2ADD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516298">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7</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4BAAB4">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大气污染源排放调查与数据库更新</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43BE0C">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sz w:val="24"/>
                <w:szCs w:val="24"/>
                <w:highlight w:val="none"/>
              </w:rPr>
              <w:t>完善</w:t>
            </w:r>
            <w:r>
              <w:rPr>
                <w:rFonts w:hint="eastAsia" w:eastAsia="仿宋_GB2312"/>
                <w:sz w:val="24"/>
                <w:szCs w:val="24"/>
                <w:highlight w:val="none"/>
                <w:lang w:val="en-US" w:eastAsia="zh-CN"/>
              </w:rPr>
              <w:t>清溪镇</w:t>
            </w:r>
            <w:r>
              <w:rPr>
                <w:rFonts w:hint="eastAsia" w:eastAsia="仿宋_GB2312"/>
                <w:sz w:val="24"/>
                <w:szCs w:val="24"/>
                <w:highlight w:val="none"/>
              </w:rPr>
              <w:t>工业固定污染源全口径</w:t>
            </w:r>
            <w:r>
              <w:rPr>
                <w:rFonts w:hint="eastAsia" w:eastAsia="仿宋_GB2312"/>
                <w:sz w:val="24"/>
                <w:szCs w:val="24"/>
                <w:highlight w:val="none"/>
                <w:lang w:val="en-US" w:eastAsia="zh-CN"/>
              </w:rPr>
              <w:t>排查</w:t>
            </w:r>
            <w:r>
              <w:rPr>
                <w:rFonts w:hint="eastAsia" w:eastAsia="仿宋_GB2312"/>
                <w:sz w:val="24"/>
                <w:szCs w:val="24"/>
                <w:highlight w:val="none"/>
              </w:rPr>
              <w:t>，并逐年更新</w:t>
            </w:r>
            <w:r>
              <w:rPr>
                <w:rFonts w:hint="eastAsia" w:eastAsia="仿宋_GB2312"/>
                <w:sz w:val="24"/>
                <w:szCs w:val="24"/>
                <w:highlight w:val="none"/>
                <w:lang w:eastAsia="zh-CN"/>
              </w:rPr>
              <w:t>。</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A1B47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E8BC5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E4964">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default"/>
                <w:sz w:val="24"/>
                <w:szCs w:val="24"/>
                <w:highlight w:val="none"/>
                <w:lang w:val="en-US" w:eastAsia="zh-CN"/>
              </w:rPr>
              <w:t>8</w:t>
            </w:r>
            <w:r>
              <w:rPr>
                <w:rFonts w:hint="eastAsia"/>
                <w:sz w:val="24"/>
                <w:szCs w:val="24"/>
                <w:highlight w:val="none"/>
                <w:lang w:val="en-US" w:eastAsia="zh-CN"/>
              </w:rPr>
              <w:t>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105308">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sz w:val="24"/>
                <w:szCs w:val="24"/>
                <w:highlight w:val="none"/>
              </w:rPr>
              <w:t>镇生态环境分局</w:t>
            </w:r>
          </w:p>
        </w:tc>
      </w:tr>
      <w:tr w14:paraId="051C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602185">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8</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29C387">
            <w:pPr>
              <w:widowControl/>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共性工厂建设</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1857F9">
            <w:pPr>
              <w:widowControl/>
              <w:autoSpaceDE w:val="0"/>
              <w:autoSpaceDN w:val="0"/>
              <w:spacing w:beforeLines="0" w:afterLines="0" w:line="240" w:lineRule="auto"/>
              <w:ind w:firstLine="480"/>
              <w:jc w:val="left"/>
              <w:rPr>
                <w:rFonts w:hint="eastAsia" w:eastAsia="仿宋_GB2312"/>
                <w:sz w:val="24"/>
                <w:highlight w:val="none"/>
                <w:lang w:eastAsia="zh-CN"/>
              </w:rPr>
            </w:pPr>
            <w:r>
              <w:rPr>
                <w:rFonts w:hint="eastAsia" w:eastAsia="仿宋_GB2312"/>
                <w:sz w:val="24"/>
                <w:highlight w:val="none"/>
              </w:rPr>
              <w:t>为推动工业企业集聚集约发展，加强引导工业聚焦方向，拟计划建设</w:t>
            </w:r>
            <w:r>
              <w:rPr>
                <w:rFonts w:hint="eastAsia" w:eastAsia="仿宋_GB2312"/>
                <w:sz w:val="24"/>
                <w:highlight w:val="none"/>
                <w:lang w:eastAsia="zh-CN"/>
              </w:rPr>
              <w:t>3</w:t>
            </w:r>
            <w:r>
              <w:rPr>
                <w:rFonts w:hint="eastAsia" w:eastAsia="仿宋_GB2312"/>
                <w:sz w:val="24"/>
                <w:highlight w:val="none"/>
              </w:rPr>
              <w:t>个共性工厂</w:t>
            </w:r>
            <w:r>
              <w:rPr>
                <w:rFonts w:hint="eastAsia" w:eastAsia="仿宋_GB2312"/>
                <w:sz w:val="24"/>
                <w:highlight w:val="none"/>
                <w:lang w:eastAsia="zh-CN"/>
              </w:rPr>
              <w:t>，</w:t>
            </w:r>
            <w:r>
              <w:rPr>
                <w:rFonts w:hint="eastAsia" w:eastAsia="仿宋_GB2312"/>
                <w:sz w:val="24"/>
                <w:highlight w:val="none"/>
              </w:rPr>
              <w:t>主要</w:t>
            </w:r>
            <w:r>
              <w:rPr>
                <w:rFonts w:hint="eastAsia" w:eastAsia="仿宋_GB2312"/>
                <w:sz w:val="24"/>
                <w:highlight w:val="none"/>
                <w:lang w:val="en-US" w:eastAsia="zh-CN"/>
              </w:rPr>
              <w:t>定位分别为：（1）</w:t>
            </w:r>
            <w:r>
              <w:rPr>
                <w:rFonts w:hint="eastAsia" w:eastAsia="仿宋_GB2312"/>
                <w:sz w:val="24"/>
                <w:highlight w:val="none"/>
              </w:rPr>
              <w:t>辊涂加工家具、修色加工家具、喷漆加工家具</w:t>
            </w:r>
            <w:r>
              <w:rPr>
                <w:rFonts w:hint="eastAsia" w:eastAsia="仿宋_GB2312"/>
                <w:sz w:val="24"/>
                <w:highlight w:val="none"/>
                <w:lang w:val="en-US" w:eastAsia="zh-CN"/>
              </w:rPr>
              <w:t>等</w:t>
            </w:r>
            <w:r>
              <w:rPr>
                <w:rFonts w:hint="eastAsia" w:eastAsia="仿宋_GB2312"/>
                <w:sz w:val="24"/>
                <w:highlight w:val="none"/>
              </w:rPr>
              <w:t>家具类VOCs生态共性联创建设项目</w:t>
            </w:r>
            <w:r>
              <w:rPr>
                <w:rFonts w:hint="eastAsia" w:eastAsia="仿宋_GB2312"/>
                <w:sz w:val="24"/>
                <w:highlight w:val="none"/>
                <w:lang w:val="en-US" w:eastAsia="zh-CN"/>
              </w:rPr>
              <w:t>；（2）</w:t>
            </w:r>
            <w:r>
              <w:rPr>
                <w:rFonts w:hint="eastAsia" w:eastAsia="仿宋_GB2312"/>
                <w:sz w:val="24"/>
                <w:highlight w:val="none"/>
              </w:rPr>
              <w:t>金属制品、塑胶制品及电子器件制造等生态共性工厂项目配套产业链</w:t>
            </w:r>
            <w:r>
              <w:rPr>
                <w:rFonts w:hint="eastAsia" w:eastAsia="仿宋_GB2312"/>
                <w:sz w:val="24"/>
                <w:highlight w:val="none"/>
                <w:lang w:val="en-US" w:eastAsia="zh-CN"/>
              </w:rPr>
              <w:t>；（3）</w:t>
            </w:r>
            <w:r>
              <w:rPr>
                <w:rFonts w:hint="eastAsia" w:eastAsia="仿宋_GB2312"/>
                <w:sz w:val="24"/>
                <w:highlight w:val="none"/>
              </w:rPr>
              <w:t>塑料制品注塑、喷涂、印刷、涂布，五金制品喷涂、喷粉，家具制品喷涂，棉纺织制品印花，纸制品印刷等行业配套VOCs联创产业</w:t>
            </w:r>
            <w:r>
              <w:rPr>
                <w:rFonts w:hint="eastAsia" w:eastAsia="仿宋_GB2312"/>
                <w:sz w:val="24"/>
                <w:highlight w:val="none"/>
                <w:lang w:eastAsia="zh-CN"/>
              </w:rPr>
              <w:t>。</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8E0C56">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8703CA">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2030年</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DC3353">
            <w:pPr>
              <w:autoSpaceDE w:val="0"/>
              <w:autoSpaceDN w:val="0"/>
              <w:spacing w:beforeLines="0" w:afterLines="0" w:line="240" w:lineRule="auto"/>
              <w:ind w:firstLine="0" w:firstLineChars="0"/>
              <w:jc w:val="center"/>
              <w:rPr>
                <w:rFonts w:hint="default"/>
                <w:sz w:val="24"/>
                <w:szCs w:val="24"/>
                <w:highlight w:val="none"/>
                <w:lang w:val="en-US" w:eastAsia="zh-CN"/>
              </w:rPr>
            </w:pPr>
            <w:r>
              <w:rPr>
                <w:rFonts w:hint="eastAsia"/>
                <w:sz w:val="24"/>
                <w:szCs w:val="24"/>
                <w:highlight w:val="none"/>
                <w:lang w:val="en-US" w:eastAsia="zh-CN"/>
              </w:rPr>
              <w:t>65500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B5283B">
            <w:pPr>
              <w:widowControl/>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sz w:val="24"/>
                <w:szCs w:val="24"/>
                <w:highlight w:val="none"/>
              </w:rPr>
              <w:t>镇生态环境分局</w:t>
            </w:r>
          </w:p>
        </w:tc>
      </w:tr>
      <w:tr w14:paraId="5743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156"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46D9ABA2">
            <w:pPr>
              <w:widowControl/>
              <w:autoSpaceDE w:val="0"/>
              <w:autoSpaceDN w:val="0"/>
              <w:spacing w:beforeLines="0" w:afterLines="0" w:line="240" w:lineRule="auto"/>
              <w:ind w:firstLine="0" w:firstLineChars="0"/>
              <w:jc w:val="center"/>
              <w:rPr>
                <w:rFonts w:hint="eastAsia" w:eastAsia="仿宋_GB2312"/>
                <w:color w:val="000000"/>
                <w:sz w:val="24"/>
                <w:szCs w:val="24"/>
                <w:highlight w:val="none"/>
                <w:lang w:bidi="ar"/>
              </w:rPr>
            </w:pPr>
            <w:r>
              <w:rPr>
                <w:rFonts w:hint="eastAsia" w:eastAsia="仿宋_GB2312"/>
                <w:b/>
                <w:bCs/>
                <w:color w:val="000000"/>
                <w:sz w:val="24"/>
                <w:szCs w:val="24"/>
                <w:highlight w:val="none"/>
                <w:lang w:bidi="ar"/>
              </w:rPr>
              <w:t>水环境保护重点工程</w:t>
            </w:r>
          </w:p>
        </w:tc>
      </w:tr>
      <w:tr w14:paraId="6CFF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B1AEE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9</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9D36E9">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石马河流域综合整治</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539752">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持续推进石马河流域综合整治项目：1、管网工程；2、支流河涌治理工程：河涌综合治理、底泥处理处置；3、一河两岸景观工程：水景观、生态；4、水资源保护与配置工程；5、运行保障工程等。</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23B5E4">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1</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2912C8">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5</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EB1D8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4</w:t>
            </w:r>
            <w:r>
              <w:rPr>
                <w:rFonts w:hint="eastAsia" w:eastAsia="仿宋_GB2312"/>
                <w:sz w:val="24"/>
                <w:szCs w:val="24"/>
                <w:highlight w:val="none"/>
                <w:lang w:val="en-US" w:eastAsia="zh-CN"/>
              </w:rPr>
              <w:t>0000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EA85BD">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镇水污染治理现场指挥部</w:t>
            </w:r>
          </w:p>
        </w:tc>
      </w:tr>
      <w:tr w14:paraId="29BA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E123E8">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DCC76B">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碧道工程</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8F31F0">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szCs w:val="24"/>
                <w:highlight w:val="none"/>
                <w:lang w:bidi="ar"/>
              </w:rPr>
              <w:t>清溪水下游碧道项目，河道防洪、水质改善、生态河岸景观等。</w:t>
            </w:r>
            <w:r>
              <w:rPr>
                <w:rFonts w:hint="eastAsia" w:eastAsia="仿宋_GB2312"/>
                <w:color w:val="000000"/>
                <w:sz w:val="24"/>
                <w:szCs w:val="24"/>
                <w:highlight w:val="none"/>
                <w:lang w:val="en-US" w:eastAsia="zh-CN" w:bidi="ar"/>
              </w:rPr>
              <w:t>石马河干流碧道工程项目，</w:t>
            </w:r>
            <w:r>
              <w:rPr>
                <w:rFonts w:hint="eastAsia" w:eastAsia="仿宋_GB2312"/>
                <w:color w:val="000000"/>
                <w:sz w:val="24"/>
                <w:szCs w:val="24"/>
                <w:highlight w:val="none"/>
                <w:lang w:bidi="ar"/>
              </w:rPr>
              <w:t>河道防洪、水质改善、生态河岸景观等。</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298F1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2</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2E8C1F">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16940B">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val="en-US" w:eastAsia="zh-CN"/>
              </w:rPr>
              <w:t>4</w:t>
            </w:r>
            <w:r>
              <w:rPr>
                <w:rFonts w:hint="eastAsia" w:eastAsia="仿宋_GB2312"/>
                <w:sz w:val="24"/>
                <w:szCs w:val="24"/>
                <w:highlight w:val="none"/>
              </w:rPr>
              <w:t>3</w:t>
            </w:r>
            <w:r>
              <w:rPr>
                <w:rFonts w:hint="eastAsia" w:eastAsia="仿宋_GB2312"/>
                <w:sz w:val="24"/>
                <w:szCs w:val="24"/>
                <w:highlight w:val="none"/>
                <w:lang w:val="en-US" w:eastAsia="zh-CN"/>
              </w:rPr>
              <w:t>000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02451F">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河长办</w:t>
            </w:r>
          </w:p>
        </w:tc>
      </w:tr>
      <w:tr w14:paraId="2B68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C26DF9">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11</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4708FB">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集中式污水处理厂扩建</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B21964">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szCs w:val="24"/>
                <w:highlight w:val="none"/>
                <w:lang w:bidi="ar"/>
              </w:rPr>
              <w:t>清溪厦坭污水处理厂二期项目。</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037E66">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1</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8F5DB2">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2025年底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43A77C">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rPr>
              <w:t>5</w:t>
            </w:r>
            <w:r>
              <w:rPr>
                <w:rFonts w:hint="eastAsia" w:eastAsia="仿宋_GB2312"/>
                <w:sz w:val="24"/>
                <w:szCs w:val="24"/>
                <w:highlight w:val="none"/>
                <w:lang w:val="en-US" w:eastAsia="zh-CN"/>
              </w:rPr>
              <w:t>1000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92B43B">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市水务集团、镇政府</w:t>
            </w:r>
          </w:p>
        </w:tc>
      </w:tr>
      <w:tr w14:paraId="0BA4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184011">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12</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D7E2E8">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污水处理提质增效</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A130BB">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szCs w:val="24"/>
                <w:highlight w:val="none"/>
                <w:lang w:bidi="ar"/>
              </w:rPr>
              <w:t>全面排查污水管网功能状况，实施管网错混接改造、管网更新、破损修复改造等工程。</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FDD210">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F6197B">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F23655">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2500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6A5A4D">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镇水污染治理现场指挥部、镇水务工程运营中心、镇农林水务局、镇生态环境分局</w:t>
            </w:r>
          </w:p>
        </w:tc>
      </w:tr>
      <w:tr w14:paraId="5F30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CCB47F">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13</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4D1984">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截污主干管改造提升</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42D07A">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szCs w:val="24"/>
                <w:highlight w:val="none"/>
                <w:lang w:bidi="ar"/>
              </w:rPr>
              <w:t>配合市生态环境局完成截污主干管改造提升工作。</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6AD230">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4741D4">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2025年底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798BA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2900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533575">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镇水污染治理现场指挥部、镇水务工程运营中心、镇生态环境分局</w:t>
            </w:r>
          </w:p>
        </w:tc>
      </w:tr>
      <w:tr w14:paraId="223E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50EA0D">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14</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F8295B">
            <w:pPr>
              <w:widowControl/>
              <w:autoSpaceDE w:val="0"/>
              <w:autoSpaceDN w:val="0"/>
              <w:spacing w:beforeLines="0" w:afterLines="0" w:line="240" w:lineRule="auto"/>
              <w:ind w:firstLine="0" w:firstLineChars="0"/>
              <w:jc w:val="center"/>
              <w:rPr>
                <w:rFonts w:hint="eastAsia" w:eastAsia="仿宋_GB2312"/>
                <w:color w:val="000000"/>
                <w:sz w:val="24"/>
                <w:szCs w:val="24"/>
                <w:highlight w:val="none"/>
                <w:lang w:eastAsia="zh-CN" w:bidi="ar"/>
              </w:rPr>
            </w:pPr>
            <w:r>
              <w:rPr>
                <w:rFonts w:hint="eastAsia" w:eastAsia="仿宋_GB2312"/>
                <w:color w:val="000000"/>
                <w:sz w:val="24"/>
                <w:szCs w:val="24"/>
                <w:highlight w:val="none"/>
                <w:lang w:bidi="ar"/>
              </w:rPr>
              <w:t>污水管网联通</w:t>
            </w:r>
            <w:r>
              <w:rPr>
                <w:rFonts w:hint="eastAsia" w:eastAsia="仿宋_GB2312"/>
                <w:color w:val="000000"/>
                <w:sz w:val="24"/>
                <w:szCs w:val="24"/>
                <w:highlight w:val="none"/>
                <w:lang w:val="en-US" w:eastAsia="zh-CN" w:bidi="ar"/>
              </w:rPr>
              <w:t>工程</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09B0DA">
            <w:pPr>
              <w:widowControl/>
              <w:autoSpaceDE w:val="0"/>
              <w:autoSpaceDN w:val="0"/>
              <w:spacing w:beforeLines="0" w:afterLines="0" w:line="240" w:lineRule="auto"/>
              <w:ind w:firstLine="480"/>
              <w:jc w:val="left"/>
              <w:rPr>
                <w:rFonts w:hint="eastAsia" w:eastAsia="仿宋_GB2312"/>
                <w:color w:val="000000"/>
                <w:sz w:val="24"/>
                <w:szCs w:val="24"/>
                <w:highlight w:val="none"/>
                <w:lang w:bidi="ar"/>
              </w:rPr>
            </w:pPr>
            <w:r>
              <w:rPr>
                <w:rFonts w:hint="eastAsia" w:eastAsia="仿宋_GB2312"/>
                <w:color w:val="000000"/>
                <w:sz w:val="24"/>
                <w:szCs w:val="24"/>
                <w:highlight w:val="none"/>
                <w:lang w:bidi="ar"/>
              </w:rPr>
              <w:t>沿银屏路（北环路口至铁场段）新建3km截污次支管及1座污水提升泵站，以实现铁场村污水管网与镇区市政污水管网联通，解决现状一体化污水处理设施尾水排放至水源保护区的问题。</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BCC2C9">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FD9A3C">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2025年底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7B71D6">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1080（其中社会投资300万）</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47C895">
            <w:pPr>
              <w:widowControl/>
              <w:autoSpaceDE w:val="0"/>
              <w:autoSpaceDN w:val="0"/>
              <w:spacing w:beforeLines="0" w:afterLines="0" w:line="240" w:lineRule="auto"/>
              <w:ind w:firstLine="0" w:firstLineChars="0"/>
              <w:jc w:val="center"/>
              <w:rPr>
                <w:rFonts w:hint="eastAsia" w:eastAsia="仿宋_GB2312"/>
                <w:color w:val="000000"/>
                <w:sz w:val="24"/>
                <w:szCs w:val="24"/>
                <w:highlight w:val="none"/>
                <w:lang w:bidi="ar"/>
              </w:rPr>
            </w:pPr>
            <w:r>
              <w:rPr>
                <w:rFonts w:hint="eastAsia" w:eastAsia="仿宋_GB2312"/>
                <w:color w:val="000000"/>
                <w:sz w:val="24"/>
                <w:szCs w:val="24"/>
                <w:highlight w:val="none"/>
                <w:lang w:bidi="ar"/>
              </w:rPr>
              <w:t>镇水务工程运营中心、镇水污染治理现场指挥部、镇生态环境分局</w:t>
            </w:r>
          </w:p>
        </w:tc>
      </w:tr>
      <w:tr w14:paraId="321D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5B2799">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15</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6D5380">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污染河涌整治</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534E25">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33条河涌入河排污口整治</w:t>
            </w:r>
            <w:r>
              <w:rPr>
                <w:rFonts w:hint="eastAsia" w:eastAsia="仿宋_GB2312"/>
                <w:color w:val="000000"/>
                <w:sz w:val="24"/>
                <w:szCs w:val="24"/>
                <w:highlight w:val="none"/>
                <w:lang w:eastAsia="zh-CN" w:bidi="ar"/>
              </w:rPr>
              <w:t>及其他</w:t>
            </w:r>
            <w:r>
              <w:rPr>
                <w:rFonts w:hint="eastAsia" w:eastAsia="仿宋_GB2312"/>
                <w:color w:val="000000"/>
                <w:sz w:val="24"/>
                <w:szCs w:val="24"/>
                <w:highlight w:val="none"/>
                <w:lang w:bidi="ar"/>
              </w:rPr>
              <w:t>整治工程措施等。</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E859D1">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562A8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E3A570">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500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0CBCE5">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镇水污染治理现场指挥部、镇水务工程运营中心、镇生态环境分局</w:t>
            </w:r>
          </w:p>
        </w:tc>
      </w:tr>
      <w:tr w14:paraId="6CA3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1BED20">
            <w:pPr>
              <w:autoSpaceDE w:val="0"/>
              <w:autoSpaceDN w:val="0"/>
              <w:spacing w:beforeLines="0" w:afterLines="0" w:line="240" w:lineRule="auto"/>
              <w:ind w:firstLine="0" w:firstLineChars="0"/>
              <w:jc w:val="center"/>
              <w:rPr>
                <w:rFonts w:hint="default"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16</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60392B">
            <w:pPr>
              <w:widowControl/>
              <w:autoSpaceDE w:val="0"/>
              <w:autoSpaceDN w:val="0"/>
              <w:spacing w:beforeLines="0" w:afterLines="0" w:line="240" w:lineRule="auto"/>
              <w:ind w:firstLine="0" w:firstLineChars="0"/>
              <w:jc w:val="center"/>
              <w:rPr>
                <w:rFonts w:hint="eastAsia" w:ascii="Times New Roman" w:hAnsi="Times New Roman" w:eastAsia="宋体" w:cs="Times New Roman"/>
                <w:color w:val="000000"/>
                <w:kern w:val="2"/>
                <w:sz w:val="24"/>
                <w:szCs w:val="24"/>
                <w:highlight w:val="none"/>
                <w:lang w:val="en-US" w:eastAsia="zh-CN" w:bidi="ar"/>
              </w:rPr>
            </w:pPr>
            <w:r>
              <w:rPr>
                <w:rFonts w:hint="eastAsia" w:eastAsia="仿宋_GB2312"/>
                <w:color w:val="000000"/>
                <w:sz w:val="24"/>
                <w:szCs w:val="24"/>
                <w:highlight w:val="none"/>
                <w:lang w:bidi="ar"/>
              </w:rPr>
              <w:t>美丽河湖建设</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C09074">
            <w:pPr>
              <w:ind w:firstLine="480" w:firstLineChars="200"/>
              <w:rPr>
                <w:rFonts w:hint="eastAsia" w:eastAsia="仿宋_GB2312"/>
                <w:color w:val="000000"/>
                <w:sz w:val="24"/>
                <w:szCs w:val="24"/>
                <w:highlight w:val="none"/>
                <w:lang w:val="en-US" w:eastAsia="zh-CN" w:bidi="ar"/>
              </w:rPr>
            </w:pPr>
            <w:r>
              <w:rPr>
                <w:rFonts w:hint="eastAsia" w:eastAsia="仿宋_GB2312"/>
                <w:color w:val="000000"/>
                <w:sz w:val="24"/>
                <w:szCs w:val="24"/>
                <w:highlight w:val="none"/>
                <w:lang w:val="en-US" w:eastAsia="zh-CN" w:bidi="ar"/>
              </w:rPr>
              <w:t>开展</w:t>
            </w:r>
            <w:r>
              <w:rPr>
                <w:rFonts w:hint="eastAsia" w:eastAsia="仿宋_GB2312"/>
                <w:color w:val="000000"/>
                <w:sz w:val="24"/>
                <w:szCs w:val="24"/>
                <w:highlight w:val="none"/>
                <w:lang w:bidi="ar"/>
              </w:rPr>
              <w:t>美丽河湖</w:t>
            </w:r>
            <w:r>
              <w:rPr>
                <w:rFonts w:hint="eastAsia" w:eastAsia="仿宋_GB2312"/>
                <w:color w:val="000000"/>
                <w:sz w:val="24"/>
                <w:szCs w:val="24"/>
                <w:highlight w:val="none"/>
                <w:lang w:val="en-US" w:eastAsia="zh-CN" w:bidi="ar"/>
              </w:rPr>
              <w:t>保护与建设</w:t>
            </w:r>
            <w:r>
              <w:rPr>
                <w:rFonts w:hint="eastAsia" w:eastAsia="仿宋_GB2312"/>
                <w:color w:val="000000"/>
                <w:sz w:val="24"/>
                <w:szCs w:val="24"/>
                <w:highlight w:val="none"/>
                <w:lang w:bidi="ar"/>
              </w:rPr>
              <w:t>，</w:t>
            </w:r>
            <w:r>
              <w:rPr>
                <w:rFonts w:hint="eastAsia" w:eastAsia="仿宋_GB2312"/>
                <w:color w:val="000000"/>
                <w:sz w:val="24"/>
                <w:szCs w:val="24"/>
                <w:highlight w:val="none"/>
                <w:lang w:val="en-US" w:eastAsia="zh-CN" w:bidi="ar"/>
              </w:rPr>
              <w:t>巩固</w:t>
            </w:r>
            <w:r>
              <w:rPr>
                <w:rFonts w:hint="eastAsia" w:eastAsia="仿宋_GB2312"/>
                <w:color w:val="000000"/>
                <w:sz w:val="24"/>
                <w:szCs w:val="24"/>
                <w:highlight w:val="none"/>
                <w:lang w:bidi="ar"/>
              </w:rPr>
              <w:t>治水成效</w:t>
            </w:r>
            <w:r>
              <w:rPr>
                <w:rFonts w:hint="eastAsia" w:eastAsia="仿宋_GB2312"/>
                <w:color w:val="000000"/>
                <w:sz w:val="24"/>
                <w:szCs w:val="24"/>
                <w:highlight w:val="none"/>
                <w:lang w:eastAsia="zh-CN" w:bidi="ar"/>
              </w:rPr>
              <w:t>，</w:t>
            </w:r>
            <w:r>
              <w:rPr>
                <w:rFonts w:hint="eastAsia" w:eastAsia="仿宋_GB2312"/>
                <w:color w:val="000000"/>
                <w:sz w:val="24"/>
                <w:szCs w:val="24"/>
                <w:highlight w:val="none"/>
                <w:lang w:val="en-US" w:eastAsia="zh-CN" w:bidi="ar"/>
              </w:rPr>
              <w:t>包括河湖缓冲带建设、水生态及生境修复工程（不少于2处）、支流河涌及暗渠水质提升工程。</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82D391">
            <w:pPr>
              <w:autoSpaceDE w:val="0"/>
              <w:autoSpaceDN w:val="0"/>
              <w:spacing w:beforeLines="0" w:afterLines="0"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A1BAA1">
            <w:pPr>
              <w:autoSpaceDE w:val="0"/>
              <w:autoSpaceDN w:val="0"/>
              <w:spacing w:beforeLines="0" w:afterLines="0"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7680B5">
            <w:pPr>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12000（其中社会投资2000万）</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981D77">
            <w:pPr>
              <w:widowControl/>
              <w:autoSpaceDE w:val="0"/>
              <w:autoSpaceDN w:val="0"/>
              <w:spacing w:beforeLines="0" w:afterLines="0" w:line="240" w:lineRule="auto"/>
              <w:ind w:firstLine="0" w:firstLineChars="0"/>
              <w:jc w:val="center"/>
              <w:rPr>
                <w:rFonts w:hint="eastAsia" w:ascii="Times New Roman" w:hAnsi="Times New Roman" w:eastAsia="宋体" w:cs="Times New Roman"/>
                <w:color w:val="000000"/>
                <w:kern w:val="2"/>
                <w:sz w:val="24"/>
                <w:szCs w:val="24"/>
                <w:highlight w:val="none"/>
                <w:lang w:val="en-US" w:eastAsia="zh-CN" w:bidi="ar"/>
              </w:rPr>
            </w:pPr>
            <w:r>
              <w:rPr>
                <w:rFonts w:hint="eastAsia" w:eastAsia="仿宋_GB2312"/>
                <w:sz w:val="24"/>
                <w:szCs w:val="24"/>
                <w:highlight w:val="none"/>
              </w:rPr>
              <w:t>镇生态环境分局</w:t>
            </w:r>
          </w:p>
        </w:tc>
      </w:tr>
      <w:tr w14:paraId="3652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4156"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78BDFE5B">
            <w:pPr>
              <w:widowControl/>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b/>
                <w:bCs/>
                <w:sz w:val="24"/>
                <w:szCs w:val="24"/>
                <w:highlight w:val="none"/>
              </w:rPr>
              <w:t>土壤与地下水污染防治重点工程</w:t>
            </w:r>
          </w:p>
        </w:tc>
      </w:tr>
      <w:tr w14:paraId="4C09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B26972">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17</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D3C3E2">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地下水污染调查</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8498BF">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sz w:val="24"/>
                <w:szCs w:val="24"/>
                <w:highlight w:val="none"/>
              </w:rPr>
              <w:t>按要求配合东莞市生态环境局开展地下水污染调查。</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B20D5E">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D4C58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2025年底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5986D0">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98E029">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sz w:val="24"/>
                <w:szCs w:val="24"/>
                <w:highlight w:val="none"/>
              </w:rPr>
              <w:t>镇生态环境分局</w:t>
            </w:r>
          </w:p>
        </w:tc>
      </w:tr>
      <w:tr w14:paraId="0D38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B16A92">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18</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8B9BCB">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地下水</w:t>
            </w:r>
            <w:r>
              <w:rPr>
                <w:rFonts w:hint="eastAsia" w:eastAsia="仿宋_GB2312"/>
                <w:sz w:val="24"/>
                <w:szCs w:val="24"/>
                <w:highlight w:val="none"/>
                <w:lang w:val="en-US" w:eastAsia="zh-CN"/>
              </w:rPr>
              <w:t>国控环境区域</w:t>
            </w:r>
            <w:r>
              <w:rPr>
                <w:rFonts w:hint="eastAsia" w:eastAsia="仿宋_GB2312"/>
                <w:sz w:val="24"/>
                <w:highlight w:val="none"/>
                <w:lang w:val="en-US" w:eastAsia="zh-CN"/>
              </w:rPr>
              <w:t>点位日常</w:t>
            </w:r>
            <w:r>
              <w:rPr>
                <w:rFonts w:hint="eastAsia" w:eastAsia="仿宋_GB2312"/>
                <w:sz w:val="24"/>
                <w:highlight w:val="none"/>
              </w:rPr>
              <w:t>管理和维护</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DC8F19">
            <w:pPr>
              <w:widowControl/>
              <w:autoSpaceDE w:val="0"/>
              <w:autoSpaceDN w:val="0"/>
              <w:spacing w:beforeLines="0" w:afterLines="0" w:line="240" w:lineRule="auto"/>
              <w:ind w:firstLine="480"/>
              <w:jc w:val="left"/>
              <w:rPr>
                <w:rFonts w:hint="eastAsia" w:eastAsia="仿宋_GB2312"/>
                <w:sz w:val="24"/>
                <w:szCs w:val="24"/>
                <w:highlight w:val="none"/>
              </w:rPr>
            </w:pPr>
            <w:r>
              <w:rPr>
                <w:rFonts w:hint="eastAsia" w:eastAsia="仿宋_GB2312"/>
                <w:sz w:val="24"/>
                <w:highlight w:val="none"/>
                <w:lang w:val="en-US" w:eastAsia="zh-CN"/>
              </w:rPr>
              <w:t>开展</w:t>
            </w:r>
            <w:r>
              <w:rPr>
                <w:rFonts w:hint="eastAsia" w:eastAsia="仿宋_GB2312"/>
                <w:sz w:val="24"/>
                <w:highlight w:val="none"/>
              </w:rPr>
              <w:t>国家地下水环境质量考核点位监测井井体、保护设施与标识、出入道路及周边环境状况等的管理和维护，保持监测井及周边环境条件符合监测技术规范要求。</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D74B78">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B3F53E">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4CE53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150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C7340C">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sz w:val="24"/>
                <w:szCs w:val="24"/>
                <w:highlight w:val="none"/>
              </w:rPr>
              <w:t>镇生态环境分局</w:t>
            </w:r>
          </w:p>
        </w:tc>
      </w:tr>
      <w:tr w14:paraId="32FC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56"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52C5A495">
            <w:pPr>
              <w:widowControl/>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b/>
                <w:bCs/>
                <w:sz w:val="24"/>
                <w:szCs w:val="24"/>
                <w:highlight w:val="none"/>
              </w:rPr>
              <w:t>固体废物处理处置重点工程</w:t>
            </w:r>
          </w:p>
        </w:tc>
      </w:tr>
      <w:tr w14:paraId="0450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D6F2CF">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19</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B70BE0">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生活垃圾分类工程</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91667A4">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color w:val="000000"/>
                <w:sz w:val="24"/>
                <w:szCs w:val="24"/>
                <w:highlight w:val="none"/>
                <w:lang w:bidi="ar"/>
              </w:rPr>
              <w:t>采取先试点后推广的方式开展生活垃圾分类，推进全镇垃圾分类系统建设和设施配套，安装垃圾分类亭，建设足量可回收物便民交售点、有害垃圾收集箱，建设镇级大件垃圾与园林废弃物处理场，保证生活垃圾分类能够持续地推进。</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03C56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9EC00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2F0E70">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eastAsia="zh-CN"/>
              </w:rPr>
              <w:t>6</w:t>
            </w:r>
            <w:r>
              <w:rPr>
                <w:rFonts w:hint="eastAsia" w:eastAsia="仿宋_GB2312"/>
                <w:sz w:val="24"/>
                <w:szCs w:val="24"/>
                <w:highlight w:val="none"/>
                <w:lang w:val="en-US" w:eastAsia="zh-CN"/>
              </w:rPr>
              <w:t>00</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FF839F">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sz w:val="24"/>
                <w:szCs w:val="24"/>
                <w:highlight w:val="none"/>
              </w:rPr>
              <w:t>镇城市管理和综合执法分局</w:t>
            </w:r>
            <w:r>
              <w:rPr>
                <w:rFonts w:hint="eastAsia" w:eastAsia="仿宋_GB2312"/>
                <w:color w:val="000000"/>
                <w:sz w:val="24"/>
                <w:szCs w:val="24"/>
                <w:highlight w:val="none"/>
                <w:lang w:bidi="ar"/>
              </w:rPr>
              <w:t>、公用事业服务中心</w:t>
            </w:r>
          </w:p>
        </w:tc>
      </w:tr>
      <w:tr w14:paraId="5A38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6F1F0D">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32B8BA">
            <w:pPr>
              <w:widowControl/>
              <w:autoSpaceDE w:val="0"/>
              <w:autoSpaceDN w:val="0"/>
              <w:spacing w:beforeLines="0" w:afterLines="0" w:line="240" w:lineRule="auto"/>
              <w:ind w:firstLine="0" w:firstLineChars="0"/>
              <w:jc w:val="center"/>
              <w:rPr>
                <w:rFonts w:hint="eastAsia" w:eastAsia="仿宋_GB2312"/>
                <w:color w:val="000000"/>
                <w:sz w:val="24"/>
                <w:szCs w:val="24"/>
                <w:highlight w:val="none"/>
                <w:lang w:bidi="ar"/>
              </w:rPr>
            </w:pPr>
            <w:r>
              <w:rPr>
                <w:rFonts w:hint="eastAsia" w:eastAsia="仿宋_GB2312"/>
                <w:color w:val="000000"/>
                <w:sz w:val="24"/>
                <w:szCs w:val="24"/>
                <w:highlight w:val="none"/>
                <w:lang w:eastAsia="zh-CN" w:bidi="ar"/>
              </w:rPr>
              <w:t>固体废物集中收存项目</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6180DD">
            <w:pPr>
              <w:widowControl/>
              <w:autoSpaceDE w:val="0"/>
              <w:autoSpaceDN w:val="0"/>
              <w:spacing w:beforeLines="0" w:afterLines="0" w:line="240" w:lineRule="auto"/>
              <w:ind w:firstLine="480"/>
              <w:jc w:val="left"/>
              <w:rPr>
                <w:rFonts w:hint="eastAsia" w:eastAsia="仿宋_GB2312"/>
                <w:sz w:val="24"/>
                <w:szCs w:val="24"/>
                <w:highlight w:val="none"/>
                <w:lang w:val="en-US" w:eastAsia="zh-CN"/>
              </w:rPr>
            </w:pPr>
            <w:r>
              <w:rPr>
                <w:rFonts w:hint="eastAsia" w:eastAsia="仿宋_GB2312"/>
                <w:sz w:val="24"/>
                <w:highlight w:val="none"/>
              </w:rPr>
              <w:t>建设第三方运营的工业固体废物分拣处置场所或危险废物集中收集、转运、贮存项目</w:t>
            </w:r>
            <w:r>
              <w:rPr>
                <w:rFonts w:hint="eastAsia" w:eastAsia="仿宋_GB2312"/>
                <w:sz w:val="24"/>
                <w:highlight w:val="none"/>
                <w:lang w:eastAsia="zh-CN"/>
              </w:rPr>
              <w:t>。</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9C406A">
            <w:pPr>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596016">
            <w:pPr>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2030年底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CCA2B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sz w:val="24"/>
                <w:szCs w:val="24"/>
                <w:highlight w:val="none"/>
                <w:lang w:val="en-US" w:eastAsia="zh-CN"/>
              </w:rPr>
              <w:t>2000</w:t>
            </w:r>
            <w:r>
              <w:rPr>
                <w:rFonts w:hint="eastAsia" w:eastAsia="仿宋_GB2312"/>
                <w:sz w:val="24"/>
                <w:szCs w:val="24"/>
                <w:highlight w:val="none"/>
                <w:lang w:val="en-US" w:eastAsia="zh-CN"/>
              </w:rPr>
              <w:t>（社会投资）</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C5F386">
            <w:pPr>
              <w:widowControl/>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sz w:val="24"/>
                <w:szCs w:val="24"/>
                <w:highlight w:val="none"/>
                <w:lang w:val="en-US" w:eastAsia="zh-CN"/>
              </w:rPr>
              <w:t>第三方投资与运营，</w:t>
            </w:r>
            <w:r>
              <w:rPr>
                <w:rFonts w:hint="eastAsia" w:eastAsia="仿宋_GB2312" w:cs="Times New Roman"/>
                <w:sz w:val="24"/>
                <w:szCs w:val="24"/>
                <w:highlight w:val="none"/>
                <w:lang w:val="en-US" w:eastAsia="zh-CN"/>
              </w:rPr>
              <w:t>镇生态环境局、</w:t>
            </w:r>
            <w:r>
              <w:rPr>
                <w:rFonts w:hint="eastAsia" w:ascii="Times New Roman" w:hAnsi="Times New Roman" w:eastAsia="仿宋_GB2312" w:cs="Times New Roman"/>
                <w:sz w:val="24"/>
                <w:szCs w:val="24"/>
                <w:highlight w:val="none"/>
              </w:rPr>
              <w:t>镇城市管理和综合执法分局</w:t>
            </w:r>
            <w:r>
              <w:rPr>
                <w:rFonts w:hint="eastAsia" w:ascii="Times New Roman" w:hAnsi="Times New Roman" w:eastAsia="仿宋_GB2312" w:cs="Times New Roman"/>
                <w:sz w:val="24"/>
                <w:szCs w:val="24"/>
                <w:highlight w:val="none"/>
                <w:lang w:val="en-US" w:eastAsia="zh-CN"/>
              </w:rPr>
              <w:t>监督</w:t>
            </w:r>
          </w:p>
        </w:tc>
      </w:tr>
      <w:tr w14:paraId="7235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94891C">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21</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DCBED8">
            <w:pPr>
              <w:widowControl/>
              <w:autoSpaceDE w:val="0"/>
              <w:autoSpaceDN w:val="0"/>
              <w:spacing w:beforeLines="0" w:afterLines="0" w:line="240" w:lineRule="auto"/>
              <w:ind w:firstLine="0" w:firstLineChars="0"/>
              <w:jc w:val="center"/>
              <w:rPr>
                <w:rFonts w:hint="eastAsia" w:eastAsia="仿宋_GB2312"/>
                <w:color w:val="000000"/>
                <w:sz w:val="24"/>
                <w:szCs w:val="24"/>
                <w:highlight w:val="none"/>
                <w:lang w:eastAsia="zh-CN" w:bidi="ar"/>
              </w:rPr>
            </w:pPr>
            <w:r>
              <w:rPr>
                <w:rFonts w:hint="eastAsia" w:eastAsia="仿宋_GB2312"/>
                <w:color w:val="000000"/>
                <w:sz w:val="24"/>
                <w:highlight w:val="none"/>
                <w:lang w:bidi="ar"/>
              </w:rPr>
              <w:t>清溪绿色循环经济资源综合利用项目</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F3F65A">
            <w:pPr>
              <w:widowControl/>
              <w:autoSpaceDE w:val="0"/>
              <w:autoSpaceDN w:val="0"/>
              <w:spacing w:beforeLines="0" w:afterLines="0" w:line="240" w:lineRule="auto"/>
              <w:ind w:firstLine="480"/>
              <w:jc w:val="left"/>
              <w:rPr>
                <w:rFonts w:hint="eastAsia" w:eastAsia="仿宋_GB2312"/>
                <w:sz w:val="24"/>
                <w:highlight w:val="none"/>
                <w:lang w:eastAsia="zh-CN"/>
              </w:rPr>
            </w:pPr>
            <w:r>
              <w:rPr>
                <w:rFonts w:hint="eastAsia" w:eastAsia="仿宋_GB2312"/>
                <w:sz w:val="24"/>
                <w:highlight w:val="none"/>
              </w:rPr>
              <w:t>建设第三方运营的建筑垃圾收集、处置项目</w:t>
            </w:r>
            <w:r>
              <w:rPr>
                <w:rFonts w:hint="eastAsia" w:eastAsia="仿宋_GB2312"/>
                <w:sz w:val="24"/>
                <w:highlight w:val="none"/>
                <w:lang w:eastAsia="zh-CN"/>
              </w:rPr>
              <w:t>。</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C47743">
            <w:pPr>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FB1613">
            <w:pPr>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2030年底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70D705">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sz w:val="24"/>
                <w:szCs w:val="24"/>
                <w:highlight w:val="none"/>
                <w:lang w:val="en-US" w:eastAsia="zh-CN"/>
              </w:rPr>
              <w:t>1000</w:t>
            </w:r>
            <w:r>
              <w:rPr>
                <w:rFonts w:hint="eastAsia" w:eastAsia="仿宋_GB2312"/>
                <w:sz w:val="24"/>
                <w:szCs w:val="24"/>
                <w:highlight w:val="none"/>
                <w:lang w:val="en-US" w:eastAsia="zh-CN"/>
              </w:rPr>
              <w:t>（社会投资）</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899545">
            <w:pPr>
              <w:widowControl/>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ascii="Times New Roman" w:hAnsi="Times New Roman" w:eastAsia="仿宋_GB2312" w:cs="Times New Roman"/>
                <w:sz w:val="24"/>
                <w:szCs w:val="24"/>
                <w:highlight w:val="none"/>
                <w:lang w:val="en-US" w:eastAsia="zh-CN"/>
              </w:rPr>
              <w:t>第三方投资与运营，</w:t>
            </w:r>
            <w:r>
              <w:rPr>
                <w:rFonts w:hint="eastAsia" w:ascii="Times New Roman" w:hAnsi="Times New Roman" w:eastAsia="仿宋_GB2312" w:cs="Times New Roman"/>
                <w:sz w:val="24"/>
                <w:szCs w:val="24"/>
                <w:highlight w:val="none"/>
              </w:rPr>
              <w:t>镇城市管理和综合执法分局</w:t>
            </w:r>
            <w:r>
              <w:rPr>
                <w:rFonts w:hint="eastAsia" w:ascii="Times New Roman" w:hAnsi="Times New Roman" w:eastAsia="仿宋_GB2312" w:cs="Times New Roman"/>
                <w:sz w:val="24"/>
                <w:szCs w:val="24"/>
                <w:highlight w:val="none"/>
                <w:lang w:val="en-US" w:eastAsia="zh-CN"/>
              </w:rPr>
              <w:t>监督</w:t>
            </w:r>
          </w:p>
        </w:tc>
      </w:tr>
      <w:tr w14:paraId="0D7D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56" w:type="dxa"/>
            <w:gridSpan w:val="7"/>
            <w:tcBorders>
              <w:top w:val="single" w:color="auto" w:sz="4" w:space="0"/>
              <w:left w:val="single" w:color="auto" w:sz="4" w:space="0"/>
              <w:bottom w:val="single" w:color="auto" w:sz="4" w:space="0"/>
              <w:right w:val="single" w:color="auto" w:sz="4" w:space="0"/>
              <w:tl2br w:val="nil"/>
              <w:tr2bl w:val="nil"/>
            </w:tcBorders>
            <w:noWrap w:val="0"/>
            <w:vAlign w:val="center"/>
          </w:tcPr>
          <w:p w14:paraId="54E090FC">
            <w:pPr>
              <w:widowControl/>
              <w:autoSpaceDE w:val="0"/>
              <w:autoSpaceDN w:val="0"/>
              <w:spacing w:beforeLines="0" w:afterLines="0" w:line="240" w:lineRule="auto"/>
              <w:ind w:firstLine="0" w:firstLineChars="0"/>
              <w:jc w:val="center"/>
              <w:rPr>
                <w:rFonts w:hint="eastAsia" w:eastAsia="仿宋_GB2312"/>
                <w:sz w:val="24"/>
                <w:szCs w:val="24"/>
                <w:highlight w:val="yellow"/>
              </w:rPr>
            </w:pPr>
            <w:r>
              <w:rPr>
                <w:rFonts w:hint="eastAsia" w:eastAsia="仿宋_GB2312"/>
                <w:b/>
                <w:bCs/>
                <w:sz w:val="24"/>
                <w:highlight w:val="none"/>
              </w:rPr>
              <w:t>改善农村人居环境重点工程</w:t>
            </w:r>
          </w:p>
        </w:tc>
      </w:tr>
      <w:tr w14:paraId="5C4E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8E9C3B">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22</w:t>
            </w:r>
          </w:p>
        </w:tc>
        <w:tc>
          <w:tcPr>
            <w:tcW w:w="15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F4E4D6">
            <w:pPr>
              <w:widowControl/>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highlight w:val="none"/>
                <w:lang w:val="en-US" w:eastAsia="zh-CN"/>
              </w:rPr>
              <w:t>“百千万工程”村容村貌提升项目</w:t>
            </w:r>
          </w:p>
        </w:tc>
        <w:tc>
          <w:tcPr>
            <w:tcW w:w="529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0E316B">
            <w:pPr>
              <w:widowControl/>
              <w:autoSpaceDE w:val="0"/>
              <w:autoSpaceDN w:val="0"/>
              <w:spacing w:beforeLines="0" w:afterLines="0" w:line="240" w:lineRule="auto"/>
              <w:ind w:firstLine="480"/>
              <w:jc w:val="left"/>
              <w:rPr>
                <w:rFonts w:hint="eastAsia" w:eastAsia="仿宋_GB2312"/>
                <w:sz w:val="24"/>
                <w:highlight w:val="none"/>
              </w:rPr>
            </w:pPr>
            <w:r>
              <w:rPr>
                <w:rFonts w:hint="eastAsia" w:eastAsia="仿宋_GB2312"/>
                <w:sz w:val="24"/>
                <w:highlight w:val="none"/>
              </w:rPr>
              <w:t>持续推进</w:t>
            </w:r>
            <w:r>
              <w:rPr>
                <w:rFonts w:hint="eastAsia" w:eastAsia="仿宋_GB2312"/>
                <w:sz w:val="24"/>
                <w:highlight w:val="none"/>
                <w:lang w:eastAsia="zh-CN"/>
              </w:rPr>
              <w:t>“</w:t>
            </w:r>
            <w:r>
              <w:rPr>
                <w:rFonts w:hint="eastAsia" w:eastAsia="仿宋_GB2312"/>
                <w:sz w:val="24"/>
                <w:highlight w:val="none"/>
                <w:lang w:val="en-US" w:eastAsia="zh-CN"/>
              </w:rPr>
              <w:t>百千万工程”</w:t>
            </w:r>
            <w:r>
              <w:rPr>
                <w:rFonts w:hint="eastAsia" w:eastAsia="仿宋_GB2312"/>
                <w:sz w:val="24"/>
                <w:highlight w:val="none"/>
              </w:rPr>
              <w:t>农村人居环境整治提升，</w:t>
            </w:r>
            <w:r>
              <w:rPr>
                <w:rFonts w:hint="eastAsia" w:eastAsia="仿宋_GB2312"/>
                <w:sz w:val="24"/>
                <w:highlight w:val="none"/>
                <w:lang w:val="en-US" w:eastAsia="zh-CN"/>
              </w:rPr>
              <w:t>建设</w:t>
            </w:r>
            <w:r>
              <w:rPr>
                <w:rFonts w:hint="eastAsia" w:eastAsia="仿宋_GB2312"/>
                <w:sz w:val="24"/>
                <w:highlight w:val="none"/>
              </w:rPr>
              <w:t>“美丽庭院”示范户</w:t>
            </w:r>
            <w:r>
              <w:rPr>
                <w:rFonts w:hint="eastAsia" w:eastAsia="仿宋_GB2312"/>
                <w:sz w:val="24"/>
                <w:highlight w:val="none"/>
                <w:lang w:eastAsia="zh-CN"/>
              </w:rPr>
              <w:t>、</w:t>
            </w:r>
            <w:r>
              <w:rPr>
                <w:rFonts w:hint="eastAsia" w:eastAsia="仿宋_GB2312"/>
                <w:sz w:val="24"/>
                <w:highlight w:val="none"/>
              </w:rPr>
              <w:t>“美丽庭院”示范村（社区）</w:t>
            </w:r>
            <w:r>
              <w:rPr>
                <w:rFonts w:hint="eastAsia" w:eastAsia="仿宋_GB2312"/>
                <w:sz w:val="24"/>
                <w:highlight w:val="none"/>
                <w:lang w:eastAsia="zh-CN"/>
              </w:rPr>
              <w:t>、</w:t>
            </w:r>
            <w:r>
              <w:rPr>
                <w:rFonts w:hint="eastAsia" w:eastAsia="仿宋_GB2312"/>
                <w:sz w:val="24"/>
                <w:highlight w:val="none"/>
              </w:rPr>
              <w:t>“四小园”</w:t>
            </w:r>
            <w:r>
              <w:rPr>
                <w:rFonts w:hint="eastAsia" w:eastAsia="仿宋_GB2312"/>
                <w:sz w:val="24"/>
                <w:highlight w:val="none"/>
                <w:lang w:val="en-US" w:eastAsia="zh-CN"/>
              </w:rPr>
              <w:t>等工程</w:t>
            </w:r>
            <w:r>
              <w:rPr>
                <w:rFonts w:hint="eastAsia" w:eastAsia="仿宋_GB2312"/>
                <w:sz w:val="24"/>
                <w:highlight w:val="none"/>
              </w:rPr>
              <w:t>。</w:t>
            </w:r>
          </w:p>
        </w:tc>
        <w:tc>
          <w:tcPr>
            <w:tcW w:w="12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EFD3D3">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2024年</w:t>
            </w:r>
          </w:p>
        </w:tc>
        <w:tc>
          <w:tcPr>
            <w:tcW w:w="14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C705F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2030年底</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F2B98E">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5000（其中社会投资2500万）</w:t>
            </w:r>
          </w:p>
        </w:tc>
        <w:tc>
          <w:tcPr>
            <w:tcW w:w="25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84D80D">
            <w:pPr>
              <w:widowControl/>
              <w:autoSpaceDE w:val="0"/>
              <w:autoSpaceDN w:val="0"/>
              <w:spacing w:beforeLines="0" w:afterLines="0" w:line="240" w:lineRule="auto"/>
              <w:ind w:firstLine="0" w:firstLineChars="0"/>
              <w:jc w:val="center"/>
              <w:rPr>
                <w:rFonts w:hint="eastAsia" w:eastAsia="仿宋_GB2312"/>
                <w:sz w:val="24"/>
                <w:highlight w:val="none"/>
              </w:rPr>
            </w:pPr>
            <w:r>
              <w:rPr>
                <w:rFonts w:hint="eastAsia" w:eastAsia="仿宋_GB2312"/>
                <w:sz w:val="24"/>
                <w:highlight w:val="none"/>
              </w:rPr>
              <w:t>镇乡村振兴办</w:t>
            </w:r>
          </w:p>
        </w:tc>
      </w:tr>
    </w:tbl>
    <w:p w14:paraId="486D6EFD">
      <w:pPr>
        <w:pStyle w:val="4"/>
        <w:outlineLvl w:val="1"/>
        <w:rPr>
          <w:rFonts w:ascii="Times New Roman" w:hAnsi="Times New Roman" w:eastAsia="黑体" w:cs="Times New Roman"/>
          <w:b w:val="0"/>
          <w:sz w:val="28"/>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E2C6845">
      <w:pPr>
        <w:pStyle w:val="4"/>
        <w:outlineLvl w:val="1"/>
        <w:rPr>
          <w:rFonts w:hint="default" w:ascii="Times New Roman" w:hAnsi="Times New Roman" w:eastAsia="黑体" w:cs="Times New Roman"/>
          <w:b w:val="0"/>
          <w:sz w:val="28"/>
          <w:highlight w:val="none"/>
          <w:lang w:val="en-US" w:eastAsia="zh-CN"/>
        </w:rPr>
      </w:pPr>
      <w:bookmarkStart w:id="579" w:name="_Toc25146"/>
      <w:bookmarkStart w:id="580" w:name="_Toc12851"/>
      <w:bookmarkStart w:id="581" w:name="_Toc22623"/>
      <w:bookmarkStart w:id="582" w:name="_Toc3660"/>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表5</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生态保护及空间管控重点工程</w:t>
      </w:r>
      <w:bookmarkEnd w:id="579"/>
      <w:bookmarkEnd w:id="580"/>
      <w:bookmarkEnd w:id="581"/>
      <w:bookmarkEnd w:id="582"/>
    </w:p>
    <w:tbl>
      <w:tblPr>
        <w:tblStyle w:val="30"/>
        <w:tblW w:w="14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939"/>
        <w:gridCol w:w="5767"/>
        <w:gridCol w:w="1294"/>
        <w:gridCol w:w="1293"/>
        <w:gridCol w:w="1291"/>
        <w:gridCol w:w="2095"/>
      </w:tblGrid>
      <w:tr w14:paraId="7AB9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055845">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序号</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0DB5B5">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项目名称</w:t>
            </w:r>
          </w:p>
        </w:tc>
        <w:tc>
          <w:tcPr>
            <w:tcW w:w="57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4164A">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lang w:val="en-US" w:eastAsia="zh-CN"/>
              </w:rPr>
              <w:t>建设内容</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3999A5">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开始时间</w:t>
            </w:r>
          </w:p>
        </w:tc>
        <w:tc>
          <w:tcPr>
            <w:tcW w:w="12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22A66B">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完成时间</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E35D72">
            <w:pPr>
              <w:autoSpaceDE w:val="0"/>
              <w:autoSpaceDN w:val="0"/>
              <w:spacing w:beforeLines="0" w:afterLines="0" w:line="240" w:lineRule="auto"/>
              <w:ind w:firstLine="0" w:firstLineChars="0"/>
              <w:jc w:val="center"/>
              <w:rPr>
                <w:rFonts w:hint="eastAsia" w:eastAsia="仿宋_GB2312"/>
                <w:b/>
                <w:sz w:val="24"/>
                <w:szCs w:val="24"/>
                <w:highlight w:val="none"/>
                <w:lang w:eastAsia="zh-CN"/>
              </w:rPr>
            </w:pPr>
            <w:r>
              <w:rPr>
                <w:rFonts w:hint="eastAsia" w:eastAsia="仿宋_GB2312"/>
                <w:b/>
                <w:sz w:val="24"/>
                <w:szCs w:val="24"/>
                <w:highlight w:val="none"/>
              </w:rPr>
              <w:t>投资估算</w:t>
            </w:r>
            <w:r>
              <w:rPr>
                <w:rFonts w:hint="eastAsia" w:eastAsia="仿宋_GB2312"/>
                <w:b/>
                <w:sz w:val="24"/>
                <w:szCs w:val="24"/>
                <w:highlight w:val="none"/>
                <w:lang w:eastAsia="zh-CN"/>
              </w:rPr>
              <w:t>（</w:t>
            </w:r>
            <w:r>
              <w:rPr>
                <w:rFonts w:hint="eastAsia" w:eastAsia="仿宋_GB2312"/>
                <w:b/>
                <w:sz w:val="24"/>
                <w:szCs w:val="24"/>
                <w:highlight w:val="none"/>
                <w:lang w:val="en-US" w:eastAsia="zh-CN"/>
              </w:rPr>
              <w:t>万元</w:t>
            </w:r>
            <w:r>
              <w:rPr>
                <w:rFonts w:hint="eastAsia" w:eastAsia="仿宋_GB2312"/>
                <w:b/>
                <w:sz w:val="24"/>
                <w:szCs w:val="24"/>
                <w:highlight w:val="none"/>
                <w:lang w:eastAsia="zh-CN"/>
              </w:rPr>
              <w:t>）</w:t>
            </w:r>
          </w:p>
        </w:tc>
        <w:tc>
          <w:tcPr>
            <w:tcW w:w="20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9B1752">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负责单位</w:t>
            </w:r>
          </w:p>
        </w:tc>
      </w:tr>
      <w:tr w14:paraId="16A8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8F7D55">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1</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333EC7">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生态保护红线勘界定标及监测监管</w:t>
            </w:r>
          </w:p>
        </w:tc>
        <w:tc>
          <w:tcPr>
            <w:tcW w:w="57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452CFD">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配合东莞市的部署，开展镇陆域生态保护红线的勘界定标，</w:t>
            </w:r>
            <w:r>
              <w:rPr>
                <w:rFonts w:hint="eastAsia" w:eastAsia="仿宋_GB2312"/>
                <w:color w:val="000000"/>
                <w:sz w:val="24"/>
                <w:highlight w:val="none"/>
                <w:lang w:bidi="ar"/>
              </w:rPr>
              <w:t>对辖区内的生态保护红线开展强化监管与定期评估，建立生态环境问题台账。</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797A6F">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2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5F4EC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3B598F">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300</w:t>
            </w:r>
          </w:p>
        </w:tc>
        <w:tc>
          <w:tcPr>
            <w:tcW w:w="20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32C727">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镇自然资源分局、镇生态环境分局</w:t>
            </w:r>
          </w:p>
        </w:tc>
      </w:tr>
      <w:tr w14:paraId="1E7B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80FF19">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2</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1082C2">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自然保护地整合优化及分类管控</w:t>
            </w:r>
          </w:p>
        </w:tc>
        <w:tc>
          <w:tcPr>
            <w:tcW w:w="57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F08A2A">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sz w:val="24"/>
                <w:szCs w:val="24"/>
                <w:highlight w:val="none"/>
              </w:rPr>
              <w:t>山水天地地方级森林自然公园勘界立标。</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D11E3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2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EAAD11">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2025年底</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97D95A">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92</w:t>
            </w:r>
          </w:p>
        </w:tc>
        <w:tc>
          <w:tcPr>
            <w:tcW w:w="20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DA7A10">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镇农业技术服务中心</w:t>
            </w:r>
          </w:p>
        </w:tc>
      </w:tr>
      <w:tr w14:paraId="018C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7E4A01">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3</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B99214">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森林抚育</w:t>
            </w:r>
          </w:p>
        </w:tc>
        <w:tc>
          <w:tcPr>
            <w:tcW w:w="57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973567">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开展森林抚育，采取透光抚育、林分改造、森林抚育等方式，全面提升林地生产力和林木生长量，切实提高森林质量。</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3B335A">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2</w:t>
            </w:r>
            <w:r>
              <w:rPr>
                <w:rFonts w:hint="eastAsia" w:eastAsia="仿宋_GB2312"/>
                <w:sz w:val="24"/>
                <w:szCs w:val="24"/>
                <w:highlight w:val="none"/>
              </w:rPr>
              <w:t>年</w:t>
            </w:r>
          </w:p>
        </w:tc>
        <w:tc>
          <w:tcPr>
            <w:tcW w:w="12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3D13E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BD694A">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850</w:t>
            </w:r>
          </w:p>
        </w:tc>
        <w:tc>
          <w:tcPr>
            <w:tcW w:w="20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926D86">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镇农业技术服务中心</w:t>
            </w:r>
          </w:p>
        </w:tc>
      </w:tr>
      <w:tr w14:paraId="43DD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CB8D4B">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4</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A921D1">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森林生态文化体系建设</w:t>
            </w:r>
          </w:p>
        </w:tc>
        <w:tc>
          <w:tcPr>
            <w:tcW w:w="57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3F7E1D">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sz w:val="24"/>
                <w:szCs w:val="24"/>
                <w:highlight w:val="none"/>
              </w:rPr>
              <w:t>开展</w:t>
            </w:r>
            <w:r>
              <w:rPr>
                <w:rFonts w:hint="eastAsia" w:eastAsia="仿宋_GB2312"/>
                <w:color w:val="000000"/>
                <w:sz w:val="24"/>
                <w:szCs w:val="24"/>
                <w:highlight w:val="none"/>
                <w:lang w:bidi="ar"/>
              </w:rPr>
              <w:t>清溪镇绿美生态建设示范点建设。</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64313F">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3</w:t>
            </w:r>
            <w:r>
              <w:rPr>
                <w:rFonts w:hint="eastAsia" w:eastAsia="仿宋_GB2312"/>
                <w:sz w:val="24"/>
                <w:szCs w:val="24"/>
                <w:highlight w:val="none"/>
              </w:rPr>
              <w:t>年</w:t>
            </w:r>
          </w:p>
        </w:tc>
        <w:tc>
          <w:tcPr>
            <w:tcW w:w="12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8C750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2026年底</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DFE6C6">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bidi="ar"/>
              </w:rPr>
              <w:t>5200</w:t>
            </w:r>
          </w:p>
        </w:tc>
        <w:tc>
          <w:tcPr>
            <w:tcW w:w="20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8C8585">
            <w:pPr>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镇农业技术服务中心</w:t>
            </w:r>
          </w:p>
        </w:tc>
      </w:tr>
      <w:tr w14:paraId="576E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B9D788">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5</w:t>
            </w:r>
          </w:p>
        </w:tc>
        <w:tc>
          <w:tcPr>
            <w:tcW w:w="193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3A1EF2">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高质量水源林建设</w:t>
            </w:r>
          </w:p>
        </w:tc>
        <w:tc>
          <w:tcPr>
            <w:tcW w:w="576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3600C4">
            <w:pPr>
              <w:widowControl/>
              <w:autoSpaceDE w:val="0"/>
              <w:autoSpaceDN w:val="0"/>
              <w:spacing w:beforeLines="0" w:afterLines="0" w:line="240" w:lineRule="auto"/>
              <w:ind w:firstLine="480"/>
              <w:jc w:val="left"/>
              <w:rPr>
                <w:rFonts w:hint="eastAsia"/>
                <w:color w:val="000000"/>
                <w:sz w:val="24"/>
                <w:szCs w:val="24"/>
                <w:highlight w:val="none"/>
                <w:lang w:bidi="ar"/>
              </w:rPr>
            </w:pPr>
            <w:r>
              <w:rPr>
                <w:rFonts w:hint="eastAsia" w:eastAsia="仿宋_GB2312"/>
                <w:sz w:val="24"/>
                <w:szCs w:val="24"/>
                <w:highlight w:val="none"/>
              </w:rPr>
              <w:t>配合东莞市林业局落实水源林改造和大径材基地建设。</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056608">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2</w:t>
            </w:r>
            <w:r>
              <w:rPr>
                <w:rFonts w:hint="eastAsia" w:eastAsia="仿宋_GB2312"/>
                <w:sz w:val="24"/>
                <w:szCs w:val="24"/>
                <w:highlight w:val="none"/>
              </w:rPr>
              <w:t>年</w:t>
            </w:r>
          </w:p>
        </w:tc>
        <w:tc>
          <w:tcPr>
            <w:tcW w:w="12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0EA89D">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2025年底</w:t>
            </w:r>
          </w:p>
        </w:tc>
        <w:tc>
          <w:tcPr>
            <w:tcW w:w="12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BACCF2">
            <w:pPr>
              <w:widowControl/>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bidi="ar"/>
              </w:rPr>
              <w:t>1090</w:t>
            </w:r>
          </w:p>
        </w:tc>
        <w:tc>
          <w:tcPr>
            <w:tcW w:w="20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562C68">
            <w:pPr>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镇农业技术服务中心</w:t>
            </w:r>
          </w:p>
        </w:tc>
      </w:tr>
    </w:tbl>
    <w:p w14:paraId="0ABB7410">
      <w:pPr>
        <w:pStyle w:val="4"/>
        <w:outlineLvl w:val="1"/>
        <w:rPr>
          <w:rFonts w:ascii="Times New Roman" w:hAnsi="Times New Roman" w:eastAsia="黑体" w:cs="Times New Roman"/>
          <w:b w:val="0"/>
          <w:sz w:val="28"/>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9F39F07">
      <w:pPr>
        <w:pStyle w:val="4"/>
        <w:outlineLvl w:val="1"/>
        <w:rPr>
          <w:rFonts w:hint="default" w:ascii="Times New Roman" w:hAnsi="Times New Roman" w:eastAsia="黑体" w:cs="Times New Roman"/>
          <w:b w:val="0"/>
          <w:sz w:val="28"/>
          <w:highlight w:val="none"/>
          <w:lang w:val="en-US" w:eastAsia="zh-CN"/>
        </w:rPr>
      </w:pPr>
      <w:bookmarkStart w:id="583" w:name="_Toc24705"/>
      <w:bookmarkStart w:id="584" w:name="_Toc13594"/>
      <w:bookmarkStart w:id="585" w:name="_Toc14765"/>
      <w:bookmarkStart w:id="586" w:name="_Toc31155"/>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表6</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环境风险防控重点工程</w:t>
      </w:r>
      <w:bookmarkEnd w:id="583"/>
      <w:bookmarkEnd w:id="584"/>
      <w:bookmarkEnd w:id="585"/>
      <w:bookmarkEnd w:id="586"/>
    </w:p>
    <w:tbl>
      <w:tblPr>
        <w:tblStyle w:val="30"/>
        <w:tblW w:w="14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812"/>
        <w:gridCol w:w="5760"/>
        <w:gridCol w:w="1200"/>
        <w:gridCol w:w="1440"/>
        <w:gridCol w:w="1294"/>
        <w:gridCol w:w="2520"/>
      </w:tblGrid>
      <w:tr w14:paraId="0EC4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CCD810">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序号</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FF9D1">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项目名称</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4BCCAD">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lang w:val="en-US" w:eastAsia="zh-CN"/>
              </w:rPr>
              <w:t>建设内容</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14E183">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开始时间</w:t>
            </w: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9A36ED">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完成时间</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EADD25">
            <w:pPr>
              <w:autoSpaceDE w:val="0"/>
              <w:autoSpaceDN w:val="0"/>
              <w:spacing w:beforeLines="0" w:afterLines="0" w:line="240" w:lineRule="auto"/>
              <w:ind w:firstLine="0" w:firstLineChars="0"/>
              <w:jc w:val="center"/>
              <w:rPr>
                <w:rFonts w:hint="eastAsia" w:eastAsia="仿宋_GB2312"/>
                <w:b/>
                <w:sz w:val="24"/>
                <w:szCs w:val="24"/>
                <w:highlight w:val="none"/>
                <w:lang w:eastAsia="zh-CN"/>
              </w:rPr>
            </w:pPr>
            <w:r>
              <w:rPr>
                <w:rFonts w:hint="eastAsia" w:eastAsia="仿宋_GB2312"/>
                <w:b/>
                <w:sz w:val="24"/>
                <w:szCs w:val="24"/>
                <w:highlight w:val="none"/>
              </w:rPr>
              <w:t>投资估算</w:t>
            </w:r>
            <w:r>
              <w:rPr>
                <w:rFonts w:hint="eastAsia" w:eastAsia="仿宋_GB2312"/>
                <w:b/>
                <w:sz w:val="24"/>
                <w:szCs w:val="24"/>
                <w:highlight w:val="none"/>
                <w:lang w:eastAsia="zh-CN"/>
              </w:rPr>
              <w:t>（</w:t>
            </w:r>
            <w:r>
              <w:rPr>
                <w:rFonts w:hint="eastAsia" w:eastAsia="仿宋_GB2312"/>
                <w:b/>
                <w:sz w:val="24"/>
                <w:szCs w:val="24"/>
                <w:highlight w:val="none"/>
                <w:lang w:val="en-US" w:eastAsia="zh-CN"/>
              </w:rPr>
              <w:t>万元</w:t>
            </w:r>
            <w:r>
              <w:rPr>
                <w:rFonts w:hint="eastAsia" w:eastAsia="仿宋_GB2312"/>
                <w:b/>
                <w:sz w:val="24"/>
                <w:szCs w:val="24"/>
                <w:highlight w:val="none"/>
                <w:lang w:eastAsia="zh-CN"/>
              </w:rPr>
              <w:t>）</w:t>
            </w:r>
          </w:p>
        </w:tc>
        <w:tc>
          <w:tcPr>
            <w:tcW w:w="25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0FE331">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负责单位</w:t>
            </w:r>
          </w:p>
        </w:tc>
      </w:tr>
      <w:tr w14:paraId="1C90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8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8004B6">
            <w:pPr>
              <w:autoSpaceDE w:val="0"/>
              <w:autoSpaceDN w:val="0"/>
              <w:spacing w:beforeLines="0" w:afterLines="0" w:line="240" w:lineRule="auto"/>
              <w:ind w:firstLine="0" w:firstLineChars="0"/>
              <w:jc w:val="center"/>
              <w:rPr>
                <w:rFonts w:hint="eastAsia" w:ascii="Times New Roman" w:hAnsi="Times New Roman" w:eastAsia="仿宋_GB2312" w:cs="Times New Roman"/>
                <w:kern w:val="2"/>
                <w:sz w:val="24"/>
                <w:szCs w:val="24"/>
                <w:highlight w:val="none"/>
                <w:lang w:val="en-US" w:eastAsia="zh-CN" w:bidi="ar-SA"/>
              </w:rPr>
            </w:pPr>
            <w:r>
              <w:rPr>
                <w:rFonts w:hint="eastAsia" w:eastAsia="仿宋_GB2312"/>
                <w:sz w:val="24"/>
                <w:szCs w:val="24"/>
                <w:highlight w:val="none"/>
                <w:lang w:val="en-US" w:eastAsia="zh-CN"/>
              </w:rPr>
              <w:t>1</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C7D5FF">
            <w:pPr>
              <w:widowControl/>
              <w:autoSpaceDE w:val="0"/>
              <w:autoSpaceDN w:val="0"/>
              <w:spacing w:beforeLines="0" w:afterLines="0" w:line="240" w:lineRule="auto"/>
              <w:ind w:firstLine="0" w:firstLineChars="0"/>
              <w:jc w:val="center"/>
              <w:rPr>
                <w:rFonts w:hint="eastAsia" w:ascii="Times New Roman" w:hAnsi="Times New Roman" w:eastAsia="仿宋_GB2312" w:cs="Times New Roman"/>
                <w:color w:val="000000"/>
                <w:kern w:val="2"/>
                <w:sz w:val="24"/>
                <w:szCs w:val="24"/>
                <w:highlight w:val="none"/>
                <w:lang w:val="en-US" w:eastAsia="zh-CN" w:bidi="ar"/>
              </w:rPr>
            </w:pPr>
            <w:r>
              <w:rPr>
                <w:rFonts w:hint="eastAsia" w:eastAsia="仿宋_GB2312"/>
                <w:color w:val="000000"/>
                <w:sz w:val="24"/>
                <w:highlight w:val="none"/>
                <w:lang w:bidi="ar"/>
              </w:rPr>
              <w:t>契爷石水库水源保护工程（物理隔离工程）</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AB4E1C">
            <w:pPr>
              <w:widowControl/>
              <w:autoSpaceDE w:val="0"/>
              <w:autoSpaceDN w:val="0"/>
              <w:spacing w:beforeLines="0" w:afterLines="0" w:line="240" w:lineRule="auto"/>
              <w:ind w:firstLine="480" w:firstLineChars="0"/>
              <w:jc w:val="left"/>
              <w:rPr>
                <w:rFonts w:hint="default" w:ascii="Times New Roman" w:hAnsi="Times New Roman" w:eastAsia="仿宋_GB2312" w:cs="Times New Roman"/>
                <w:kern w:val="2"/>
                <w:sz w:val="24"/>
                <w:szCs w:val="24"/>
                <w:highlight w:val="none"/>
                <w:lang w:val="en-US" w:eastAsia="zh-CN" w:bidi="ar-SA"/>
              </w:rPr>
            </w:pPr>
            <w:r>
              <w:rPr>
                <w:rFonts w:hint="eastAsia" w:eastAsia="仿宋_GB2312"/>
                <w:sz w:val="24"/>
                <w:highlight w:val="none"/>
                <w:lang w:val="en-US" w:eastAsia="zh-CN"/>
              </w:rPr>
              <w:t>契爷石水库水源保护工程（物理隔离工程）的隔离对象是九乡村建成区，隔离区的总面积为2.63km</w:t>
            </w:r>
            <w:r>
              <w:rPr>
                <w:rFonts w:hint="eastAsia" w:eastAsia="仿宋_GB2312"/>
                <w:sz w:val="24"/>
                <w:highlight w:val="none"/>
                <w:vertAlign w:val="superscript"/>
                <w:lang w:val="en-US" w:eastAsia="zh-CN"/>
              </w:rPr>
              <w:t>2</w:t>
            </w:r>
            <w:r>
              <w:rPr>
                <w:rFonts w:hint="eastAsia" w:eastAsia="仿宋_GB2312"/>
                <w:sz w:val="24"/>
                <w:highlight w:val="none"/>
                <w:lang w:val="en-US" w:eastAsia="zh-CN"/>
              </w:rPr>
              <w:t>，将隔离区内50年一遇及以下的洪水截排至水库集水范围外；隔离区洪水一部分经现状九乡支渠排入铁矢岭河，另一部分经新建截渠导排至契爷石水；同时通过疏浚九乡渠调蓄涝水，解决九乡易涝点问题。清水区清水全利用，北部清水区通过新建清水渠导排至契爷石水库，南部清水区洪水自流汇入契爷石水库，经调蓄下泄至契爷石水。工程包括新建隔离堤（闸、堤合建，L=35m），新建截流渠3.06km，九乡渠清淤疏浚0.74km，新建清水渠4.2km，不含征地拆迁、管线迁改费用。</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91A3D3">
            <w:pPr>
              <w:autoSpaceDE w:val="0"/>
              <w:autoSpaceDN w:val="0"/>
              <w:spacing w:beforeLines="0" w:afterLines="0"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1413C4">
            <w:pPr>
              <w:autoSpaceDE w:val="0"/>
              <w:autoSpaceDN w:val="0"/>
              <w:spacing w:beforeLines="0" w:afterLines="0" w:line="240" w:lineRule="auto"/>
              <w:ind w:firstLine="0" w:firstLineChars="0"/>
              <w:jc w:val="center"/>
              <w:rPr>
                <w:rFonts w:hint="eastAsia" w:ascii="Times New Roman" w:hAnsi="Times New Roman" w:eastAsia="宋体" w:cs="Times New Roman"/>
                <w:kern w:val="2"/>
                <w:sz w:val="24"/>
                <w:szCs w:val="24"/>
                <w:highlight w:val="none"/>
                <w:lang w:val="en-US" w:eastAsia="zh-CN" w:bidi="ar-SA"/>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A9F262">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highlight w:val="none"/>
                <w:lang w:val="en-US" w:eastAsia="zh-CN"/>
              </w:rPr>
              <w:t>49792.52</w:t>
            </w:r>
          </w:p>
        </w:tc>
        <w:tc>
          <w:tcPr>
            <w:tcW w:w="25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DCAE78">
            <w:pPr>
              <w:autoSpaceDE w:val="0"/>
              <w:autoSpaceDN w:val="0"/>
              <w:spacing w:beforeLines="0" w:afterLines="0" w:line="240" w:lineRule="auto"/>
              <w:ind w:firstLine="0" w:firstLineChars="0"/>
              <w:jc w:val="center"/>
              <w:rPr>
                <w:rFonts w:hint="eastAsia" w:eastAsia="仿宋_GB2312"/>
                <w:color w:val="000000"/>
                <w:sz w:val="24"/>
                <w:szCs w:val="24"/>
                <w:highlight w:val="none"/>
                <w:lang w:eastAsia="zh-CN" w:bidi="ar"/>
              </w:rPr>
            </w:pPr>
            <w:r>
              <w:rPr>
                <w:rFonts w:hint="eastAsia" w:eastAsia="仿宋_GB2312"/>
                <w:color w:val="000000"/>
                <w:sz w:val="24"/>
                <w:szCs w:val="24"/>
                <w:highlight w:val="none"/>
                <w:lang w:bidi="ar"/>
              </w:rPr>
              <w:t>镇生态环境分局</w:t>
            </w:r>
            <w:r>
              <w:rPr>
                <w:rFonts w:hint="eastAsia" w:eastAsia="仿宋_GB2312"/>
                <w:color w:val="000000"/>
                <w:sz w:val="24"/>
                <w:szCs w:val="24"/>
                <w:highlight w:val="none"/>
                <w:lang w:eastAsia="zh-CN" w:bidi="ar"/>
              </w:rPr>
              <w:t>、</w:t>
            </w:r>
            <w:r>
              <w:rPr>
                <w:rFonts w:hint="eastAsia" w:eastAsia="仿宋_GB2312"/>
                <w:color w:val="000000"/>
                <w:sz w:val="24"/>
                <w:szCs w:val="24"/>
                <w:highlight w:val="none"/>
                <w:lang w:bidi="ar"/>
              </w:rPr>
              <w:t>镇农林水务局</w:t>
            </w:r>
          </w:p>
        </w:tc>
      </w:tr>
      <w:tr w14:paraId="5EEC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8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1239E7">
            <w:pPr>
              <w:autoSpaceDE w:val="0"/>
              <w:autoSpaceDN w:val="0"/>
              <w:spacing w:beforeLines="0" w:afterLines="0" w:line="240" w:lineRule="auto"/>
              <w:ind w:firstLine="0" w:firstLineChars="0"/>
              <w:jc w:val="center"/>
              <w:rPr>
                <w:rFonts w:hint="eastAsia" w:eastAsia="仿宋_GB2312"/>
                <w:sz w:val="24"/>
                <w:szCs w:val="24"/>
                <w:highlight w:val="none"/>
                <w:lang w:eastAsia="zh-CN"/>
              </w:rPr>
            </w:pPr>
            <w:r>
              <w:rPr>
                <w:rFonts w:hint="eastAsia" w:eastAsia="仿宋_GB2312"/>
                <w:sz w:val="24"/>
                <w:szCs w:val="24"/>
                <w:highlight w:val="none"/>
                <w:lang w:val="en-US" w:eastAsia="zh-CN"/>
              </w:rPr>
              <w:t>2</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31786B">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危险废物风险管理体系建设</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B67DBD">
            <w:pPr>
              <w:widowControl/>
              <w:autoSpaceDE w:val="0"/>
              <w:autoSpaceDN w:val="0"/>
              <w:spacing w:beforeLines="0" w:afterLines="0" w:line="240" w:lineRule="auto"/>
              <w:ind w:firstLine="480"/>
              <w:jc w:val="left"/>
              <w:rPr>
                <w:rFonts w:hint="eastAsia" w:eastAsia="仿宋_GB2312"/>
                <w:sz w:val="24"/>
                <w:szCs w:val="24"/>
                <w:highlight w:val="none"/>
                <w:lang w:val="en-US" w:eastAsia="zh-CN"/>
              </w:rPr>
            </w:pPr>
            <w:r>
              <w:rPr>
                <w:rFonts w:hint="eastAsia" w:eastAsia="仿宋_GB2312"/>
                <w:color w:val="000000"/>
                <w:sz w:val="24"/>
                <w:szCs w:val="24"/>
                <w:highlight w:val="none"/>
                <w:lang w:bidi="ar"/>
              </w:rPr>
              <w:t>构建危险废物风险管理体系，包括但不限于风险源识别、风险评估、风险排查、风险管控。</w:t>
            </w:r>
          </w:p>
        </w:tc>
        <w:tc>
          <w:tcPr>
            <w:tcW w:w="12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4E3E55">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4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CCEF12">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9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06EDBD">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100</w:t>
            </w:r>
          </w:p>
        </w:tc>
        <w:tc>
          <w:tcPr>
            <w:tcW w:w="252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58F2D6">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w:t>
            </w:r>
          </w:p>
        </w:tc>
      </w:tr>
    </w:tbl>
    <w:p w14:paraId="175E912C">
      <w:pPr>
        <w:pStyle w:val="4"/>
        <w:outlineLvl w:val="1"/>
        <w:rPr>
          <w:rFonts w:ascii="Times New Roman" w:hAnsi="Times New Roman" w:eastAsia="黑体" w:cs="Times New Roman"/>
          <w:b w:val="0"/>
          <w:sz w:val="28"/>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031A6CA">
      <w:pPr>
        <w:pStyle w:val="4"/>
        <w:outlineLvl w:val="1"/>
        <w:rPr>
          <w:rFonts w:hint="default" w:ascii="Times New Roman" w:hAnsi="Times New Roman" w:eastAsia="黑体" w:cs="Times New Roman"/>
          <w:b w:val="0"/>
          <w:sz w:val="28"/>
          <w:highlight w:val="none"/>
          <w:lang w:val="en-US" w:eastAsia="zh-CN"/>
        </w:rPr>
      </w:pPr>
      <w:bookmarkStart w:id="587" w:name="_Toc20336"/>
      <w:bookmarkStart w:id="588" w:name="_Toc27475"/>
      <w:bookmarkStart w:id="589" w:name="_Toc9830"/>
      <w:bookmarkStart w:id="590" w:name="_Toc10762"/>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表7</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生态环境治理能力建设重点工程</w:t>
      </w:r>
      <w:bookmarkEnd w:id="587"/>
      <w:bookmarkEnd w:id="588"/>
      <w:bookmarkEnd w:id="589"/>
      <w:bookmarkEnd w:id="590"/>
    </w:p>
    <w:tbl>
      <w:tblPr>
        <w:tblStyle w:val="30"/>
        <w:tblW w:w="14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812"/>
        <w:gridCol w:w="5760"/>
        <w:gridCol w:w="1281"/>
        <w:gridCol w:w="1360"/>
        <w:gridCol w:w="1280"/>
        <w:gridCol w:w="2215"/>
      </w:tblGrid>
      <w:tr w14:paraId="43C1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F4B8A2">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序号</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7901D9">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项目名称</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3FCE92">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lang w:val="en-US" w:eastAsia="zh-CN"/>
              </w:rPr>
              <w:t>建设内容</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0026B3">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开始时间</w:t>
            </w: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825139">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完成时间</w:t>
            </w:r>
          </w:p>
        </w:tc>
        <w:tc>
          <w:tcPr>
            <w:tcW w:w="12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883075">
            <w:pPr>
              <w:autoSpaceDE w:val="0"/>
              <w:autoSpaceDN w:val="0"/>
              <w:spacing w:beforeLines="0" w:afterLines="0" w:line="240" w:lineRule="auto"/>
              <w:ind w:firstLine="0" w:firstLineChars="0"/>
              <w:jc w:val="center"/>
              <w:rPr>
                <w:rFonts w:hint="eastAsia" w:eastAsia="仿宋_GB2312"/>
                <w:b/>
                <w:sz w:val="24"/>
                <w:szCs w:val="24"/>
                <w:highlight w:val="none"/>
                <w:lang w:eastAsia="zh-CN"/>
              </w:rPr>
            </w:pPr>
            <w:r>
              <w:rPr>
                <w:rFonts w:hint="eastAsia" w:eastAsia="仿宋_GB2312"/>
                <w:b/>
                <w:sz w:val="24"/>
                <w:szCs w:val="24"/>
                <w:highlight w:val="none"/>
              </w:rPr>
              <w:t>投资估算</w:t>
            </w:r>
            <w:r>
              <w:rPr>
                <w:rFonts w:hint="eastAsia" w:eastAsia="仿宋_GB2312"/>
                <w:b/>
                <w:sz w:val="24"/>
                <w:szCs w:val="24"/>
                <w:highlight w:val="none"/>
                <w:lang w:eastAsia="zh-CN"/>
              </w:rPr>
              <w:t>（</w:t>
            </w:r>
            <w:r>
              <w:rPr>
                <w:rFonts w:hint="eastAsia" w:eastAsia="仿宋_GB2312"/>
                <w:b/>
                <w:sz w:val="24"/>
                <w:szCs w:val="24"/>
                <w:highlight w:val="none"/>
                <w:lang w:val="en-US" w:eastAsia="zh-CN"/>
              </w:rPr>
              <w:t>万元</w:t>
            </w:r>
            <w:r>
              <w:rPr>
                <w:rFonts w:hint="eastAsia" w:eastAsia="仿宋_GB2312"/>
                <w:b/>
                <w:sz w:val="24"/>
                <w:szCs w:val="24"/>
                <w:highlight w:val="none"/>
                <w:lang w:eastAsia="zh-CN"/>
              </w:rPr>
              <w:t>）</w:t>
            </w:r>
          </w:p>
        </w:tc>
        <w:tc>
          <w:tcPr>
            <w:tcW w:w="2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DEF898">
            <w:pPr>
              <w:autoSpaceDE w:val="0"/>
              <w:autoSpaceDN w:val="0"/>
              <w:spacing w:beforeLines="0" w:afterLines="0" w:line="240" w:lineRule="auto"/>
              <w:ind w:firstLine="0" w:firstLineChars="0"/>
              <w:jc w:val="center"/>
              <w:rPr>
                <w:rFonts w:hint="eastAsia"/>
                <w:b/>
                <w:sz w:val="24"/>
                <w:szCs w:val="24"/>
                <w:highlight w:val="none"/>
              </w:rPr>
            </w:pPr>
            <w:r>
              <w:rPr>
                <w:rFonts w:hint="eastAsia" w:eastAsia="仿宋_GB2312"/>
                <w:b/>
                <w:sz w:val="24"/>
                <w:szCs w:val="24"/>
                <w:highlight w:val="none"/>
              </w:rPr>
              <w:t>负责单位</w:t>
            </w:r>
          </w:p>
        </w:tc>
      </w:tr>
      <w:tr w14:paraId="2514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3793A9">
            <w:pPr>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sz w:val="24"/>
                <w:szCs w:val="24"/>
                <w:highlight w:val="none"/>
                <w:lang w:eastAsia="zh-CN"/>
              </w:rPr>
              <w:t>1</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730F1B">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生态环境监管执法能力提升建设</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28B9E2">
            <w:pPr>
              <w:widowControl/>
              <w:autoSpaceDE w:val="0"/>
              <w:autoSpaceDN w:val="0"/>
              <w:spacing w:beforeLines="0" w:afterLines="0" w:line="240" w:lineRule="auto"/>
              <w:ind w:firstLine="480"/>
              <w:jc w:val="left"/>
              <w:rPr>
                <w:rFonts w:hint="eastAsia" w:eastAsia="仿宋_GB2312"/>
                <w:sz w:val="24"/>
                <w:szCs w:val="24"/>
                <w:highlight w:val="none"/>
                <w:lang w:val="en-US" w:eastAsia="zh-CN"/>
              </w:rPr>
            </w:pPr>
            <w:r>
              <w:rPr>
                <w:rFonts w:hint="eastAsia" w:eastAsia="仿宋_GB2312"/>
                <w:color w:val="000000"/>
                <w:sz w:val="24"/>
                <w:highlight w:val="none"/>
                <w:lang w:bidi="ar"/>
              </w:rPr>
              <w:t>加强环境执法能力建设，购置执法装备，购买无人机第三方服务，配套购置移动端数据软件</w:t>
            </w:r>
            <w:r>
              <w:rPr>
                <w:rFonts w:hint="eastAsia" w:eastAsia="仿宋_GB2312"/>
                <w:color w:val="000000"/>
                <w:sz w:val="24"/>
                <w:highlight w:val="none"/>
                <w:lang w:val="en-US" w:eastAsia="zh-CN" w:bidi="ar"/>
              </w:rPr>
              <w:t>等</w:t>
            </w:r>
            <w:r>
              <w:rPr>
                <w:rFonts w:hint="eastAsia" w:eastAsia="仿宋_GB2312"/>
                <w:color w:val="000000"/>
                <w:sz w:val="24"/>
                <w:szCs w:val="24"/>
                <w:highlight w:val="none"/>
                <w:lang w:eastAsia="zh-CN" w:bidi="ar"/>
              </w:rPr>
              <w:t>。</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894717">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8E693B">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534818">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100</w:t>
            </w:r>
          </w:p>
        </w:tc>
        <w:tc>
          <w:tcPr>
            <w:tcW w:w="2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7B4691">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w:t>
            </w:r>
          </w:p>
        </w:tc>
      </w:tr>
      <w:tr w14:paraId="073F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4E5185">
            <w:pPr>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sz w:val="24"/>
                <w:szCs w:val="24"/>
                <w:highlight w:val="none"/>
                <w:lang w:eastAsia="zh-CN"/>
              </w:rPr>
              <w:t>2</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D0CBDF">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环境监测能力建设</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FF40A35">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szCs w:val="24"/>
                <w:highlight w:val="none"/>
                <w:lang w:bidi="ar"/>
              </w:rPr>
              <w:t>增配快速检测或便携式监测仪器设备，</w:t>
            </w:r>
            <w:r>
              <w:rPr>
                <w:rFonts w:hint="eastAsia" w:eastAsia="仿宋_GB2312"/>
                <w:color w:val="000000"/>
                <w:sz w:val="24"/>
                <w:szCs w:val="24"/>
                <w:highlight w:val="none"/>
                <w:lang w:val="en-US" w:eastAsia="zh-CN" w:bidi="ar"/>
              </w:rPr>
              <w:t>设立</w:t>
            </w:r>
            <w:r>
              <w:rPr>
                <w:rFonts w:hint="eastAsia" w:eastAsia="仿宋_GB2312"/>
                <w:color w:val="000000"/>
                <w:sz w:val="24"/>
                <w:szCs w:val="24"/>
                <w:highlight w:val="none"/>
                <w:lang w:bidi="ar"/>
              </w:rPr>
              <w:t>石马河</w:t>
            </w:r>
            <w:r>
              <w:rPr>
                <w:rFonts w:hint="eastAsia" w:eastAsia="仿宋_GB2312"/>
                <w:color w:val="000000"/>
                <w:sz w:val="24"/>
                <w:szCs w:val="24"/>
                <w:highlight w:val="none"/>
                <w:lang w:val="en-US" w:eastAsia="zh-CN" w:bidi="ar"/>
              </w:rPr>
              <w:t>及</w:t>
            </w:r>
            <w:r>
              <w:rPr>
                <w:rFonts w:hint="eastAsia" w:eastAsia="仿宋_GB2312"/>
                <w:color w:val="000000"/>
                <w:sz w:val="24"/>
                <w:szCs w:val="24"/>
                <w:highlight w:val="none"/>
                <w:lang w:bidi="ar"/>
              </w:rPr>
              <w:t>其他重要水库水质</w:t>
            </w:r>
            <w:r>
              <w:rPr>
                <w:rFonts w:hint="eastAsia" w:eastAsia="仿宋_GB2312"/>
                <w:color w:val="000000"/>
                <w:sz w:val="24"/>
                <w:szCs w:val="24"/>
                <w:highlight w:val="none"/>
                <w:lang w:val="en-US" w:eastAsia="zh-CN" w:bidi="ar"/>
              </w:rPr>
              <w:t>微型</w:t>
            </w:r>
            <w:r>
              <w:rPr>
                <w:rFonts w:hint="eastAsia" w:eastAsia="仿宋_GB2312"/>
                <w:color w:val="000000"/>
                <w:sz w:val="24"/>
                <w:szCs w:val="24"/>
                <w:highlight w:val="none"/>
                <w:lang w:bidi="ar"/>
              </w:rPr>
              <w:t>自动监测站，</w:t>
            </w:r>
            <w:r>
              <w:rPr>
                <w:rFonts w:hint="eastAsia" w:eastAsia="仿宋_GB2312"/>
                <w:color w:val="000000"/>
                <w:sz w:val="24"/>
                <w:szCs w:val="24"/>
                <w:highlight w:val="none"/>
                <w:lang w:val="en-US" w:eastAsia="zh-CN" w:bidi="ar"/>
              </w:rPr>
              <w:t>建设</w:t>
            </w:r>
            <w:r>
              <w:rPr>
                <w:rFonts w:hint="eastAsia" w:eastAsia="仿宋_GB2312"/>
                <w:color w:val="000000"/>
                <w:sz w:val="24"/>
                <w:szCs w:val="24"/>
                <w:highlight w:val="none"/>
                <w:lang w:bidi="ar"/>
              </w:rPr>
              <w:t>环境空气质量在线监测监管系统。</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211D81">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E1E683">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59E820">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300</w:t>
            </w:r>
          </w:p>
        </w:tc>
        <w:tc>
          <w:tcPr>
            <w:tcW w:w="2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A6A65C">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w:t>
            </w:r>
          </w:p>
        </w:tc>
      </w:tr>
      <w:tr w14:paraId="2D0C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22B90E">
            <w:pPr>
              <w:autoSpaceDE w:val="0"/>
              <w:autoSpaceDN w:val="0"/>
              <w:spacing w:beforeLines="0" w:afterLines="0" w:line="240" w:lineRule="auto"/>
              <w:ind w:firstLine="0" w:firstLineChars="0"/>
              <w:jc w:val="center"/>
              <w:rPr>
                <w:rFonts w:hint="eastAsia" w:eastAsia="仿宋_GB2312"/>
                <w:sz w:val="24"/>
                <w:szCs w:val="24"/>
                <w:highlight w:val="none"/>
              </w:rPr>
            </w:pPr>
            <w:r>
              <w:rPr>
                <w:rFonts w:hint="eastAsia" w:eastAsia="仿宋_GB2312"/>
                <w:sz w:val="24"/>
                <w:szCs w:val="24"/>
                <w:highlight w:val="none"/>
                <w:lang w:eastAsia="zh-CN"/>
              </w:rPr>
              <w:t>3</w:t>
            </w:r>
          </w:p>
        </w:tc>
        <w:tc>
          <w:tcPr>
            <w:tcW w:w="181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BFE4E8">
            <w:pPr>
              <w:widowControl/>
              <w:autoSpaceDE w:val="0"/>
              <w:autoSpaceDN w:val="0"/>
              <w:spacing w:beforeLines="0" w:afterLines="0" w:line="240" w:lineRule="auto"/>
              <w:ind w:firstLine="0" w:firstLineChars="0"/>
              <w:jc w:val="center"/>
              <w:rPr>
                <w:rFonts w:hint="eastAsia"/>
                <w:color w:val="000000"/>
                <w:sz w:val="24"/>
                <w:szCs w:val="24"/>
                <w:highlight w:val="none"/>
                <w:lang w:bidi="ar"/>
              </w:rPr>
            </w:pPr>
            <w:r>
              <w:rPr>
                <w:rFonts w:hint="eastAsia" w:eastAsia="仿宋_GB2312"/>
                <w:color w:val="000000"/>
                <w:sz w:val="24"/>
                <w:szCs w:val="24"/>
                <w:highlight w:val="none"/>
                <w:lang w:bidi="ar"/>
              </w:rPr>
              <w:t>环境应急能力建设</w:t>
            </w:r>
          </w:p>
        </w:tc>
        <w:tc>
          <w:tcPr>
            <w:tcW w:w="5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4A932F">
            <w:pPr>
              <w:widowControl/>
              <w:autoSpaceDE w:val="0"/>
              <w:autoSpaceDN w:val="0"/>
              <w:spacing w:beforeLines="0" w:afterLines="0" w:line="240" w:lineRule="auto"/>
              <w:ind w:firstLine="480"/>
              <w:jc w:val="left"/>
              <w:rPr>
                <w:rFonts w:hint="eastAsia"/>
                <w:sz w:val="24"/>
                <w:szCs w:val="24"/>
                <w:highlight w:val="none"/>
              </w:rPr>
            </w:pPr>
            <w:r>
              <w:rPr>
                <w:rFonts w:hint="eastAsia" w:eastAsia="仿宋_GB2312"/>
                <w:color w:val="000000"/>
                <w:sz w:val="24"/>
                <w:highlight w:val="none"/>
                <w:lang w:bidi="ar"/>
              </w:rPr>
              <w:t>编制清溪镇突发环境事件应急预案</w:t>
            </w:r>
            <w:r>
              <w:rPr>
                <w:rFonts w:hint="eastAsia" w:eastAsia="仿宋_GB2312"/>
                <w:color w:val="000000"/>
                <w:sz w:val="24"/>
                <w:highlight w:val="none"/>
                <w:lang w:eastAsia="zh-CN" w:bidi="ar"/>
              </w:rPr>
              <w:t>、</w:t>
            </w:r>
            <w:r>
              <w:rPr>
                <w:rFonts w:hint="eastAsia" w:eastAsia="仿宋_GB2312"/>
                <w:color w:val="000000"/>
                <w:sz w:val="24"/>
                <w:highlight w:val="none"/>
                <w:lang w:bidi="ar"/>
              </w:rPr>
              <w:t>饮用水水源保护区突发环境事件应急预案</w:t>
            </w:r>
            <w:r>
              <w:rPr>
                <w:rFonts w:hint="eastAsia" w:eastAsia="仿宋_GB2312"/>
                <w:color w:val="000000"/>
                <w:sz w:val="24"/>
                <w:highlight w:val="none"/>
                <w:lang w:eastAsia="zh-CN" w:bidi="ar"/>
              </w:rPr>
              <w:t>，</w:t>
            </w:r>
            <w:r>
              <w:rPr>
                <w:rFonts w:hint="eastAsia" w:eastAsia="仿宋_GB2312"/>
                <w:color w:val="000000"/>
                <w:sz w:val="24"/>
                <w:szCs w:val="24"/>
                <w:highlight w:val="none"/>
                <w:lang w:bidi="ar"/>
              </w:rPr>
              <w:t>增加环境应急设备、应急配套软件，提升应急培训、提升应急队伍水平。</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CB50E2">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rPr>
              <w:t>202</w:t>
            </w:r>
            <w:r>
              <w:rPr>
                <w:rFonts w:hint="eastAsia" w:eastAsia="仿宋_GB2312"/>
                <w:sz w:val="24"/>
                <w:szCs w:val="24"/>
                <w:highlight w:val="none"/>
                <w:lang w:val="en-US" w:eastAsia="zh-CN"/>
              </w:rPr>
              <w:t>4</w:t>
            </w:r>
            <w:r>
              <w:rPr>
                <w:rFonts w:hint="eastAsia" w:eastAsia="仿宋_GB2312"/>
                <w:sz w:val="24"/>
                <w:szCs w:val="24"/>
                <w:highlight w:val="none"/>
              </w:rPr>
              <w:t>年</w:t>
            </w:r>
          </w:p>
        </w:tc>
        <w:tc>
          <w:tcPr>
            <w:tcW w:w="13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0EA75E">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sz w:val="24"/>
                <w:szCs w:val="24"/>
                <w:highlight w:val="none"/>
                <w:lang w:eastAsia="zh-CN"/>
              </w:rPr>
              <w:t>2030</w:t>
            </w:r>
            <w:r>
              <w:rPr>
                <w:rFonts w:hint="eastAsia" w:eastAsia="仿宋_GB2312"/>
                <w:sz w:val="24"/>
                <w:szCs w:val="24"/>
                <w:highlight w:val="none"/>
              </w:rPr>
              <w:t>年底</w:t>
            </w:r>
          </w:p>
        </w:tc>
        <w:tc>
          <w:tcPr>
            <w:tcW w:w="12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1E3FC4">
            <w:pPr>
              <w:autoSpaceDE w:val="0"/>
              <w:autoSpaceDN w:val="0"/>
              <w:spacing w:beforeLines="0" w:afterLines="0" w:line="240" w:lineRule="auto"/>
              <w:ind w:firstLine="0" w:firstLineChars="0"/>
              <w:jc w:val="center"/>
              <w:rPr>
                <w:rFonts w:hint="default" w:eastAsia="仿宋_GB2312"/>
                <w:sz w:val="24"/>
                <w:szCs w:val="24"/>
                <w:highlight w:val="none"/>
                <w:lang w:val="en-US" w:eastAsia="zh-CN"/>
              </w:rPr>
            </w:pPr>
            <w:r>
              <w:rPr>
                <w:rFonts w:hint="eastAsia" w:eastAsia="仿宋_GB2312"/>
                <w:sz w:val="24"/>
                <w:szCs w:val="24"/>
                <w:highlight w:val="none"/>
                <w:lang w:val="en-US" w:eastAsia="zh-CN"/>
              </w:rPr>
              <w:t>100</w:t>
            </w:r>
          </w:p>
        </w:tc>
        <w:tc>
          <w:tcPr>
            <w:tcW w:w="22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37A6A9">
            <w:pPr>
              <w:autoSpaceDE w:val="0"/>
              <w:autoSpaceDN w:val="0"/>
              <w:spacing w:beforeLines="0" w:afterLines="0" w:line="240" w:lineRule="auto"/>
              <w:ind w:firstLine="0" w:firstLineChars="0"/>
              <w:jc w:val="center"/>
              <w:rPr>
                <w:rFonts w:hint="eastAsia"/>
                <w:sz w:val="24"/>
                <w:szCs w:val="24"/>
                <w:highlight w:val="none"/>
              </w:rPr>
            </w:pPr>
            <w:r>
              <w:rPr>
                <w:rFonts w:hint="eastAsia" w:eastAsia="仿宋_GB2312"/>
                <w:color w:val="000000"/>
                <w:sz w:val="24"/>
                <w:szCs w:val="24"/>
                <w:highlight w:val="none"/>
                <w:lang w:bidi="ar"/>
              </w:rPr>
              <w:t>镇生态环境分局</w:t>
            </w:r>
          </w:p>
        </w:tc>
      </w:tr>
    </w:tbl>
    <w:p w14:paraId="55AE6CC4">
      <w:pPr>
        <w:rPr>
          <w:rFonts w:ascii="Times New Roman" w:hAnsi="Times New Roman" w:cs="Times New Roman"/>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589F337">
      <w:pPr>
        <w:pStyle w:val="4"/>
        <w:outlineLvl w:val="1"/>
        <w:rPr>
          <w:rFonts w:hint="eastAsia" w:ascii="Times New Roman" w:hAnsi="Times New Roman" w:eastAsia="黑体" w:cs="Times New Roman"/>
          <w:b w:val="0"/>
          <w:sz w:val="28"/>
          <w:highlight w:val="none"/>
          <w:lang w:val="en-US" w:eastAsia="zh-CN"/>
        </w:rPr>
      </w:pPr>
      <w:bookmarkStart w:id="591" w:name="_Toc15674"/>
      <w:bookmarkStart w:id="592" w:name="_Toc10550"/>
      <w:bookmarkStart w:id="593" w:name="_Toc30269"/>
      <w:bookmarkStart w:id="594" w:name="_Toc13514"/>
      <w:bookmarkStart w:id="595" w:name="_Toc3921"/>
      <w:bookmarkStart w:id="596" w:name="_Toc31003"/>
      <w:bookmarkStart w:id="597" w:name="_Toc8769"/>
      <w:bookmarkStart w:id="598" w:name="_Toc21624"/>
      <w:bookmarkStart w:id="599" w:name="_Toc18040"/>
      <w:bookmarkStart w:id="600" w:name="_Toc32010"/>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图1</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清溪镇行政区划图</w:t>
      </w:r>
      <w:bookmarkEnd w:id="591"/>
      <w:bookmarkEnd w:id="592"/>
      <w:bookmarkEnd w:id="593"/>
      <w:bookmarkEnd w:id="594"/>
      <w:bookmarkEnd w:id="595"/>
      <w:bookmarkEnd w:id="596"/>
      <w:bookmarkEnd w:id="597"/>
    </w:p>
    <w:p w14:paraId="0E342609">
      <w:pPr>
        <w:rPr>
          <w:rFonts w:hint="eastAsia" w:ascii="Times New Roman" w:hAnsi="Times New Roman" w:eastAsia="黑体" w:cs="Times New Roman"/>
          <w:b w:val="0"/>
          <w:sz w:val="28"/>
          <w:highlight w:val="none"/>
          <w:lang w:val="en-US" w:eastAsia="zh-CN"/>
        </w:rPr>
      </w:pPr>
      <w:r>
        <w:rPr>
          <w:rFonts w:hint="eastAsia" w:ascii="Times New Roman" w:hAnsi="Times New Roman" w:eastAsia="黑体" w:cs="Times New Roman"/>
          <w:b w:val="0"/>
          <w:sz w:val="28"/>
          <w:highlight w:val="none"/>
          <w:lang w:val="en-US" w:eastAsia="zh-CN"/>
        </w:rPr>
        <w:drawing>
          <wp:anchor distT="0" distB="0" distL="114300" distR="114300" simplePos="0" relativeHeight="251659264" behindDoc="0" locked="0" layoutInCell="1" allowOverlap="1">
            <wp:simplePos x="0" y="0"/>
            <wp:positionH relativeFrom="column">
              <wp:posOffset>1417955</wp:posOffset>
            </wp:positionH>
            <wp:positionV relativeFrom="paragraph">
              <wp:posOffset>1270</wp:posOffset>
            </wp:positionV>
            <wp:extent cx="6496050" cy="4590415"/>
            <wp:effectExtent l="0" t="0" r="11430" b="12065"/>
            <wp:wrapNone/>
            <wp:docPr id="9" name="图片 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1"/>
                    <pic:cNvPicPr>
                      <a:picLocks noChangeAspect="1"/>
                    </pic:cNvPicPr>
                  </pic:nvPicPr>
                  <pic:blipFill>
                    <a:blip r:embed="rId10"/>
                    <a:srcRect b="2329"/>
                    <a:stretch>
                      <a:fillRect/>
                    </a:stretch>
                  </pic:blipFill>
                  <pic:spPr>
                    <a:xfrm>
                      <a:off x="0" y="0"/>
                      <a:ext cx="6496050" cy="4590415"/>
                    </a:xfrm>
                    <a:prstGeom prst="rect">
                      <a:avLst/>
                    </a:prstGeom>
                  </pic:spPr>
                </pic:pic>
              </a:graphicData>
            </a:graphic>
          </wp:anchor>
        </w:drawing>
      </w:r>
    </w:p>
    <w:p w14:paraId="10B6F896">
      <w:pPr>
        <w:rPr>
          <w:rFonts w:hint="eastAsia" w:ascii="Times New Roman" w:hAnsi="Times New Roman" w:eastAsia="黑体" w:cs="Times New Roman"/>
          <w:b w:val="0"/>
          <w:sz w:val="28"/>
          <w:highlight w:val="none"/>
          <w:lang w:val="en-US" w:eastAsia="zh-CN"/>
        </w:rPr>
      </w:pPr>
    </w:p>
    <w:p w14:paraId="64CB9527">
      <w:pPr>
        <w:rPr>
          <w:rFonts w:hint="eastAsia" w:ascii="Times New Roman" w:hAnsi="Times New Roman" w:eastAsia="黑体" w:cs="Times New Roman"/>
          <w:b w:val="0"/>
          <w:sz w:val="28"/>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C96D68D">
      <w:pPr>
        <w:pStyle w:val="4"/>
        <w:spacing w:before="0" w:after="0"/>
        <w:outlineLvl w:val="1"/>
        <w:rPr>
          <w:rFonts w:hint="default" w:ascii="Times New Roman" w:hAnsi="Times New Roman" w:eastAsia="黑体" w:cs="Times New Roman"/>
          <w:b w:val="0"/>
          <w:sz w:val="28"/>
          <w:highlight w:val="none"/>
          <w:lang w:val="en-US" w:eastAsia="zh-CN"/>
        </w:rPr>
      </w:pPr>
      <w:bookmarkStart w:id="601" w:name="_Toc4475"/>
      <w:bookmarkStart w:id="602" w:name="_Toc5465"/>
      <w:bookmarkStart w:id="603" w:name="_Toc29021"/>
      <w:bookmarkStart w:id="604" w:name="_Toc32328"/>
      <w:bookmarkStart w:id="605" w:name="_Toc15688"/>
      <w:bookmarkStart w:id="606" w:name="_Toc18116"/>
      <w:bookmarkStart w:id="607" w:name="_Toc26777"/>
      <w:bookmarkStart w:id="608" w:name="_Toc23549"/>
      <w:bookmarkStart w:id="609" w:name="_Toc17306"/>
      <w:bookmarkStart w:id="610" w:name="_Toc17296"/>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图2</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清溪镇生态廊道布局图</w:t>
      </w:r>
      <w:bookmarkEnd w:id="601"/>
      <w:bookmarkEnd w:id="602"/>
      <w:bookmarkEnd w:id="603"/>
      <w:bookmarkEnd w:id="604"/>
      <w:bookmarkEnd w:id="605"/>
      <w:bookmarkEnd w:id="606"/>
      <w:bookmarkEnd w:id="607"/>
      <w:bookmarkEnd w:id="608"/>
      <w:bookmarkEnd w:id="609"/>
      <w:bookmarkEnd w:id="610"/>
    </w:p>
    <w:p w14:paraId="697B0994">
      <w:pPr>
        <w:jc w:val="center"/>
        <w:rPr>
          <w:rFonts w:hint="default"/>
          <w:lang w:val="en-US" w:eastAsia="zh-CN"/>
        </w:rPr>
      </w:pPr>
      <w:r>
        <w:rPr>
          <w:rFonts w:hint="default"/>
          <w:lang w:val="en-US" w:eastAsia="zh-CN"/>
        </w:rPr>
        <w:drawing>
          <wp:inline distT="0" distB="0" distL="114300" distR="114300">
            <wp:extent cx="6155690" cy="4453255"/>
            <wp:effectExtent l="0" t="0" r="1270" b="12065"/>
            <wp:docPr id="10" name="图片 10" descr="清溪镇生态廊道布局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溪镇生态廊道布局图（2024-2030年）"/>
                    <pic:cNvPicPr>
                      <a:picLocks noChangeAspect="1"/>
                    </pic:cNvPicPr>
                  </pic:nvPicPr>
                  <pic:blipFill>
                    <a:blip r:embed="rId11"/>
                    <a:stretch>
                      <a:fillRect/>
                    </a:stretch>
                  </pic:blipFill>
                  <pic:spPr>
                    <a:xfrm>
                      <a:off x="0" y="0"/>
                      <a:ext cx="6155690" cy="4453255"/>
                    </a:xfrm>
                    <a:prstGeom prst="rect">
                      <a:avLst/>
                    </a:prstGeom>
                  </pic:spPr>
                </pic:pic>
              </a:graphicData>
            </a:graphic>
          </wp:inline>
        </w:drawing>
      </w:r>
    </w:p>
    <w:p w14:paraId="212F0337">
      <w:pPr>
        <w:jc w:val="center"/>
        <w:rPr>
          <w:rFonts w:hint="default"/>
          <w:lang w:val="en-US" w:eastAsia="zh-CN"/>
        </w:rPr>
      </w:pPr>
    </w:p>
    <w:p w14:paraId="0D665246">
      <w:pPr>
        <w:pStyle w:val="4"/>
        <w:outlineLvl w:val="1"/>
        <w:rPr>
          <w:rFonts w:hint="eastAsia" w:ascii="Times New Roman" w:hAnsi="Times New Roman" w:eastAsia="黑体" w:cs="Times New Roman"/>
          <w:b w:val="0"/>
          <w:sz w:val="28"/>
          <w:highlight w:val="none"/>
          <w:lang w:val="en-US" w:eastAsia="zh-CN"/>
        </w:rPr>
      </w:pPr>
      <w:bookmarkStart w:id="611" w:name="_Toc11462"/>
      <w:bookmarkStart w:id="612" w:name="_Toc29533"/>
      <w:bookmarkStart w:id="613" w:name="_Toc23112"/>
      <w:bookmarkStart w:id="614" w:name="_Toc27817"/>
      <w:bookmarkStart w:id="615" w:name="_Toc26407"/>
      <w:bookmarkStart w:id="616" w:name="_Toc13349"/>
      <w:bookmarkStart w:id="617" w:name="_Toc6890"/>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图3</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w:t>
      </w:r>
      <w:r>
        <w:rPr>
          <w:rFonts w:hint="eastAsia" w:ascii="Times New Roman" w:hAnsi="Times New Roman" w:eastAsia="黑体" w:cs="Times New Roman"/>
          <w:b w:val="0"/>
          <w:sz w:val="28"/>
          <w:highlight w:val="none"/>
          <w:lang w:val="en-US" w:eastAsia="zh-CN"/>
        </w:rPr>
        <w:t>水环境监测断面分布图</w:t>
      </w:r>
      <w:bookmarkEnd w:id="611"/>
      <w:bookmarkEnd w:id="612"/>
      <w:r>
        <w:rPr>
          <w:rFonts w:hint="eastAsia" w:ascii="Times New Roman" w:hAnsi="Times New Roman" w:eastAsia="黑体" w:cs="Times New Roman"/>
          <w:b w:val="0"/>
          <w:sz w:val="28"/>
          <w:highlight w:val="none"/>
          <w:lang w:val="en-US" w:eastAsia="zh-CN"/>
        </w:rPr>
        <w:t>（点位信息来源于《2023年东莞市水质断面监测方案 （修订稿）》）</w:t>
      </w:r>
      <w:bookmarkEnd w:id="613"/>
      <w:bookmarkEnd w:id="614"/>
      <w:bookmarkEnd w:id="615"/>
      <w:bookmarkEnd w:id="616"/>
      <w:bookmarkEnd w:id="617"/>
    </w:p>
    <w:p w14:paraId="642C5F3E">
      <w:pPr>
        <w:jc w:val="center"/>
        <w:rPr>
          <w:rFonts w:hint="eastAsia"/>
          <w:lang w:val="en-US" w:eastAsia="zh-CN"/>
        </w:rPr>
      </w:pPr>
      <w:r>
        <w:rPr>
          <w:rFonts w:hint="eastAsia"/>
          <w:lang w:val="en-US" w:eastAsia="zh-CN"/>
        </w:rPr>
        <w:drawing>
          <wp:inline distT="0" distB="0" distL="114300" distR="114300">
            <wp:extent cx="6242685" cy="4517390"/>
            <wp:effectExtent l="0" t="0" r="5715" b="8890"/>
            <wp:docPr id="11" name="图片 11" descr="清溪镇水环境监测断面分布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溪镇水环境监测断面分布图（2024-2030年）"/>
                    <pic:cNvPicPr>
                      <a:picLocks noChangeAspect="1"/>
                    </pic:cNvPicPr>
                  </pic:nvPicPr>
                  <pic:blipFill>
                    <a:blip r:embed="rId12"/>
                    <a:stretch>
                      <a:fillRect/>
                    </a:stretch>
                  </pic:blipFill>
                  <pic:spPr>
                    <a:xfrm>
                      <a:off x="0" y="0"/>
                      <a:ext cx="6242685" cy="4517390"/>
                    </a:xfrm>
                    <a:prstGeom prst="rect">
                      <a:avLst/>
                    </a:prstGeom>
                  </pic:spPr>
                </pic:pic>
              </a:graphicData>
            </a:graphic>
          </wp:inline>
        </w:drawing>
      </w:r>
    </w:p>
    <w:p w14:paraId="17C4931A">
      <w:pPr>
        <w:bidi w:val="0"/>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1C481DF">
      <w:pPr>
        <w:pStyle w:val="4"/>
        <w:spacing w:before="0" w:after="0"/>
        <w:outlineLvl w:val="1"/>
        <w:rPr>
          <w:rFonts w:hint="eastAsia" w:ascii="Times New Roman" w:hAnsi="Times New Roman" w:eastAsia="黑体" w:cs="Times New Roman"/>
          <w:b w:val="0"/>
          <w:sz w:val="28"/>
          <w:highlight w:val="none"/>
          <w:lang w:val="en-US" w:eastAsia="zh-CN"/>
        </w:rPr>
      </w:pPr>
      <w:bookmarkStart w:id="618" w:name="_Toc6018"/>
      <w:bookmarkStart w:id="619" w:name="_Toc8096"/>
      <w:bookmarkStart w:id="620" w:name="_Toc29527"/>
      <w:bookmarkStart w:id="621" w:name="_Toc2438"/>
      <w:bookmarkStart w:id="622" w:name="_Toc9736"/>
      <w:bookmarkStart w:id="623" w:name="_Toc24344"/>
      <w:bookmarkStart w:id="624" w:name="_Toc31413"/>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图4</w:t>
      </w:r>
      <w:r>
        <w:rPr>
          <w:rFonts w:ascii="Times New Roman" w:hAnsi="Times New Roman" w:eastAsia="黑体" w:cs="Times New Roman"/>
          <w:b w:val="0"/>
          <w:sz w:val="28"/>
          <w:highlight w:val="none"/>
        </w:rPr>
        <w:t xml:space="preserve"> </w:t>
      </w:r>
      <w:r>
        <w:rPr>
          <w:rFonts w:hint="eastAsia" w:ascii="Times New Roman" w:hAnsi="Times New Roman" w:eastAsia="黑体" w:cs="Times New Roman"/>
          <w:b w:val="0"/>
          <w:sz w:val="28"/>
          <w:highlight w:val="none"/>
          <w:lang w:val="en-US" w:eastAsia="zh-CN"/>
        </w:rPr>
        <w:t>清溪镇生态空间布局图</w:t>
      </w:r>
      <w:bookmarkEnd w:id="618"/>
      <w:bookmarkEnd w:id="619"/>
      <w:bookmarkEnd w:id="620"/>
      <w:bookmarkEnd w:id="621"/>
      <w:bookmarkEnd w:id="622"/>
      <w:bookmarkEnd w:id="623"/>
      <w:bookmarkEnd w:id="624"/>
    </w:p>
    <w:p w14:paraId="6D9D61AE">
      <w:pPr>
        <w:jc w:val="center"/>
        <w:rPr>
          <w:rFonts w:hint="eastAsia"/>
          <w:lang w:val="en-US" w:eastAsia="zh-CN"/>
        </w:rPr>
      </w:pPr>
      <w:r>
        <w:rPr>
          <w:rFonts w:hint="eastAsia"/>
          <w:lang w:val="en-US" w:eastAsia="zh-CN"/>
        </w:rPr>
        <w:drawing>
          <wp:inline distT="0" distB="0" distL="114300" distR="114300">
            <wp:extent cx="6534150" cy="4619625"/>
            <wp:effectExtent l="0" t="0" r="3810" b="13335"/>
            <wp:docPr id="12" name="图片 12" descr="清溪镇生态空间布局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溪镇生态空间布局图（2024-2030年）"/>
                    <pic:cNvPicPr>
                      <a:picLocks noChangeAspect="1"/>
                    </pic:cNvPicPr>
                  </pic:nvPicPr>
                  <pic:blipFill>
                    <a:blip r:embed="rId13"/>
                    <a:stretch>
                      <a:fillRect/>
                    </a:stretch>
                  </pic:blipFill>
                  <pic:spPr>
                    <a:xfrm>
                      <a:off x="0" y="0"/>
                      <a:ext cx="6534150" cy="4619625"/>
                    </a:xfrm>
                    <a:prstGeom prst="rect">
                      <a:avLst/>
                    </a:prstGeom>
                  </pic:spPr>
                </pic:pic>
              </a:graphicData>
            </a:graphic>
          </wp:inline>
        </w:drawing>
      </w:r>
    </w:p>
    <w:p w14:paraId="51CDF735">
      <w:pPr>
        <w:rPr>
          <w:rFonts w:hint="eastAsia" w:ascii="Times New Roman" w:hAnsi="Times New Roman" w:eastAsia="黑体" w:cs="Times New Roman"/>
          <w:b w:val="0"/>
          <w:sz w:val="28"/>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EFE6A10">
      <w:pPr>
        <w:pStyle w:val="4"/>
        <w:spacing w:before="0" w:after="0"/>
        <w:outlineLvl w:val="1"/>
        <w:rPr>
          <w:rFonts w:hint="default" w:ascii="Times New Roman" w:hAnsi="Times New Roman" w:eastAsia="黑体" w:cs="Times New Roman"/>
          <w:b w:val="0"/>
          <w:sz w:val="28"/>
          <w:highlight w:val="none"/>
          <w:lang w:val="en-US" w:eastAsia="zh-CN"/>
        </w:rPr>
      </w:pPr>
      <w:bookmarkStart w:id="625" w:name="_Toc5853"/>
      <w:bookmarkStart w:id="626" w:name="_Toc884"/>
      <w:bookmarkStart w:id="627" w:name="_Toc3439"/>
      <w:bookmarkStart w:id="628" w:name="_Toc16084"/>
      <w:bookmarkStart w:id="629" w:name="_Toc523"/>
      <w:bookmarkStart w:id="630" w:name="_Toc30952"/>
      <w:bookmarkStart w:id="631" w:name="_Toc18220"/>
      <w:bookmarkStart w:id="632" w:name="_Toc18264"/>
      <w:bookmarkStart w:id="633" w:name="_Toc11296"/>
      <w:bookmarkStart w:id="634" w:name="_Toc7148"/>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图5</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清溪镇地表水环境功能区划</w:t>
      </w:r>
      <w:r>
        <w:rPr>
          <w:rFonts w:hint="eastAsia" w:ascii="Times New Roman" w:hAnsi="Times New Roman" w:eastAsia="黑体" w:cs="Times New Roman"/>
          <w:b w:val="0"/>
          <w:sz w:val="28"/>
          <w:highlight w:val="none"/>
          <w:lang w:val="en-US" w:eastAsia="zh-CN"/>
        </w:rPr>
        <w:t>示意</w:t>
      </w:r>
      <w:r>
        <w:rPr>
          <w:rFonts w:hint="default" w:ascii="Times New Roman" w:hAnsi="Times New Roman" w:eastAsia="黑体" w:cs="Times New Roman"/>
          <w:b w:val="0"/>
          <w:sz w:val="28"/>
          <w:highlight w:val="none"/>
          <w:lang w:val="en-US" w:eastAsia="zh-CN"/>
        </w:rPr>
        <w:t>图</w:t>
      </w:r>
      <w:bookmarkEnd w:id="625"/>
      <w:bookmarkEnd w:id="626"/>
      <w:bookmarkEnd w:id="627"/>
      <w:bookmarkEnd w:id="628"/>
      <w:bookmarkEnd w:id="629"/>
      <w:bookmarkEnd w:id="630"/>
      <w:bookmarkEnd w:id="631"/>
      <w:bookmarkEnd w:id="632"/>
      <w:bookmarkEnd w:id="633"/>
      <w:bookmarkEnd w:id="634"/>
    </w:p>
    <w:p w14:paraId="687C0409">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drawing>
          <wp:inline distT="0" distB="0" distL="114300" distR="114300">
            <wp:extent cx="6648450" cy="4541520"/>
            <wp:effectExtent l="0" t="0" r="11430" b="0"/>
            <wp:docPr id="13" name="图片 13" descr="清溪镇地表水环境功能区划示意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清溪镇地表水环境功能区划示意图（2024-2030年）"/>
                    <pic:cNvPicPr>
                      <a:picLocks noChangeAspect="1"/>
                    </pic:cNvPicPr>
                  </pic:nvPicPr>
                  <pic:blipFill>
                    <a:blip r:embed="rId14"/>
                    <a:stretch>
                      <a:fillRect/>
                    </a:stretch>
                  </pic:blipFill>
                  <pic:spPr>
                    <a:xfrm>
                      <a:off x="0" y="0"/>
                      <a:ext cx="6648450" cy="4541520"/>
                    </a:xfrm>
                    <a:prstGeom prst="rect">
                      <a:avLst/>
                    </a:prstGeom>
                  </pic:spPr>
                </pic:pic>
              </a:graphicData>
            </a:graphic>
          </wp:inline>
        </w:drawing>
      </w:r>
    </w:p>
    <w:p w14:paraId="405DDAB4">
      <w:pPr>
        <w:jc w:val="center"/>
        <w:rPr>
          <w:rFonts w:hint="eastAsia" w:ascii="Times New Roman" w:hAnsi="Times New Roman" w:eastAsia="宋体" w:cs="Times New Roman"/>
          <w:highlight w:val="none"/>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13B13FC8">
      <w:pPr>
        <w:pStyle w:val="4"/>
        <w:spacing w:before="0" w:after="0"/>
        <w:outlineLvl w:val="1"/>
        <w:rPr>
          <w:rFonts w:hint="default" w:ascii="Times New Roman" w:hAnsi="Times New Roman" w:eastAsia="黑体" w:cs="Times New Roman"/>
          <w:b w:val="0"/>
          <w:sz w:val="28"/>
          <w:highlight w:val="none"/>
          <w:lang w:val="en-US" w:eastAsia="zh-CN"/>
        </w:rPr>
      </w:pPr>
      <w:bookmarkStart w:id="635" w:name="_Toc27893"/>
      <w:bookmarkStart w:id="636" w:name="_Toc18913"/>
      <w:bookmarkStart w:id="637" w:name="_Toc8097"/>
      <w:bookmarkStart w:id="638" w:name="_Toc5357"/>
      <w:bookmarkStart w:id="639" w:name="_Toc17394"/>
      <w:bookmarkStart w:id="640" w:name="_Toc3718"/>
      <w:bookmarkStart w:id="641" w:name="_Toc31743"/>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图6</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清溪镇大气环境功能示意图</w:t>
      </w:r>
      <w:bookmarkEnd w:id="635"/>
      <w:bookmarkEnd w:id="636"/>
      <w:bookmarkEnd w:id="637"/>
      <w:bookmarkEnd w:id="638"/>
      <w:bookmarkEnd w:id="639"/>
      <w:bookmarkEnd w:id="640"/>
      <w:bookmarkEnd w:id="641"/>
    </w:p>
    <w:p w14:paraId="67892226">
      <w:pPr>
        <w:jc w:val="center"/>
        <w:rPr>
          <w:rFonts w:hint="default"/>
          <w:highlight w:val="none"/>
          <w:lang w:val="en-US" w:eastAsia="zh-CN"/>
        </w:rPr>
      </w:pPr>
      <w:r>
        <w:rPr>
          <w:rFonts w:hint="default"/>
          <w:highlight w:val="none"/>
          <w:lang w:val="en-US" w:eastAsia="zh-CN"/>
        </w:rPr>
        <w:drawing>
          <wp:inline distT="0" distB="0" distL="114300" distR="114300">
            <wp:extent cx="6936105" cy="4768850"/>
            <wp:effectExtent l="0" t="0" r="13335" b="1270"/>
            <wp:docPr id="14" name="图片 14" descr="清溪镇大气环境功能示意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清溪镇大气环境功能示意图（2024-2030年）"/>
                    <pic:cNvPicPr>
                      <a:picLocks noChangeAspect="1"/>
                    </pic:cNvPicPr>
                  </pic:nvPicPr>
                  <pic:blipFill>
                    <a:blip r:embed="rId15"/>
                    <a:stretch>
                      <a:fillRect/>
                    </a:stretch>
                  </pic:blipFill>
                  <pic:spPr>
                    <a:xfrm>
                      <a:off x="0" y="0"/>
                      <a:ext cx="6936105" cy="4768850"/>
                    </a:xfrm>
                    <a:prstGeom prst="rect">
                      <a:avLst/>
                    </a:prstGeom>
                  </pic:spPr>
                </pic:pic>
              </a:graphicData>
            </a:graphic>
          </wp:inline>
        </w:drawing>
      </w:r>
    </w:p>
    <w:p w14:paraId="5F9CECE1">
      <w:pPr>
        <w:pageBreakBefore w:val="0"/>
        <w:kinsoku/>
        <w:wordWrap/>
        <w:bidi w:val="0"/>
        <w:spacing w:before="120" w:after="120" w:line="360" w:lineRule="auto"/>
        <w:rPr>
          <w:rFonts w:ascii="Times New Roman" w:hAnsi="Times New Roman" w:eastAsia="黑体" w:cs="Times New Roman"/>
          <w:b w:val="0"/>
          <w:sz w:val="28"/>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55E57B6D">
      <w:pPr>
        <w:pStyle w:val="4"/>
        <w:outlineLvl w:val="1"/>
        <w:rPr>
          <w:rFonts w:hint="default" w:ascii="Times New Roman" w:hAnsi="Times New Roman" w:eastAsia="黑体" w:cs="Times New Roman"/>
          <w:b w:val="0"/>
          <w:sz w:val="28"/>
          <w:highlight w:val="none"/>
          <w:lang w:val="en-US" w:eastAsia="zh-CN"/>
        </w:rPr>
      </w:pPr>
      <w:bookmarkStart w:id="642" w:name="_Toc31730"/>
      <w:bookmarkStart w:id="643" w:name="_Toc383"/>
      <w:bookmarkStart w:id="644" w:name="_Toc10239"/>
      <w:bookmarkStart w:id="645" w:name="_Toc32053"/>
      <w:bookmarkStart w:id="646" w:name="_Toc13518"/>
      <w:bookmarkStart w:id="647" w:name="_Toc304"/>
      <w:bookmarkStart w:id="648" w:name="_Toc10737"/>
      <w:bookmarkStart w:id="649" w:name="_Toc1354"/>
      <w:bookmarkStart w:id="650" w:name="_Toc7404"/>
      <w:bookmarkStart w:id="651" w:name="_Toc14193"/>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图7</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清溪镇声环境功能区划图</w:t>
      </w:r>
      <w:bookmarkEnd w:id="642"/>
      <w:bookmarkEnd w:id="643"/>
      <w:bookmarkEnd w:id="644"/>
      <w:bookmarkEnd w:id="645"/>
      <w:bookmarkEnd w:id="646"/>
      <w:bookmarkEnd w:id="647"/>
      <w:bookmarkEnd w:id="648"/>
      <w:bookmarkEnd w:id="649"/>
      <w:bookmarkEnd w:id="650"/>
      <w:bookmarkEnd w:id="651"/>
    </w:p>
    <w:p w14:paraId="3BB25CC0">
      <w:pPr>
        <w:bidi w:val="0"/>
        <w:jc w:val="center"/>
        <w:rPr>
          <w:rFonts w:hint="eastAsia"/>
          <w:lang w:eastAsia="zh-CN"/>
        </w:rPr>
      </w:pPr>
      <w:bookmarkStart w:id="652" w:name="_Toc28820"/>
      <w:bookmarkStart w:id="653" w:name="_Toc19392"/>
      <w:bookmarkStart w:id="654" w:name="_Toc31440"/>
      <w:bookmarkStart w:id="655" w:name="_Toc3816"/>
      <w:r>
        <w:rPr>
          <w:rFonts w:hint="eastAsia"/>
          <w:lang w:eastAsia="zh-CN"/>
        </w:rPr>
        <w:drawing>
          <wp:inline distT="0" distB="0" distL="114300" distR="114300">
            <wp:extent cx="6108065" cy="4418965"/>
            <wp:effectExtent l="0" t="0" r="3175" b="635"/>
            <wp:docPr id="15" name="图片 15" descr="清溪镇声环境功能区划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溪镇声环境功能区划图（2024-2030年）"/>
                    <pic:cNvPicPr>
                      <a:picLocks noChangeAspect="1"/>
                    </pic:cNvPicPr>
                  </pic:nvPicPr>
                  <pic:blipFill>
                    <a:blip r:embed="rId16"/>
                    <a:stretch>
                      <a:fillRect/>
                    </a:stretch>
                  </pic:blipFill>
                  <pic:spPr>
                    <a:xfrm>
                      <a:off x="0" y="0"/>
                      <a:ext cx="6108065" cy="4418965"/>
                    </a:xfrm>
                    <a:prstGeom prst="rect">
                      <a:avLst/>
                    </a:prstGeom>
                  </pic:spPr>
                </pic:pic>
              </a:graphicData>
            </a:graphic>
          </wp:inline>
        </w:drawing>
      </w:r>
      <w:bookmarkEnd w:id="652"/>
    </w:p>
    <w:p w14:paraId="78D093B2">
      <w:pP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071142F2">
      <w:pPr>
        <w:pStyle w:val="4"/>
        <w:outlineLvl w:val="1"/>
        <w:rPr>
          <w:rFonts w:hint="default" w:ascii="Times New Roman" w:hAnsi="Times New Roman" w:eastAsia="黑体" w:cs="Times New Roman"/>
          <w:b w:val="0"/>
          <w:sz w:val="28"/>
          <w:highlight w:val="none"/>
          <w:lang w:val="en-US" w:eastAsia="zh-CN"/>
        </w:rPr>
      </w:pPr>
      <w:bookmarkStart w:id="656" w:name="_Toc2668"/>
      <w:bookmarkStart w:id="657" w:name="_Toc9354"/>
      <w:bookmarkStart w:id="658" w:name="_Toc26234"/>
      <w:bookmarkStart w:id="659" w:name="_Toc8131"/>
      <w:bookmarkStart w:id="660" w:name="_Toc12867"/>
      <w:bookmarkStart w:id="661" w:name="_Toc1788"/>
      <w:bookmarkStart w:id="662" w:name="_Toc591"/>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图8</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清溪镇污水处理设施规划分布示意图</w:t>
      </w:r>
      <w:bookmarkEnd w:id="653"/>
      <w:bookmarkEnd w:id="654"/>
      <w:bookmarkEnd w:id="655"/>
      <w:bookmarkEnd w:id="656"/>
      <w:bookmarkEnd w:id="657"/>
      <w:bookmarkEnd w:id="658"/>
      <w:bookmarkEnd w:id="659"/>
      <w:bookmarkEnd w:id="660"/>
      <w:bookmarkEnd w:id="661"/>
      <w:bookmarkEnd w:id="662"/>
    </w:p>
    <w:p w14:paraId="572F5FC2">
      <w:pPr>
        <w:jc w:val="center"/>
        <w:rPr>
          <w:rFonts w:hint="default"/>
          <w:lang w:val="en-US" w:eastAsia="zh-CN"/>
        </w:rPr>
      </w:pPr>
      <w:r>
        <w:rPr>
          <w:rFonts w:hint="default"/>
          <w:lang w:val="en-US" w:eastAsia="zh-CN"/>
        </w:rPr>
        <w:drawing>
          <wp:inline distT="0" distB="0" distL="114300" distR="114300">
            <wp:extent cx="6383655" cy="4618990"/>
            <wp:effectExtent l="0" t="0" r="1905" b="13970"/>
            <wp:docPr id="16" name="图片 16" descr="清溪镇污水处理设施规划分布示意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溪镇污水处理设施规划分布示意图（2024-2030年）"/>
                    <pic:cNvPicPr>
                      <a:picLocks noChangeAspect="1"/>
                    </pic:cNvPicPr>
                  </pic:nvPicPr>
                  <pic:blipFill>
                    <a:blip r:embed="rId17"/>
                    <a:stretch>
                      <a:fillRect/>
                    </a:stretch>
                  </pic:blipFill>
                  <pic:spPr>
                    <a:xfrm>
                      <a:off x="0" y="0"/>
                      <a:ext cx="6383655" cy="4618990"/>
                    </a:xfrm>
                    <a:prstGeom prst="rect">
                      <a:avLst/>
                    </a:prstGeom>
                  </pic:spPr>
                </pic:pic>
              </a:graphicData>
            </a:graphic>
          </wp:inline>
        </w:drawing>
      </w:r>
    </w:p>
    <w:p w14:paraId="2009191D">
      <w:pPr>
        <w:pStyle w:val="4"/>
        <w:outlineLvl w:val="1"/>
        <w:rPr>
          <w:rFonts w:hint="default" w:ascii="Times New Roman" w:hAnsi="Times New Roman" w:eastAsia="黑体" w:cs="Times New Roman"/>
          <w:b w:val="0"/>
          <w:sz w:val="28"/>
          <w:highlight w:val="none"/>
          <w:lang w:val="en-US" w:eastAsia="zh-CN"/>
        </w:rPr>
      </w:pPr>
      <w:bookmarkStart w:id="663" w:name="_Toc8401"/>
      <w:bookmarkStart w:id="664" w:name="_Toc6577"/>
      <w:bookmarkStart w:id="665" w:name="_Toc830"/>
      <w:bookmarkStart w:id="666" w:name="_Toc19524"/>
      <w:bookmarkStart w:id="667" w:name="_Toc11060"/>
      <w:bookmarkStart w:id="668" w:name="_Toc25086"/>
      <w:bookmarkStart w:id="669" w:name="_Toc12567"/>
      <w:bookmarkStart w:id="670" w:name="_Toc20179"/>
      <w:bookmarkStart w:id="671" w:name="_Toc5942"/>
      <w:bookmarkStart w:id="672" w:name="_Toc28140"/>
      <w:r>
        <w:rPr>
          <w:rFonts w:ascii="Times New Roman" w:hAnsi="Times New Roman" w:eastAsia="黑体" w:cs="Times New Roman"/>
          <w:b w:val="0"/>
          <w:sz w:val="28"/>
          <w:highlight w:val="none"/>
        </w:rPr>
        <w:t>附</w:t>
      </w:r>
      <w:r>
        <w:rPr>
          <w:rFonts w:hint="eastAsia" w:ascii="Times New Roman" w:hAnsi="Times New Roman" w:eastAsia="黑体" w:cs="Times New Roman"/>
          <w:b w:val="0"/>
          <w:sz w:val="28"/>
          <w:highlight w:val="none"/>
          <w:lang w:val="en-US" w:eastAsia="zh-CN"/>
        </w:rPr>
        <w:t>图9</w:t>
      </w:r>
      <w:r>
        <w:rPr>
          <w:rFonts w:ascii="Times New Roman" w:hAnsi="Times New Roman" w:eastAsia="黑体" w:cs="Times New Roman"/>
          <w:b w:val="0"/>
          <w:sz w:val="28"/>
          <w:highlight w:val="none"/>
        </w:rPr>
        <w:t xml:space="preserve"> </w:t>
      </w:r>
      <w:r>
        <w:rPr>
          <w:rFonts w:hint="default" w:ascii="Times New Roman" w:hAnsi="Times New Roman" w:eastAsia="黑体" w:cs="Times New Roman"/>
          <w:b w:val="0"/>
          <w:sz w:val="28"/>
          <w:highlight w:val="none"/>
          <w:lang w:val="en-US" w:eastAsia="zh-CN"/>
        </w:rPr>
        <w:t>清溪镇林地建设及质量提升规划布局图</w:t>
      </w:r>
      <w:bookmarkEnd w:id="663"/>
      <w:bookmarkEnd w:id="664"/>
      <w:bookmarkEnd w:id="665"/>
      <w:bookmarkEnd w:id="666"/>
      <w:bookmarkEnd w:id="667"/>
      <w:bookmarkEnd w:id="668"/>
      <w:bookmarkEnd w:id="669"/>
      <w:bookmarkEnd w:id="670"/>
      <w:bookmarkEnd w:id="671"/>
      <w:bookmarkEnd w:id="672"/>
    </w:p>
    <w:p w14:paraId="27CC625D">
      <w:pPr>
        <w:jc w:val="center"/>
        <w:rPr>
          <w:rFonts w:hint="eastAsia"/>
          <w:lang w:val="en-US" w:eastAsia="zh-CN"/>
        </w:rPr>
      </w:pPr>
      <w:r>
        <w:rPr>
          <w:rFonts w:hint="default"/>
          <w:lang w:val="en-US" w:eastAsia="zh-CN"/>
        </w:rPr>
        <w:drawing>
          <wp:inline distT="0" distB="0" distL="114300" distR="114300">
            <wp:extent cx="6705600" cy="4850765"/>
            <wp:effectExtent l="0" t="0" r="0" b="10795"/>
            <wp:docPr id="18" name="图片 18" descr="清溪镇林地建设及质量提升规划布局图（2024-203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清溪镇林地建设及质量提升规划布局图（2024-2030年）"/>
                    <pic:cNvPicPr>
                      <a:picLocks noChangeAspect="1"/>
                    </pic:cNvPicPr>
                  </pic:nvPicPr>
                  <pic:blipFill>
                    <a:blip r:embed="rId18"/>
                    <a:stretch>
                      <a:fillRect/>
                    </a:stretch>
                  </pic:blipFill>
                  <pic:spPr>
                    <a:xfrm>
                      <a:off x="0" y="0"/>
                      <a:ext cx="6705600" cy="4850765"/>
                    </a:xfrm>
                    <a:prstGeom prst="rect">
                      <a:avLst/>
                    </a:prstGeom>
                  </pic:spPr>
                </pic:pic>
              </a:graphicData>
            </a:graphic>
          </wp:inline>
        </w:drawing>
      </w:r>
      <w:bookmarkEnd w:id="598"/>
      <w:bookmarkEnd w:id="599"/>
      <w:bookmarkEnd w:id="600"/>
    </w:p>
    <w:sectPr>
      <w:pgSz w:w="15840" w:h="12240" w:orient="landscape"/>
      <w:pgMar w:top="1800" w:right="1440" w:bottom="1800" w:left="1440" w:header="720" w:footer="720" w:gutter="0"/>
      <w:pgBorders>
        <w:top w:val="none" w:sz="0" w:space="0"/>
        <w:left w:val="none" w:sz="0" w:space="0"/>
        <w:bottom w:val="none" w:sz="0" w:space="0"/>
        <w:right w:val="none" w:sz="0" w:space="0"/>
      </w:pgBorders>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00000283" w:usb1="080F1C10" w:usb2="00000016" w:usb3="00000000" w:csb0="40020001" w:csb1="C0D6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283" w:usb1="080F0C00" w:usb2="00000010" w:usb3="00000000" w:csb0="00020001" w:csb1="00000000"/>
  </w:font>
  <w:font w:name="等线">
    <w:altName w:val="微软雅黑"/>
    <w:panose1 w:val="02010600030101010101"/>
    <w:charset w:val="86"/>
    <w:family w:val="auto"/>
    <w:pitch w:val="default"/>
    <w:sig w:usb0="00000000" w:usb1="00000000" w:usb2="00000016" w:usb3="00000000" w:csb0="0004000F"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283" w:usb1="080F0C00" w:usb2="00000010" w:usb3="00000000" w:csb0="00020001" w:csb1="00000000"/>
  </w:font>
  <w:font w:name="仿宋">
    <w:panose1 w:val="02010609060101010101"/>
    <w:charset w:val="86"/>
    <w:family w:val="auto"/>
    <w:pitch w:val="default"/>
    <w:sig w:usb0="00000283" w:usb1="080F1C10" w:usb2="00000016" w:usb3="00000000" w:csb0="40020001" w:csb1="C0D60000"/>
  </w:font>
  <w:font w:name="方正仿宋_GBK">
    <w:panose1 w:val="03000509000000000000"/>
    <w:charset w:val="80"/>
    <w:family w:val="auto"/>
    <w:pitch w:val="default"/>
    <w:sig w:usb0="00000283" w:usb1="080F1C10" w:usb2="00000016" w:usb3="00000000" w:csb0="40020001" w:csb1="C0D60000"/>
  </w:font>
  <w:font w:name="华康标题宋W9(P)">
    <w:panose1 w:val="02020900000000000000"/>
    <w:charset w:val="86"/>
    <w:family w:val="auto"/>
    <w:pitch w:val="default"/>
    <w:sig w:usb0="800002BF" w:usb1="184F6CFA" w:usb2="00000012" w:usb3="00000000" w:csb0="00040000" w:csb1="00000000"/>
  </w:font>
  <w:font w:name="DejaVu Sans">
    <w:panose1 w:val="020B0603030804020204"/>
    <w:charset w:val="00"/>
    <w:family w:val="auto"/>
    <w:pitch w:val="default"/>
    <w:sig w:usb0="E7006EFF" w:usb1="D200FDFF" w:usb2="0A246029" w:usb3="0400200C" w:csb0="600001FF" w:csb1="DFFF0000"/>
  </w:font>
  <w:font w:name="等线 Light">
    <w:altName w:val="汉仪旗黑-55"/>
    <w:panose1 w:val="00000000000000000000"/>
    <w:charset w:val="00"/>
    <w:family w:val="auto"/>
    <w:pitch w:val="default"/>
    <w:sig w:usb0="00000000" w:usb1="00000000" w:usb2="00000000" w:usb3="00000000" w:csb0="00000000" w:csb1="00000000"/>
  </w:font>
  <w:font w:name="汉仪旗黑-55">
    <w:panose1 w:val="00020600040101010101"/>
    <w:charset w:val="86"/>
    <w:family w:val="auto"/>
    <w:pitch w:val="default"/>
    <w:sig w:usb0="A00002BF" w:usb1="18EF7CFA" w:usb2="00000016" w:usb3="00000000" w:csb0="0004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9DFA8">
    <w:pPr>
      <w:pStyle w:val="7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1675692"/>
    </w:sdtPr>
    <w:sdtContent>
      <w:p w14:paraId="2BE42F0A">
        <w:pPr>
          <w:pStyle w:val="20"/>
          <w:jc w:val="center"/>
        </w:pPr>
        <w:r>
          <w:fldChar w:fldCharType="begin"/>
        </w:r>
        <w:r>
          <w:instrText xml:space="preserve">PAGE   \* MERGEFORMAT</w:instrText>
        </w:r>
        <w:r>
          <w:fldChar w:fldCharType="separate"/>
        </w:r>
        <w:r>
          <w:rPr>
            <w:lang w:val="zh-CN"/>
          </w:rPr>
          <w:t>III</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62EB054A">
        <w:pPr>
          <w:pStyle w:val="20"/>
          <w:jc w:val="center"/>
        </w:pPr>
        <w:r>
          <w:fldChar w:fldCharType="begin"/>
        </w:r>
        <w:r>
          <w:instrText xml:space="preserve">PAGE   \* MERGEFORMAT</w:instrText>
        </w:r>
        <w:r>
          <w:fldChar w:fldCharType="separate"/>
        </w:r>
        <w:r>
          <w:rPr>
            <w:lang w:val="zh-CN"/>
          </w:rPr>
          <w:t>28</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751575"/>
    </w:sdtPr>
    <w:sdtContent>
      <w:p w14:paraId="0B7C613A">
        <w:pPr>
          <w:pStyle w:val="20"/>
          <w:jc w:val="center"/>
        </w:pPr>
        <w:r>
          <w:fldChar w:fldCharType="begin"/>
        </w:r>
        <w:r>
          <w:instrText xml:space="preserve">PAGE   \* MERGEFORMAT</w:instrText>
        </w:r>
        <w:r>
          <w:fldChar w:fldCharType="separate"/>
        </w:r>
        <w:r>
          <w:rPr>
            <w:lang w:val="zh-CN"/>
          </w:rPr>
          <w:t>107</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93AD179">
      <w:pPr>
        <w:pStyle w:val="24"/>
        <w:snapToGrid w:val="0"/>
        <w:rPr>
          <w:rFonts w:hint="default" w:ascii="Times New Roman" w:hAnsi="Times New Roman" w:eastAsia="仿宋_GB2312" w:cs="Times New Roman"/>
          <w:lang w:val="en-US" w:eastAsia="zh-CN"/>
        </w:rPr>
      </w:pPr>
      <w:r>
        <w:rPr>
          <w:rStyle w:val="35"/>
          <w:rFonts w:hint="default" w:ascii="Times New Roman" w:hAnsi="Times New Roman" w:eastAsia="仿宋_GB2312" w:cs="Times New Roman"/>
        </w:rPr>
        <w:footnoteRef/>
      </w:r>
      <w:r>
        <w:rPr>
          <w:rFonts w:hint="default" w:ascii="Times New Roman" w:hAnsi="Times New Roman" w:eastAsia="仿宋_GB2312" w:cs="Times New Roman"/>
        </w:rPr>
        <w:t xml:space="preserve"> </w:t>
      </w:r>
      <w:r>
        <w:rPr>
          <w:rFonts w:hint="default" w:ascii="Times New Roman" w:hAnsi="Times New Roman" w:eastAsia="仿宋_GB2312" w:cs="Times New Roman"/>
          <w:lang w:val="en-US" w:eastAsia="zh-CN"/>
        </w:rPr>
        <w:t>数据来源于清溪镇“全面巩固水污染治理成效暨2021年水污染治理工作推进会”中通报的2020年清溪镇水污染治理情况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C851D">
    <w:pPr>
      <w:pStyle w:val="77"/>
      <w:widowControl w:val="0"/>
      <w:pBdr>
        <w:top w:val="none" w:color="auto" w:sz="0" w:space="1"/>
        <w:left w:val="none" w:color="auto" w:sz="0" w:space="4"/>
        <w:bottom w:val="none" w:color="auto" w:sz="0" w:space="1"/>
        <w:right w:val="none" w:color="auto" w:sz="0" w:space="4"/>
        <w:between w:val="none" w:color="auto" w:sz="0" w:space="0"/>
      </w:pBdr>
      <w:snapToGrid w:val="0"/>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575D05"/>
    <w:multiLevelType w:val="multilevel"/>
    <w:tmpl w:val="1C575D05"/>
    <w:lvl w:ilvl="0" w:tentative="0">
      <w:start w:val="1"/>
      <w:numFmt w:val="decimal"/>
      <w:pStyle w:val="72"/>
      <w:suff w:val="space"/>
      <w:lvlText w:val="%1"/>
      <w:lvlJc w:val="left"/>
      <w:pPr>
        <w:ind w:left="425" w:hanging="425"/>
      </w:pPr>
      <w:rPr>
        <w:rFonts w:hint="default" w:ascii="Times New Roman" w:hAnsi="Times New Roman" w:cs="Times New Roman"/>
      </w:rPr>
    </w:lvl>
    <w:lvl w:ilvl="1" w:tentative="0">
      <w:start w:val="1"/>
      <w:numFmt w:val="decimal"/>
      <w:pStyle w:val="74"/>
      <w:suff w:val="space"/>
      <w:lvlText w:val="%1.%2"/>
      <w:lvlJc w:val="left"/>
      <w:rPr>
        <w:rFonts w:hint="default" w:ascii="Times New Roman" w:hAnsi="Times New Roman" w:cs="Times New Roman"/>
        <w:bCs w:val="0"/>
        <w:i w:val="0"/>
        <w:iCs w:val="0"/>
        <w:caps w:val="0"/>
        <w:smallCaps w:val="0"/>
        <w:strike w:val="0"/>
        <w:dstrike w:val="0"/>
        <w:vanish w:val="0"/>
        <w:color w:val="000000"/>
        <w:spacing w:val="0"/>
        <w:position w:val="0"/>
        <w:u w:val="none"/>
        <w:vertAlign w:val="baseline"/>
      </w:rPr>
    </w:lvl>
    <w:lvl w:ilvl="2" w:tentative="0">
      <w:start w:val="1"/>
      <w:numFmt w:val="decimal"/>
      <w:suff w:val="space"/>
      <w:lvlText w:val="%1.%2.%3"/>
      <w:lvlJc w:val="left"/>
      <w:pPr>
        <w:ind w:left="1418" w:hanging="567"/>
      </w:pPr>
      <w:rPr>
        <w:rFonts w:hint="default" w:ascii="Times New Roman" w:hAnsi="Times New Roman" w:cs="Times New Roman"/>
      </w:rPr>
    </w:lvl>
    <w:lvl w:ilvl="3" w:tentative="0">
      <w:start w:val="1"/>
      <w:numFmt w:val="decimal"/>
      <w:suff w:val="space"/>
      <w:lvlText w:val="%1.%2.%3.%4"/>
      <w:lvlJc w:val="left"/>
      <w:pPr>
        <w:ind w:left="1984" w:hanging="708"/>
      </w:pPr>
      <w:rPr>
        <w:rFonts w:hint="default" w:ascii="Times New Roman" w:hAnsi="Times New Roman" w:cs="Times New Roman"/>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1379880"/>
    <w:multiLevelType w:val="singleLevel"/>
    <w:tmpl w:val="21379880"/>
    <w:lvl w:ilvl="0" w:tentative="0">
      <w:start w:val="2"/>
      <w:numFmt w:val="chineseCounting"/>
      <w:suff w:val="space"/>
      <w:lvlText w:val="第%1节"/>
      <w:lvlJc w:val="left"/>
      <w:rPr>
        <w:rFonts w:hint="eastAsia"/>
      </w:rPr>
    </w:lvl>
  </w:abstractNum>
  <w:abstractNum w:abstractNumId="2">
    <w:nsid w:val="220357B8"/>
    <w:multiLevelType w:val="singleLevel"/>
    <w:tmpl w:val="220357B8"/>
    <w:lvl w:ilvl="0" w:tentative="0">
      <w:start w:val="5"/>
      <w:numFmt w:val="chineseCounting"/>
      <w:suff w:val="space"/>
      <w:lvlText w:val="第%1节"/>
      <w:lvlJc w:val="left"/>
      <w:rPr>
        <w:rFonts w:hint="eastAsia"/>
      </w:rPr>
    </w:lvl>
  </w:abstractNum>
  <w:abstractNum w:abstractNumId="3">
    <w:nsid w:val="69117406"/>
    <w:multiLevelType w:val="singleLevel"/>
    <w:tmpl w:val="69117406"/>
    <w:lvl w:ilvl="0" w:tentative="0">
      <w:start w:val="2"/>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NiNWFkMzY3ZWNlZjE0OWNiZDFmN2UyOTczYjhhMjYifQ=="/>
  </w:docVars>
  <w:rsids>
    <w:rsidRoot w:val="00172A27"/>
    <w:rsid w:val="00000E7A"/>
    <w:rsid w:val="00000F37"/>
    <w:rsid w:val="00000FBA"/>
    <w:rsid w:val="00003E67"/>
    <w:rsid w:val="000057ED"/>
    <w:rsid w:val="00006EF4"/>
    <w:rsid w:val="0001179F"/>
    <w:rsid w:val="00012303"/>
    <w:rsid w:val="00014FFD"/>
    <w:rsid w:val="00015048"/>
    <w:rsid w:val="000154B2"/>
    <w:rsid w:val="00016C75"/>
    <w:rsid w:val="00017693"/>
    <w:rsid w:val="000204BB"/>
    <w:rsid w:val="0002138F"/>
    <w:rsid w:val="00021B3C"/>
    <w:rsid w:val="00021D49"/>
    <w:rsid w:val="00022305"/>
    <w:rsid w:val="0002322C"/>
    <w:rsid w:val="00023B99"/>
    <w:rsid w:val="00023EF5"/>
    <w:rsid w:val="000245F9"/>
    <w:rsid w:val="00025FFF"/>
    <w:rsid w:val="00026BC9"/>
    <w:rsid w:val="00027AEF"/>
    <w:rsid w:val="000307D9"/>
    <w:rsid w:val="00031D55"/>
    <w:rsid w:val="00033576"/>
    <w:rsid w:val="00033F77"/>
    <w:rsid w:val="000346BA"/>
    <w:rsid w:val="00034DCE"/>
    <w:rsid w:val="00034FF7"/>
    <w:rsid w:val="000366B9"/>
    <w:rsid w:val="00040087"/>
    <w:rsid w:val="00041360"/>
    <w:rsid w:val="00042308"/>
    <w:rsid w:val="000434BD"/>
    <w:rsid w:val="00044669"/>
    <w:rsid w:val="000446CC"/>
    <w:rsid w:val="000446F3"/>
    <w:rsid w:val="00046F1A"/>
    <w:rsid w:val="00047724"/>
    <w:rsid w:val="00052781"/>
    <w:rsid w:val="00052D48"/>
    <w:rsid w:val="00052F3D"/>
    <w:rsid w:val="00054428"/>
    <w:rsid w:val="00054B5D"/>
    <w:rsid w:val="00054EBC"/>
    <w:rsid w:val="00055224"/>
    <w:rsid w:val="0005580B"/>
    <w:rsid w:val="00060E38"/>
    <w:rsid w:val="0006165F"/>
    <w:rsid w:val="000619B5"/>
    <w:rsid w:val="00061A70"/>
    <w:rsid w:val="000625C5"/>
    <w:rsid w:val="0006303E"/>
    <w:rsid w:val="000638B7"/>
    <w:rsid w:val="00063A55"/>
    <w:rsid w:val="00065829"/>
    <w:rsid w:val="0006633C"/>
    <w:rsid w:val="000675EE"/>
    <w:rsid w:val="000704BE"/>
    <w:rsid w:val="0007231D"/>
    <w:rsid w:val="00072C99"/>
    <w:rsid w:val="00073BCC"/>
    <w:rsid w:val="00076EF5"/>
    <w:rsid w:val="00077D2B"/>
    <w:rsid w:val="00080CB6"/>
    <w:rsid w:val="00081931"/>
    <w:rsid w:val="00081AA9"/>
    <w:rsid w:val="00084570"/>
    <w:rsid w:val="00086662"/>
    <w:rsid w:val="0008725A"/>
    <w:rsid w:val="000905EC"/>
    <w:rsid w:val="000913F2"/>
    <w:rsid w:val="00092D94"/>
    <w:rsid w:val="00092FFF"/>
    <w:rsid w:val="000936CF"/>
    <w:rsid w:val="000938F5"/>
    <w:rsid w:val="00093C2F"/>
    <w:rsid w:val="00094E1F"/>
    <w:rsid w:val="00095759"/>
    <w:rsid w:val="00095AC5"/>
    <w:rsid w:val="000961B2"/>
    <w:rsid w:val="00096CA1"/>
    <w:rsid w:val="00097423"/>
    <w:rsid w:val="000976FF"/>
    <w:rsid w:val="000A0836"/>
    <w:rsid w:val="000A2870"/>
    <w:rsid w:val="000A3C31"/>
    <w:rsid w:val="000A3CEE"/>
    <w:rsid w:val="000A4002"/>
    <w:rsid w:val="000A63E7"/>
    <w:rsid w:val="000A7078"/>
    <w:rsid w:val="000A74DA"/>
    <w:rsid w:val="000B2187"/>
    <w:rsid w:val="000B252D"/>
    <w:rsid w:val="000B2A74"/>
    <w:rsid w:val="000B431B"/>
    <w:rsid w:val="000B51EF"/>
    <w:rsid w:val="000B5224"/>
    <w:rsid w:val="000B5744"/>
    <w:rsid w:val="000B5A49"/>
    <w:rsid w:val="000B7439"/>
    <w:rsid w:val="000C2476"/>
    <w:rsid w:val="000C27A1"/>
    <w:rsid w:val="000C2A11"/>
    <w:rsid w:val="000C2FAD"/>
    <w:rsid w:val="000C3E08"/>
    <w:rsid w:val="000C416B"/>
    <w:rsid w:val="000C4509"/>
    <w:rsid w:val="000C545E"/>
    <w:rsid w:val="000C59E7"/>
    <w:rsid w:val="000C5CDE"/>
    <w:rsid w:val="000C6E2B"/>
    <w:rsid w:val="000C6EAE"/>
    <w:rsid w:val="000C725B"/>
    <w:rsid w:val="000D03DD"/>
    <w:rsid w:val="000D1AE6"/>
    <w:rsid w:val="000D380A"/>
    <w:rsid w:val="000D3D6C"/>
    <w:rsid w:val="000D3F81"/>
    <w:rsid w:val="000D48E0"/>
    <w:rsid w:val="000D4BD7"/>
    <w:rsid w:val="000D5FD2"/>
    <w:rsid w:val="000D65FE"/>
    <w:rsid w:val="000D7C59"/>
    <w:rsid w:val="000E0700"/>
    <w:rsid w:val="000E098F"/>
    <w:rsid w:val="000E3B39"/>
    <w:rsid w:val="000E417C"/>
    <w:rsid w:val="000E41E8"/>
    <w:rsid w:val="000E4D0A"/>
    <w:rsid w:val="000E5784"/>
    <w:rsid w:val="000E6052"/>
    <w:rsid w:val="000E7032"/>
    <w:rsid w:val="000F0F1C"/>
    <w:rsid w:val="000F1162"/>
    <w:rsid w:val="000F1B21"/>
    <w:rsid w:val="000F1CBC"/>
    <w:rsid w:val="000F299B"/>
    <w:rsid w:val="000F2F57"/>
    <w:rsid w:val="000F3C20"/>
    <w:rsid w:val="000F5CDE"/>
    <w:rsid w:val="001005A2"/>
    <w:rsid w:val="00100896"/>
    <w:rsid w:val="00100ED6"/>
    <w:rsid w:val="00104142"/>
    <w:rsid w:val="00104E39"/>
    <w:rsid w:val="001052F6"/>
    <w:rsid w:val="001053F4"/>
    <w:rsid w:val="001102E6"/>
    <w:rsid w:val="0011082C"/>
    <w:rsid w:val="00110D51"/>
    <w:rsid w:val="00110E14"/>
    <w:rsid w:val="00114604"/>
    <w:rsid w:val="00115323"/>
    <w:rsid w:val="00116A79"/>
    <w:rsid w:val="00116B14"/>
    <w:rsid w:val="0011735B"/>
    <w:rsid w:val="00120310"/>
    <w:rsid w:val="00121338"/>
    <w:rsid w:val="00122520"/>
    <w:rsid w:val="001235CF"/>
    <w:rsid w:val="00124190"/>
    <w:rsid w:val="001246BC"/>
    <w:rsid w:val="0012591D"/>
    <w:rsid w:val="00126B41"/>
    <w:rsid w:val="001273DA"/>
    <w:rsid w:val="00130DC8"/>
    <w:rsid w:val="0013211D"/>
    <w:rsid w:val="0013214C"/>
    <w:rsid w:val="00132171"/>
    <w:rsid w:val="00132A5C"/>
    <w:rsid w:val="001340C5"/>
    <w:rsid w:val="0013653F"/>
    <w:rsid w:val="00136E87"/>
    <w:rsid w:val="00142D7C"/>
    <w:rsid w:val="00143D1D"/>
    <w:rsid w:val="001440C5"/>
    <w:rsid w:val="0014652B"/>
    <w:rsid w:val="00146AA9"/>
    <w:rsid w:val="001511F5"/>
    <w:rsid w:val="00151F16"/>
    <w:rsid w:val="00152C7B"/>
    <w:rsid w:val="00153552"/>
    <w:rsid w:val="001548F0"/>
    <w:rsid w:val="001569FC"/>
    <w:rsid w:val="0016146C"/>
    <w:rsid w:val="0016273C"/>
    <w:rsid w:val="0016324C"/>
    <w:rsid w:val="00164986"/>
    <w:rsid w:val="00164C19"/>
    <w:rsid w:val="00165065"/>
    <w:rsid w:val="00167997"/>
    <w:rsid w:val="00167E8C"/>
    <w:rsid w:val="00176413"/>
    <w:rsid w:val="00177CF7"/>
    <w:rsid w:val="00177FCB"/>
    <w:rsid w:val="00180609"/>
    <w:rsid w:val="00181CA6"/>
    <w:rsid w:val="00181E8F"/>
    <w:rsid w:val="00182CD7"/>
    <w:rsid w:val="00183B3B"/>
    <w:rsid w:val="00184DE3"/>
    <w:rsid w:val="00184E14"/>
    <w:rsid w:val="001876C8"/>
    <w:rsid w:val="00187A9D"/>
    <w:rsid w:val="00190FC6"/>
    <w:rsid w:val="00191964"/>
    <w:rsid w:val="00191B1F"/>
    <w:rsid w:val="00192C1C"/>
    <w:rsid w:val="00192EAD"/>
    <w:rsid w:val="00194E6D"/>
    <w:rsid w:val="00197822"/>
    <w:rsid w:val="001A0304"/>
    <w:rsid w:val="001A0585"/>
    <w:rsid w:val="001A0A9A"/>
    <w:rsid w:val="001A1B24"/>
    <w:rsid w:val="001A1C2F"/>
    <w:rsid w:val="001A28A9"/>
    <w:rsid w:val="001A3931"/>
    <w:rsid w:val="001A46D6"/>
    <w:rsid w:val="001A4B1E"/>
    <w:rsid w:val="001A544D"/>
    <w:rsid w:val="001A69BC"/>
    <w:rsid w:val="001A7191"/>
    <w:rsid w:val="001A71A0"/>
    <w:rsid w:val="001B0E51"/>
    <w:rsid w:val="001B1FF4"/>
    <w:rsid w:val="001B2F30"/>
    <w:rsid w:val="001B343E"/>
    <w:rsid w:val="001B39F0"/>
    <w:rsid w:val="001B3D28"/>
    <w:rsid w:val="001B3EE8"/>
    <w:rsid w:val="001B4D1D"/>
    <w:rsid w:val="001C0BE6"/>
    <w:rsid w:val="001C12B5"/>
    <w:rsid w:val="001C199D"/>
    <w:rsid w:val="001C1B2F"/>
    <w:rsid w:val="001C1DD0"/>
    <w:rsid w:val="001C204B"/>
    <w:rsid w:val="001C2917"/>
    <w:rsid w:val="001C3300"/>
    <w:rsid w:val="001C4463"/>
    <w:rsid w:val="001C5CEB"/>
    <w:rsid w:val="001C6338"/>
    <w:rsid w:val="001D1BE1"/>
    <w:rsid w:val="001D29E5"/>
    <w:rsid w:val="001D3C80"/>
    <w:rsid w:val="001D4757"/>
    <w:rsid w:val="001D4977"/>
    <w:rsid w:val="001D618B"/>
    <w:rsid w:val="001D66FB"/>
    <w:rsid w:val="001E2453"/>
    <w:rsid w:val="001E2902"/>
    <w:rsid w:val="001E2B05"/>
    <w:rsid w:val="001E2FD2"/>
    <w:rsid w:val="001E3E54"/>
    <w:rsid w:val="001E7161"/>
    <w:rsid w:val="001F0A03"/>
    <w:rsid w:val="001F0B95"/>
    <w:rsid w:val="001F0D86"/>
    <w:rsid w:val="001F1381"/>
    <w:rsid w:val="001F1FAC"/>
    <w:rsid w:val="001F3456"/>
    <w:rsid w:val="001F4D0E"/>
    <w:rsid w:val="001F5883"/>
    <w:rsid w:val="001F5C6C"/>
    <w:rsid w:val="002003A4"/>
    <w:rsid w:val="002024E6"/>
    <w:rsid w:val="00203B0A"/>
    <w:rsid w:val="00203B70"/>
    <w:rsid w:val="00204DAE"/>
    <w:rsid w:val="00205CB0"/>
    <w:rsid w:val="00206937"/>
    <w:rsid w:val="0021069D"/>
    <w:rsid w:val="002118F5"/>
    <w:rsid w:val="00211EE8"/>
    <w:rsid w:val="00211F96"/>
    <w:rsid w:val="002132A2"/>
    <w:rsid w:val="00213C96"/>
    <w:rsid w:val="002140E6"/>
    <w:rsid w:val="00214A2E"/>
    <w:rsid w:val="00214D85"/>
    <w:rsid w:val="002150BD"/>
    <w:rsid w:val="00215FA4"/>
    <w:rsid w:val="002165A1"/>
    <w:rsid w:val="00217739"/>
    <w:rsid w:val="002178C3"/>
    <w:rsid w:val="00217ACA"/>
    <w:rsid w:val="00220332"/>
    <w:rsid w:val="00220DC8"/>
    <w:rsid w:val="002212C1"/>
    <w:rsid w:val="00221451"/>
    <w:rsid w:val="002216D2"/>
    <w:rsid w:val="002240F1"/>
    <w:rsid w:val="00225434"/>
    <w:rsid w:val="002256C7"/>
    <w:rsid w:val="00225D4F"/>
    <w:rsid w:val="00227F4E"/>
    <w:rsid w:val="0023107B"/>
    <w:rsid w:val="002313E6"/>
    <w:rsid w:val="002318AB"/>
    <w:rsid w:val="00233BC1"/>
    <w:rsid w:val="00234F57"/>
    <w:rsid w:val="00235156"/>
    <w:rsid w:val="0023557D"/>
    <w:rsid w:val="00235C3A"/>
    <w:rsid w:val="00237746"/>
    <w:rsid w:val="00240C9C"/>
    <w:rsid w:val="00240F5A"/>
    <w:rsid w:val="00241BBA"/>
    <w:rsid w:val="00242FB9"/>
    <w:rsid w:val="002433A1"/>
    <w:rsid w:val="002434F8"/>
    <w:rsid w:val="002436AD"/>
    <w:rsid w:val="002445EE"/>
    <w:rsid w:val="00245C20"/>
    <w:rsid w:val="00246BF3"/>
    <w:rsid w:val="00247369"/>
    <w:rsid w:val="0024739A"/>
    <w:rsid w:val="002504EA"/>
    <w:rsid w:val="00250A13"/>
    <w:rsid w:val="00251835"/>
    <w:rsid w:val="00251F4B"/>
    <w:rsid w:val="00253733"/>
    <w:rsid w:val="00254612"/>
    <w:rsid w:val="00254C7B"/>
    <w:rsid w:val="00254D11"/>
    <w:rsid w:val="00254E50"/>
    <w:rsid w:val="0025574A"/>
    <w:rsid w:val="00257191"/>
    <w:rsid w:val="00257B75"/>
    <w:rsid w:val="00260752"/>
    <w:rsid w:val="00260793"/>
    <w:rsid w:val="002637F0"/>
    <w:rsid w:val="00263E82"/>
    <w:rsid w:val="00265987"/>
    <w:rsid w:val="002672D4"/>
    <w:rsid w:val="0026746E"/>
    <w:rsid w:val="002705BF"/>
    <w:rsid w:val="00270A42"/>
    <w:rsid w:val="002721E5"/>
    <w:rsid w:val="00272EA7"/>
    <w:rsid w:val="0027463B"/>
    <w:rsid w:val="00276AFF"/>
    <w:rsid w:val="00277A03"/>
    <w:rsid w:val="00280297"/>
    <w:rsid w:val="00282053"/>
    <w:rsid w:val="00282849"/>
    <w:rsid w:val="00282935"/>
    <w:rsid w:val="002857F9"/>
    <w:rsid w:val="00286013"/>
    <w:rsid w:val="00286939"/>
    <w:rsid w:val="002905BD"/>
    <w:rsid w:val="00292F5A"/>
    <w:rsid w:val="0029384C"/>
    <w:rsid w:val="00293CE0"/>
    <w:rsid w:val="00294352"/>
    <w:rsid w:val="0029515F"/>
    <w:rsid w:val="00297D61"/>
    <w:rsid w:val="002A2798"/>
    <w:rsid w:val="002A2AF9"/>
    <w:rsid w:val="002A2E79"/>
    <w:rsid w:val="002A37B7"/>
    <w:rsid w:val="002A45F1"/>
    <w:rsid w:val="002A5256"/>
    <w:rsid w:val="002A52CF"/>
    <w:rsid w:val="002A55E7"/>
    <w:rsid w:val="002A5867"/>
    <w:rsid w:val="002A5DCB"/>
    <w:rsid w:val="002A73AF"/>
    <w:rsid w:val="002A7898"/>
    <w:rsid w:val="002B0B58"/>
    <w:rsid w:val="002B0F38"/>
    <w:rsid w:val="002B1561"/>
    <w:rsid w:val="002B17D0"/>
    <w:rsid w:val="002B194B"/>
    <w:rsid w:val="002B1B59"/>
    <w:rsid w:val="002B50D4"/>
    <w:rsid w:val="002B58F0"/>
    <w:rsid w:val="002B768A"/>
    <w:rsid w:val="002B76F4"/>
    <w:rsid w:val="002B7AA4"/>
    <w:rsid w:val="002B7E75"/>
    <w:rsid w:val="002C02E8"/>
    <w:rsid w:val="002C0808"/>
    <w:rsid w:val="002C0BF6"/>
    <w:rsid w:val="002C0E2B"/>
    <w:rsid w:val="002C1D97"/>
    <w:rsid w:val="002C2962"/>
    <w:rsid w:val="002C3E1D"/>
    <w:rsid w:val="002C4516"/>
    <w:rsid w:val="002C4FB3"/>
    <w:rsid w:val="002C5CCE"/>
    <w:rsid w:val="002C63D1"/>
    <w:rsid w:val="002C6E11"/>
    <w:rsid w:val="002D11CB"/>
    <w:rsid w:val="002D3352"/>
    <w:rsid w:val="002D34B9"/>
    <w:rsid w:val="002D3CC6"/>
    <w:rsid w:val="002D43FC"/>
    <w:rsid w:val="002D62BA"/>
    <w:rsid w:val="002D6B80"/>
    <w:rsid w:val="002D779C"/>
    <w:rsid w:val="002E072E"/>
    <w:rsid w:val="002E116A"/>
    <w:rsid w:val="002E1419"/>
    <w:rsid w:val="002E1CB1"/>
    <w:rsid w:val="002E4A6A"/>
    <w:rsid w:val="002E648C"/>
    <w:rsid w:val="002E7648"/>
    <w:rsid w:val="002E7D60"/>
    <w:rsid w:val="002F042E"/>
    <w:rsid w:val="002F0820"/>
    <w:rsid w:val="002F13C3"/>
    <w:rsid w:val="002F1416"/>
    <w:rsid w:val="002F1833"/>
    <w:rsid w:val="002F28FB"/>
    <w:rsid w:val="002F39BA"/>
    <w:rsid w:val="002F41CA"/>
    <w:rsid w:val="002F4229"/>
    <w:rsid w:val="002F432E"/>
    <w:rsid w:val="002F537D"/>
    <w:rsid w:val="002F5711"/>
    <w:rsid w:val="002F5859"/>
    <w:rsid w:val="002F6A14"/>
    <w:rsid w:val="002F6A5C"/>
    <w:rsid w:val="002F7ECF"/>
    <w:rsid w:val="00301288"/>
    <w:rsid w:val="00301A50"/>
    <w:rsid w:val="00302A43"/>
    <w:rsid w:val="00302A7A"/>
    <w:rsid w:val="003039D8"/>
    <w:rsid w:val="00305029"/>
    <w:rsid w:val="00305199"/>
    <w:rsid w:val="00305D02"/>
    <w:rsid w:val="00306C76"/>
    <w:rsid w:val="00307472"/>
    <w:rsid w:val="0030787E"/>
    <w:rsid w:val="003104A2"/>
    <w:rsid w:val="003109AC"/>
    <w:rsid w:val="003134C7"/>
    <w:rsid w:val="0031367A"/>
    <w:rsid w:val="003136B7"/>
    <w:rsid w:val="00313FE0"/>
    <w:rsid w:val="003140B7"/>
    <w:rsid w:val="003143C4"/>
    <w:rsid w:val="00314E99"/>
    <w:rsid w:val="00315DC6"/>
    <w:rsid w:val="0031698F"/>
    <w:rsid w:val="00317DD8"/>
    <w:rsid w:val="00320A65"/>
    <w:rsid w:val="00321564"/>
    <w:rsid w:val="00323AEB"/>
    <w:rsid w:val="00323CCA"/>
    <w:rsid w:val="00323E6A"/>
    <w:rsid w:val="0032687F"/>
    <w:rsid w:val="003304F3"/>
    <w:rsid w:val="00331F2D"/>
    <w:rsid w:val="003333B6"/>
    <w:rsid w:val="00333DE9"/>
    <w:rsid w:val="00341914"/>
    <w:rsid w:val="00343B87"/>
    <w:rsid w:val="0034442C"/>
    <w:rsid w:val="003452E3"/>
    <w:rsid w:val="00345D9D"/>
    <w:rsid w:val="00345F0A"/>
    <w:rsid w:val="00346453"/>
    <w:rsid w:val="003468FD"/>
    <w:rsid w:val="003470E6"/>
    <w:rsid w:val="00347AF8"/>
    <w:rsid w:val="00347F74"/>
    <w:rsid w:val="0035278D"/>
    <w:rsid w:val="0035282F"/>
    <w:rsid w:val="003543BD"/>
    <w:rsid w:val="0035486B"/>
    <w:rsid w:val="003558A3"/>
    <w:rsid w:val="00355E76"/>
    <w:rsid w:val="0035761C"/>
    <w:rsid w:val="00360AB9"/>
    <w:rsid w:val="0036155C"/>
    <w:rsid w:val="003622A9"/>
    <w:rsid w:val="00362CD9"/>
    <w:rsid w:val="003649D7"/>
    <w:rsid w:val="003653BE"/>
    <w:rsid w:val="0036544B"/>
    <w:rsid w:val="00365853"/>
    <w:rsid w:val="00365E9D"/>
    <w:rsid w:val="00370825"/>
    <w:rsid w:val="003708C7"/>
    <w:rsid w:val="003714B2"/>
    <w:rsid w:val="00372648"/>
    <w:rsid w:val="00376742"/>
    <w:rsid w:val="0038102F"/>
    <w:rsid w:val="003818F3"/>
    <w:rsid w:val="00382E47"/>
    <w:rsid w:val="0038318F"/>
    <w:rsid w:val="0038327B"/>
    <w:rsid w:val="00384E70"/>
    <w:rsid w:val="0038596D"/>
    <w:rsid w:val="0038600B"/>
    <w:rsid w:val="00386EB4"/>
    <w:rsid w:val="0039058E"/>
    <w:rsid w:val="0039098A"/>
    <w:rsid w:val="00391734"/>
    <w:rsid w:val="0039239E"/>
    <w:rsid w:val="003925FF"/>
    <w:rsid w:val="00392900"/>
    <w:rsid w:val="003933F9"/>
    <w:rsid w:val="00394EB3"/>
    <w:rsid w:val="0039565D"/>
    <w:rsid w:val="003A1720"/>
    <w:rsid w:val="003A1A1C"/>
    <w:rsid w:val="003A29C9"/>
    <w:rsid w:val="003A449E"/>
    <w:rsid w:val="003A4726"/>
    <w:rsid w:val="003A47CD"/>
    <w:rsid w:val="003A5647"/>
    <w:rsid w:val="003A624E"/>
    <w:rsid w:val="003A683C"/>
    <w:rsid w:val="003A7862"/>
    <w:rsid w:val="003A7D77"/>
    <w:rsid w:val="003B0BE8"/>
    <w:rsid w:val="003B1105"/>
    <w:rsid w:val="003B1607"/>
    <w:rsid w:val="003B1D8C"/>
    <w:rsid w:val="003B1F0C"/>
    <w:rsid w:val="003B2967"/>
    <w:rsid w:val="003B381E"/>
    <w:rsid w:val="003B4A68"/>
    <w:rsid w:val="003B4D3E"/>
    <w:rsid w:val="003B67C8"/>
    <w:rsid w:val="003C449B"/>
    <w:rsid w:val="003C74AA"/>
    <w:rsid w:val="003C7876"/>
    <w:rsid w:val="003C7CDE"/>
    <w:rsid w:val="003D0DA4"/>
    <w:rsid w:val="003D1919"/>
    <w:rsid w:val="003D1C45"/>
    <w:rsid w:val="003D224F"/>
    <w:rsid w:val="003D52CC"/>
    <w:rsid w:val="003D5396"/>
    <w:rsid w:val="003D5569"/>
    <w:rsid w:val="003D5AFE"/>
    <w:rsid w:val="003E1C98"/>
    <w:rsid w:val="003E1F55"/>
    <w:rsid w:val="003E3415"/>
    <w:rsid w:val="003E375E"/>
    <w:rsid w:val="003E6420"/>
    <w:rsid w:val="003E6D7A"/>
    <w:rsid w:val="003E6F69"/>
    <w:rsid w:val="003E7A13"/>
    <w:rsid w:val="003F03E2"/>
    <w:rsid w:val="003F20EC"/>
    <w:rsid w:val="003F27DC"/>
    <w:rsid w:val="003F4B92"/>
    <w:rsid w:val="003F50F4"/>
    <w:rsid w:val="003F5E71"/>
    <w:rsid w:val="00400BB9"/>
    <w:rsid w:val="00400BBA"/>
    <w:rsid w:val="00401750"/>
    <w:rsid w:val="00402A2D"/>
    <w:rsid w:val="004052C1"/>
    <w:rsid w:val="0040669A"/>
    <w:rsid w:val="00406EF4"/>
    <w:rsid w:val="00407246"/>
    <w:rsid w:val="00407607"/>
    <w:rsid w:val="00407C04"/>
    <w:rsid w:val="0041306E"/>
    <w:rsid w:val="00414064"/>
    <w:rsid w:val="004153B4"/>
    <w:rsid w:val="0041563C"/>
    <w:rsid w:val="00416A6A"/>
    <w:rsid w:val="00416C5A"/>
    <w:rsid w:val="00416E20"/>
    <w:rsid w:val="00417B4E"/>
    <w:rsid w:val="00421293"/>
    <w:rsid w:val="0042288B"/>
    <w:rsid w:val="004233D2"/>
    <w:rsid w:val="0042341F"/>
    <w:rsid w:val="00423BBD"/>
    <w:rsid w:val="00423BCB"/>
    <w:rsid w:val="004273BE"/>
    <w:rsid w:val="004306A2"/>
    <w:rsid w:val="0043224A"/>
    <w:rsid w:val="0043326A"/>
    <w:rsid w:val="00433BF3"/>
    <w:rsid w:val="004362BF"/>
    <w:rsid w:val="004378DD"/>
    <w:rsid w:val="00440501"/>
    <w:rsid w:val="00441447"/>
    <w:rsid w:val="00441671"/>
    <w:rsid w:val="00442794"/>
    <w:rsid w:val="00443507"/>
    <w:rsid w:val="004449A3"/>
    <w:rsid w:val="00444B8F"/>
    <w:rsid w:val="00445840"/>
    <w:rsid w:val="004470C1"/>
    <w:rsid w:val="0044769C"/>
    <w:rsid w:val="004510BE"/>
    <w:rsid w:val="00452294"/>
    <w:rsid w:val="0045338D"/>
    <w:rsid w:val="00453512"/>
    <w:rsid w:val="0045440C"/>
    <w:rsid w:val="0046156D"/>
    <w:rsid w:val="004629CF"/>
    <w:rsid w:val="00463250"/>
    <w:rsid w:val="00463424"/>
    <w:rsid w:val="004669F7"/>
    <w:rsid w:val="004670E1"/>
    <w:rsid w:val="004671A8"/>
    <w:rsid w:val="00467605"/>
    <w:rsid w:val="004679A6"/>
    <w:rsid w:val="00467C2D"/>
    <w:rsid w:val="0047062A"/>
    <w:rsid w:val="00471428"/>
    <w:rsid w:val="00474502"/>
    <w:rsid w:val="004760AA"/>
    <w:rsid w:val="00476C9D"/>
    <w:rsid w:val="00482527"/>
    <w:rsid w:val="00483812"/>
    <w:rsid w:val="004839CB"/>
    <w:rsid w:val="0048557D"/>
    <w:rsid w:val="0048597C"/>
    <w:rsid w:val="00485BE8"/>
    <w:rsid w:val="00487027"/>
    <w:rsid w:val="00487471"/>
    <w:rsid w:val="00487DEF"/>
    <w:rsid w:val="004901C3"/>
    <w:rsid w:val="0049061D"/>
    <w:rsid w:val="00491E7E"/>
    <w:rsid w:val="00491ED2"/>
    <w:rsid w:val="004925BC"/>
    <w:rsid w:val="0049337D"/>
    <w:rsid w:val="00494403"/>
    <w:rsid w:val="004945C3"/>
    <w:rsid w:val="0049528B"/>
    <w:rsid w:val="00495E3C"/>
    <w:rsid w:val="004963F4"/>
    <w:rsid w:val="004A1AD2"/>
    <w:rsid w:val="004A2CDE"/>
    <w:rsid w:val="004A3572"/>
    <w:rsid w:val="004A4A60"/>
    <w:rsid w:val="004A4F82"/>
    <w:rsid w:val="004A53CA"/>
    <w:rsid w:val="004A559E"/>
    <w:rsid w:val="004B1D9B"/>
    <w:rsid w:val="004B1F77"/>
    <w:rsid w:val="004B2C0C"/>
    <w:rsid w:val="004B3B8A"/>
    <w:rsid w:val="004B47BE"/>
    <w:rsid w:val="004C07E9"/>
    <w:rsid w:val="004C0CA1"/>
    <w:rsid w:val="004C142F"/>
    <w:rsid w:val="004C16B4"/>
    <w:rsid w:val="004C1E70"/>
    <w:rsid w:val="004C2B65"/>
    <w:rsid w:val="004C2F1A"/>
    <w:rsid w:val="004C5AF6"/>
    <w:rsid w:val="004D0260"/>
    <w:rsid w:val="004D0758"/>
    <w:rsid w:val="004D0E9A"/>
    <w:rsid w:val="004D16D7"/>
    <w:rsid w:val="004D1FD3"/>
    <w:rsid w:val="004D3AF5"/>
    <w:rsid w:val="004D5F34"/>
    <w:rsid w:val="004D7C6E"/>
    <w:rsid w:val="004E08B7"/>
    <w:rsid w:val="004E13B2"/>
    <w:rsid w:val="004E26F1"/>
    <w:rsid w:val="004E38C5"/>
    <w:rsid w:val="004E3D3C"/>
    <w:rsid w:val="004E4A4A"/>
    <w:rsid w:val="004E4D2C"/>
    <w:rsid w:val="004E6570"/>
    <w:rsid w:val="004E65E0"/>
    <w:rsid w:val="004F0117"/>
    <w:rsid w:val="004F1617"/>
    <w:rsid w:val="004F3D49"/>
    <w:rsid w:val="004F528D"/>
    <w:rsid w:val="004F5336"/>
    <w:rsid w:val="004F6D10"/>
    <w:rsid w:val="004F7C1D"/>
    <w:rsid w:val="005002D6"/>
    <w:rsid w:val="0050437C"/>
    <w:rsid w:val="00505913"/>
    <w:rsid w:val="00505D68"/>
    <w:rsid w:val="00505F35"/>
    <w:rsid w:val="005071BF"/>
    <w:rsid w:val="005073AD"/>
    <w:rsid w:val="005105F6"/>
    <w:rsid w:val="00510D3C"/>
    <w:rsid w:val="00510DA3"/>
    <w:rsid w:val="005127BB"/>
    <w:rsid w:val="00515C9D"/>
    <w:rsid w:val="00516487"/>
    <w:rsid w:val="005203BF"/>
    <w:rsid w:val="00520D4C"/>
    <w:rsid w:val="00521A16"/>
    <w:rsid w:val="00522BC8"/>
    <w:rsid w:val="005238B8"/>
    <w:rsid w:val="0052391F"/>
    <w:rsid w:val="0052395F"/>
    <w:rsid w:val="00524427"/>
    <w:rsid w:val="00524E82"/>
    <w:rsid w:val="00527C47"/>
    <w:rsid w:val="00531765"/>
    <w:rsid w:val="00531EE4"/>
    <w:rsid w:val="00532075"/>
    <w:rsid w:val="00532F4D"/>
    <w:rsid w:val="0053411B"/>
    <w:rsid w:val="00537B1F"/>
    <w:rsid w:val="0054010B"/>
    <w:rsid w:val="00540AC9"/>
    <w:rsid w:val="005416C6"/>
    <w:rsid w:val="00541F4E"/>
    <w:rsid w:val="00542DC7"/>
    <w:rsid w:val="00545F11"/>
    <w:rsid w:val="00546CDF"/>
    <w:rsid w:val="00551C4E"/>
    <w:rsid w:val="00551E6C"/>
    <w:rsid w:val="00552764"/>
    <w:rsid w:val="0055295E"/>
    <w:rsid w:val="00552B77"/>
    <w:rsid w:val="00552C91"/>
    <w:rsid w:val="005541FF"/>
    <w:rsid w:val="00556F2B"/>
    <w:rsid w:val="00556FBA"/>
    <w:rsid w:val="00557903"/>
    <w:rsid w:val="00561796"/>
    <w:rsid w:val="0056244E"/>
    <w:rsid w:val="00562E81"/>
    <w:rsid w:val="00565A4E"/>
    <w:rsid w:val="00565B0E"/>
    <w:rsid w:val="00570F1D"/>
    <w:rsid w:val="00571444"/>
    <w:rsid w:val="005717B6"/>
    <w:rsid w:val="005729AB"/>
    <w:rsid w:val="005729E5"/>
    <w:rsid w:val="00572D61"/>
    <w:rsid w:val="00574B4C"/>
    <w:rsid w:val="00576971"/>
    <w:rsid w:val="00576F7D"/>
    <w:rsid w:val="0058021E"/>
    <w:rsid w:val="005809FE"/>
    <w:rsid w:val="00581002"/>
    <w:rsid w:val="005813C9"/>
    <w:rsid w:val="00585CD2"/>
    <w:rsid w:val="0058719F"/>
    <w:rsid w:val="0059041B"/>
    <w:rsid w:val="00591EBA"/>
    <w:rsid w:val="00593D10"/>
    <w:rsid w:val="00596A01"/>
    <w:rsid w:val="005A0AC2"/>
    <w:rsid w:val="005A1254"/>
    <w:rsid w:val="005A14A0"/>
    <w:rsid w:val="005A26A3"/>
    <w:rsid w:val="005A2D70"/>
    <w:rsid w:val="005A3AD8"/>
    <w:rsid w:val="005A5B10"/>
    <w:rsid w:val="005A6BC1"/>
    <w:rsid w:val="005A76AE"/>
    <w:rsid w:val="005B00DA"/>
    <w:rsid w:val="005B0E10"/>
    <w:rsid w:val="005B1815"/>
    <w:rsid w:val="005B1CAF"/>
    <w:rsid w:val="005B264B"/>
    <w:rsid w:val="005B2AA3"/>
    <w:rsid w:val="005B5F84"/>
    <w:rsid w:val="005B6E08"/>
    <w:rsid w:val="005C0130"/>
    <w:rsid w:val="005C0801"/>
    <w:rsid w:val="005C0EC8"/>
    <w:rsid w:val="005C0F7D"/>
    <w:rsid w:val="005C3119"/>
    <w:rsid w:val="005C34E2"/>
    <w:rsid w:val="005C3531"/>
    <w:rsid w:val="005C491F"/>
    <w:rsid w:val="005C4DA5"/>
    <w:rsid w:val="005D0200"/>
    <w:rsid w:val="005D0CB0"/>
    <w:rsid w:val="005D1610"/>
    <w:rsid w:val="005D18BB"/>
    <w:rsid w:val="005D1F05"/>
    <w:rsid w:val="005D297B"/>
    <w:rsid w:val="005D2F92"/>
    <w:rsid w:val="005D431E"/>
    <w:rsid w:val="005D5903"/>
    <w:rsid w:val="005D6336"/>
    <w:rsid w:val="005E0E8D"/>
    <w:rsid w:val="005E1216"/>
    <w:rsid w:val="005E1816"/>
    <w:rsid w:val="005E3528"/>
    <w:rsid w:val="005E382F"/>
    <w:rsid w:val="005E47A4"/>
    <w:rsid w:val="005E53F2"/>
    <w:rsid w:val="005E7B56"/>
    <w:rsid w:val="005F0DDF"/>
    <w:rsid w:val="005F1F35"/>
    <w:rsid w:val="005F233E"/>
    <w:rsid w:val="005F419E"/>
    <w:rsid w:val="005F4719"/>
    <w:rsid w:val="005F5FB3"/>
    <w:rsid w:val="005F7A6E"/>
    <w:rsid w:val="00603629"/>
    <w:rsid w:val="0060423B"/>
    <w:rsid w:val="00605E0D"/>
    <w:rsid w:val="00607911"/>
    <w:rsid w:val="006115AA"/>
    <w:rsid w:val="00612058"/>
    <w:rsid w:val="00614293"/>
    <w:rsid w:val="006156D0"/>
    <w:rsid w:val="00615F75"/>
    <w:rsid w:val="00620110"/>
    <w:rsid w:val="006202C7"/>
    <w:rsid w:val="0062070C"/>
    <w:rsid w:val="00620E92"/>
    <w:rsid w:val="00621F7F"/>
    <w:rsid w:val="006229D2"/>
    <w:rsid w:val="00624C2F"/>
    <w:rsid w:val="00626AFD"/>
    <w:rsid w:val="00627933"/>
    <w:rsid w:val="00627F11"/>
    <w:rsid w:val="00630389"/>
    <w:rsid w:val="00630693"/>
    <w:rsid w:val="00631228"/>
    <w:rsid w:val="0063426D"/>
    <w:rsid w:val="00635B2F"/>
    <w:rsid w:val="00635C1F"/>
    <w:rsid w:val="006405CD"/>
    <w:rsid w:val="006429F3"/>
    <w:rsid w:val="00642F30"/>
    <w:rsid w:val="00646C7A"/>
    <w:rsid w:val="0065028C"/>
    <w:rsid w:val="0065108A"/>
    <w:rsid w:val="0065588E"/>
    <w:rsid w:val="00655F92"/>
    <w:rsid w:val="00656333"/>
    <w:rsid w:val="0065764C"/>
    <w:rsid w:val="00657C7E"/>
    <w:rsid w:val="0066049F"/>
    <w:rsid w:val="006606AF"/>
    <w:rsid w:val="00660FE1"/>
    <w:rsid w:val="00661CBA"/>
    <w:rsid w:val="00662B64"/>
    <w:rsid w:val="00663696"/>
    <w:rsid w:val="00666709"/>
    <w:rsid w:val="0066768A"/>
    <w:rsid w:val="006711FB"/>
    <w:rsid w:val="00671606"/>
    <w:rsid w:val="006717D8"/>
    <w:rsid w:val="00671AA3"/>
    <w:rsid w:val="00673FE6"/>
    <w:rsid w:val="006760BC"/>
    <w:rsid w:val="00676A18"/>
    <w:rsid w:val="00677526"/>
    <w:rsid w:val="00680778"/>
    <w:rsid w:val="00681BF3"/>
    <w:rsid w:val="00681CEE"/>
    <w:rsid w:val="00682D85"/>
    <w:rsid w:val="0068348F"/>
    <w:rsid w:val="00683862"/>
    <w:rsid w:val="006841A8"/>
    <w:rsid w:val="00684D60"/>
    <w:rsid w:val="006850ED"/>
    <w:rsid w:val="006851D9"/>
    <w:rsid w:val="00685385"/>
    <w:rsid w:val="006855BF"/>
    <w:rsid w:val="00687CA1"/>
    <w:rsid w:val="0069143B"/>
    <w:rsid w:val="00691699"/>
    <w:rsid w:val="006945DC"/>
    <w:rsid w:val="006957CE"/>
    <w:rsid w:val="0069771B"/>
    <w:rsid w:val="006979FA"/>
    <w:rsid w:val="006A0034"/>
    <w:rsid w:val="006A1150"/>
    <w:rsid w:val="006A3469"/>
    <w:rsid w:val="006A51CC"/>
    <w:rsid w:val="006A6A82"/>
    <w:rsid w:val="006A6C02"/>
    <w:rsid w:val="006B0194"/>
    <w:rsid w:val="006B0EF0"/>
    <w:rsid w:val="006B12C7"/>
    <w:rsid w:val="006B1CC7"/>
    <w:rsid w:val="006B20EF"/>
    <w:rsid w:val="006B43C9"/>
    <w:rsid w:val="006B50B6"/>
    <w:rsid w:val="006B5AE3"/>
    <w:rsid w:val="006B6D90"/>
    <w:rsid w:val="006B70CD"/>
    <w:rsid w:val="006C1254"/>
    <w:rsid w:val="006C1F72"/>
    <w:rsid w:val="006C25D9"/>
    <w:rsid w:val="006C291A"/>
    <w:rsid w:val="006C2C58"/>
    <w:rsid w:val="006C2EF5"/>
    <w:rsid w:val="006C4778"/>
    <w:rsid w:val="006C488C"/>
    <w:rsid w:val="006C52A6"/>
    <w:rsid w:val="006C61AD"/>
    <w:rsid w:val="006C6BBD"/>
    <w:rsid w:val="006C6D9A"/>
    <w:rsid w:val="006D091C"/>
    <w:rsid w:val="006D150F"/>
    <w:rsid w:val="006D2C23"/>
    <w:rsid w:val="006D461C"/>
    <w:rsid w:val="006D4A97"/>
    <w:rsid w:val="006D55B9"/>
    <w:rsid w:val="006D5E4C"/>
    <w:rsid w:val="006D6B35"/>
    <w:rsid w:val="006E012E"/>
    <w:rsid w:val="006E03A1"/>
    <w:rsid w:val="006E3CD0"/>
    <w:rsid w:val="006E4CD9"/>
    <w:rsid w:val="006E5515"/>
    <w:rsid w:val="006E607C"/>
    <w:rsid w:val="006E79BB"/>
    <w:rsid w:val="006F0085"/>
    <w:rsid w:val="006F0FB9"/>
    <w:rsid w:val="006F1937"/>
    <w:rsid w:val="006F1E15"/>
    <w:rsid w:val="006F4091"/>
    <w:rsid w:val="006F46C0"/>
    <w:rsid w:val="006F6AED"/>
    <w:rsid w:val="006F746A"/>
    <w:rsid w:val="00701835"/>
    <w:rsid w:val="007021E7"/>
    <w:rsid w:val="00702417"/>
    <w:rsid w:val="00702EF8"/>
    <w:rsid w:val="007031BD"/>
    <w:rsid w:val="007031FF"/>
    <w:rsid w:val="00703734"/>
    <w:rsid w:val="00704B1B"/>
    <w:rsid w:val="00704FEE"/>
    <w:rsid w:val="00706580"/>
    <w:rsid w:val="00707F00"/>
    <w:rsid w:val="007107DB"/>
    <w:rsid w:val="0071122E"/>
    <w:rsid w:val="007115F5"/>
    <w:rsid w:val="00712E61"/>
    <w:rsid w:val="00712E90"/>
    <w:rsid w:val="0071330C"/>
    <w:rsid w:val="007137EB"/>
    <w:rsid w:val="00713B3C"/>
    <w:rsid w:val="007145C3"/>
    <w:rsid w:val="00714D8B"/>
    <w:rsid w:val="00714EA9"/>
    <w:rsid w:val="0071593F"/>
    <w:rsid w:val="007175B7"/>
    <w:rsid w:val="007201B1"/>
    <w:rsid w:val="007212C1"/>
    <w:rsid w:val="00721A0D"/>
    <w:rsid w:val="00722350"/>
    <w:rsid w:val="007234BA"/>
    <w:rsid w:val="0072687E"/>
    <w:rsid w:val="00726FA2"/>
    <w:rsid w:val="007271E8"/>
    <w:rsid w:val="0072722F"/>
    <w:rsid w:val="00727586"/>
    <w:rsid w:val="007304CF"/>
    <w:rsid w:val="00731B93"/>
    <w:rsid w:val="007323C2"/>
    <w:rsid w:val="00732444"/>
    <w:rsid w:val="0073244A"/>
    <w:rsid w:val="00733627"/>
    <w:rsid w:val="00735565"/>
    <w:rsid w:val="00736508"/>
    <w:rsid w:val="00736ADA"/>
    <w:rsid w:val="00736CEA"/>
    <w:rsid w:val="00737114"/>
    <w:rsid w:val="00737CAB"/>
    <w:rsid w:val="00740D70"/>
    <w:rsid w:val="00740F96"/>
    <w:rsid w:val="007412AD"/>
    <w:rsid w:val="007417D6"/>
    <w:rsid w:val="00741B26"/>
    <w:rsid w:val="0074204B"/>
    <w:rsid w:val="007427AA"/>
    <w:rsid w:val="0074365A"/>
    <w:rsid w:val="00744772"/>
    <w:rsid w:val="00744A93"/>
    <w:rsid w:val="00745C80"/>
    <w:rsid w:val="007464DA"/>
    <w:rsid w:val="0074687A"/>
    <w:rsid w:val="00747C73"/>
    <w:rsid w:val="00750813"/>
    <w:rsid w:val="00752F37"/>
    <w:rsid w:val="007540CC"/>
    <w:rsid w:val="007545FD"/>
    <w:rsid w:val="007555D3"/>
    <w:rsid w:val="00755B76"/>
    <w:rsid w:val="007565EA"/>
    <w:rsid w:val="00757160"/>
    <w:rsid w:val="00760DE8"/>
    <w:rsid w:val="007623C6"/>
    <w:rsid w:val="00763118"/>
    <w:rsid w:val="007635BC"/>
    <w:rsid w:val="00766EE8"/>
    <w:rsid w:val="00767191"/>
    <w:rsid w:val="00767E55"/>
    <w:rsid w:val="00771134"/>
    <w:rsid w:val="0077436C"/>
    <w:rsid w:val="00774E1B"/>
    <w:rsid w:val="00776BEE"/>
    <w:rsid w:val="00781B2F"/>
    <w:rsid w:val="00782734"/>
    <w:rsid w:val="00783070"/>
    <w:rsid w:val="0078308C"/>
    <w:rsid w:val="0078569E"/>
    <w:rsid w:val="007865C9"/>
    <w:rsid w:val="0078743C"/>
    <w:rsid w:val="0079013C"/>
    <w:rsid w:val="00790800"/>
    <w:rsid w:val="007915FB"/>
    <w:rsid w:val="00792835"/>
    <w:rsid w:val="00793318"/>
    <w:rsid w:val="0079502A"/>
    <w:rsid w:val="00795958"/>
    <w:rsid w:val="00796E7A"/>
    <w:rsid w:val="00797C77"/>
    <w:rsid w:val="007A0660"/>
    <w:rsid w:val="007A0ABE"/>
    <w:rsid w:val="007A5643"/>
    <w:rsid w:val="007A58DE"/>
    <w:rsid w:val="007A5AD5"/>
    <w:rsid w:val="007A64DC"/>
    <w:rsid w:val="007A666D"/>
    <w:rsid w:val="007A6F6F"/>
    <w:rsid w:val="007B0463"/>
    <w:rsid w:val="007B17A9"/>
    <w:rsid w:val="007B69E7"/>
    <w:rsid w:val="007B6CC9"/>
    <w:rsid w:val="007B7072"/>
    <w:rsid w:val="007B7B6A"/>
    <w:rsid w:val="007C1636"/>
    <w:rsid w:val="007C1BBB"/>
    <w:rsid w:val="007C1DF9"/>
    <w:rsid w:val="007C330D"/>
    <w:rsid w:val="007C4035"/>
    <w:rsid w:val="007C488B"/>
    <w:rsid w:val="007C4D19"/>
    <w:rsid w:val="007C6AE5"/>
    <w:rsid w:val="007C6F2B"/>
    <w:rsid w:val="007C72AB"/>
    <w:rsid w:val="007C75D1"/>
    <w:rsid w:val="007D006B"/>
    <w:rsid w:val="007D10A3"/>
    <w:rsid w:val="007D1601"/>
    <w:rsid w:val="007D37A7"/>
    <w:rsid w:val="007D3A96"/>
    <w:rsid w:val="007D4C47"/>
    <w:rsid w:val="007D5672"/>
    <w:rsid w:val="007D62B3"/>
    <w:rsid w:val="007D6FA6"/>
    <w:rsid w:val="007D6FEB"/>
    <w:rsid w:val="007D75E4"/>
    <w:rsid w:val="007E097D"/>
    <w:rsid w:val="007E125F"/>
    <w:rsid w:val="007E31AD"/>
    <w:rsid w:val="007E3EE5"/>
    <w:rsid w:val="007E7073"/>
    <w:rsid w:val="007F0B56"/>
    <w:rsid w:val="007F20A4"/>
    <w:rsid w:val="007F46F6"/>
    <w:rsid w:val="007F55E9"/>
    <w:rsid w:val="007F69DE"/>
    <w:rsid w:val="007F794C"/>
    <w:rsid w:val="00800A3F"/>
    <w:rsid w:val="008014A6"/>
    <w:rsid w:val="00802674"/>
    <w:rsid w:val="008038FC"/>
    <w:rsid w:val="00803D37"/>
    <w:rsid w:val="00804CC1"/>
    <w:rsid w:val="00804EF1"/>
    <w:rsid w:val="008069F9"/>
    <w:rsid w:val="00807547"/>
    <w:rsid w:val="00807F5F"/>
    <w:rsid w:val="00811FAD"/>
    <w:rsid w:val="00812A66"/>
    <w:rsid w:val="00813B6C"/>
    <w:rsid w:val="00813ED6"/>
    <w:rsid w:val="0081404D"/>
    <w:rsid w:val="00814661"/>
    <w:rsid w:val="00817A65"/>
    <w:rsid w:val="008201C6"/>
    <w:rsid w:val="0082080D"/>
    <w:rsid w:val="00820FE5"/>
    <w:rsid w:val="0082136E"/>
    <w:rsid w:val="00821640"/>
    <w:rsid w:val="00822906"/>
    <w:rsid w:val="00823586"/>
    <w:rsid w:val="008248AB"/>
    <w:rsid w:val="00824B11"/>
    <w:rsid w:val="00826249"/>
    <w:rsid w:val="00826318"/>
    <w:rsid w:val="008275C5"/>
    <w:rsid w:val="00827866"/>
    <w:rsid w:val="00830262"/>
    <w:rsid w:val="008306EE"/>
    <w:rsid w:val="00831A53"/>
    <w:rsid w:val="00832C05"/>
    <w:rsid w:val="008333C2"/>
    <w:rsid w:val="00833FE3"/>
    <w:rsid w:val="00834EA9"/>
    <w:rsid w:val="00834F78"/>
    <w:rsid w:val="00836D90"/>
    <w:rsid w:val="00836E6B"/>
    <w:rsid w:val="00836FA6"/>
    <w:rsid w:val="00841F5C"/>
    <w:rsid w:val="0084380C"/>
    <w:rsid w:val="00843A95"/>
    <w:rsid w:val="00843DCF"/>
    <w:rsid w:val="008451B8"/>
    <w:rsid w:val="00846FE9"/>
    <w:rsid w:val="008505EF"/>
    <w:rsid w:val="00851730"/>
    <w:rsid w:val="008517FC"/>
    <w:rsid w:val="00852A91"/>
    <w:rsid w:val="008555E1"/>
    <w:rsid w:val="0085595A"/>
    <w:rsid w:val="008561C1"/>
    <w:rsid w:val="00857919"/>
    <w:rsid w:val="008607B6"/>
    <w:rsid w:val="00862043"/>
    <w:rsid w:val="00870EBD"/>
    <w:rsid w:val="00871CC7"/>
    <w:rsid w:val="008723A9"/>
    <w:rsid w:val="00873B13"/>
    <w:rsid w:val="00874C9B"/>
    <w:rsid w:val="00875284"/>
    <w:rsid w:val="0087578C"/>
    <w:rsid w:val="0087786B"/>
    <w:rsid w:val="00877D9D"/>
    <w:rsid w:val="00883884"/>
    <w:rsid w:val="00883C85"/>
    <w:rsid w:val="00884C9C"/>
    <w:rsid w:val="00885A76"/>
    <w:rsid w:val="00885DF9"/>
    <w:rsid w:val="008873BE"/>
    <w:rsid w:val="00890654"/>
    <w:rsid w:val="00890E89"/>
    <w:rsid w:val="00891995"/>
    <w:rsid w:val="00891A07"/>
    <w:rsid w:val="0089282C"/>
    <w:rsid w:val="0089525A"/>
    <w:rsid w:val="008968D6"/>
    <w:rsid w:val="00897CAE"/>
    <w:rsid w:val="008A0362"/>
    <w:rsid w:val="008A0864"/>
    <w:rsid w:val="008A1079"/>
    <w:rsid w:val="008A5456"/>
    <w:rsid w:val="008A700B"/>
    <w:rsid w:val="008A72E2"/>
    <w:rsid w:val="008A7D3E"/>
    <w:rsid w:val="008B1CFF"/>
    <w:rsid w:val="008B24D8"/>
    <w:rsid w:val="008B418D"/>
    <w:rsid w:val="008B4EEE"/>
    <w:rsid w:val="008B4FE3"/>
    <w:rsid w:val="008C0EB0"/>
    <w:rsid w:val="008C1A36"/>
    <w:rsid w:val="008C3202"/>
    <w:rsid w:val="008C456D"/>
    <w:rsid w:val="008C4C1B"/>
    <w:rsid w:val="008C62F5"/>
    <w:rsid w:val="008D1C85"/>
    <w:rsid w:val="008D29A3"/>
    <w:rsid w:val="008D5F03"/>
    <w:rsid w:val="008D74BA"/>
    <w:rsid w:val="008D7E18"/>
    <w:rsid w:val="008E11D6"/>
    <w:rsid w:val="008E158D"/>
    <w:rsid w:val="008E1A17"/>
    <w:rsid w:val="008E5F99"/>
    <w:rsid w:val="008E6177"/>
    <w:rsid w:val="008E73B2"/>
    <w:rsid w:val="008E76C1"/>
    <w:rsid w:val="008E79D9"/>
    <w:rsid w:val="008F113E"/>
    <w:rsid w:val="008F1C9A"/>
    <w:rsid w:val="008F2ECE"/>
    <w:rsid w:val="008F2FE8"/>
    <w:rsid w:val="008F48C7"/>
    <w:rsid w:val="008F50CC"/>
    <w:rsid w:val="008F66B1"/>
    <w:rsid w:val="008F7931"/>
    <w:rsid w:val="0090052D"/>
    <w:rsid w:val="00900B0D"/>
    <w:rsid w:val="00902ED6"/>
    <w:rsid w:val="009037B0"/>
    <w:rsid w:val="00904FB5"/>
    <w:rsid w:val="009052EF"/>
    <w:rsid w:val="00905AD8"/>
    <w:rsid w:val="00907EDA"/>
    <w:rsid w:val="00911981"/>
    <w:rsid w:val="009122F8"/>
    <w:rsid w:val="009139CD"/>
    <w:rsid w:val="00914CE0"/>
    <w:rsid w:val="009170F1"/>
    <w:rsid w:val="00920361"/>
    <w:rsid w:val="0092154E"/>
    <w:rsid w:val="00921AE3"/>
    <w:rsid w:val="009227E1"/>
    <w:rsid w:val="00924062"/>
    <w:rsid w:val="00925D8C"/>
    <w:rsid w:val="00925F14"/>
    <w:rsid w:val="0093014D"/>
    <w:rsid w:val="00930EA2"/>
    <w:rsid w:val="0093216B"/>
    <w:rsid w:val="00932840"/>
    <w:rsid w:val="0093290C"/>
    <w:rsid w:val="00932928"/>
    <w:rsid w:val="00932DB7"/>
    <w:rsid w:val="00933343"/>
    <w:rsid w:val="00933473"/>
    <w:rsid w:val="00934191"/>
    <w:rsid w:val="00934EE6"/>
    <w:rsid w:val="00936A26"/>
    <w:rsid w:val="00937B32"/>
    <w:rsid w:val="00940B8B"/>
    <w:rsid w:val="00940F35"/>
    <w:rsid w:val="009410D0"/>
    <w:rsid w:val="0094166B"/>
    <w:rsid w:val="0094179E"/>
    <w:rsid w:val="00941880"/>
    <w:rsid w:val="00941D95"/>
    <w:rsid w:val="00942BDB"/>
    <w:rsid w:val="0095141E"/>
    <w:rsid w:val="0095159B"/>
    <w:rsid w:val="009515A5"/>
    <w:rsid w:val="009528F7"/>
    <w:rsid w:val="00953458"/>
    <w:rsid w:val="00954129"/>
    <w:rsid w:val="009543F8"/>
    <w:rsid w:val="009554C0"/>
    <w:rsid w:val="00955ECF"/>
    <w:rsid w:val="0095716E"/>
    <w:rsid w:val="00960FEB"/>
    <w:rsid w:val="00961F7A"/>
    <w:rsid w:val="00962F98"/>
    <w:rsid w:val="0096430E"/>
    <w:rsid w:val="00964DC5"/>
    <w:rsid w:val="00965A56"/>
    <w:rsid w:val="00965BBC"/>
    <w:rsid w:val="009665C0"/>
    <w:rsid w:val="0096663A"/>
    <w:rsid w:val="00966ACE"/>
    <w:rsid w:val="00967ACD"/>
    <w:rsid w:val="00971117"/>
    <w:rsid w:val="009728D0"/>
    <w:rsid w:val="009733AA"/>
    <w:rsid w:val="00974A4C"/>
    <w:rsid w:val="0097630B"/>
    <w:rsid w:val="00977E5C"/>
    <w:rsid w:val="00981A7F"/>
    <w:rsid w:val="00982601"/>
    <w:rsid w:val="00982DBA"/>
    <w:rsid w:val="0098353D"/>
    <w:rsid w:val="00983AEB"/>
    <w:rsid w:val="00983C50"/>
    <w:rsid w:val="00986022"/>
    <w:rsid w:val="00986459"/>
    <w:rsid w:val="00987849"/>
    <w:rsid w:val="00990B55"/>
    <w:rsid w:val="00991218"/>
    <w:rsid w:val="00991D2F"/>
    <w:rsid w:val="00992432"/>
    <w:rsid w:val="00992D42"/>
    <w:rsid w:val="00994EFD"/>
    <w:rsid w:val="009950A5"/>
    <w:rsid w:val="00996ED4"/>
    <w:rsid w:val="009A18D1"/>
    <w:rsid w:val="009A2663"/>
    <w:rsid w:val="009A4455"/>
    <w:rsid w:val="009A4AF1"/>
    <w:rsid w:val="009A5068"/>
    <w:rsid w:val="009A730E"/>
    <w:rsid w:val="009A766F"/>
    <w:rsid w:val="009B15E2"/>
    <w:rsid w:val="009B2662"/>
    <w:rsid w:val="009B2EDA"/>
    <w:rsid w:val="009B4B04"/>
    <w:rsid w:val="009B5A25"/>
    <w:rsid w:val="009B5D12"/>
    <w:rsid w:val="009B5EFD"/>
    <w:rsid w:val="009C0F03"/>
    <w:rsid w:val="009C1202"/>
    <w:rsid w:val="009C553F"/>
    <w:rsid w:val="009D13FE"/>
    <w:rsid w:val="009D1478"/>
    <w:rsid w:val="009D20BD"/>
    <w:rsid w:val="009D3200"/>
    <w:rsid w:val="009D36BD"/>
    <w:rsid w:val="009D3D28"/>
    <w:rsid w:val="009D519F"/>
    <w:rsid w:val="009D527C"/>
    <w:rsid w:val="009D5E4C"/>
    <w:rsid w:val="009D6B2F"/>
    <w:rsid w:val="009D6C98"/>
    <w:rsid w:val="009D7CA4"/>
    <w:rsid w:val="009E26FB"/>
    <w:rsid w:val="009E3878"/>
    <w:rsid w:val="009E5C5D"/>
    <w:rsid w:val="009E6B88"/>
    <w:rsid w:val="009E73D0"/>
    <w:rsid w:val="009E742B"/>
    <w:rsid w:val="009F035F"/>
    <w:rsid w:val="009F0F07"/>
    <w:rsid w:val="009F1E11"/>
    <w:rsid w:val="009F2145"/>
    <w:rsid w:val="009F51CA"/>
    <w:rsid w:val="009F64A3"/>
    <w:rsid w:val="009F64D1"/>
    <w:rsid w:val="009F7A4A"/>
    <w:rsid w:val="009F7AF5"/>
    <w:rsid w:val="009F7D07"/>
    <w:rsid w:val="00A00848"/>
    <w:rsid w:val="00A030B9"/>
    <w:rsid w:val="00A038A2"/>
    <w:rsid w:val="00A045A9"/>
    <w:rsid w:val="00A04BD4"/>
    <w:rsid w:val="00A07C4B"/>
    <w:rsid w:val="00A11A93"/>
    <w:rsid w:val="00A14676"/>
    <w:rsid w:val="00A14BB6"/>
    <w:rsid w:val="00A1594F"/>
    <w:rsid w:val="00A159CF"/>
    <w:rsid w:val="00A16624"/>
    <w:rsid w:val="00A171A7"/>
    <w:rsid w:val="00A174BA"/>
    <w:rsid w:val="00A2005E"/>
    <w:rsid w:val="00A201E4"/>
    <w:rsid w:val="00A20DFB"/>
    <w:rsid w:val="00A23F7C"/>
    <w:rsid w:val="00A2669A"/>
    <w:rsid w:val="00A30413"/>
    <w:rsid w:val="00A304BF"/>
    <w:rsid w:val="00A30C95"/>
    <w:rsid w:val="00A3124B"/>
    <w:rsid w:val="00A31DA3"/>
    <w:rsid w:val="00A3237B"/>
    <w:rsid w:val="00A337FE"/>
    <w:rsid w:val="00A33A47"/>
    <w:rsid w:val="00A3430E"/>
    <w:rsid w:val="00A35223"/>
    <w:rsid w:val="00A37D8D"/>
    <w:rsid w:val="00A37EC3"/>
    <w:rsid w:val="00A41166"/>
    <w:rsid w:val="00A41A1A"/>
    <w:rsid w:val="00A427C5"/>
    <w:rsid w:val="00A437D6"/>
    <w:rsid w:val="00A4610E"/>
    <w:rsid w:val="00A46283"/>
    <w:rsid w:val="00A50093"/>
    <w:rsid w:val="00A5124C"/>
    <w:rsid w:val="00A526DD"/>
    <w:rsid w:val="00A53840"/>
    <w:rsid w:val="00A554A2"/>
    <w:rsid w:val="00A555CF"/>
    <w:rsid w:val="00A565C1"/>
    <w:rsid w:val="00A5754B"/>
    <w:rsid w:val="00A614E4"/>
    <w:rsid w:val="00A616CA"/>
    <w:rsid w:val="00A639EF"/>
    <w:rsid w:val="00A6425F"/>
    <w:rsid w:val="00A648BD"/>
    <w:rsid w:val="00A657D1"/>
    <w:rsid w:val="00A65BAB"/>
    <w:rsid w:val="00A663A8"/>
    <w:rsid w:val="00A66802"/>
    <w:rsid w:val="00A66A1E"/>
    <w:rsid w:val="00A7009C"/>
    <w:rsid w:val="00A709E8"/>
    <w:rsid w:val="00A72C8C"/>
    <w:rsid w:val="00A73219"/>
    <w:rsid w:val="00A74D8F"/>
    <w:rsid w:val="00A74FB0"/>
    <w:rsid w:val="00A75567"/>
    <w:rsid w:val="00A76A29"/>
    <w:rsid w:val="00A8088F"/>
    <w:rsid w:val="00A81110"/>
    <w:rsid w:val="00A8252F"/>
    <w:rsid w:val="00A8257F"/>
    <w:rsid w:val="00A8325D"/>
    <w:rsid w:val="00A8362B"/>
    <w:rsid w:val="00A83E8E"/>
    <w:rsid w:val="00A83FB1"/>
    <w:rsid w:val="00A84AC7"/>
    <w:rsid w:val="00A850FE"/>
    <w:rsid w:val="00A85DF2"/>
    <w:rsid w:val="00A861E6"/>
    <w:rsid w:val="00A87F81"/>
    <w:rsid w:val="00A902EA"/>
    <w:rsid w:val="00A9099A"/>
    <w:rsid w:val="00A90D3D"/>
    <w:rsid w:val="00A91EF3"/>
    <w:rsid w:val="00A923E2"/>
    <w:rsid w:val="00A9566D"/>
    <w:rsid w:val="00A967C4"/>
    <w:rsid w:val="00A97702"/>
    <w:rsid w:val="00AA0644"/>
    <w:rsid w:val="00AA1B9C"/>
    <w:rsid w:val="00AA459B"/>
    <w:rsid w:val="00AA5195"/>
    <w:rsid w:val="00AA6257"/>
    <w:rsid w:val="00AA6479"/>
    <w:rsid w:val="00AA6F2D"/>
    <w:rsid w:val="00AA7273"/>
    <w:rsid w:val="00AB01F2"/>
    <w:rsid w:val="00AB29CF"/>
    <w:rsid w:val="00AB328C"/>
    <w:rsid w:val="00AB4B23"/>
    <w:rsid w:val="00AB59A2"/>
    <w:rsid w:val="00AB70D4"/>
    <w:rsid w:val="00AB7873"/>
    <w:rsid w:val="00AC04C3"/>
    <w:rsid w:val="00AC2156"/>
    <w:rsid w:val="00AC268A"/>
    <w:rsid w:val="00AC2F63"/>
    <w:rsid w:val="00AC3BA0"/>
    <w:rsid w:val="00AC4E1B"/>
    <w:rsid w:val="00AC5C6D"/>
    <w:rsid w:val="00AC7FB9"/>
    <w:rsid w:val="00AD03FD"/>
    <w:rsid w:val="00AD1E04"/>
    <w:rsid w:val="00AD30CD"/>
    <w:rsid w:val="00AD3506"/>
    <w:rsid w:val="00AD4E29"/>
    <w:rsid w:val="00AD4F93"/>
    <w:rsid w:val="00AD58C3"/>
    <w:rsid w:val="00AD5CC6"/>
    <w:rsid w:val="00AD74E5"/>
    <w:rsid w:val="00AD77CB"/>
    <w:rsid w:val="00AE1678"/>
    <w:rsid w:val="00AE2559"/>
    <w:rsid w:val="00AE3B95"/>
    <w:rsid w:val="00AE5025"/>
    <w:rsid w:val="00AE5B9D"/>
    <w:rsid w:val="00AE6978"/>
    <w:rsid w:val="00AE7762"/>
    <w:rsid w:val="00AE7F7B"/>
    <w:rsid w:val="00AF0810"/>
    <w:rsid w:val="00AF0D11"/>
    <w:rsid w:val="00AF25CA"/>
    <w:rsid w:val="00AF409F"/>
    <w:rsid w:val="00AF4333"/>
    <w:rsid w:val="00AF54A2"/>
    <w:rsid w:val="00AF54A7"/>
    <w:rsid w:val="00AF5DCF"/>
    <w:rsid w:val="00AF606B"/>
    <w:rsid w:val="00AF6833"/>
    <w:rsid w:val="00AF6C03"/>
    <w:rsid w:val="00B015A6"/>
    <w:rsid w:val="00B04598"/>
    <w:rsid w:val="00B0657D"/>
    <w:rsid w:val="00B0662B"/>
    <w:rsid w:val="00B066BB"/>
    <w:rsid w:val="00B06703"/>
    <w:rsid w:val="00B07AEE"/>
    <w:rsid w:val="00B111D6"/>
    <w:rsid w:val="00B11FB7"/>
    <w:rsid w:val="00B1212E"/>
    <w:rsid w:val="00B13314"/>
    <w:rsid w:val="00B143F4"/>
    <w:rsid w:val="00B147DB"/>
    <w:rsid w:val="00B1578A"/>
    <w:rsid w:val="00B15B75"/>
    <w:rsid w:val="00B16989"/>
    <w:rsid w:val="00B16AEE"/>
    <w:rsid w:val="00B173FF"/>
    <w:rsid w:val="00B2118F"/>
    <w:rsid w:val="00B213F5"/>
    <w:rsid w:val="00B21F01"/>
    <w:rsid w:val="00B224E0"/>
    <w:rsid w:val="00B22C65"/>
    <w:rsid w:val="00B22FAB"/>
    <w:rsid w:val="00B24806"/>
    <w:rsid w:val="00B2491B"/>
    <w:rsid w:val="00B25CF7"/>
    <w:rsid w:val="00B27258"/>
    <w:rsid w:val="00B27537"/>
    <w:rsid w:val="00B3057A"/>
    <w:rsid w:val="00B310B0"/>
    <w:rsid w:val="00B31417"/>
    <w:rsid w:val="00B3237B"/>
    <w:rsid w:val="00B32BBA"/>
    <w:rsid w:val="00B33903"/>
    <w:rsid w:val="00B33BE3"/>
    <w:rsid w:val="00B33D4B"/>
    <w:rsid w:val="00B360D5"/>
    <w:rsid w:val="00B3699D"/>
    <w:rsid w:val="00B369DE"/>
    <w:rsid w:val="00B40376"/>
    <w:rsid w:val="00B41A66"/>
    <w:rsid w:val="00B42785"/>
    <w:rsid w:val="00B43801"/>
    <w:rsid w:val="00B43960"/>
    <w:rsid w:val="00B4405B"/>
    <w:rsid w:val="00B450FF"/>
    <w:rsid w:val="00B46FF3"/>
    <w:rsid w:val="00B47984"/>
    <w:rsid w:val="00B47A47"/>
    <w:rsid w:val="00B47DCD"/>
    <w:rsid w:val="00B50EE6"/>
    <w:rsid w:val="00B51629"/>
    <w:rsid w:val="00B524E9"/>
    <w:rsid w:val="00B556B3"/>
    <w:rsid w:val="00B55F12"/>
    <w:rsid w:val="00B576AF"/>
    <w:rsid w:val="00B61837"/>
    <w:rsid w:val="00B62148"/>
    <w:rsid w:val="00B62A9E"/>
    <w:rsid w:val="00B634F8"/>
    <w:rsid w:val="00B6370D"/>
    <w:rsid w:val="00B657E9"/>
    <w:rsid w:val="00B65F30"/>
    <w:rsid w:val="00B66C3E"/>
    <w:rsid w:val="00B676AF"/>
    <w:rsid w:val="00B67843"/>
    <w:rsid w:val="00B67CBD"/>
    <w:rsid w:val="00B67E3C"/>
    <w:rsid w:val="00B735C0"/>
    <w:rsid w:val="00B73779"/>
    <w:rsid w:val="00B74CBF"/>
    <w:rsid w:val="00B75287"/>
    <w:rsid w:val="00B77754"/>
    <w:rsid w:val="00B77924"/>
    <w:rsid w:val="00B8075D"/>
    <w:rsid w:val="00B817D1"/>
    <w:rsid w:val="00B81BE8"/>
    <w:rsid w:val="00B8212D"/>
    <w:rsid w:val="00B8284E"/>
    <w:rsid w:val="00B82900"/>
    <w:rsid w:val="00B86CD6"/>
    <w:rsid w:val="00B8760C"/>
    <w:rsid w:val="00B87714"/>
    <w:rsid w:val="00B9087F"/>
    <w:rsid w:val="00B90C3D"/>
    <w:rsid w:val="00B92AAB"/>
    <w:rsid w:val="00B93926"/>
    <w:rsid w:val="00B941D9"/>
    <w:rsid w:val="00B96ADB"/>
    <w:rsid w:val="00B97399"/>
    <w:rsid w:val="00B9790B"/>
    <w:rsid w:val="00B97A91"/>
    <w:rsid w:val="00BA0253"/>
    <w:rsid w:val="00BA1E9D"/>
    <w:rsid w:val="00BA20E0"/>
    <w:rsid w:val="00BA2264"/>
    <w:rsid w:val="00BA42AE"/>
    <w:rsid w:val="00BA45D7"/>
    <w:rsid w:val="00BA5553"/>
    <w:rsid w:val="00BB00FE"/>
    <w:rsid w:val="00BB1A62"/>
    <w:rsid w:val="00BB2A7E"/>
    <w:rsid w:val="00BB3173"/>
    <w:rsid w:val="00BB32FE"/>
    <w:rsid w:val="00BB33DA"/>
    <w:rsid w:val="00BB363D"/>
    <w:rsid w:val="00BB5AE5"/>
    <w:rsid w:val="00BB6184"/>
    <w:rsid w:val="00BB6777"/>
    <w:rsid w:val="00BB7CC5"/>
    <w:rsid w:val="00BC1C85"/>
    <w:rsid w:val="00BC264B"/>
    <w:rsid w:val="00BC2A06"/>
    <w:rsid w:val="00BC5EB8"/>
    <w:rsid w:val="00BC5F8B"/>
    <w:rsid w:val="00BC6531"/>
    <w:rsid w:val="00BC6710"/>
    <w:rsid w:val="00BD2AC8"/>
    <w:rsid w:val="00BD3220"/>
    <w:rsid w:val="00BD3802"/>
    <w:rsid w:val="00BD4B74"/>
    <w:rsid w:val="00BD4D8A"/>
    <w:rsid w:val="00BD5660"/>
    <w:rsid w:val="00BD5E41"/>
    <w:rsid w:val="00BD6B87"/>
    <w:rsid w:val="00BD732D"/>
    <w:rsid w:val="00BD7F29"/>
    <w:rsid w:val="00BE080D"/>
    <w:rsid w:val="00BE090F"/>
    <w:rsid w:val="00BE0B4B"/>
    <w:rsid w:val="00BE1B47"/>
    <w:rsid w:val="00BE1D3D"/>
    <w:rsid w:val="00BE23C7"/>
    <w:rsid w:val="00BE335D"/>
    <w:rsid w:val="00BE3AE6"/>
    <w:rsid w:val="00BE4C34"/>
    <w:rsid w:val="00BE5E7D"/>
    <w:rsid w:val="00BE60F9"/>
    <w:rsid w:val="00BE64D5"/>
    <w:rsid w:val="00BF0394"/>
    <w:rsid w:val="00BF0780"/>
    <w:rsid w:val="00BF0A67"/>
    <w:rsid w:val="00BF0E82"/>
    <w:rsid w:val="00BF2BC3"/>
    <w:rsid w:val="00BF3201"/>
    <w:rsid w:val="00BF4751"/>
    <w:rsid w:val="00BF4FA6"/>
    <w:rsid w:val="00BF5130"/>
    <w:rsid w:val="00BF5A8B"/>
    <w:rsid w:val="00BF5E7F"/>
    <w:rsid w:val="00BF5F54"/>
    <w:rsid w:val="00BF7CCE"/>
    <w:rsid w:val="00C017E0"/>
    <w:rsid w:val="00C02665"/>
    <w:rsid w:val="00C0430D"/>
    <w:rsid w:val="00C06258"/>
    <w:rsid w:val="00C0635F"/>
    <w:rsid w:val="00C075EE"/>
    <w:rsid w:val="00C10032"/>
    <w:rsid w:val="00C10D11"/>
    <w:rsid w:val="00C12483"/>
    <w:rsid w:val="00C12EA3"/>
    <w:rsid w:val="00C13A95"/>
    <w:rsid w:val="00C14EF0"/>
    <w:rsid w:val="00C15259"/>
    <w:rsid w:val="00C15D44"/>
    <w:rsid w:val="00C15D80"/>
    <w:rsid w:val="00C161B1"/>
    <w:rsid w:val="00C20413"/>
    <w:rsid w:val="00C20E35"/>
    <w:rsid w:val="00C21624"/>
    <w:rsid w:val="00C2208B"/>
    <w:rsid w:val="00C2277A"/>
    <w:rsid w:val="00C23972"/>
    <w:rsid w:val="00C23E69"/>
    <w:rsid w:val="00C23E76"/>
    <w:rsid w:val="00C23E8D"/>
    <w:rsid w:val="00C244F8"/>
    <w:rsid w:val="00C24936"/>
    <w:rsid w:val="00C304D4"/>
    <w:rsid w:val="00C32D28"/>
    <w:rsid w:val="00C337A5"/>
    <w:rsid w:val="00C337FC"/>
    <w:rsid w:val="00C3412B"/>
    <w:rsid w:val="00C34A3A"/>
    <w:rsid w:val="00C36BE7"/>
    <w:rsid w:val="00C36EAC"/>
    <w:rsid w:val="00C374EC"/>
    <w:rsid w:val="00C3750A"/>
    <w:rsid w:val="00C41297"/>
    <w:rsid w:val="00C43F2C"/>
    <w:rsid w:val="00C476A7"/>
    <w:rsid w:val="00C476E7"/>
    <w:rsid w:val="00C47CD6"/>
    <w:rsid w:val="00C50216"/>
    <w:rsid w:val="00C50ABE"/>
    <w:rsid w:val="00C52036"/>
    <w:rsid w:val="00C52A63"/>
    <w:rsid w:val="00C52BD6"/>
    <w:rsid w:val="00C5362E"/>
    <w:rsid w:val="00C5427B"/>
    <w:rsid w:val="00C54A72"/>
    <w:rsid w:val="00C54B6F"/>
    <w:rsid w:val="00C55238"/>
    <w:rsid w:val="00C563B6"/>
    <w:rsid w:val="00C61BD7"/>
    <w:rsid w:val="00C629DB"/>
    <w:rsid w:val="00C635E9"/>
    <w:rsid w:val="00C6573B"/>
    <w:rsid w:val="00C6621D"/>
    <w:rsid w:val="00C66AF8"/>
    <w:rsid w:val="00C677EA"/>
    <w:rsid w:val="00C701FA"/>
    <w:rsid w:val="00C736F6"/>
    <w:rsid w:val="00C73D3B"/>
    <w:rsid w:val="00C74B38"/>
    <w:rsid w:val="00C75753"/>
    <w:rsid w:val="00C75DE5"/>
    <w:rsid w:val="00C80389"/>
    <w:rsid w:val="00C81658"/>
    <w:rsid w:val="00C84A68"/>
    <w:rsid w:val="00C84C51"/>
    <w:rsid w:val="00C860B0"/>
    <w:rsid w:val="00C87706"/>
    <w:rsid w:val="00C904D4"/>
    <w:rsid w:val="00C90B26"/>
    <w:rsid w:val="00C90E04"/>
    <w:rsid w:val="00C91975"/>
    <w:rsid w:val="00C92E47"/>
    <w:rsid w:val="00C933CE"/>
    <w:rsid w:val="00C93E53"/>
    <w:rsid w:val="00C94D4D"/>
    <w:rsid w:val="00C968CD"/>
    <w:rsid w:val="00CA119C"/>
    <w:rsid w:val="00CA1683"/>
    <w:rsid w:val="00CA2A5E"/>
    <w:rsid w:val="00CA3F11"/>
    <w:rsid w:val="00CA5143"/>
    <w:rsid w:val="00CA52CE"/>
    <w:rsid w:val="00CA61C0"/>
    <w:rsid w:val="00CA632A"/>
    <w:rsid w:val="00CA65A2"/>
    <w:rsid w:val="00CB262D"/>
    <w:rsid w:val="00CB3B09"/>
    <w:rsid w:val="00CB5410"/>
    <w:rsid w:val="00CC082F"/>
    <w:rsid w:val="00CC0C4A"/>
    <w:rsid w:val="00CC190D"/>
    <w:rsid w:val="00CC1BA1"/>
    <w:rsid w:val="00CC26CA"/>
    <w:rsid w:val="00CC3397"/>
    <w:rsid w:val="00CC5D2A"/>
    <w:rsid w:val="00CC64D9"/>
    <w:rsid w:val="00CD1101"/>
    <w:rsid w:val="00CD1D94"/>
    <w:rsid w:val="00CD3420"/>
    <w:rsid w:val="00CD39F1"/>
    <w:rsid w:val="00CD3CF9"/>
    <w:rsid w:val="00CD615F"/>
    <w:rsid w:val="00CD69F8"/>
    <w:rsid w:val="00CD6E12"/>
    <w:rsid w:val="00CE0A52"/>
    <w:rsid w:val="00CE10B1"/>
    <w:rsid w:val="00CE3D93"/>
    <w:rsid w:val="00CE45F1"/>
    <w:rsid w:val="00CE4B10"/>
    <w:rsid w:val="00CE54C9"/>
    <w:rsid w:val="00CE6A64"/>
    <w:rsid w:val="00CF030B"/>
    <w:rsid w:val="00CF16F4"/>
    <w:rsid w:val="00CF2C6E"/>
    <w:rsid w:val="00CF3633"/>
    <w:rsid w:val="00CF375E"/>
    <w:rsid w:val="00CF404E"/>
    <w:rsid w:val="00CF641C"/>
    <w:rsid w:val="00CF6D6D"/>
    <w:rsid w:val="00CF71C8"/>
    <w:rsid w:val="00CF77E2"/>
    <w:rsid w:val="00D00A03"/>
    <w:rsid w:val="00D00B92"/>
    <w:rsid w:val="00D04064"/>
    <w:rsid w:val="00D05539"/>
    <w:rsid w:val="00D05720"/>
    <w:rsid w:val="00D059BD"/>
    <w:rsid w:val="00D06BD5"/>
    <w:rsid w:val="00D06FBA"/>
    <w:rsid w:val="00D10282"/>
    <w:rsid w:val="00D10611"/>
    <w:rsid w:val="00D13750"/>
    <w:rsid w:val="00D1434A"/>
    <w:rsid w:val="00D17604"/>
    <w:rsid w:val="00D2009B"/>
    <w:rsid w:val="00D20A60"/>
    <w:rsid w:val="00D20E27"/>
    <w:rsid w:val="00D20E34"/>
    <w:rsid w:val="00D22554"/>
    <w:rsid w:val="00D228A7"/>
    <w:rsid w:val="00D237D1"/>
    <w:rsid w:val="00D23E09"/>
    <w:rsid w:val="00D242D7"/>
    <w:rsid w:val="00D2542C"/>
    <w:rsid w:val="00D25598"/>
    <w:rsid w:val="00D25B28"/>
    <w:rsid w:val="00D25DE0"/>
    <w:rsid w:val="00D26207"/>
    <w:rsid w:val="00D26ADD"/>
    <w:rsid w:val="00D26C9D"/>
    <w:rsid w:val="00D270B1"/>
    <w:rsid w:val="00D27283"/>
    <w:rsid w:val="00D27438"/>
    <w:rsid w:val="00D27F74"/>
    <w:rsid w:val="00D33A3A"/>
    <w:rsid w:val="00D36035"/>
    <w:rsid w:val="00D36718"/>
    <w:rsid w:val="00D36A90"/>
    <w:rsid w:val="00D40497"/>
    <w:rsid w:val="00D40B75"/>
    <w:rsid w:val="00D41E53"/>
    <w:rsid w:val="00D43BA9"/>
    <w:rsid w:val="00D44294"/>
    <w:rsid w:val="00D4530F"/>
    <w:rsid w:val="00D45553"/>
    <w:rsid w:val="00D466FB"/>
    <w:rsid w:val="00D46990"/>
    <w:rsid w:val="00D4744B"/>
    <w:rsid w:val="00D50150"/>
    <w:rsid w:val="00D51E17"/>
    <w:rsid w:val="00D52308"/>
    <w:rsid w:val="00D55D00"/>
    <w:rsid w:val="00D5657D"/>
    <w:rsid w:val="00D60539"/>
    <w:rsid w:val="00D61182"/>
    <w:rsid w:val="00D619DB"/>
    <w:rsid w:val="00D6288A"/>
    <w:rsid w:val="00D62CE6"/>
    <w:rsid w:val="00D6409E"/>
    <w:rsid w:val="00D64D0E"/>
    <w:rsid w:val="00D6502E"/>
    <w:rsid w:val="00D67D74"/>
    <w:rsid w:val="00D71236"/>
    <w:rsid w:val="00D715D8"/>
    <w:rsid w:val="00D723F3"/>
    <w:rsid w:val="00D73F4B"/>
    <w:rsid w:val="00D76EE5"/>
    <w:rsid w:val="00D80C81"/>
    <w:rsid w:val="00D81ED0"/>
    <w:rsid w:val="00D830E6"/>
    <w:rsid w:val="00D8373C"/>
    <w:rsid w:val="00D84F0E"/>
    <w:rsid w:val="00D85177"/>
    <w:rsid w:val="00D87DDD"/>
    <w:rsid w:val="00D92D9B"/>
    <w:rsid w:val="00D93B2D"/>
    <w:rsid w:val="00D93FEB"/>
    <w:rsid w:val="00D957B4"/>
    <w:rsid w:val="00D9695C"/>
    <w:rsid w:val="00D97DC5"/>
    <w:rsid w:val="00DA05A0"/>
    <w:rsid w:val="00DA099F"/>
    <w:rsid w:val="00DA11B0"/>
    <w:rsid w:val="00DA1C0D"/>
    <w:rsid w:val="00DA238A"/>
    <w:rsid w:val="00DA26DA"/>
    <w:rsid w:val="00DA3F16"/>
    <w:rsid w:val="00DA4CB7"/>
    <w:rsid w:val="00DB01CA"/>
    <w:rsid w:val="00DB027F"/>
    <w:rsid w:val="00DB1EB2"/>
    <w:rsid w:val="00DB3924"/>
    <w:rsid w:val="00DB4D52"/>
    <w:rsid w:val="00DB4E03"/>
    <w:rsid w:val="00DB5875"/>
    <w:rsid w:val="00DB5BDC"/>
    <w:rsid w:val="00DB5D2C"/>
    <w:rsid w:val="00DB777A"/>
    <w:rsid w:val="00DB795B"/>
    <w:rsid w:val="00DC1362"/>
    <w:rsid w:val="00DC1656"/>
    <w:rsid w:val="00DC1DAC"/>
    <w:rsid w:val="00DC261C"/>
    <w:rsid w:val="00DC3534"/>
    <w:rsid w:val="00DC38BA"/>
    <w:rsid w:val="00DC3D14"/>
    <w:rsid w:val="00DC4333"/>
    <w:rsid w:val="00DC4EFA"/>
    <w:rsid w:val="00DC500F"/>
    <w:rsid w:val="00DC5D4F"/>
    <w:rsid w:val="00DC76E6"/>
    <w:rsid w:val="00DD086D"/>
    <w:rsid w:val="00DD1AAB"/>
    <w:rsid w:val="00DD2443"/>
    <w:rsid w:val="00DD35FD"/>
    <w:rsid w:val="00DD4E31"/>
    <w:rsid w:val="00DD52D9"/>
    <w:rsid w:val="00DD53D9"/>
    <w:rsid w:val="00DD7609"/>
    <w:rsid w:val="00DD7742"/>
    <w:rsid w:val="00DD7DB8"/>
    <w:rsid w:val="00DE0A25"/>
    <w:rsid w:val="00DE0DA9"/>
    <w:rsid w:val="00DE12A4"/>
    <w:rsid w:val="00DE1548"/>
    <w:rsid w:val="00DE34DE"/>
    <w:rsid w:val="00DE4CF7"/>
    <w:rsid w:val="00DE52E1"/>
    <w:rsid w:val="00DE5D19"/>
    <w:rsid w:val="00DE5E1B"/>
    <w:rsid w:val="00DE6057"/>
    <w:rsid w:val="00DE6F1E"/>
    <w:rsid w:val="00DE74EC"/>
    <w:rsid w:val="00DE7ADE"/>
    <w:rsid w:val="00DE7BC2"/>
    <w:rsid w:val="00DE7F97"/>
    <w:rsid w:val="00DF102C"/>
    <w:rsid w:val="00DF197C"/>
    <w:rsid w:val="00DF28CD"/>
    <w:rsid w:val="00DF3419"/>
    <w:rsid w:val="00DF3528"/>
    <w:rsid w:val="00DF49C6"/>
    <w:rsid w:val="00DF51BD"/>
    <w:rsid w:val="00DF55D3"/>
    <w:rsid w:val="00DF673C"/>
    <w:rsid w:val="00DF6DA1"/>
    <w:rsid w:val="00E017B5"/>
    <w:rsid w:val="00E02CC4"/>
    <w:rsid w:val="00E03BBE"/>
    <w:rsid w:val="00E04591"/>
    <w:rsid w:val="00E0489E"/>
    <w:rsid w:val="00E04E34"/>
    <w:rsid w:val="00E067CB"/>
    <w:rsid w:val="00E10CA2"/>
    <w:rsid w:val="00E145AE"/>
    <w:rsid w:val="00E14E7B"/>
    <w:rsid w:val="00E14F58"/>
    <w:rsid w:val="00E154A2"/>
    <w:rsid w:val="00E1709D"/>
    <w:rsid w:val="00E17A02"/>
    <w:rsid w:val="00E204B1"/>
    <w:rsid w:val="00E225D0"/>
    <w:rsid w:val="00E22A8B"/>
    <w:rsid w:val="00E2472B"/>
    <w:rsid w:val="00E24C29"/>
    <w:rsid w:val="00E31D0B"/>
    <w:rsid w:val="00E31F62"/>
    <w:rsid w:val="00E32EEB"/>
    <w:rsid w:val="00E3403D"/>
    <w:rsid w:val="00E34633"/>
    <w:rsid w:val="00E36905"/>
    <w:rsid w:val="00E37789"/>
    <w:rsid w:val="00E377A0"/>
    <w:rsid w:val="00E42D3C"/>
    <w:rsid w:val="00E43424"/>
    <w:rsid w:val="00E4357A"/>
    <w:rsid w:val="00E43EAA"/>
    <w:rsid w:val="00E44890"/>
    <w:rsid w:val="00E45CCB"/>
    <w:rsid w:val="00E4625F"/>
    <w:rsid w:val="00E4648F"/>
    <w:rsid w:val="00E46721"/>
    <w:rsid w:val="00E46EA8"/>
    <w:rsid w:val="00E50A0C"/>
    <w:rsid w:val="00E50DA4"/>
    <w:rsid w:val="00E5127B"/>
    <w:rsid w:val="00E516C6"/>
    <w:rsid w:val="00E519A7"/>
    <w:rsid w:val="00E521AF"/>
    <w:rsid w:val="00E53148"/>
    <w:rsid w:val="00E5385A"/>
    <w:rsid w:val="00E54448"/>
    <w:rsid w:val="00E54A89"/>
    <w:rsid w:val="00E60850"/>
    <w:rsid w:val="00E621EF"/>
    <w:rsid w:val="00E63279"/>
    <w:rsid w:val="00E652C9"/>
    <w:rsid w:val="00E65AD8"/>
    <w:rsid w:val="00E67056"/>
    <w:rsid w:val="00E67CC4"/>
    <w:rsid w:val="00E67D9E"/>
    <w:rsid w:val="00E702AA"/>
    <w:rsid w:val="00E70606"/>
    <w:rsid w:val="00E72A55"/>
    <w:rsid w:val="00E72DB6"/>
    <w:rsid w:val="00E742D9"/>
    <w:rsid w:val="00E744E4"/>
    <w:rsid w:val="00E74AF9"/>
    <w:rsid w:val="00E74FD7"/>
    <w:rsid w:val="00E75FA3"/>
    <w:rsid w:val="00E76AB9"/>
    <w:rsid w:val="00E773AF"/>
    <w:rsid w:val="00E80A5B"/>
    <w:rsid w:val="00E80B51"/>
    <w:rsid w:val="00E81EF6"/>
    <w:rsid w:val="00E82F48"/>
    <w:rsid w:val="00E83E37"/>
    <w:rsid w:val="00E83FA6"/>
    <w:rsid w:val="00E85073"/>
    <w:rsid w:val="00E85359"/>
    <w:rsid w:val="00E866FD"/>
    <w:rsid w:val="00E86D39"/>
    <w:rsid w:val="00E87EF1"/>
    <w:rsid w:val="00E90551"/>
    <w:rsid w:val="00E95464"/>
    <w:rsid w:val="00E97685"/>
    <w:rsid w:val="00E97D56"/>
    <w:rsid w:val="00E97EEE"/>
    <w:rsid w:val="00EA1A0B"/>
    <w:rsid w:val="00EA21A5"/>
    <w:rsid w:val="00EA3D95"/>
    <w:rsid w:val="00EA455D"/>
    <w:rsid w:val="00EA5E0B"/>
    <w:rsid w:val="00EA65C9"/>
    <w:rsid w:val="00EB0CB4"/>
    <w:rsid w:val="00EB1C22"/>
    <w:rsid w:val="00EB1DE4"/>
    <w:rsid w:val="00EB267D"/>
    <w:rsid w:val="00EB2B08"/>
    <w:rsid w:val="00EB41EF"/>
    <w:rsid w:val="00EB42CB"/>
    <w:rsid w:val="00EB4D7D"/>
    <w:rsid w:val="00EB6F77"/>
    <w:rsid w:val="00EC162F"/>
    <w:rsid w:val="00EC1782"/>
    <w:rsid w:val="00EC180F"/>
    <w:rsid w:val="00EC2B49"/>
    <w:rsid w:val="00EC3067"/>
    <w:rsid w:val="00EC389A"/>
    <w:rsid w:val="00EC5134"/>
    <w:rsid w:val="00EC5247"/>
    <w:rsid w:val="00EC5D8C"/>
    <w:rsid w:val="00EC6FAD"/>
    <w:rsid w:val="00EC7B5F"/>
    <w:rsid w:val="00ED17E8"/>
    <w:rsid w:val="00ED2009"/>
    <w:rsid w:val="00ED3834"/>
    <w:rsid w:val="00ED3E30"/>
    <w:rsid w:val="00ED42FC"/>
    <w:rsid w:val="00ED6102"/>
    <w:rsid w:val="00ED6C54"/>
    <w:rsid w:val="00ED7FEF"/>
    <w:rsid w:val="00EE021B"/>
    <w:rsid w:val="00EE1941"/>
    <w:rsid w:val="00EE23A4"/>
    <w:rsid w:val="00EE2C44"/>
    <w:rsid w:val="00EE2FCD"/>
    <w:rsid w:val="00EE326B"/>
    <w:rsid w:val="00EE755D"/>
    <w:rsid w:val="00EF0CDC"/>
    <w:rsid w:val="00EF1C8E"/>
    <w:rsid w:val="00EF1CA1"/>
    <w:rsid w:val="00EF2071"/>
    <w:rsid w:val="00EF6790"/>
    <w:rsid w:val="00F00BB0"/>
    <w:rsid w:val="00F03BBE"/>
    <w:rsid w:val="00F03FC2"/>
    <w:rsid w:val="00F04F85"/>
    <w:rsid w:val="00F10CA3"/>
    <w:rsid w:val="00F111F4"/>
    <w:rsid w:val="00F1177E"/>
    <w:rsid w:val="00F11C35"/>
    <w:rsid w:val="00F1302D"/>
    <w:rsid w:val="00F1325F"/>
    <w:rsid w:val="00F14EEA"/>
    <w:rsid w:val="00F14FC3"/>
    <w:rsid w:val="00F150DA"/>
    <w:rsid w:val="00F17482"/>
    <w:rsid w:val="00F201A1"/>
    <w:rsid w:val="00F20C3C"/>
    <w:rsid w:val="00F2163F"/>
    <w:rsid w:val="00F217CC"/>
    <w:rsid w:val="00F21946"/>
    <w:rsid w:val="00F21CB4"/>
    <w:rsid w:val="00F23E54"/>
    <w:rsid w:val="00F242D5"/>
    <w:rsid w:val="00F24316"/>
    <w:rsid w:val="00F24BD1"/>
    <w:rsid w:val="00F2534B"/>
    <w:rsid w:val="00F3047E"/>
    <w:rsid w:val="00F30F27"/>
    <w:rsid w:val="00F329B1"/>
    <w:rsid w:val="00F32F85"/>
    <w:rsid w:val="00F3306C"/>
    <w:rsid w:val="00F34A94"/>
    <w:rsid w:val="00F3501B"/>
    <w:rsid w:val="00F350FB"/>
    <w:rsid w:val="00F35363"/>
    <w:rsid w:val="00F357C2"/>
    <w:rsid w:val="00F36729"/>
    <w:rsid w:val="00F36AAA"/>
    <w:rsid w:val="00F37A32"/>
    <w:rsid w:val="00F40D74"/>
    <w:rsid w:val="00F4103F"/>
    <w:rsid w:val="00F41B11"/>
    <w:rsid w:val="00F41E55"/>
    <w:rsid w:val="00F42D41"/>
    <w:rsid w:val="00F437DA"/>
    <w:rsid w:val="00F43958"/>
    <w:rsid w:val="00F458FD"/>
    <w:rsid w:val="00F4617D"/>
    <w:rsid w:val="00F462B2"/>
    <w:rsid w:val="00F469B0"/>
    <w:rsid w:val="00F46D15"/>
    <w:rsid w:val="00F509BF"/>
    <w:rsid w:val="00F53004"/>
    <w:rsid w:val="00F5439D"/>
    <w:rsid w:val="00F5722C"/>
    <w:rsid w:val="00F60F39"/>
    <w:rsid w:val="00F626B9"/>
    <w:rsid w:val="00F638CE"/>
    <w:rsid w:val="00F66B47"/>
    <w:rsid w:val="00F66DE4"/>
    <w:rsid w:val="00F72323"/>
    <w:rsid w:val="00F7246F"/>
    <w:rsid w:val="00F72735"/>
    <w:rsid w:val="00F72A1A"/>
    <w:rsid w:val="00F72C39"/>
    <w:rsid w:val="00F739C0"/>
    <w:rsid w:val="00F73EC5"/>
    <w:rsid w:val="00F73FA5"/>
    <w:rsid w:val="00F761C2"/>
    <w:rsid w:val="00F76314"/>
    <w:rsid w:val="00F77169"/>
    <w:rsid w:val="00F775EE"/>
    <w:rsid w:val="00F77A36"/>
    <w:rsid w:val="00F77CDD"/>
    <w:rsid w:val="00F80269"/>
    <w:rsid w:val="00F80A40"/>
    <w:rsid w:val="00F81B91"/>
    <w:rsid w:val="00F81D2F"/>
    <w:rsid w:val="00F825D7"/>
    <w:rsid w:val="00F8374D"/>
    <w:rsid w:val="00F84D93"/>
    <w:rsid w:val="00F85813"/>
    <w:rsid w:val="00F86769"/>
    <w:rsid w:val="00F87BCE"/>
    <w:rsid w:val="00F90542"/>
    <w:rsid w:val="00F906A6"/>
    <w:rsid w:val="00F911EA"/>
    <w:rsid w:val="00F9236D"/>
    <w:rsid w:val="00F93667"/>
    <w:rsid w:val="00F9422C"/>
    <w:rsid w:val="00F943A5"/>
    <w:rsid w:val="00F944B3"/>
    <w:rsid w:val="00F96358"/>
    <w:rsid w:val="00F979C1"/>
    <w:rsid w:val="00F97BA4"/>
    <w:rsid w:val="00FA0BA1"/>
    <w:rsid w:val="00FA1AF5"/>
    <w:rsid w:val="00FA3CA9"/>
    <w:rsid w:val="00FA506E"/>
    <w:rsid w:val="00FA5EF6"/>
    <w:rsid w:val="00FA6615"/>
    <w:rsid w:val="00FA6A6F"/>
    <w:rsid w:val="00FA6AD5"/>
    <w:rsid w:val="00FB22A6"/>
    <w:rsid w:val="00FB2A3A"/>
    <w:rsid w:val="00FB2C9A"/>
    <w:rsid w:val="00FB2CC3"/>
    <w:rsid w:val="00FB3B34"/>
    <w:rsid w:val="00FC089D"/>
    <w:rsid w:val="00FC105C"/>
    <w:rsid w:val="00FC20A5"/>
    <w:rsid w:val="00FC291E"/>
    <w:rsid w:val="00FC2F9B"/>
    <w:rsid w:val="00FC4BEB"/>
    <w:rsid w:val="00FC5581"/>
    <w:rsid w:val="00FC5F60"/>
    <w:rsid w:val="00FC691A"/>
    <w:rsid w:val="00FC6A6D"/>
    <w:rsid w:val="00FD0D14"/>
    <w:rsid w:val="00FD263D"/>
    <w:rsid w:val="00FD282B"/>
    <w:rsid w:val="00FD2E44"/>
    <w:rsid w:val="00FD3056"/>
    <w:rsid w:val="00FD4B18"/>
    <w:rsid w:val="00FD5F8B"/>
    <w:rsid w:val="00FD5FB1"/>
    <w:rsid w:val="00FD6279"/>
    <w:rsid w:val="00FD672B"/>
    <w:rsid w:val="00FD7021"/>
    <w:rsid w:val="00FD70EC"/>
    <w:rsid w:val="00FE1157"/>
    <w:rsid w:val="00FE27BE"/>
    <w:rsid w:val="00FE29B7"/>
    <w:rsid w:val="00FE3400"/>
    <w:rsid w:val="00FE4EE7"/>
    <w:rsid w:val="00FE5DF2"/>
    <w:rsid w:val="00FE65F2"/>
    <w:rsid w:val="00FE7803"/>
    <w:rsid w:val="00FF0993"/>
    <w:rsid w:val="00FF13D4"/>
    <w:rsid w:val="00FF1538"/>
    <w:rsid w:val="00FF1983"/>
    <w:rsid w:val="00FF3268"/>
    <w:rsid w:val="00FF353C"/>
    <w:rsid w:val="00FF6C64"/>
    <w:rsid w:val="00FF6DF3"/>
    <w:rsid w:val="011B09FD"/>
    <w:rsid w:val="02005B8D"/>
    <w:rsid w:val="025E55F2"/>
    <w:rsid w:val="02A62291"/>
    <w:rsid w:val="02D92666"/>
    <w:rsid w:val="033C0E47"/>
    <w:rsid w:val="03F96F2B"/>
    <w:rsid w:val="040C344D"/>
    <w:rsid w:val="044A5384"/>
    <w:rsid w:val="045D1075"/>
    <w:rsid w:val="048C46DE"/>
    <w:rsid w:val="04A942BA"/>
    <w:rsid w:val="04CB4231"/>
    <w:rsid w:val="04CD61FB"/>
    <w:rsid w:val="04CE2AA0"/>
    <w:rsid w:val="04FA4B16"/>
    <w:rsid w:val="050634BB"/>
    <w:rsid w:val="05824646"/>
    <w:rsid w:val="058C1C12"/>
    <w:rsid w:val="05A625A8"/>
    <w:rsid w:val="05CF1AFF"/>
    <w:rsid w:val="05E355AA"/>
    <w:rsid w:val="05F61781"/>
    <w:rsid w:val="0600615C"/>
    <w:rsid w:val="062F4636"/>
    <w:rsid w:val="06450013"/>
    <w:rsid w:val="06604E4C"/>
    <w:rsid w:val="06C435BF"/>
    <w:rsid w:val="06E93094"/>
    <w:rsid w:val="073C7668"/>
    <w:rsid w:val="079E073F"/>
    <w:rsid w:val="07D21D7A"/>
    <w:rsid w:val="07E24E8A"/>
    <w:rsid w:val="08183C31"/>
    <w:rsid w:val="0832545C"/>
    <w:rsid w:val="083E2E96"/>
    <w:rsid w:val="08762705"/>
    <w:rsid w:val="08CB2A51"/>
    <w:rsid w:val="08D062B9"/>
    <w:rsid w:val="08E53CE0"/>
    <w:rsid w:val="094259DD"/>
    <w:rsid w:val="09756E61"/>
    <w:rsid w:val="09AD2157"/>
    <w:rsid w:val="0A5B7E05"/>
    <w:rsid w:val="0AA479FE"/>
    <w:rsid w:val="0AC534D0"/>
    <w:rsid w:val="0ACD3302"/>
    <w:rsid w:val="0AEF0DDC"/>
    <w:rsid w:val="0AF46F3C"/>
    <w:rsid w:val="0B2B2A6B"/>
    <w:rsid w:val="0B680A2B"/>
    <w:rsid w:val="0B8E7D66"/>
    <w:rsid w:val="0B927C55"/>
    <w:rsid w:val="0BA14129"/>
    <w:rsid w:val="0BA15CEB"/>
    <w:rsid w:val="0BDC6D23"/>
    <w:rsid w:val="0C0D5524"/>
    <w:rsid w:val="0C1B36C6"/>
    <w:rsid w:val="0C5E598A"/>
    <w:rsid w:val="0C656D19"/>
    <w:rsid w:val="0C7E7DDA"/>
    <w:rsid w:val="0C913FB2"/>
    <w:rsid w:val="0CCA74C4"/>
    <w:rsid w:val="0CEE4F60"/>
    <w:rsid w:val="0E1E5556"/>
    <w:rsid w:val="0EA004DC"/>
    <w:rsid w:val="0EB6385C"/>
    <w:rsid w:val="0EB65112"/>
    <w:rsid w:val="0EBC5938"/>
    <w:rsid w:val="0ED463D8"/>
    <w:rsid w:val="0F5B2C7C"/>
    <w:rsid w:val="0F89399F"/>
    <w:rsid w:val="101A606C"/>
    <w:rsid w:val="10396C20"/>
    <w:rsid w:val="104D01F0"/>
    <w:rsid w:val="10DD77C5"/>
    <w:rsid w:val="1102722C"/>
    <w:rsid w:val="1125116C"/>
    <w:rsid w:val="11374996"/>
    <w:rsid w:val="11793FC2"/>
    <w:rsid w:val="117B5BB9"/>
    <w:rsid w:val="122016F2"/>
    <w:rsid w:val="123C7B41"/>
    <w:rsid w:val="126161D4"/>
    <w:rsid w:val="128345B2"/>
    <w:rsid w:val="129E4D32"/>
    <w:rsid w:val="130848A2"/>
    <w:rsid w:val="132F1E2E"/>
    <w:rsid w:val="13824654"/>
    <w:rsid w:val="1384440C"/>
    <w:rsid w:val="1394392D"/>
    <w:rsid w:val="13CF248D"/>
    <w:rsid w:val="141A34B7"/>
    <w:rsid w:val="1421769B"/>
    <w:rsid w:val="146401FE"/>
    <w:rsid w:val="147321EF"/>
    <w:rsid w:val="14907919"/>
    <w:rsid w:val="14B410AB"/>
    <w:rsid w:val="14E60C13"/>
    <w:rsid w:val="15187F8D"/>
    <w:rsid w:val="1534197E"/>
    <w:rsid w:val="156E224D"/>
    <w:rsid w:val="15A20FDE"/>
    <w:rsid w:val="15A308B2"/>
    <w:rsid w:val="15AE1730"/>
    <w:rsid w:val="16030394"/>
    <w:rsid w:val="16434AD1"/>
    <w:rsid w:val="17591B70"/>
    <w:rsid w:val="17662CA4"/>
    <w:rsid w:val="17697128"/>
    <w:rsid w:val="17871962"/>
    <w:rsid w:val="185145F5"/>
    <w:rsid w:val="18A948D3"/>
    <w:rsid w:val="18EA599D"/>
    <w:rsid w:val="18EF453A"/>
    <w:rsid w:val="19231B52"/>
    <w:rsid w:val="192A1532"/>
    <w:rsid w:val="195A5E2A"/>
    <w:rsid w:val="19C332D1"/>
    <w:rsid w:val="1A5D3725"/>
    <w:rsid w:val="1ADC6D40"/>
    <w:rsid w:val="1B245FF1"/>
    <w:rsid w:val="1B484D9D"/>
    <w:rsid w:val="1B5D277B"/>
    <w:rsid w:val="1B607376"/>
    <w:rsid w:val="1BCF2401"/>
    <w:rsid w:val="1BE453D0"/>
    <w:rsid w:val="1C7C2C5C"/>
    <w:rsid w:val="1C8B7F47"/>
    <w:rsid w:val="1C9B4AA1"/>
    <w:rsid w:val="1C9D5371"/>
    <w:rsid w:val="1CAF7EE9"/>
    <w:rsid w:val="1CDD3537"/>
    <w:rsid w:val="1D631052"/>
    <w:rsid w:val="1D666D95"/>
    <w:rsid w:val="1D9A07EC"/>
    <w:rsid w:val="1DA578BD"/>
    <w:rsid w:val="1DF63C75"/>
    <w:rsid w:val="1E6D1FB9"/>
    <w:rsid w:val="1E911BEF"/>
    <w:rsid w:val="1E961F94"/>
    <w:rsid w:val="1EF1268E"/>
    <w:rsid w:val="1EFE46AD"/>
    <w:rsid w:val="1F700C90"/>
    <w:rsid w:val="1F903C55"/>
    <w:rsid w:val="1FA140B4"/>
    <w:rsid w:val="202A7DFC"/>
    <w:rsid w:val="20A26336"/>
    <w:rsid w:val="20C058D7"/>
    <w:rsid w:val="20F24AC1"/>
    <w:rsid w:val="210E5779"/>
    <w:rsid w:val="21162B31"/>
    <w:rsid w:val="214271D1"/>
    <w:rsid w:val="215238B8"/>
    <w:rsid w:val="216C24A0"/>
    <w:rsid w:val="21D00C81"/>
    <w:rsid w:val="21DE0E9F"/>
    <w:rsid w:val="21ED538F"/>
    <w:rsid w:val="21F0608F"/>
    <w:rsid w:val="220152DE"/>
    <w:rsid w:val="22022491"/>
    <w:rsid w:val="22671A0E"/>
    <w:rsid w:val="22A16179"/>
    <w:rsid w:val="22A7378F"/>
    <w:rsid w:val="22C407E5"/>
    <w:rsid w:val="23353796"/>
    <w:rsid w:val="23614286"/>
    <w:rsid w:val="23EB3B50"/>
    <w:rsid w:val="2455546D"/>
    <w:rsid w:val="24C63814"/>
    <w:rsid w:val="250079D6"/>
    <w:rsid w:val="25162E4E"/>
    <w:rsid w:val="251F61A7"/>
    <w:rsid w:val="254C6FAD"/>
    <w:rsid w:val="254D0D0F"/>
    <w:rsid w:val="258C3110"/>
    <w:rsid w:val="25A20B86"/>
    <w:rsid w:val="25D46457"/>
    <w:rsid w:val="26076037"/>
    <w:rsid w:val="260E4881"/>
    <w:rsid w:val="262C78E7"/>
    <w:rsid w:val="26543C2E"/>
    <w:rsid w:val="265B735D"/>
    <w:rsid w:val="26A60202"/>
    <w:rsid w:val="26B7310E"/>
    <w:rsid w:val="27163974"/>
    <w:rsid w:val="271860BC"/>
    <w:rsid w:val="27235309"/>
    <w:rsid w:val="273870AC"/>
    <w:rsid w:val="2742552B"/>
    <w:rsid w:val="277D71B5"/>
    <w:rsid w:val="279C5207"/>
    <w:rsid w:val="27E601D4"/>
    <w:rsid w:val="28700AC7"/>
    <w:rsid w:val="287077D5"/>
    <w:rsid w:val="28810F9E"/>
    <w:rsid w:val="28B26AF1"/>
    <w:rsid w:val="28CA467C"/>
    <w:rsid w:val="29235B3A"/>
    <w:rsid w:val="295C7EC5"/>
    <w:rsid w:val="298E56A9"/>
    <w:rsid w:val="29A94291"/>
    <w:rsid w:val="29B42C36"/>
    <w:rsid w:val="29B83B80"/>
    <w:rsid w:val="2A2B114A"/>
    <w:rsid w:val="2A5C57A7"/>
    <w:rsid w:val="2A64144C"/>
    <w:rsid w:val="2A700988"/>
    <w:rsid w:val="2A845C3E"/>
    <w:rsid w:val="2AC72F51"/>
    <w:rsid w:val="2AF32943"/>
    <w:rsid w:val="2B5B648A"/>
    <w:rsid w:val="2B5C17FC"/>
    <w:rsid w:val="2B6902AD"/>
    <w:rsid w:val="2B6A165E"/>
    <w:rsid w:val="2B91322F"/>
    <w:rsid w:val="2BE21CDC"/>
    <w:rsid w:val="2CB97AED"/>
    <w:rsid w:val="2CBF5B79"/>
    <w:rsid w:val="2CE37ABA"/>
    <w:rsid w:val="2D281971"/>
    <w:rsid w:val="2D397A3F"/>
    <w:rsid w:val="2DD613CD"/>
    <w:rsid w:val="2E0C1292"/>
    <w:rsid w:val="2E247FC9"/>
    <w:rsid w:val="2EB10B84"/>
    <w:rsid w:val="2EB3170E"/>
    <w:rsid w:val="2F341282"/>
    <w:rsid w:val="2F3B75B6"/>
    <w:rsid w:val="2FAA0D63"/>
    <w:rsid w:val="2FAF1ED5"/>
    <w:rsid w:val="2FCC0CD9"/>
    <w:rsid w:val="2FD858D0"/>
    <w:rsid w:val="2FE53B49"/>
    <w:rsid w:val="30601718"/>
    <w:rsid w:val="30917CFF"/>
    <w:rsid w:val="30B2301C"/>
    <w:rsid w:val="30DE5AE7"/>
    <w:rsid w:val="30E06B81"/>
    <w:rsid w:val="30E20088"/>
    <w:rsid w:val="31102E48"/>
    <w:rsid w:val="31E174BF"/>
    <w:rsid w:val="3204414C"/>
    <w:rsid w:val="32146967"/>
    <w:rsid w:val="32650F71"/>
    <w:rsid w:val="32B73D61"/>
    <w:rsid w:val="338B0961"/>
    <w:rsid w:val="33AE03E4"/>
    <w:rsid w:val="33C40944"/>
    <w:rsid w:val="33D20888"/>
    <w:rsid w:val="33E5680D"/>
    <w:rsid w:val="3451355A"/>
    <w:rsid w:val="34976EC6"/>
    <w:rsid w:val="34DD74E5"/>
    <w:rsid w:val="354B444E"/>
    <w:rsid w:val="35635C3C"/>
    <w:rsid w:val="35675000"/>
    <w:rsid w:val="36315173"/>
    <w:rsid w:val="364A6DFC"/>
    <w:rsid w:val="366D3F59"/>
    <w:rsid w:val="36B541F5"/>
    <w:rsid w:val="36CA6200"/>
    <w:rsid w:val="36EA33E3"/>
    <w:rsid w:val="37362EDC"/>
    <w:rsid w:val="37694D64"/>
    <w:rsid w:val="376A776B"/>
    <w:rsid w:val="381A7250"/>
    <w:rsid w:val="38303DCF"/>
    <w:rsid w:val="38764AB1"/>
    <w:rsid w:val="39033292"/>
    <w:rsid w:val="39196210"/>
    <w:rsid w:val="391D7BD7"/>
    <w:rsid w:val="393F42CA"/>
    <w:rsid w:val="398C14D9"/>
    <w:rsid w:val="39AA370B"/>
    <w:rsid w:val="39C62C3D"/>
    <w:rsid w:val="39D52E80"/>
    <w:rsid w:val="3A255BB6"/>
    <w:rsid w:val="3A485400"/>
    <w:rsid w:val="3A5C534F"/>
    <w:rsid w:val="3AE74C19"/>
    <w:rsid w:val="3AED7853"/>
    <w:rsid w:val="3B0A180B"/>
    <w:rsid w:val="3B140CA8"/>
    <w:rsid w:val="3BA24FE4"/>
    <w:rsid w:val="3BB23479"/>
    <w:rsid w:val="3BE61375"/>
    <w:rsid w:val="3BF921BD"/>
    <w:rsid w:val="3C10246E"/>
    <w:rsid w:val="3C6978B0"/>
    <w:rsid w:val="3CAF1767"/>
    <w:rsid w:val="3CAF5C0A"/>
    <w:rsid w:val="3CF4361D"/>
    <w:rsid w:val="3D0C6BB9"/>
    <w:rsid w:val="3D4225DB"/>
    <w:rsid w:val="3D9F68EA"/>
    <w:rsid w:val="3DA84CF5"/>
    <w:rsid w:val="3DAF6558"/>
    <w:rsid w:val="3DB8289D"/>
    <w:rsid w:val="3DC64225"/>
    <w:rsid w:val="3DE831A7"/>
    <w:rsid w:val="3DF25795"/>
    <w:rsid w:val="3DFC6C2D"/>
    <w:rsid w:val="3E1C138F"/>
    <w:rsid w:val="3E6C3FB1"/>
    <w:rsid w:val="3E7F160D"/>
    <w:rsid w:val="3EAB41B0"/>
    <w:rsid w:val="3EAD66DD"/>
    <w:rsid w:val="3EB219E2"/>
    <w:rsid w:val="3EC7548D"/>
    <w:rsid w:val="3ED42A1B"/>
    <w:rsid w:val="3F36616F"/>
    <w:rsid w:val="3F4D1A27"/>
    <w:rsid w:val="3FD87226"/>
    <w:rsid w:val="3FF83425"/>
    <w:rsid w:val="3FFF2A05"/>
    <w:rsid w:val="402151C5"/>
    <w:rsid w:val="404877B7"/>
    <w:rsid w:val="40BB7164"/>
    <w:rsid w:val="40DD483C"/>
    <w:rsid w:val="40EA5463"/>
    <w:rsid w:val="40EA56A8"/>
    <w:rsid w:val="40FC0CF2"/>
    <w:rsid w:val="411029F0"/>
    <w:rsid w:val="412169AB"/>
    <w:rsid w:val="412A1473"/>
    <w:rsid w:val="41363165"/>
    <w:rsid w:val="413A4A51"/>
    <w:rsid w:val="41410DFB"/>
    <w:rsid w:val="41802078"/>
    <w:rsid w:val="419453CF"/>
    <w:rsid w:val="41B1630A"/>
    <w:rsid w:val="41BE244C"/>
    <w:rsid w:val="41D86D4E"/>
    <w:rsid w:val="420C21B4"/>
    <w:rsid w:val="42600996"/>
    <w:rsid w:val="42637CE7"/>
    <w:rsid w:val="42BF022A"/>
    <w:rsid w:val="42CE4911"/>
    <w:rsid w:val="42DC4078"/>
    <w:rsid w:val="434A21E9"/>
    <w:rsid w:val="43B00546"/>
    <w:rsid w:val="43DE0B83"/>
    <w:rsid w:val="444035EC"/>
    <w:rsid w:val="44557097"/>
    <w:rsid w:val="446E1F07"/>
    <w:rsid w:val="44B41EE2"/>
    <w:rsid w:val="44D410F8"/>
    <w:rsid w:val="44D53D34"/>
    <w:rsid w:val="451D396B"/>
    <w:rsid w:val="45293045"/>
    <w:rsid w:val="4561381A"/>
    <w:rsid w:val="45790B64"/>
    <w:rsid w:val="457D4BC7"/>
    <w:rsid w:val="459976B8"/>
    <w:rsid w:val="459E4A6E"/>
    <w:rsid w:val="45B31AEE"/>
    <w:rsid w:val="45BE2A1A"/>
    <w:rsid w:val="46106036"/>
    <w:rsid w:val="46226B06"/>
    <w:rsid w:val="46311FA2"/>
    <w:rsid w:val="463446BC"/>
    <w:rsid w:val="46562773"/>
    <w:rsid w:val="46620F0B"/>
    <w:rsid w:val="466C691A"/>
    <w:rsid w:val="46BC1F6E"/>
    <w:rsid w:val="47460F19"/>
    <w:rsid w:val="474E1F8D"/>
    <w:rsid w:val="47573126"/>
    <w:rsid w:val="478A7058"/>
    <w:rsid w:val="47A01390"/>
    <w:rsid w:val="47C22C96"/>
    <w:rsid w:val="47D41743"/>
    <w:rsid w:val="47E11483"/>
    <w:rsid w:val="48027536"/>
    <w:rsid w:val="48284AC3"/>
    <w:rsid w:val="482C45B3"/>
    <w:rsid w:val="485E2293"/>
    <w:rsid w:val="487B2E45"/>
    <w:rsid w:val="488F68F0"/>
    <w:rsid w:val="48E00EFA"/>
    <w:rsid w:val="49022F66"/>
    <w:rsid w:val="491017DF"/>
    <w:rsid w:val="498722CD"/>
    <w:rsid w:val="49A549A2"/>
    <w:rsid w:val="49BD1F00"/>
    <w:rsid w:val="49E305AE"/>
    <w:rsid w:val="4A1C1535"/>
    <w:rsid w:val="4A235542"/>
    <w:rsid w:val="4A4C7FAD"/>
    <w:rsid w:val="4A577824"/>
    <w:rsid w:val="4A722025"/>
    <w:rsid w:val="4ADD1B95"/>
    <w:rsid w:val="4ADE6F2E"/>
    <w:rsid w:val="4B241572"/>
    <w:rsid w:val="4B294DDA"/>
    <w:rsid w:val="4B3D75FD"/>
    <w:rsid w:val="4B468F5D"/>
    <w:rsid w:val="4B92297F"/>
    <w:rsid w:val="4BB74194"/>
    <w:rsid w:val="4BCF3BD3"/>
    <w:rsid w:val="4C453E95"/>
    <w:rsid w:val="4C5B4385"/>
    <w:rsid w:val="4CAB1993"/>
    <w:rsid w:val="4CF74FBA"/>
    <w:rsid w:val="4D436BB3"/>
    <w:rsid w:val="4D467EC5"/>
    <w:rsid w:val="4D7D31BB"/>
    <w:rsid w:val="4E1E674C"/>
    <w:rsid w:val="4E323FA5"/>
    <w:rsid w:val="4E7B61DE"/>
    <w:rsid w:val="4EB66985"/>
    <w:rsid w:val="4ECD14FB"/>
    <w:rsid w:val="4F13609C"/>
    <w:rsid w:val="4F337FD5"/>
    <w:rsid w:val="4F361873"/>
    <w:rsid w:val="4F6A47C2"/>
    <w:rsid w:val="50243DC2"/>
    <w:rsid w:val="50342257"/>
    <w:rsid w:val="51167BAE"/>
    <w:rsid w:val="51382DE8"/>
    <w:rsid w:val="515F2470"/>
    <w:rsid w:val="5167040A"/>
    <w:rsid w:val="5178794A"/>
    <w:rsid w:val="517D5E7F"/>
    <w:rsid w:val="518577CC"/>
    <w:rsid w:val="51B6560A"/>
    <w:rsid w:val="51C02CB9"/>
    <w:rsid w:val="51D04857"/>
    <w:rsid w:val="51E01D78"/>
    <w:rsid w:val="520B348B"/>
    <w:rsid w:val="52CF2C38"/>
    <w:rsid w:val="53191BD8"/>
    <w:rsid w:val="538C4158"/>
    <w:rsid w:val="53A96AB8"/>
    <w:rsid w:val="53AB68A8"/>
    <w:rsid w:val="53EC109A"/>
    <w:rsid w:val="54015914"/>
    <w:rsid w:val="54106B37"/>
    <w:rsid w:val="542645AC"/>
    <w:rsid w:val="54881046"/>
    <w:rsid w:val="54C6369A"/>
    <w:rsid w:val="54D23DEC"/>
    <w:rsid w:val="54D47B64"/>
    <w:rsid w:val="55216B22"/>
    <w:rsid w:val="55DD6540"/>
    <w:rsid w:val="56024BA5"/>
    <w:rsid w:val="561F5757"/>
    <w:rsid w:val="564231F4"/>
    <w:rsid w:val="56DF0A43"/>
    <w:rsid w:val="56FD2656"/>
    <w:rsid w:val="572542D7"/>
    <w:rsid w:val="57284198"/>
    <w:rsid w:val="58066006"/>
    <w:rsid w:val="580D4BC8"/>
    <w:rsid w:val="581765E0"/>
    <w:rsid w:val="58767185"/>
    <w:rsid w:val="58790503"/>
    <w:rsid w:val="588B6A6C"/>
    <w:rsid w:val="58FE78A6"/>
    <w:rsid w:val="5903482A"/>
    <w:rsid w:val="593110A3"/>
    <w:rsid w:val="593A6404"/>
    <w:rsid w:val="59401C6C"/>
    <w:rsid w:val="5957462A"/>
    <w:rsid w:val="59822285"/>
    <w:rsid w:val="5A2E5F69"/>
    <w:rsid w:val="5A551748"/>
    <w:rsid w:val="5A5D23AA"/>
    <w:rsid w:val="5AB20948"/>
    <w:rsid w:val="5AE20B01"/>
    <w:rsid w:val="5AF2343A"/>
    <w:rsid w:val="5B537E30"/>
    <w:rsid w:val="5B5A4B3C"/>
    <w:rsid w:val="5BF07123"/>
    <w:rsid w:val="5C27663B"/>
    <w:rsid w:val="5D2418A5"/>
    <w:rsid w:val="5D30024A"/>
    <w:rsid w:val="5D46528C"/>
    <w:rsid w:val="5DE94587"/>
    <w:rsid w:val="5DF272AD"/>
    <w:rsid w:val="5E140088"/>
    <w:rsid w:val="5E2373B9"/>
    <w:rsid w:val="5EC21376"/>
    <w:rsid w:val="5EDB41E5"/>
    <w:rsid w:val="5EDC1565"/>
    <w:rsid w:val="5FD530A5"/>
    <w:rsid w:val="5FF159C2"/>
    <w:rsid w:val="5FFA069B"/>
    <w:rsid w:val="600F4147"/>
    <w:rsid w:val="605169CC"/>
    <w:rsid w:val="606C1599"/>
    <w:rsid w:val="606F1DE2"/>
    <w:rsid w:val="60DD5FF3"/>
    <w:rsid w:val="6122434D"/>
    <w:rsid w:val="616404C2"/>
    <w:rsid w:val="61693D2A"/>
    <w:rsid w:val="61894649"/>
    <w:rsid w:val="61946FF9"/>
    <w:rsid w:val="61F5736C"/>
    <w:rsid w:val="620A6567"/>
    <w:rsid w:val="622D2642"/>
    <w:rsid w:val="623A1223"/>
    <w:rsid w:val="626D2ED1"/>
    <w:rsid w:val="62742987"/>
    <w:rsid w:val="62EC5DE5"/>
    <w:rsid w:val="62ED599C"/>
    <w:rsid w:val="62EE098B"/>
    <w:rsid w:val="63120CAF"/>
    <w:rsid w:val="634557ED"/>
    <w:rsid w:val="63B951DE"/>
    <w:rsid w:val="64025D70"/>
    <w:rsid w:val="64087C2C"/>
    <w:rsid w:val="642503DD"/>
    <w:rsid w:val="644D16E1"/>
    <w:rsid w:val="644F6048"/>
    <w:rsid w:val="648974DE"/>
    <w:rsid w:val="648A46E4"/>
    <w:rsid w:val="64C04963"/>
    <w:rsid w:val="64C869E5"/>
    <w:rsid w:val="64D23995"/>
    <w:rsid w:val="652A599B"/>
    <w:rsid w:val="653E2FAD"/>
    <w:rsid w:val="65455A84"/>
    <w:rsid w:val="65515201"/>
    <w:rsid w:val="65A90B99"/>
    <w:rsid w:val="65B732B6"/>
    <w:rsid w:val="65FB6817"/>
    <w:rsid w:val="660E4EA0"/>
    <w:rsid w:val="66A8411A"/>
    <w:rsid w:val="66C20165"/>
    <w:rsid w:val="66EA1469"/>
    <w:rsid w:val="66EC51E2"/>
    <w:rsid w:val="6702108A"/>
    <w:rsid w:val="67477E69"/>
    <w:rsid w:val="675D1C2D"/>
    <w:rsid w:val="67956F44"/>
    <w:rsid w:val="67A07D7A"/>
    <w:rsid w:val="67B26CBC"/>
    <w:rsid w:val="681C1AF7"/>
    <w:rsid w:val="68376930"/>
    <w:rsid w:val="685017A0"/>
    <w:rsid w:val="688F051A"/>
    <w:rsid w:val="689E03C7"/>
    <w:rsid w:val="68ED5241"/>
    <w:rsid w:val="68FC55AB"/>
    <w:rsid w:val="693577AD"/>
    <w:rsid w:val="69920771"/>
    <w:rsid w:val="69D87020"/>
    <w:rsid w:val="6A0A597F"/>
    <w:rsid w:val="6A1A3E14"/>
    <w:rsid w:val="6A1C4030"/>
    <w:rsid w:val="6A507835"/>
    <w:rsid w:val="6ADB7CD4"/>
    <w:rsid w:val="6B03237A"/>
    <w:rsid w:val="6B054AC4"/>
    <w:rsid w:val="6B066E0C"/>
    <w:rsid w:val="6B1342BB"/>
    <w:rsid w:val="6B4D1FC7"/>
    <w:rsid w:val="6B785296"/>
    <w:rsid w:val="6B7C3073"/>
    <w:rsid w:val="6BC73B27"/>
    <w:rsid w:val="6C411B2C"/>
    <w:rsid w:val="6C8639E2"/>
    <w:rsid w:val="6CCE6662"/>
    <w:rsid w:val="6D2A6A64"/>
    <w:rsid w:val="6D611D5A"/>
    <w:rsid w:val="6D927B3A"/>
    <w:rsid w:val="6DDE15FC"/>
    <w:rsid w:val="6DFA6436"/>
    <w:rsid w:val="6E453429"/>
    <w:rsid w:val="6E997503"/>
    <w:rsid w:val="6EBC014C"/>
    <w:rsid w:val="6EC802E2"/>
    <w:rsid w:val="6ECC36E0"/>
    <w:rsid w:val="6EFA4214"/>
    <w:rsid w:val="6F1101E4"/>
    <w:rsid w:val="6F663065"/>
    <w:rsid w:val="6F7479F0"/>
    <w:rsid w:val="6F885CC3"/>
    <w:rsid w:val="6FCA008A"/>
    <w:rsid w:val="6FD54BBA"/>
    <w:rsid w:val="700E441B"/>
    <w:rsid w:val="70673ECF"/>
    <w:rsid w:val="709366CE"/>
    <w:rsid w:val="70A52D9B"/>
    <w:rsid w:val="70C920F0"/>
    <w:rsid w:val="70E4410A"/>
    <w:rsid w:val="714300F4"/>
    <w:rsid w:val="71A566B9"/>
    <w:rsid w:val="71C46346"/>
    <w:rsid w:val="71D7083C"/>
    <w:rsid w:val="720F7FD6"/>
    <w:rsid w:val="729B7ABC"/>
    <w:rsid w:val="72CC340E"/>
    <w:rsid w:val="73235A27"/>
    <w:rsid w:val="73832A2A"/>
    <w:rsid w:val="73EA697E"/>
    <w:rsid w:val="742C2C04"/>
    <w:rsid w:val="749632CD"/>
    <w:rsid w:val="74B02A1D"/>
    <w:rsid w:val="74CC7638"/>
    <w:rsid w:val="74E90FB2"/>
    <w:rsid w:val="751A5610"/>
    <w:rsid w:val="75630D65"/>
    <w:rsid w:val="75E90E0B"/>
    <w:rsid w:val="76014690"/>
    <w:rsid w:val="760E2193"/>
    <w:rsid w:val="76801185"/>
    <w:rsid w:val="76946CFC"/>
    <w:rsid w:val="76A74C81"/>
    <w:rsid w:val="76E41FD4"/>
    <w:rsid w:val="772B7660"/>
    <w:rsid w:val="7745729E"/>
    <w:rsid w:val="775070C7"/>
    <w:rsid w:val="77617526"/>
    <w:rsid w:val="776C7C79"/>
    <w:rsid w:val="77A613DD"/>
    <w:rsid w:val="783B0731"/>
    <w:rsid w:val="78760DAF"/>
    <w:rsid w:val="78F54C36"/>
    <w:rsid w:val="7915004F"/>
    <w:rsid w:val="795D3716"/>
    <w:rsid w:val="796926C2"/>
    <w:rsid w:val="79960FDD"/>
    <w:rsid w:val="79B06543"/>
    <w:rsid w:val="79D97CE5"/>
    <w:rsid w:val="7A0401DC"/>
    <w:rsid w:val="7A1A39BC"/>
    <w:rsid w:val="7A2507CB"/>
    <w:rsid w:val="7A5C3C04"/>
    <w:rsid w:val="7A974B34"/>
    <w:rsid w:val="7AAA4B0C"/>
    <w:rsid w:val="7ABC3C68"/>
    <w:rsid w:val="7B332F87"/>
    <w:rsid w:val="7B6A5DF1"/>
    <w:rsid w:val="7BAB5214"/>
    <w:rsid w:val="7BBC11CF"/>
    <w:rsid w:val="7BF546E1"/>
    <w:rsid w:val="7BFC5A6F"/>
    <w:rsid w:val="7C3A45A4"/>
    <w:rsid w:val="7C853781"/>
    <w:rsid w:val="7C8A1B41"/>
    <w:rsid w:val="7CA7796B"/>
    <w:rsid w:val="7CBC5918"/>
    <w:rsid w:val="7CEB310F"/>
    <w:rsid w:val="7D0E5A5A"/>
    <w:rsid w:val="7D162B61"/>
    <w:rsid w:val="7D480840"/>
    <w:rsid w:val="7D681DDE"/>
    <w:rsid w:val="7DB06B11"/>
    <w:rsid w:val="7E584AB3"/>
    <w:rsid w:val="7E632947"/>
    <w:rsid w:val="7E815E8C"/>
    <w:rsid w:val="7EA04014"/>
    <w:rsid w:val="7EB50157"/>
    <w:rsid w:val="7ECD724F"/>
    <w:rsid w:val="7EEC634C"/>
    <w:rsid w:val="7F09323A"/>
    <w:rsid w:val="7F233313"/>
    <w:rsid w:val="7F9915DC"/>
    <w:rsid w:val="7FAB210A"/>
    <w:rsid w:val="7FB15B28"/>
    <w:rsid w:val="7FBD3767"/>
    <w:rsid w:val="7FC06DB4"/>
    <w:rsid w:val="FD3A9106"/>
    <w:rsid w:val="FF7FA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8"/>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autoRedefine/>
    <w:qFormat/>
    <w:uiPriority w:val="0"/>
    <w:pPr>
      <w:keepNext/>
      <w:keepLines/>
      <w:ind w:firstLine="200" w:firstLineChars="200"/>
      <w:outlineLvl w:val="2"/>
    </w:pPr>
    <w:rPr>
      <w:rFonts w:eastAsia="仿宋_GB2312"/>
      <w:b/>
      <w:bCs/>
      <w:sz w:val="32"/>
      <w:szCs w:val="32"/>
    </w:rPr>
  </w:style>
  <w:style w:type="paragraph" w:styleId="6">
    <w:name w:val="heading 4"/>
    <w:basedOn w:val="1"/>
    <w:next w:val="1"/>
    <w:link w:val="39"/>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41"/>
    <w:autoRedefine/>
    <w:unhideWhenUsed/>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autoRedefine/>
    <w:unhideWhenUsed/>
    <w:qFormat/>
    <w:uiPriority w:val="9"/>
    <w:pPr>
      <w:keepNext/>
      <w:keepLines/>
      <w:spacing w:before="240" w:after="64" w:line="317" w:lineRule="auto"/>
      <w:outlineLvl w:val="5"/>
    </w:pPr>
    <w:rPr>
      <w:rFonts w:hint="default" w:ascii="Arial" w:hAnsi="Arial" w:eastAsia="黑体"/>
      <w:b/>
      <w:sz w:val="24"/>
      <w:szCs w:val="22"/>
    </w:rPr>
  </w:style>
  <w:style w:type="paragraph" w:styleId="9">
    <w:name w:val="heading 9"/>
    <w:basedOn w:val="1"/>
    <w:next w:val="1"/>
    <w:link w:val="64"/>
    <w:autoRedefine/>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40"/>
    <w:autoRedefine/>
    <w:unhideWhenUsed/>
    <w:qFormat/>
    <w:uiPriority w:val="99"/>
    <w:pPr>
      <w:adjustRightInd w:val="0"/>
      <w:snapToGrid w:val="0"/>
      <w:spacing w:after="120" w:line="480" w:lineRule="exact"/>
      <w:ind w:firstLine="480" w:firstLineChars="200"/>
    </w:pPr>
    <w:rPr>
      <w:sz w:val="24"/>
      <w:szCs w:val="22"/>
    </w:rPr>
  </w:style>
  <w:style w:type="paragraph" w:styleId="10">
    <w:name w:val="toc 7"/>
    <w:basedOn w:val="1"/>
    <w:next w:val="1"/>
    <w:autoRedefine/>
    <w:unhideWhenUsed/>
    <w:qFormat/>
    <w:uiPriority w:val="39"/>
    <w:pPr>
      <w:ind w:left="2520" w:leftChars="1200"/>
    </w:pPr>
    <w:rPr>
      <w:rFonts w:asciiTheme="minorHAnsi" w:hAnsiTheme="minorHAnsi" w:eastAsiaTheme="minorEastAsia" w:cstheme="minorBidi"/>
      <w:szCs w:val="22"/>
    </w:rPr>
  </w:style>
  <w:style w:type="paragraph" w:styleId="11">
    <w:name w:val="Normal Indent"/>
    <w:basedOn w:val="1"/>
    <w:autoRedefine/>
    <w:unhideWhenUsed/>
    <w:qFormat/>
    <w:uiPriority w:val="0"/>
    <w:pPr>
      <w:spacing w:before="60" w:beforeLines="0" w:after="60" w:afterLines="0" w:line="440" w:lineRule="atLeast"/>
      <w:ind w:firstLine="420" w:firstLineChars="200"/>
    </w:pPr>
    <w:rPr>
      <w:rFonts w:hint="default"/>
      <w:kern w:val="0"/>
      <w:sz w:val="24"/>
      <w:szCs w:val="24"/>
    </w:rPr>
  </w:style>
  <w:style w:type="paragraph" w:styleId="12">
    <w:name w:val="caption"/>
    <w:next w:val="1"/>
    <w:autoRedefine/>
    <w:qFormat/>
    <w:uiPriority w:val="0"/>
    <w:pPr>
      <w:jc w:val="center"/>
    </w:pPr>
    <w:rPr>
      <w:rFonts w:ascii="Times New Roman" w:hAnsi="Times New Roman" w:eastAsia="宋体" w:cs="Arial"/>
      <w:b/>
      <w:sz w:val="24"/>
      <w:lang w:val="en-US" w:eastAsia="zh-CN" w:bidi="ar-SA"/>
    </w:rPr>
  </w:style>
  <w:style w:type="paragraph" w:styleId="13">
    <w:name w:val="Document Map"/>
    <w:basedOn w:val="1"/>
    <w:link w:val="50"/>
    <w:autoRedefine/>
    <w:semiHidden/>
    <w:unhideWhenUsed/>
    <w:qFormat/>
    <w:uiPriority w:val="99"/>
    <w:rPr>
      <w:rFonts w:ascii="宋体"/>
      <w:sz w:val="18"/>
      <w:szCs w:val="18"/>
    </w:rPr>
  </w:style>
  <w:style w:type="paragraph" w:styleId="14">
    <w:name w:val="annotation text"/>
    <w:basedOn w:val="1"/>
    <w:link w:val="54"/>
    <w:autoRedefine/>
    <w:unhideWhenUsed/>
    <w:qFormat/>
    <w:uiPriority w:val="99"/>
    <w:pPr>
      <w:jc w:val="left"/>
    </w:pPr>
  </w:style>
  <w:style w:type="paragraph" w:styleId="15">
    <w:name w:val="toc 5"/>
    <w:basedOn w:val="1"/>
    <w:next w:val="1"/>
    <w:autoRedefine/>
    <w:unhideWhenUsed/>
    <w:qFormat/>
    <w:uiPriority w:val="39"/>
    <w:pPr>
      <w:ind w:left="1680" w:leftChars="800"/>
    </w:pPr>
    <w:rPr>
      <w:rFonts w:asciiTheme="minorHAnsi" w:hAnsiTheme="minorHAnsi" w:eastAsiaTheme="minorEastAsia" w:cstheme="minorBidi"/>
      <w:szCs w:val="22"/>
    </w:rPr>
  </w:style>
  <w:style w:type="paragraph" w:styleId="16">
    <w:name w:val="toc 3"/>
    <w:basedOn w:val="1"/>
    <w:next w:val="1"/>
    <w:autoRedefine/>
    <w:unhideWhenUsed/>
    <w:qFormat/>
    <w:uiPriority w:val="39"/>
    <w:pPr>
      <w:ind w:left="840" w:leftChars="400"/>
    </w:pPr>
  </w:style>
  <w:style w:type="paragraph" w:styleId="17">
    <w:name w:val="toc 8"/>
    <w:basedOn w:val="1"/>
    <w:next w:val="1"/>
    <w:autoRedefine/>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autoRedefine/>
    <w:qFormat/>
    <w:uiPriority w:val="0"/>
    <w:pPr>
      <w:spacing w:line="480" w:lineRule="auto"/>
      <w:ind w:left="420" w:leftChars="200"/>
    </w:pPr>
  </w:style>
  <w:style w:type="paragraph" w:styleId="19">
    <w:name w:val="Balloon Text"/>
    <w:basedOn w:val="1"/>
    <w:link w:val="56"/>
    <w:autoRedefine/>
    <w:semiHidden/>
    <w:unhideWhenUsed/>
    <w:qFormat/>
    <w:uiPriority w:val="99"/>
    <w:rPr>
      <w:sz w:val="18"/>
      <w:szCs w:val="18"/>
    </w:rPr>
  </w:style>
  <w:style w:type="paragraph" w:styleId="20">
    <w:name w:val="footer"/>
    <w:basedOn w:val="1"/>
    <w:link w:val="48"/>
    <w:autoRedefine/>
    <w:unhideWhenUsed/>
    <w:qFormat/>
    <w:uiPriority w:val="99"/>
    <w:pPr>
      <w:tabs>
        <w:tab w:val="center" w:pos="4153"/>
        <w:tab w:val="right" w:pos="8306"/>
      </w:tabs>
      <w:snapToGrid w:val="0"/>
      <w:jc w:val="left"/>
    </w:pPr>
    <w:rPr>
      <w:sz w:val="18"/>
      <w:szCs w:val="18"/>
    </w:rPr>
  </w:style>
  <w:style w:type="paragraph" w:styleId="21">
    <w:name w:val="header"/>
    <w:basedOn w:val="1"/>
    <w:link w:val="8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rPr>
      <w:rFonts w:eastAsia="仿宋_GB2312"/>
      <w:sz w:val="32"/>
      <w:szCs w:val="20"/>
    </w:rPr>
  </w:style>
  <w:style w:type="paragraph" w:styleId="23">
    <w:name w:val="toc 4"/>
    <w:basedOn w:val="1"/>
    <w:next w:val="1"/>
    <w:autoRedefine/>
    <w:unhideWhenUsed/>
    <w:qFormat/>
    <w:uiPriority w:val="39"/>
    <w:pPr>
      <w:ind w:left="1260" w:leftChars="600"/>
    </w:pPr>
    <w:rPr>
      <w:rFonts w:asciiTheme="minorHAnsi" w:hAnsiTheme="minorHAnsi" w:eastAsiaTheme="minorEastAsia" w:cstheme="minorBidi"/>
      <w:szCs w:val="22"/>
    </w:rPr>
  </w:style>
  <w:style w:type="paragraph" w:styleId="24">
    <w:name w:val="footnote text"/>
    <w:basedOn w:val="1"/>
    <w:link w:val="45"/>
    <w:autoRedefine/>
    <w:qFormat/>
    <w:uiPriority w:val="0"/>
    <w:pPr>
      <w:snapToGrid w:val="0"/>
      <w:jc w:val="left"/>
    </w:pPr>
    <w:rPr>
      <w:rFonts w:ascii="Calibri" w:hAnsi="Calibri" w:eastAsiaTheme="minorEastAsia" w:cstheme="minorBidi"/>
      <w:sz w:val="18"/>
      <w:szCs w:val="18"/>
    </w:rPr>
  </w:style>
  <w:style w:type="paragraph" w:styleId="25">
    <w:name w:val="toc 6"/>
    <w:basedOn w:val="1"/>
    <w:next w:val="1"/>
    <w:autoRedefine/>
    <w:unhideWhenUsed/>
    <w:qFormat/>
    <w:uiPriority w:val="39"/>
    <w:pPr>
      <w:ind w:left="2100" w:leftChars="1000"/>
    </w:pPr>
    <w:rPr>
      <w:rFonts w:asciiTheme="minorHAnsi" w:hAnsiTheme="minorHAnsi" w:eastAsiaTheme="minorEastAsia" w:cstheme="minorBidi"/>
      <w:szCs w:val="22"/>
    </w:rPr>
  </w:style>
  <w:style w:type="paragraph" w:styleId="26">
    <w:name w:val="toc 2"/>
    <w:basedOn w:val="1"/>
    <w:next w:val="1"/>
    <w:autoRedefine/>
    <w:qFormat/>
    <w:uiPriority w:val="39"/>
    <w:pPr>
      <w:ind w:left="420" w:leftChars="200"/>
    </w:pPr>
    <w:rPr>
      <w:rFonts w:eastAsia="仿宋_GB2312"/>
      <w:sz w:val="32"/>
      <w:szCs w:val="20"/>
    </w:rPr>
  </w:style>
  <w:style w:type="paragraph" w:styleId="27">
    <w:name w:val="toc 9"/>
    <w:basedOn w:val="1"/>
    <w:next w:val="1"/>
    <w:autoRedefine/>
    <w:unhideWhenUsed/>
    <w:qFormat/>
    <w:uiPriority w:val="39"/>
    <w:pPr>
      <w:ind w:left="3360" w:leftChars="1600"/>
    </w:pPr>
    <w:rPr>
      <w:rFonts w:asciiTheme="minorHAnsi" w:hAnsiTheme="minorHAnsi" w:eastAsiaTheme="minorEastAsia" w:cstheme="minorBidi"/>
      <w:szCs w:val="22"/>
    </w:rPr>
  </w:style>
  <w:style w:type="paragraph" w:styleId="28">
    <w:name w:val="Normal (Web)"/>
    <w:basedOn w:val="1"/>
    <w:autoRedefine/>
    <w:unhideWhenUsed/>
    <w:qFormat/>
    <w:uiPriority w:val="99"/>
    <w:pPr>
      <w:widowControl/>
      <w:spacing w:before="100" w:beforeLines="0" w:beforeAutospacing="1" w:after="100" w:afterLines="0" w:afterAutospacing="1"/>
      <w:jc w:val="left"/>
    </w:pPr>
    <w:rPr>
      <w:rFonts w:hint="eastAsia" w:ascii="宋体" w:hAnsi="宋体" w:cs="宋体"/>
      <w:kern w:val="0"/>
      <w:sz w:val="24"/>
      <w:szCs w:val="24"/>
    </w:rPr>
  </w:style>
  <w:style w:type="paragraph" w:styleId="29">
    <w:name w:val="annotation subject"/>
    <w:basedOn w:val="14"/>
    <w:next w:val="14"/>
    <w:link w:val="55"/>
    <w:autoRedefine/>
    <w:semiHidden/>
    <w:unhideWhenUsed/>
    <w:qFormat/>
    <w:uiPriority w:val="99"/>
    <w:rPr>
      <w:b/>
      <w:bCs/>
    </w:r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Hyperlink"/>
    <w:basedOn w:val="32"/>
    <w:autoRedefine/>
    <w:unhideWhenUsed/>
    <w:qFormat/>
    <w:uiPriority w:val="99"/>
    <w:rPr>
      <w:color w:val="0563C1" w:themeColor="hyperlink"/>
      <w:u w:val="single"/>
      <w14:textFill>
        <w14:solidFill>
          <w14:schemeClr w14:val="hlink"/>
        </w14:solidFill>
      </w14:textFill>
    </w:rPr>
  </w:style>
  <w:style w:type="character" w:styleId="34">
    <w:name w:val="annotation reference"/>
    <w:basedOn w:val="32"/>
    <w:autoRedefine/>
    <w:unhideWhenUsed/>
    <w:qFormat/>
    <w:uiPriority w:val="99"/>
    <w:rPr>
      <w:sz w:val="21"/>
      <w:szCs w:val="21"/>
    </w:rPr>
  </w:style>
  <w:style w:type="character" w:styleId="35">
    <w:name w:val="footnote reference"/>
    <w:autoRedefine/>
    <w:qFormat/>
    <w:uiPriority w:val="0"/>
    <w:rPr>
      <w:vertAlign w:val="superscript"/>
    </w:rPr>
  </w:style>
  <w:style w:type="character" w:customStyle="1" w:styleId="36">
    <w:name w:val="标题 2 字符"/>
    <w:basedOn w:val="32"/>
    <w:link w:val="4"/>
    <w:autoRedefine/>
    <w:qFormat/>
    <w:uiPriority w:val="9"/>
    <w:rPr>
      <w:rFonts w:asciiTheme="majorHAnsi" w:hAnsiTheme="majorHAnsi" w:eastAsiaTheme="majorEastAsia" w:cstheme="majorBidi"/>
      <w:b/>
      <w:bCs/>
      <w:sz w:val="32"/>
      <w:szCs w:val="32"/>
    </w:rPr>
  </w:style>
  <w:style w:type="character" w:customStyle="1" w:styleId="37">
    <w:name w:val="标题 3 字符"/>
    <w:basedOn w:val="32"/>
    <w:link w:val="5"/>
    <w:autoRedefine/>
    <w:qFormat/>
    <w:uiPriority w:val="0"/>
    <w:rPr>
      <w:rFonts w:ascii="Times New Roman" w:hAnsi="Times New Roman" w:eastAsia="仿宋_GB2312" w:cs="Times New Roman"/>
      <w:b/>
      <w:bCs/>
      <w:sz w:val="32"/>
      <w:szCs w:val="32"/>
    </w:rPr>
  </w:style>
  <w:style w:type="character" w:customStyle="1" w:styleId="38">
    <w:name w:val="标题 1 字符"/>
    <w:basedOn w:val="32"/>
    <w:link w:val="3"/>
    <w:autoRedefine/>
    <w:qFormat/>
    <w:uiPriority w:val="9"/>
    <w:rPr>
      <w:rFonts w:ascii="Times New Roman" w:hAnsi="Times New Roman" w:eastAsia="宋体" w:cs="Times New Roman"/>
      <w:b/>
      <w:bCs/>
      <w:kern w:val="44"/>
      <w:sz w:val="44"/>
      <w:szCs w:val="44"/>
    </w:rPr>
  </w:style>
  <w:style w:type="character" w:customStyle="1" w:styleId="39">
    <w:name w:val="标题 4 字符"/>
    <w:basedOn w:val="32"/>
    <w:link w:val="6"/>
    <w:autoRedefine/>
    <w:qFormat/>
    <w:uiPriority w:val="9"/>
    <w:rPr>
      <w:rFonts w:asciiTheme="majorHAnsi" w:hAnsiTheme="majorHAnsi" w:eastAsiaTheme="majorEastAsia" w:cstheme="majorBidi"/>
      <w:b/>
      <w:bCs/>
      <w:sz w:val="28"/>
      <w:szCs w:val="28"/>
    </w:rPr>
  </w:style>
  <w:style w:type="character" w:customStyle="1" w:styleId="40">
    <w:name w:val="正文文本 字符"/>
    <w:basedOn w:val="32"/>
    <w:link w:val="2"/>
    <w:autoRedefine/>
    <w:qFormat/>
    <w:uiPriority w:val="99"/>
    <w:rPr>
      <w:kern w:val="2"/>
      <w:sz w:val="24"/>
      <w:szCs w:val="22"/>
    </w:rPr>
  </w:style>
  <w:style w:type="character" w:customStyle="1" w:styleId="41">
    <w:name w:val="标题 5 字符"/>
    <w:basedOn w:val="32"/>
    <w:link w:val="7"/>
    <w:autoRedefine/>
    <w:qFormat/>
    <w:uiPriority w:val="0"/>
    <w:rPr>
      <w:rFonts w:ascii="Calibri" w:hAnsi="Calibri" w:eastAsia="宋体" w:cs="Times New Roman"/>
      <w:b/>
      <w:bCs/>
      <w:sz w:val="28"/>
      <w:szCs w:val="28"/>
    </w:rPr>
  </w:style>
  <w:style w:type="paragraph" w:customStyle="1" w:styleId="42">
    <w:name w:val="Normal Indent"/>
    <w:basedOn w:val="1"/>
    <w:autoRedefine/>
    <w:qFormat/>
    <w:uiPriority w:val="0"/>
    <w:pPr>
      <w:spacing w:line="440" w:lineRule="exact"/>
      <w:ind w:firstLine="420"/>
    </w:pPr>
    <w:rPr>
      <w:rFonts w:eastAsia="仿宋_GB2312"/>
      <w:kern w:val="2"/>
      <w:sz w:val="28"/>
      <w:szCs w:val="28"/>
      <w:lang w:val="en-US" w:eastAsia="zh-CN" w:bidi="ar-SA"/>
    </w:rPr>
  </w:style>
  <w:style w:type="paragraph" w:customStyle="1" w:styleId="43">
    <w:name w:val="Default"/>
    <w:next w:val="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4">
    <w:name w:val="List Paragraph"/>
    <w:basedOn w:val="1"/>
    <w:autoRedefine/>
    <w:qFormat/>
    <w:uiPriority w:val="34"/>
    <w:pPr>
      <w:ind w:firstLine="420" w:firstLineChars="200"/>
    </w:pPr>
  </w:style>
  <w:style w:type="character" w:customStyle="1" w:styleId="45">
    <w:name w:val="脚注文本 字符"/>
    <w:link w:val="24"/>
    <w:autoRedefine/>
    <w:qFormat/>
    <w:uiPriority w:val="0"/>
    <w:rPr>
      <w:rFonts w:ascii="Calibri" w:hAnsi="Calibri"/>
      <w:sz w:val="18"/>
      <w:szCs w:val="18"/>
    </w:rPr>
  </w:style>
  <w:style w:type="character" w:customStyle="1" w:styleId="46">
    <w:name w:val="脚注文本 字符1"/>
    <w:basedOn w:val="32"/>
    <w:autoRedefine/>
    <w:semiHidden/>
    <w:qFormat/>
    <w:uiPriority w:val="99"/>
    <w:rPr>
      <w:rFonts w:ascii="Times New Roman" w:hAnsi="Times New Roman" w:eastAsia="宋体" w:cs="Times New Roman"/>
      <w:sz w:val="18"/>
      <w:szCs w:val="18"/>
    </w:rPr>
  </w:style>
  <w:style w:type="character" w:customStyle="1" w:styleId="47">
    <w:name w:val="页眉 字符"/>
    <w:basedOn w:val="32"/>
    <w:link w:val="21"/>
    <w:autoRedefine/>
    <w:qFormat/>
    <w:uiPriority w:val="99"/>
    <w:rPr>
      <w:rFonts w:ascii="Times New Roman" w:hAnsi="Times New Roman" w:eastAsia="宋体" w:cs="Times New Roman"/>
      <w:sz w:val="18"/>
      <w:szCs w:val="18"/>
    </w:rPr>
  </w:style>
  <w:style w:type="character" w:customStyle="1" w:styleId="48">
    <w:name w:val="页脚 字符"/>
    <w:basedOn w:val="32"/>
    <w:link w:val="20"/>
    <w:autoRedefine/>
    <w:qFormat/>
    <w:uiPriority w:val="99"/>
    <w:rPr>
      <w:rFonts w:ascii="Times New Roman" w:hAnsi="Times New Roman" w:eastAsia="宋体" w:cs="Times New Roman"/>
      <w:sz w:val="18"/>
      <w:szCs w:val="18"/>
    </w:rPr>
  </w:style>
  <w:style w:type="paragraph" w:customStyle="1" w:styleId="49">
    <w:name w:val="p0"/>
    <w:basedOn w:val="1"/>
    <w:autoRedefine/>
    <w:qFormat/>
    <w:uiPriority w:val="0"/>
    <w:pPr>
      <w:widowControl/>
    </w:pPr>
    <w:rPr>
      <w:kern w:val="0"/>
      <w:sz w:val="32"/>
      <w:szCs w:val="32"/>
    </w:rPr>
  </w:style>
  <w:style w:type="character" w:customStyle="1" w:styleId="50">
    <w:name w:val="文档结构图 字符"/>
    <w:basedOn w:val="32"/>
    <w:link w:val="13"/>
    <w:autoRedefine/>
    <w:semiHidden/>
    <w:qFormat/>
    <w:uiPriority w:val="99"/>
    <w:rPr>
      <w:rFonts w:ascii="宋体" w:hAnsi="Times New Roman" w:eastAsia="宋体" w:cs="Times New Roman"/>
      <w:sz w:val="18"/>
      <w:szCs w:val="18"/>
    </w:rPr>
  </w:style>
  <w:style w:type="character" w:customStyle="1" w:styleId="51">
    <w:name w:val="★本文 正文 Char Char"/>
    <w:autoRedefine/>
    <w:qFormat/>
    <w:uiPriority w:val="0"/>
    <w:rPr>
      <w:rFonts w:eastAsia="宋体"/>
      <w:color w:val="000000"/>
      <w:kern w:val="2"/>
      <w:sz w:val="28"/>
      <w:lang w:bidi="ar-SA"/>
    </w:rPr>
  </w:style>
  <w:style w:type="paragraph" w:customStyle="1" w:styleId="52">
    <w:name w:val="表标题"/>
    <w:autoRedefine/>
    <w:qFormat/>
    <w:uiPriority w:val="0"/>
    <w:pPr>
      <w:keepNext/>
      <w:widowControl w:val="0"/>
      <w:adjustRightInd w:val="0"/>
      <w:spacing w:before="120" w:after="120" w:line="360" w:lineRule="exact"/>
      <w:jc w:val="center"/>
      <w:textAlignment w:val="baseline"/>
    </w:pPr>
    <w:rPr>
      <w:rFonts w:ascii="Times New Roman" w:hAnsi="Times New Roman" w:eastAsia="宋体" w:cs="Times New Roman"/>
      <w:b/>
      <w:color w:val="000000"/>
      <w:sz w:val="24"/>
      <w:lang w:val="en-US" w:eastAsia="zh-CN" w:bidi="ar-SA"/>
    </w:rPr>
  </w:style>
  <w:style w:type="paragraph" w:customStyle="1" w:styleId="53">
    <w:name w:val="Char"/>
    <w:basedOn w:val="1"/>
    <w:autoRedefine/>
    <w:qFormat/>
    <w:uiPriority w:val="0"/>
    <w:pPr>
      <w:widowControl/>
      <w:spacing w:after="160" w:line="240" w:lineRule="exact"/>
      <w:jc w:val="left"/>
    </w:pPr>
  </w:style>
  <w:style w:type="character" w:customStyle="1" w:styleId="54">
    <w:name w:val="批注文字 字符"/>
    <w:basedOn w:val="32"/>
    <w:link w:val="14"/>
    <w:autoRedefine/>
    <w:qFormat/>
    <w:uiPriority w:val="99"/>
    <w:rPr>
      <w:rFonts w:ascii="Times New Roman" w:hAnsi="Times New Roman" w:eastAsia="宋体" w:cs="Times New Roman"/>
      <w:szCs w:val="24"/>
    </w:rPr>
  </w:style>
  <w:style w:type="character" w:customStyle="1" w:styleId="55">
    <w:name w:val="批注主题 字符"/>
    <w:basedOn w:val="54"/>
    <w:link w:val="29"/>
    <w:autoRedefine/>
    <w:semiHidden/>
    <w:qFormat/>
    <w:uiPriority w:val="99"/>
    <w:rPr>
      <w:rFonts w:ascii="Times New Roman" w:hAnsi="Times New Roman" w:eastAsia="宋体" w:cs="Times New Roman"/>
      <w:b/>
      <w:bCs/>
      <w:szCs w:val="24"/>
    </w:rPr>
  </w:style>
  <w:style w:type="character" w:customStyle="1" w:styleId="56">
    <w:name w:val="批注框文本 字符"/>
    <w:basedOn w:val="32"/>
    <w:link w:val="19"/>
    <w:autoRedefine/>
    <w:semiHidden/>
    <w:qFormat/>
    <w:uiPriority w:val="99"/>
    <w:rPr>
      <w:rFonts w:ascii="Times New Roman" w:hAnsi="Times New Roman" w:eastAsia="宋体" w:cs="Times New Roman"/>
      <w:sz w:val="18"/>
      <w:szCs w:val="18"/>
    </w:rPr>
  </w:style>
  <w:style w:type="paragraph" w:customStyle="1" w:styleId="57">
    <w:name w:val="TOC 标题1"/>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8">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59">
    <w:name w:val="font61"/>
    <w:basedOn w:val="32"/>
    <w:autoRedefine/>
    <w:qFormat/>
    <w:uiPriority w:val="0"/>
    <w:rPr>
      <w:rFonts w:hint="default" w:ascii="Times New Roman" w:hAnsi="Times New Roman" w:cs="Times New Roman"/>
      <w:color w:val="000000"/>
      <w:sz w:val="24"/>
      <w:szCs w:val="24"/>
      <w:u w:val="none"/>
    </w:rPr>
  </w:style>
  <w:style w:type="character" w:customStyle="1" w:styleId="60">
    <w:name w:val="font51"/>
    <w:basedOn w:val="32"/>
    <w:autoRedefine/>
    <w:qFormat/>
    <w:uiPriority w:val="0"/>
    <w:rPr>
      <w:rFonts w:ascii="仿宋_GB2312" w:eastAsia="仿宋_GB2312" w:cs="仿宋_GB2312"/>
      <w:color w:val="000000"/>
      <w:sz w:val="24"/>
      <w:szCs w:val="24"/>
      <w:u w:val="none"/>
    </w:rPr>
  </w:style>
  <w:style w:type="character" w:customStyle="1" w:styleId="61">
    <w:name w:val="font41"/>
    <w:basedOn w:val="32"/>
    <w:autoRedefine/>
    <w:qFormat/>
    <w:uiPriority w:val="0"/>
    <w:rPr>
      <w:rFonts w:hint="eastAsia" w:ascii="宋体" w:hAnsi="宋体" w:eastAsia="宋体" w:cs="宋体"/>
      <w:color w:val="000000"/>
      <w:sz w:val="24"/>
      <w:szCs w:val="24"/>
      <w:u w:val="none"/>
    </w:rPr>
  </w:style>
  <w:style w:type="character" w:customStyle="1" w:styleId="62">
    <w:name w:val="font31"/>
    <w:basedOn w:val="32"/>
    <w:autoRedefine/>
    <w:qFormat/>
    <w:uiPriority w:val="0"/>
    <w:rPr>
      <w:rFonts w:hint="eastAsia" w:ascii="宋体" w:hAnsi="宋体" w:eastAsia="宋体" w:cs="宋体"/>
      <w:color w:val="000000"/>
      <w:sz w:val="24"/>
      <w:szCs w:val="24"/>
      <w:u w:val="none"/>
      <w:vertAlign w:val="subscript"/>
    </w:rPr>
  </w:style>
  <w:style w:type="character" w:customStyle="1" w:styleId="63">
    <w:name w:val="font01"/>
    <w:basedOn w:val="32"/>
    <w:autoRedefine/>
    <w:qFormat/>
    <w:uiPriority w:val="0"/>
    <w:rPr>
      <w:rFonts w:hint="eastAsia" w:ascii="宋体" w:hAnsi="宋体" w:eastAsia="宋体" w:cs="宋体"/>
      <w:color w:val="000000"/>
      <w:sz w:val="24"/>
      <w:szCs w:val="24"/>
      <w:u w:val="none"/>
    </w:rPr>
  </w:style>
  <w:style w:type="character" w:customStyle="1" w:styleId="64">
    <w:name w:val="标题 9 字符"/>
    <w:basedOn w:val="32"/>
    <w:link w:val="9"/>
    <w:autoRedefine/>
    <w:semiHidden/>
    <w:qFormat/>
    <w:uiPriority w:val="9"/>
    <w:rPr>
      <w:rFonts w:asciiTheme="majorHAnsi" w:hAnsiTheme="majorHAnsi" w:eastAsiaTheme="majorEastAsia" w:cstheme="majorBidi"/>
      <w:kern w:val="2"/>
      <w:sz w:val="21"/>
      <w:szCs w:val="21"/>
    </w:rPr>
  </w:style>
  <w:style w:type="character" w:customStyle="1" w:styleId="65">
    <w:name w:val="fontstyle01"/>
    <w:basedOn w:val="32"/>
    <w:autoRedefine/>
    <w:qFormat/>
    <w:uiPriority w:val="0"/>
    <w:rPr>
      <w:rFonts w:hint="eastAsia" w:ascii="仿宋_GB2312" w:eastAsia="仿宋_GB2312"/>
      <w:color w:val="000000"/>
      <w:sz w:val="18"/>
      <w:szCs w:val="18"/>
    </w:rPr>
  </w:style>
  <w:style w:type="paragraph" w:customStyle="1" w:styleId="66">
    <w:name w:val="列出段落1"/>
    <w:basedOn w:val="1"/>
    <w:autoRedefine/>
    <w:qFormat/>
    <w:uiPriority w:val="0"/>
    <w:pPr>
      <w:ind w:firstLine="420" w:firstLineChars="200"/>
    </w:pPr>
    <w:rPr>
      <w:szCs w:val="20"/>
    </w:rPr>
  </w:style>
  <w:style w:type="paragraph" w:customStyle="1" w:styleId="67">
    <w:name w:val="Revision"/>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8">
    <w:name w:val="表格标题行"/>
    <w:basedOn w:val="1"/>
    <w:link w:val="69"/>
    <w:autoRedefine/>
    <w:qFormat/>
    <w:uiPriority w:val="0"/>
    <w:pPr>
      <w:adjustRightInd w:val="0"/>
      <w:snapToGrid w:val="0"/>
      <w:ind w:left="-50" w:leftChars="-50" w:right="-50" w:rightChars="-50"/>
      <w:jc w:val="center"/>
    </w:pPr>
    <w:rPr>
      <w:rFonts w:ascii="Times New Roman" w:hAnsi="Times New Roman" w:eastAsia="黑体" w:cs="Times New Roman"/>
      <w:bCs/>
      <w:sz w:val="24"/>
      <w:szCs w:val="24"/>
    </w:rPr>
  </w:style>
  <w:style w:type="character" w:customStyle="1" w:styleId="69">
    <w:name w:val="表格标题行 字符"/>
    <w:basedOn w:val="32"/>
    <w:link w:val="68"/>
    <w:autoRedefine/>
    <w:qFormat/>
    <w:uiPriority w:val="0"/>
    <w:rPr>
      <w:rFonts w:ascii="Times New Roman" w:hAnsi="Times New Roman" w:eastAsia="黑体" w:cs="Times New Roman"/>
      <w:bCs/>
      <w:sz w:val="24"/>
      <w:szCs w:val="24"/>
    </w:rPr>
  </w:style>
  <w:style w:type="paragraph" w:customStyle="1" w:styleId="70">
    <w:name w:val="表格内容"/>
    <w:basedOn w:val="1"/>
    <w:next w:val="1"/>
    <w:autoRedefine/>
    <w:qFormat/>
    <w:uiPriority w:val="0"/>
    <w:pPr>
      <w:adjustRightInd w:val="0"/>
      <w:snapToGrid w:val="0"/>
      <w:ind w:left="-50" w:leftChars="-50" w:right="-50" w:rightChars="-50"/>
      <w:jc w:val="center"/>
    </w:pPr>
    <w:rPr>
      <w:rFonts w:ascii="Times New Roman" w:hAnsi="Times New Roman" w:eastAsia="仿宋_GB2312" w:cs="Times New Roman"/>
      <w:kern w:val="0"/>
      <w:szCs w:val="20"/>
    </w:rPr>
  </w:style>
  <w:style w:type="paragraph" w:customStyle="1" w:styleId="71">
    <w:name w:val="Table Paragraph"/>
    <w:basedOn w:val="1"/>
    <w:autoRedefine/>
    <w:qFormat/>
    <w:uiPriority w:val="1"/>
    <w:rPr>
      <w:rFonts w:ascii="宋体" w:hAnsi="宋体" w:eastAsia="宋体" w:cs="宋体"/>
      <w:lang w:val="en-US" w:eastAsia="zh-CN" w:bidi="ar-SA"/>
    </w:rPr>
  </w:style>
  <w:style w:type="paragraph" w:customStyle="1" w:styleId="72">
    <w:name w:val="中大1"/>
    <w:autoRedefine/>
    <w:qFormat/>
    <w:uiPriority w:val="0"/>
    <w:pPr>
      <w:numPr>
        <w:ilvl w:val="0"/>
        <w:numId w:val="1"/>
      </w:numPr>
      <w:spacing w:before="163" w:beforeLines="50" w:after="163" w:afterLines="50" w:line="360" w:lineRule="auto"/>
      <w:jc w:val="center"/>
      <w:outlineLvl w:val="0"/>
    </w:pPr>
    <w:rPr>
      <w:rFonts w:ascii="Times New Roman" w:hAnsi="Times New Roman" w:eastAsia="黑体" w:cs="Times New Roman"/>
      <w:b/>
      <w:color w:val="000000" w:themeColor="text1"/>
      <w:kern w:val="2"/>
      <w:sz w:val="44"/>
      <w:szCs w:val="22"/>
      <w:lang w:val="en-US" w:eastAsia="zh-CN" w:bidi="ar-SA"/>
      <w14:textFill>
        <w14:solidFill>
          <w14:schemeClr w14:val="tx1"/>
        </w14:solidFill>
      </w14:textFill>
    </w:rPr>
  </w:style>
  <w:style w:type="character" w:customStyle="1" w:styleId="73">
    <w:name w:val="中大1 Char"/>
    <w:basedOn w:val="32"/>
    <w:autoRedefine/>
    <w:qFormat/>
    <w:uiPriority w:val="0"/>
    <w:rPr>
      <w:rFonts w:ascii="Times New Roman" w:hAnsi="Times New Roman" w:eastAsia="黑体" w:cs="Times New Roman"/>
      <w:b/>
      <w:color w:val="000000" w:themeColor="text1"/>
      <w:sz w:val="44"/>
      <w14:textFill>
        <w14:solidFill>
          <w14:schemeClr w14:val="tx1"/>
        </w14:solidFill>
      </w14:textFill>
    </w:rPr>
  </w:style>
  <w:style w:type="paragraph" w:customStyle="1" w:styleId="74">
    <w:name w:val="中大2"/>
    <w:autoRedefine/>
    <w:qFormat/>
    <w:uiPriority w:val="0"/>
    <w:pPr>
      <w:numPr>
        <w:ilvl w:val="1"/>
        <w:numId w:val="1"/>
      </w:numPr>
      <w:spacing w:beforeLines="50" w:afterLines="50" w:line="360" w:lineRule="auto"/>
      <w:outlineLvl w:val="1"/>
    </w:pPr>
    <w:rPr>
      <w:rFonts w:ascii="Times New Roman" w:hAnsi="Times New Roman" w:eastAsia="黑体" w:cs="Times New Roman"/>
      <w:b/>
      <w:color w:val="000000" w:themeColor="text1"/>
      <w:kern w:val="2"/>
      <w:sz w:val="32"/>
      <w:szCs w:val="22"/>
      <w:lang w:val="en-US" w:eastAsia="zh-CN" w:bidi="ar-SA"/>
      <w14:textFill>
        <w14:solidFill>
          <w14:schemeClr w14:val="tx1"/>
        </w14:solidFill>
      </w14:textFill>
    </w:rPr>
  </w:style>
  <w:style w:type="paragraph" w:customStyle="1" w:styleId="75">
    <w:name w:val="正文-洋浦"/>
    <w:basedOn w:val="1"/>
    <w:autoRedefine/>
    <w:qFormat/>
    <w:uiPriority w:val="0"/>
    <w:pPr>
      <w:spacing w:line="360" w:lineRule="auto"/>
      <w:ind w:firstLine="425" w:firstLineChars="177"/>
    </w:pPr>
    <w:rPr>
      <w:rFonts w:ascii="宋体" w:hAnsi="宋体" w:eastAsia="宋体"/>
      <w:sz w:val="24"/>
      <w:szCs w:val="28"/>
    </w:rPr>
  </w:style>
  <w:style w:type="character" w:customStyle="1" w:styleId="76">
    <w:name w:val="font21"/>
    <w:basedOn w:val="32"/>
    <w:autoRedefine/>
    <w:qFormat/>
    <w:uiPriority w:val="0"/>
    <w:rPr>
      <w:rFonts w:hint="eastAsia" w:ascii="宋体" w:hAnsi="宋体" w:eastAsia="宋体" w:cs="宋体"/>
      <w:b/>
      <w:bCs/>
      <w:color w:val="000000"/>
      <w:sz w:val="21"/>
      <w:szCs w:val="21"/>
      <w:u w:val="none"/>
    </w:rPr>
  </w:style>
  <w:style w:type="paragraph" w:customStyle="1" w:styleId="77">
    <w:name w:val="样式3"/>
    <w:basedOn w:val="78"/>
    <w:qFormat/>
    <w:uiPriority w:val="0"/>
    <w:pPr>
      <w:pBdr>
        <w:bottom w:val="thinThickSmallGap" w:color="auto" w:sz="18" w:space="1"/>
      </w:pBdr>
      <w:tabs>
        <w:tab w:val="center" w:pos="4153"/>
        <w:tab w:val="right" w:pos="8306"/>
      </w:tabs>
    </w:pPr>
  </w:style>
  <w:style w:type="paragraph" w:customStyle="1" w:styleId="78">
    <w:name w:val="样式2"/>
    <w:basedOn w:val="21"/>
    <w:link w:val="81"/>
    <w:qFormat/>
    <w:uiPriority w:val="0"/>
    <w:pPr>
      <w:pBdr>
        <w:bottom w:val="thickThinSmallGap" w:color="622423" w:sz="24" w:space="1"/>
      </w:pBdr>
      <w:jc w:val="right"/>
    </w:pPr>
    <w:rPr>
      <w:lang w:val="en-US" w:eastAsia="zh-CN"/>
    </w:rPr>
  </w:style>
  <w:style w:type="paragraph" w:customStyle="1" w:styleId="79">
    <w:name w:val="样式9"/>
    <w:basedOn w:val="80"/>
    <w:qFormat/>
    <w:uiPriority w:val="0"/>
    <w:pPr>
      <w:pBdr>
        <w:top w:val="none" w:color="auto" w:sz="0" w:space="0"/>
      </w:pBdr>
      <w:tabs>
        <w:tab w:val="center" w:pos="4153"/>
        <w:tab w:val="right" w:pos="8306"/>
        <w:tab w:val="right" w:pos="9072"/>
      </w:tabs>
    </w:pPr>
    <w:rPr>
      <w:lang w:eastAsia="zh-CN"/>
    </w:rPr>
  </w:style>
  <w:style w:type="paragraph" w:customStyle="1" w:styleId="80">
    <w:name w:val="样式5"/>
    <w:basedOn w:val="20"/>
    <w:qFormat/>
    <w:uiPriority w:val="0"/>
    <w:pPr>
      <w:pBdr>
        <w:top w:val="thinThickSmallGap" w:color="auto" w:sz="24" w:space="1"/>
      </w:pBdr>
      <w:tabs>
        <w:tab w:val="right" w:pos="9072"/>
      </w:tabs>
    </w:pPr>
    <w:rPr>
      <w:rFonts w:ascii="Cambria" w:hAnsi="Cambria"/>
      <w:lang w:val="zh-CN"/>
    </w:rPr>
  </w:style>
  <w:style w:type="character" w:customStyle="1" w:styleId="81">
    <w:name w:val="样式2 Char"/>
    <w:basedOn w:val="82"/>
    <w:link w:val="78"/>
    <w:qFormat/>
    <w:uiPriority w:val="0"/>
    <w:rPr>
      <w:lang w:val="en-US" w:eastAsia="zh-CN"/>
    </w:rPr>
  </w:style>
  <w:style w:type="character" w:customStyle="1" w:styleId="82">
    <w:name w:val="页眉 Char"/>
    <w:link w:val="21"/>
    <w:qFormat/>
    <w:uiPriority w:val="99"/>
    <w:rPr>
      <w:kern w:val="2"/>
      <w:sz w:val="18"/>
      <w:szCs w:val="18"/>
    </w:rPr>
  </w:style>
  <w:style w:type="paragraph" w:customStyle="1" w:styleId="83">
    <w:name w:val="样式8"/>
    <w:basedOn w:val="84"/>
    <w:qFormat/>
    <w:uiPriority w:val="0"/>
    <w:pPr>
      <w:pBdr>
        <w:top w:val="none" w:color="auto" w:sz="0" w:space="0"/>
      </w:pBdr>
      <w:tabs>
        <w:tab w:val="center" w:pos="4153"/>
        <w:tab w:val="right" w:pos="8306"/>
        <w:tab w:val="right" w:pos="9072"/>
      </w:tabs>
    </w:pPr>
    <w:rPr>
      <w:lang w:eastAsia="zh-CN"/>
    </w:rPr>
  </w:style>
  <w:style w:type="paragraph" w:customStyle="1" w:styleId="84">
    <w:name w:val="样式7"/>
    <w:basedOn w:val="20"/>
    <w:qFormat/>
    <w:uiPriority w:val="0"/>
    <w:pPr>
      <w:pBdr>
        <w:top w:val="thinThickSmallGap" w:color="auto" w:sz="24" w:space="1"/>
      </w:pBdr>
      <w:tabs>
        <w:tab w:val="right" w:pos="9072"/>
      </w:tabs>
    </w:pPr>
    <w:rPr>
      <w:rFonts w:ascii="Cambria" w:hAnsi="Cambria"/>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SCIES</Company>
  <Pages>116</Pages>
  <Words>49120</Words>
  <Characters>51087</Characters>
  <Lines>392</Lines>
  <Paragraphs>110</Paragraphs>
  <TotalTime>4</TotalTime>
  <ScaleCrop>false</ScaleCrop>
  <LinksUpToDate>false</LinksUpToDate>
  <CharactersWithSpaces>51746</CharactersWithSpaces>
  <Application>WPS Office_12.8.2.1118_F1E327BC-269C-435d-A152-05C5408002CA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2022-05-07T10:07:00Z</dcterms:created>
  <dc:creator>项赟</dc:creator>
  <cp:lastModifiedBy>卢殷烨</cp:lastModifiedBy>
  <cp:lastPrinted>2025-07-22T15:27:48Z</cp:lastPrinted>
  <dcterms:modified xsi:type="dcterms:W3CDTF">2025-07-22T15:29:25Z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2052-12.8.2.1118</vt:lpwstr>
  </property>
  <property fmtid="{D5CDD505-2E9C-101B-9397-08002B2CF9AE}" pid="3" name="ICV">
    <vt:lpwstr>D5E3AAA34ADC45E689A9784F12DF75D4_13</vt:lpwstr>
  </property>
  <property fmtid="{D5CDD505-2E9C-101B-9397-08002B2CF9AE}" pid="4" name="KSOTemplateDocerSaveRecord">
    <vt:lpwstr>eyJoZGlkIjoiNGNiNWFkMzY3ZWNlZjE0OWNiZDFmN2UyOTczYjhhMjYiLCJ1c2VySWQiOiI1NTMzMjA3MDcifQ==</vt:lpwstr>
  </property>
</Properties>
</file>