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东莞市医疗保障两定机构信息化事项要求</w:t>
      </w:r>
    </w:p>
    <w:p>
      <w:pPr>
        <w:pStyle w:val="7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一、医药机构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HIS</w:t>
      </w:r>
      <w:r>
        <w:rPr>
          <w:rFonts w:hint="eastAsia" w:ascii="仿宋_GB2312" w:eastAsia="仿宋_GB2312"/>
          <w:sz w:val="32"/>
          <w:szCs w:val="32"/>
        </w:rPr>
        <w:t>系统需具备与国家医保信息平台对接的功能。</w:t>
      </w:r>
    </w:p>
    <w:p>
      <w:pPr>
        <w:pStyle w:val="7"/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二、医药机构需与相关网络运营商签订网络接入合同，通过省医保专线使HIS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eastAsia="仿宋_GB2312"/>
          <w:sz w:val="32"/>
          <w:szCs w:val="32"/>
        </w:rPr>
        <w:t>接入国家医保信息平台，网络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按要求设置，</w:t>
      </w:r>
      <w:r>
        <w:rPr>
          <w:rFonts w:hint="eastAsia" w:ascii="仿宋_GB2312" w:eastAsia="仿宋_GB2312"/>
          <w:sz w:val="32"/>
          <w:szCs w:val="32"/>
        </w:rPr>
        <w:t>能正常接通（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ping 10.97.240.206、10.146.49.87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10.97.145.148、10.97.145.149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应符合专网专用原则，</w:t>
      </w:r>
      <w:r>
        <w:rPr>
          <w:rFonts w:hint="eastAsia" w:ascii="仿宋_GB2312" w:eastAsia="仿宋_GB2312"/>
          <w:sz w:val="32"/>
          <w:szCs w:val="32"/>
          <w:lang w:eastAsia="zh-CN"/>
        </w:rPr>
        <w:t>严禁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医保</w:t>
      </w:r>
      <w:r>
        <w:rPr>
          <w:rFonts w:hint="eastAsia" w:ascii="仿宋_GB2312" w:eastAsia="仿宋_GB2312"/>
          <w:sz w:val="32"/>
          <w:szCs w:val="32"/>
          <w:lang w:eastAsia="zh-CN"/>
        </w:rPr>
        <w:t>专线中的各项设备与互联网连接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7"/>
        <w:spacing w:line="240" w:lineRule="auto"/>
        <w:ind w:firstLine="0"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（网络业务咨询方式：中国电信：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13377699880</w:t>
      </w:r>
      <w:r>
        <w:rPr>
          <w:rFonts w:hint="eastAsia" w:ascii="仿宋_GB2312" w:hAnsi="仿宋_GB2312" w:eastAsia="仿宋_GB2312" w:cs="仿宋_GB2312"/>
          <w:sz w:val="32"/>
          <w:szCs w:val="32"/>
        </w:rPr>
        <w:t>，中国移动：刘贤芸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13922991309</w:t>
      </w:r>
      <w:r>
        <w:rPr>
          <w:rFonts w:hint="eastAsia" w:ascii="仿宋_GB2312" w:hAnsi="仿宋_GB2312" w:eastAsia="仿宋_GB2312" w:cs="仿宋_GB2312"/>
          <w:sz w:val="32"/>
          <w:szCs w:val="32"/>
        </w:rPr>
        <w:t>，广电：魏建文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13686010111</w:t>
      </w:r>
      <w:r>
        <w:rPr>
          <w:rFonts w:hint="eastAsia" w:ascii="仿宋_GB2312" w:hAnsi="仿宋_GB2312" w:eastAsia="仿宋_GB2312" w:cs="仿宋_GB2312"/>
          <w:sz w:val="32"/>
          <w:szCs w:val="32"/>
        </w:rPr>
        <w:t> ，中国联通：唐毅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18507692548</w:t>
      </w:r>
      <w:r>
        <w:rPr>
          <w:rFonts w:hint="eastAsia" w:ascii="仿宋_GB2312" w:eastAsia="仿宋_GB2312"/>
          <w:sz w:val="36"/>
          <w:szCs w:val="36"/>
        </w:rPr>
        <w:t>）</w:t>
      </w:r>
    </w:p>
    <w:p>
      <w:pPr>
        <w:pStyle w:val="7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三、医药机构需配备读卡设备，能读取身份证、医保电子凭证二维码、二代、三代社保卡等。</w:t>
      </w:r>
    </w:p>
    <w:p>
      <w:pPr>
        <w:pStyle w:val="7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四、医药机构需在国家医保信息业务编码标准数据库动态维护网站（网址：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https://code.nhsa.gov.cn/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申请医保机构代码。需配置专人负责本机构基础信息及医保基础信息、医保医师、医保护士、医保药师等相关人员信息的登记、变更管理和维护。具体操作指引另文通知。</w:t>
      </w:r>
    </w:p>
    <w:p>
      <w:pPr>
        <w:pStyle w:val="7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医药机构需完成相关收费项目与药品、医用耗材和诊疗项目等三大目录进行匹配（零售药店只需完成药品、医用耗材目录匹配），在结算时实时传送结算明细。需配置专人负责本机构收费项目与三大目录的日常调整、变更管理及维护。</w:t>
      </w:r>
    </w:p>
    <w:p>
      <w:pPr>
        <w:pStyle w:val="7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六、属医疗机构的还需完成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ICD</w:t>
      </w:r>
      <w:r>
        <w:rPr>
          <w:rFonts w:hint="eastAsia" w:ascii="仿宋_GB2312" w:eastAsia="仿宋_GB2312"/>
          <w:sz w:val="32"/>
          <w:szCs w:val="32"/>
        </w:rPr>
        <w:t>编码的</w:t>
      </w:r>
      <w:r>
        <w:rPr>
          <w:rFonts w:hint="eastAsia" w:ascii="仿宋_GB2312" w:hAnsi="仿宋" w:eastAsia="仿宋_GB2312" w:cs="仿宋"/>
          <w:sz w:val="32"/>
          <w:szCs w:val="32"/>
        </w:rPr>
        <w:t>导入工作，参保人就诊时需把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ICD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编码上传至国家医保信息平台。</w:t>
      </w:r>
      <w:r>
        <w:rPr>
          <w:rFonts w:hint="eastAsia" w:ascii="仿宋_GB2312" w:eastAsia="仿宋_GB2312"/>
          <w:sz w:val="32"/>
          <w:szCs w:val="32"/>
        </w:rPr>
        <w:t>涉及住院和门诊特定病种结算的医疗机构，还需进行《医疗保障基金结算清单》改造和优化。</w:t>
      </w:r>
    </w:p>
    <w:p>
      <w:pPr>
        <w:pStyle w:val="7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七、需完成相关接口的改造，相关改造标准附后。</w:t>
      </w: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7"/>
        <w:spacing w:line="600" w:lineRule="exact"/>
        <w:ind w:left="640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使用医保个账的零售药店接口改造要求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一、使用医保个账的药店</w:t>
      </w:r>
      <w:r>
        <w:rPr>
          <w:rFonts w:hint="eastAsia" w:ascii="仿宋_GB2312" w:hAnsi="仿宋" w:eastAsia="仿宋_GB2312" w:cs="仿宋"/>
          <w:sz w:val="32"/>
          <w:szCs w:val="32"/>
        </w:rPr>
        <w:t>需实现的接口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9001-签到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1101-人员信息获取--【需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能</w:t>
      </w:r>
      <w:r>
        <w:rPr>
          <w:rFonts w:hint="eastAsia" w:ascii="仿宋_GB2312" w:hAnsi="仿宋" w:eastAsia="仿宋_GB2312" w:cs="仿宋"/>
          <w:sz w:val="32"/>
          <w:szCs w:val="32"/>
        </w:rPr>
        <w:t>通过6101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接口</w:t>
      </w:r>
      <w:r>
        <w:rPr>
          <w:rFonts w:hint="eastAsia" w:ascii="仿宋_GB2312" w:hAnsi="仿宋" w:eastAsia="仿宋_GB2312" w:cs="仿宋"/>
          <w:sz w:val="32"/>
          <w:szCs w:val="32"/>
        </w:rPr>
        <w:t>解码获取身份核验令牌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"/>
          <w:sz w:val="32"/>
          <w:szCs w:val="32"/>
        </w:rPr>
        <w:t>ectoken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实现就诊凭证类型01-医保电子凭证 获取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能正常读取港澳台、非大陆证件证件类型</w:t>
      </w:r>
      <w:r>
        <w:rPr>
          <w:rFonts w:hint="eastAsia" w:ascii="仿宋_GB2312" w:hAnsi="仿宋" w:eastAsia="仿宋_GB2312" w:cs="仿宋"/>
          <w:sz w:val="32"/>
          <w:szCs w:val="32"/>
        </w:rPr>
        <w:t>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2101-药店预结算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2102-药店结算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--【需</w:t>
      </w:r>
      <w:r>
        <w:rPr>
          <w:rFonts w:hint="eastAsia" w:ascii="仿宋_GB2312" w:hAnsi="仿宋" w:eastAsia="仿宋_GB2312" w:cs="仿宋"/>
          <w:sz w:val="32"/>
          <w:szCs w:val="32"/>
        </w:rPr>
        <w:t>上传追溯码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完成至少1笔身份证读卡结算和1笔医保电子凭证全流程结算，提供结算ID和结算过程录屏验收】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结算接口入参：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mdtrt_cert_type-就诊凭证类型：01-医保电子凭证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mdtrt_cert_no-就诊凭证编号：传身份核验令牌 （ectoken），具体指引参考《关于推进医保电子凭证全流程应用有关事项的通知》，《国家医保电子凭证业务标准动态库交互规范》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2103-药店结算撤销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--【提供界面截图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并正常办理，后台</w:t>
      </w:r>
      <w:r>
        <w:rPr>
          <w:rFonts w:hint="eastAsia" w:ascii="仿宋_GB2312" w:hAnsi="仿宋" w:eastAsia="仿宋_GB2312" w:cs="仿宋"/>
          <w:sz w:val="32"/>
          <w:szCs w:val="32"/>
        </w:rPr>
        <w:t>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5203-结算信息查询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5204-费用明细查询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5201-就诊信息查询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追溯码上传相关接口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3505-商品销售、3505A-商品销售A --【提供界面截图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后台查验上传数据验收】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3506-商品销售退货、3506A-商品销售退货A--【提供界面截图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后台查验上传数据验收】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3513-销售药品追溯信息查询--【提供界面截图验收】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事前事中明细审核相关接口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3101-明细审核事前分析服务--【提供使用日志】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3102-明细审核事中分析服务--【提供使用日志】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3103-事前事中服务反馈服务--【提供使用日志】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月结对账相关接口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9101-文件上传、9102-文件下载、3201-医药机构费用结算对总账、3202-医药机构费用结算对明细账--【完成对账，提供界面截图验收】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90502-月结对数查询--【查出数据提供界面截图验收】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90504-月结信息查询（东莞）--【提供界面截图验收】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跨省异地清分相关接口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提取异地清分明细、3261-异地清分结果确认、3262-异地清分结果确认回退、2601-冲正交易--【提供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功能</w:t>
      </w:r>
      <w:r>
        <w:rPr>
          <w:rFonts w:hint="eastAsia" w:ascii="仿宋_GB2312" w:hAnsi="仿宋" w:eastAsia="仿宋_GB2312" w:cs="仿宋"/>
          <w:sz w:val="32"/>
          <w:szCs w:val="32"/>
        </w:rPr>
        <w:t>界面截图验收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即可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】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其他（如存在医疗类别14-门诊慢特病服务范畴还需实现）：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90104-门慢门特登记查询(东莞)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5301-人员慢特病备案查询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5302-人员定点信息查询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-- 线下医保电子处方相关接口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CFYYJG111-获取电子处方访问令牌--【提供使用日志】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CFYYJG101-电子处方线下流转授权（线下）--【提供使用日志】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CFYYJG104-电子处方下载--【提供使用日志】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CFYYJG105-电子处方信息核验--【提供使用日志】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CFYYJG106-电子处方药师审方信息上传--【提供使用日志】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CFYYJG107-药品销售出库明细上传--【提供使用日志】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CFYYJG108-药品销售出库明细撤销--【提供使用日志】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CFYYJG109-药品配送信息同步--【提供使用日志】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CFYYJG110-药品配送签收确认--【提供使用日志】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YDZF102-在线库存上传--【提供使用日志】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二、注意事项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（一）调用2102-药店结算接口，字段固定值：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med_type-医疗类别：41-定点药店购药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mdtrtarea_admvs-就医地医保区划：441900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spacing w:line="600" w:lineRule="exact"/>
        <w:ind w:left="638" w:leftChars="304" w:firstLine="0" w:firstLineChars="0"/>
        <w:rPr>
          <w:rFonts w:hint="default" w:ascii="仿宋_GB2312" w:hAnsi="仿宋" w:eastAsia="仿宋_GB2312" w:cs="仿宋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sz w:val="32"/>
          <w:szCs w:val="32"/>
        </w:rPr>
        <w:t>dise_codg-病种编码、dise_name-病种名称 可以为空。</w:t>
      </w: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>insutype-险种类型：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{</w:t>
      </w:r>
      <w:r>
        <w:rPr>
          <w:rFonts w:hint="eastAsia" w:ascii="仿宋_GB2312" w:hAnsi="仿宋" w:eastAsia="仿宋_GB2312" w:cs="仿宋"/>
          <w:sz w:val="32"/>
          <w:szCs w:val="32"/>
        </w:rPr>
        <w:t>310-职工基本医疗保险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,390-城乡居民医疗保险}，根据1101获取，优先获取参保状态是正常参保险种。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acct_used_flag-个人账户使用标志，咨询参保人是否使用个账，{0-不使用，1-使用}。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当选择使用个账时，</w:t>
      </w:r>
      <w:r>
        <w:rPr>
          <w:rFonts w:hint="eastAsia" w:ascii="仿宋_GB2312" w:hAnsi="仿宋" w:eastAsia="仿宋_GB2312" w:cs="仿宋"/>
          <w:sz w:val="32"/>
          <w:szCs w:val="32"/>
        </w:rPr>
        <w:t>并且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结算接口出参</w:t>
      </w:r>
      <w:r>
        <w:rPr>
          <w:rFonts w:hint="eastAsia" w:ascii="仿宋_GB2312" w:hAnsi="仿宋" w:eastAsia="仿宋_GB2312" w:cs="仿宋"/>
          <w:sz w:val="32"/>
          <w:szCs w:val="32"/>
        </w:rPr>
        <w:t>【acct_pay-个人账户支出】非0时，说明已通过接口直接扣除个账，无需再刷POS机，避免重复扣参保人个账！药店收费系统按条件进行判定并进行系统界面提醒！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【3201-医药机构费用结算对总账】、【3202-医药机构费用结算对明细账】接口的字段“clr_type-清算类别”，药店使用说明：本市参保人结算数据使用“41-药店购药”；省内异地参保人结算数据使用“9904-省内异地药店购药”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【1101】人员信息获取接口返回的“insuplc_admdvs-参保地医保区划”出参，进行判断参保人是：本市（4419开头）、省内异地（44开头且非4419）、跨省异地（非44开头），当存在多个地市参保信息时，需咨询参保人使用哪个地市进行医保结算，对应【2101】药店预结算、【2102】药店结算的参保地医保区划入参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如果</w:t>
      </w:r>
      <w:r>
        <w:rPr>
          <w:rFonts w:hint="eastAsia" w:ascii="仿宋_GB2312" w:hAnsi="仿宋" w:eastAsia="仿宋_GB2312" w:cs="仿宋"/>
          <w:sz w:val="32"/>
          <w:szCs w:val="32"/>
        </w:rPr>
        <w:t>pos机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刷</w:t>
      </w:r>
      <w:r>
        <w:rPr>
          <w:rFonts w:hint="eastAsia" w:ascii="仿宋_GB2312" w:hAnsi="仿宋" w:eastAsia="仿宋_GB2312" w:cs="仿宋"/>
          <w:sz w:val="32"/>
          <w:szCs w:val="32"/>
        </w:rPr>
        <w:t>医疗个人账户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扣费能成功的，而且是</w:t>
      </w:r>
      <w:r>
        <w:rPr>
          <w:rFonts w:hint="eastAsia" w:ascii="仿宋_GB2312" w:hAnsi="仿宋" w:eastAsia="仿宋_GB2312" w:cs="仿宋"/>
          <w:sz w:val="32"/>
          <w:szCs w:val="32"/>
        </w:rPr>
        <w:t>在东莞没有参保过的非东莞参保人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如果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2102-药店结算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接口提示错误的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请咨询参保人参保地相关政策，是否允许使用，是否需要上传接口数据，或是否可以</w:t>
      </w:r>
      <w:r>
        <w:rPr>
          <w:rFonts w:hint="eastAsia" w:ascii="仿宋_GB2312" w:hAnsi="仿宋" w:eastAsia="仿宋_GB2312" w:cs="仿宋"/>
          <w:sz w:val="32"/>
          <w:szCs w:val="32"/>
        </w:rPr>
        <w:t>直接刷pos机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扣费无需调接口上传数据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三、通过国家医保信息平台省技术团队的技术人员的验收。</w:t>
      </w:r>
    </w:p>
    <w:p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使用医保个账的独立门诊部接口改造要求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一、只使用医保个账的独立门诊部</w:t>
      </w:r>
      <w:r>
        <w:rPr>
          <w:rFonts w:hint="eastAsia" w:ascii="仿宋_GB2312" w:hAnsi="仿宋" w:eastAsia="仿宋_GB2312" w:cs="仿宋"/>
          <w:sz w:val="32"/>
          <w:szCs w:val="32"/>
        </w:rPr>
        <w:t>需实现的接口：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9001-签到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1101-人员信息获取--【需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能</w:t>
      </w:r>
      <w:r>
        <w:rPr>
          <w:rFonts w:hint="eastAsia" w:ascii="仿宋_GB2312" w:hAnsi="仿宋" w:eastAsia="仿宋_GB2312" w:cs="仿宋"/>
          <w:sz w:val="32"/>
          <w:szCs w:val="32"/>
        </w:rPr>
        <w:t>通过6101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接口</w:t>
      </w:r>
      <w:r>
        <w:rPr>
          <w:rFonts w:hint="eastAsia" w:ascii="仿宋_GB2312" w:hAnsi="仿宋" w:eastAsia="仿宋_GB2312" w:cs="仿宋"/>
          <w:sz w:val="32"/>
          <w:szCs w:val="32"/>
        </w:rPr>
        <w:t>解码获取身份核验令牌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"/>
          <w:sz w:val="32"/>
          <w:szCs w:val="32"/>
        </w:rPr>
        <w:t>ectoken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实现就诊凭证类型01-医保电子凭证 获取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能正常读取港澳台、非大陆证件证件类型</w:t>
      </w:r>
      <w:r>
        <w:rPr>
          <w:rFonts w:hint="eastAsia" w:ascii="仿宋_GB2312" w:hAnsi="仿宋" w:eastAsia="仿宋_GB2312" w:cs="仿宋"/>
          <w:sz w:val="32"/>
          <w:szCs w:val="32"/>
        </w:rPr>
        <w:t>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2201-门诊挂号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2203-门诊就诊信息上传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2204-门诊费用明细信息上传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2206-门诊预结算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2207-门诊结算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--【完成至少1笔身份证读卡结算和1笔医保电子凭证全流程结算，提供结算ID和结算过程录屏验收】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结算接口入参：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mdtrt_cert_type-就诊凭证类型：01-医保电子凭证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mdtrt_cert_no-就诊凭证编号：传身份核验令牌 （ectoken），具体指引参考《关于推进医保电子凭证全流程应用有关事项的通知》，《国家医保电子凭证业务标准动态库交互规范》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2208-门诊结算撤销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2205-门诊费用明细信息撤销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2202-门诊挂号撤销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--【提供界面截图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并正常办理，后台</w:t>
      </w:r>
      <w:r>
        <w:rPr>
          <w:rFonts w:hint="eastAsia" w:ascii="仿宋_GB2312" w:hAnsi="仿宋" w:eastAsia="仿宋_GB2312" w:cs="仿宋"/>
          <w:sz w:val="32"/>
          <w:szCs w:val="32"/>
        </w:rPr>
        <w:t>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5203-结算信息查询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5204-费用明细查询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5201-就诊信息查询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追溯码上传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相关</w:t>
      </w:r>
      <w:r>
        <w:rPr>
          <w:rFonts w:hint="eastAsia" w:ascii="仿宋_GB2312" w:hAnsi="仿宋" w:eastAsia="仿宋_GB2312" w:cs="仿宋"/>
          <w:sz w:val="32"/>
          <w:szCs w:val="32"/>
        </w:rPr>
        <w:t>接口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: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3505-商品销售、3505A-商品销售A --【提供界面截图验收；后台查验上传数据】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3506-商品销售退货、3506A-商品销售退货A--【提供界面截图验收；后台查验上传数据】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3501-商品盘存上传、3501A-商品盘存上传A--【提供界面截图验收；后台查验上传数据】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3502-商品库存变更、3502A-商品库存变更A--【提供界面截图验收】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3513-销售药品追溯信息查询--【提供界面截图验收】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3512-入库药品追溯信息查询--【提供界面截图验收】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事前事中明细审核相关接口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3101-明细审核事前分析服务--【提供使用日志】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3102-明细审核事中分析服务--【提供使用日志】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3103-事前事中服务反馈服务--【提供使用日志】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月结对账相关接口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9101-文件上传、9102-文件下载、3201-医药机构费用结算对总账、3202-医药机构费用结算对明细账--【完成对账，提供界面截图验收】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90502-月结对数查询--【查出数据提供界面截图验收】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90504-月结信息查询（东莞）--【提供界面截图验收】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跨省异地清分相关接口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提取异地清分明细、3261-异地清分结果确认、3262-异地清分结果确认回退、2601-冲正交易--【提供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功能</w:t>
      </w:r>
      <w:r>
        <w:rPr>
          <w:rFonts w:hint="eastAsia" w:ascii="仿宋_GB2312" w:hAnsi="仿宋" w:eastAsia="仿宋_GB2312" w:cs="仿宋"/>
          <w:sz w:val="32"/>
          <w:szCs w:val="32"/>
        </w:rPr>
        <w:t>界面截图验收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即可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】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二、注意事项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接口</w:t>
      </w:r>
      <w:r>
        <w:rPr>
          <w:rFonts w:hint="eastAsia" w:ascii="仿宋_GB2312" w:hAnsi="仿宋" w:eastAsia="仿宋_GB2312" w:cs="仿宋"/>
          <w:sz w:val="32"/>
          <w:szCs w:val="32"/>
        </w:rPr>
        <w:t>，字段固定值：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med_type-医疗类别：9935-独立门诊部个人账户支付，mdtrtarea_admvs-就医地医保区划：441900，psn_setlway-个人结算方式：01-按项目结算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spacing w:line="600" w:lineRule="exact"/>
        <w:ind w:left="638" w:leftChars="304" w:firstLine="0" w:firstLineChars="0"/>
        <w:rPr>
          <w:rFonts w:hint="default" w:ascii="仿宋_GB2312" w:hAnsi="仿宋" w:eastAsia="仿宋_GB2312" w:cs="仿宋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sz w:val="32"/>
          <w:szCs w:val="32"/>
        </w:rPr>
        <w:t>dise_codg-病种编码、dise_name-病种名称 可以为空。</w:t>
      </w: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>insutype-险种类型：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{</w:t>
      </w:r>
      <w:r>
        <w:rPr>
          <w:rFonts w:hint="eastAsia" w:ascii="仿宋_GB2312" w:hAnsi="仿宋" w:eastAsia="仿宋_GB2312" w:cs="仿宋"/>
          <w:sz w:val="32"/>
          <w:szCs w:val="32"/>
        </w:rPr>
        <w:t>310-职工基本医疗保险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,390-城乡居民医疗保险}，根据1101获取，优先获取参保状态是正常参保险种。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acct_used_flag-个人账户使用标志，咨询参保人是否使用个账，{0-不使用，1-使用}。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当选择使用个账时，</w:t>
      </w:r>
      <w:r>
        <w:rPr>
          <w:rFonts w:hint="eastAsia" w:ascii="仿宋_GB2312" w:hAnsi="仿宋" w:eastAsia="仿宋_GB2312" w:cs="仿宋"/>
          <w:sz w:val="32"/>
          <w:szCs w:val="32"/>
        </w:rPr>
        <w:t>并且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结算接口出参</w:t>
      </w:r>
      <w:r>
        <w:rPr>
          <w:rFonts w:hint="eastAsia" w:ascii="仿宋_GB2312" w:hAnsi="仿宋" w:eastAsia="仿宋_GB2312" w:cs="仿宋"/>
          <w:sz w:val="32"/>
          <w:szCs w:val="32"/>
        </w:rPr>
        <w:t>【acct_pay-个人账户支出】非0时，说明已通过接口直接扣除个账，无需再刷POS机，避免重复扣参保人个账！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机构</w:t>
      </w:r>
      <w:r>
        <w:rPr>
          <w:rFonts w:hint="eastAsia" w:ascii="仿宋_GB2312" w:hAnsi="仿宋" w:eastAsia="仿宋_GB2312" w:cs="仿宋"/>
          <w:sz w:val="32"/>
          <w:szCs w:val="32"/>
        </w:rPr>
        <w:t>收费系统按条件进行判定并进行系统界面提醒！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【3201-医药机构费用结算对总账】、【3202-医药机构费用结算对明细账】接口的字段“clr_type-清算类别”，使用说明：本市参保人结算数据使用“11-门诊”；省内异地参保人结算数据使用“9903-省内异地门诊”。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【1101】人员信息获取接口返回的“insuplc_admdvs-参保地医保区划”出参，进行判断参保人是：本市（4419开头）、省内异地（44开头且非4419）、跨省异地（非44开头），当存在多个地市参保信息时，需咨询参保人使用哪个地市进行医保结算，作为接口的参保地医保区划入参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如果</w:t>
      </w:r>
      <w:r>
        <w:rPr>
          <w:rFonts w:hint="eastAsia" w:ascii="仿宋_GB2312" w:hAnsi="仿宋" w:eastAsia="仿宋_GB2312" w:cs="仿宋"/>
          <w:sz w:val="32"/>
          <w:szCs w:val="32"/>
        </w:rPr>
        <w:t>pos机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刷</w:t>
      </w:r>
      <w:r>
        <w:rPr>
          <w:rFonts w:hint="eastAsia" w:ascii="仿宋_GB2312" w:hAnsi="仿宋" w:eastAsia="仿宋_GB2312" w:cs="仿宋"/>
          <w:sz w:val="32"/>
          <w:szCs w:val="32"/>
        </w:rPr>
        <w:t>医疗个人账户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扣费能成功的，而且是</w:t>
      </w:r>
      <w:r>
        <w:rPr>
          <w:rFonts w:hint="eastAsia" w:ascii="仿宋_GB2312" w:hAnsi="仿宋" w:eastAsia="仿宋_GB2312" w:cs="仿宋"/>
          <w:sz w:val="32"/>
          <w:szCs w:val="32"/>
        </w:rPr>
        <w:t>在东莞没有参保过的非东莞参保人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如果结算接口提示错误的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请咨询参保人参保地相关政策，是否允许使用，是否需要上传接口数据，或是否可以</w:t>
      </w:r>
      <w:r>
        <w:rPr>
          <w:rFonts w:hint="eastAsia" w:ascii="仿宋_GB2312" w:hAnsi="仿宋" w:eastAsia="仿宋_GB2312" w:cs="仿宋"/>
          <w:sz w:val="32"/>
          <w:szCs w:val="32"/>
        </w:rPr>
        <w:t>直接刷pos机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扣费无需调接口上传数据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三、下载相应医保版编码和医保版名称文件。要求HIS开发商做好诊断数据导入。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四、通过国家医保信息平台省技术团队的技术人员的验收。</w:t>
      </w: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spacing w:line="600" w:lineRule="exact"/>
        <w:ind w:left="640" w:firstLine="0" w:firstLineChars="0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使用医保统筹基金支付的医疗机构接口改造要求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根据医疗机构服务范畴，需对应实现国家医保平台接口：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查询接口：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5203-结算信息查询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5204-费用明细查询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5201-就诊信息查询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、5202-诊断信息查询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90100-人员近一年缴费明细查询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1201-医药机构信息获取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1901-字典表查询 --【提供界面查询截图验收】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追溯码上传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相关</w:t>
      </w:r>
      <w:r>
        <w:rPr>
          <w:rFonts w:hint="eastAsia" w:ascii="仿宋_GB2312" w:hAnsi="仿宋" w:eastAsia="仿宋_GB2312" w:cs="仿宋"/>
          <w:sz w:val="32"/>
          <w:szCs w:val="32"/>
        </w:rPr>
        <w:t>接口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: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3505-商品销售、3505A-商品销售A --【提供界面截图验收；后台查验上传数据】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3506-商品销售退货、3506A-商品销售退货A--【提供界面截图验收；后台查验上传数据】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3501-商品盘存上传、3501A-商品盘存上传A--【提供界面截图验收；后台查验上传数据】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3502-商品库存变更、3502A-商品库存变更A--【提供界面截图验收】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3513-销售药品追溯信息查询--【提供界面截图验收】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3512-入库药品追溯信息查询--【提供界面截图验收】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事前事中明细审核相关接口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3101-明细审核事前分析服务--【提供使用日志】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3102-明细审核事中分析服务--【提供使用日志】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3103-事前事中服务反馈服务--【提供使用日志】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月结对账相关接口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文件上传、9102-文件下载、3201-医药机构费用结算对总账、3202-医药机构费用结算对明细账--【完成对账，提供界面截图验收】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4101A-医疗保障基金结算清单信息上传、90306-撤销结算清单信息、4103-医疗保障基金结算清单详细信息查询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90502-月结对数查询--【查出数据提供界面截图验收】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90504-月结信息查询（东莞）--【提供界面截图验收】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跨省异地清分相关接口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spacing w:line="600" w:lineRule="exact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提取异地清分明细、3261-异地清分结果确认、3262-异地清分结果确认回退、2601-冲正交易--【提供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功能</w:t>
      </w:r>
      <w:r>
        <w:rPr>
          <w:rFonts w:hint="eastAsia" w:ascii="仿宋_GB2312" w:hAnsi="仿宋" w:eastAsia="仿宋_GB2312" w:cs="仿宋"/>
          <w:sz w:val="32"/>
          <w:szCs w:val="32"/>
        </w:rPr>
        <w:t>界面截图验收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即可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】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(一</w:t>
      </w:r>
      <w:r>
        <w:rPr>
          <w:rFonts w:ascii="仿宋_GB2312" w:hAnsi="仿宋" w:eastAsia="仿宋_GB2312" w:cs="仿宋"/>
          <w:sz w:val="32"/>
          <w:szCs w:val="32"/>
        </w:rPr>
        <w:t>)</w:t>
      </w:r>
      <w:r>
        <w:rPr>
          <w:rFonts w:hint="eastAsia" w:ascii="仿宋_GB2312" w:hAnsi="仿宋" w:eastAsia="仿宋_GB2312" w:cs="仿宋"/>
          <w:sz w:val="32"/>
          <w:szCs w:val="32"/>
        </w:rPr>
        <w:t>门诊业务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9001-签到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1101-人员信息获取--【需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能</w:t>
      </w:r>
      <w:r>
        <w:rPr>
          <w:rFonts w:hint="eastAsia" w:ascii="仿宋_GB2312" w:hAnsi="仿宋" w:eastAsia="仿宋_GB2312" w:cs="仿宋"/>
          <w:sz w:val="32"/>
          <w:szCs w:val="32"/>
        </w:rPr>
        <w:t>通过6101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接口</w:t>
      </w:r>
      <w:r>
        <w:rPr>
          <w:rFonts w:hint="eastAsia" w:ascii="仿宋_GB2312" w:hAnsi="仿宋" w:eastAsia="仿宋_GB2312" w:cs="仿宋"/>
          <w:sz w:val="32"/>
          <w:szCs w:val="32"/>
        </w:rPr>
        <w:t>解码获取身份核验令牌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"/>
          <w:sz w:val="32"/>
          <w:szCs w:val="32"/>
        </w:rPr>
        <w:t>ectoken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实现就诊凭证类型01-医保电子凭证 获取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能正常读取港澳台、非大陆证件证件类型</w:t>
      </w:r>
      <w:r>
        <w:rPr>
          <w:rFonts w:hint="eastAsia" w:ascii="仿宋_GB2312" w:hAnsi="仿宋" w:eastAsia="仿宋_GB2312" w:cs="仿宋"/>
          <w:sz w:val="32"/>
          <w:szCs w:val="32"/>
        </w:rPr>
        <w:t>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2201-门诊挂号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2203-门诊就诊信息上传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2204-门诊费用明细信息上传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2206-门诊预结算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2207-门诊结算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--【完成至少1笔身份证读卡结算和1笔医保电子凭证全流程结算，提供结算ID和结算过程录屏验收】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结算接口入参：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mdtrt_cert_type-就诊凭证类型：01-医保电子凭证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mdtrt_cert_no-就诊凭证编号：传身份核验令牌 （ectoken），具体指引参考《关于推进医保电子凭证全流程应用有关事项的通知》，《国家医保电子凭证业务标准动态库交互规范》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2208-门诊结算撤销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2205-门诊费用明细信息撤销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2202-门诊挂号撤销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--【提供界面截图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并正常办理，后台</w:t>
      </w:r>
      <w:r>
        <w:rPr>
          <w:rFonts w:hint="eastAsia" w:ascii="仿宋_GB2312" w:hAnsi="仿宋" w:eastAsia="仿宋_GB2312" w:cs="仿宋"/>
          <w:sz w:val="32"/>
          <w:szCs w:val="32"/>
        </w:rPr>
        <w:t>验收】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审批备案类接口：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转院备案、2501A-转院备案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、90215-转院信息查询(东莞)、5304-转院信息查询 </w:t>
      </w:r>
      <w:r>
        <w:rPr>
          <w:rFonts w:hint="eastAsia" w:ascii="仿宋_GB2312" w:hAnsi="仿宋" w:eastAsia="仿宋_GB2312" w:cs="仿宋"/>
          <w:sz w:val="32"/>
          <w:szCs w:val="32"/>
        </w:rPr>
        <w:t>--【提供界面截图验收】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人员慢特病备案、2505-人员定点备案、90206-慢特病备案、90304-撤销慢特病备案、90104-门慢门特登记查询、5301-人员慢特病备案查询、5302-人员定点信息查询、90210-人员定点备案（东莞）、90211-人员定点备案变更、90110-人员定点信息查询 -- </w:t>
      </w:r>
      <w:r>
        <w:rPr>
          <w:rFonts w:hint="eastAsia" w:ascii="仿宋_GB2312" w:hAnsi="仿宋" w:eastAsia="仿宋_GB2312" w:cs="仿宋"/>
          <w:sz w:val="32"/>
          <w:szCs w:val="32"/>
        </w:rPr>
        <w:t>【提供界面截图验收】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电子处方相关接口：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CFYLJG008-查询药店列表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CFYLJG009-查询处方药品信息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CFYLJG001-电子处方上传预核验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CFYLJG002-电子处方医保电子签名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CFYLJG003-电子处方上传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CFYLJG004-电子处方撤销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CFYLJG005-电子处方信息查询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CFYLJG006-电子处方审核结果查询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CFYLJG007-电子处方取药结果查询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其他：</w:t>
      </w:r>
    </w:p>
    <w:p>
      <w:pPr>
        <w:spacing w:line="600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90201-生育登记、90101-生育登记查询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、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90517-未就业配偶信息上传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--【存在生育业务服务范畴机构需实现】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（二）住院业务：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9001-签到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1101-人员信息获取 --【实现就诊凭证类型01-医保电子凭证 获取】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2401-入院办理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5303-在院信息查询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2403-住院信息变更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2301-住院费用明细上传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2402-出院办理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2303-住院预结算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2304-住院结算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住院结算撤销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出院结算撤销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住院费用明细撤销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2404-入院撤销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4401-住院病案首页信息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spacing w:line="600" w:lineRule="exact"/>
        <w:ind w:left="0" w:leftChars="0" w:firstLine="640" w:firstLineChars="200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自费结算数据上传接口：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4201-自费病人费用明细信息上传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4201A-自费病人住院费用明细信息上传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4202-自费病人住院就诊和诊断信息上传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4203-自费病人就诊以及费用明细上传完成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4204-自费病人住院费用明细删除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4205-自费病人门诊就医信息上传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4206-自费病人门诊就医信息删除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4207-自费病人就医费用明细查询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4208-自费病人就医就诊信息查询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4209-自费病人就医诊断信息查询</w:t>
      </w:r>
    </w:p>
    <w:p>
      <w:pPr>
        <w:pStyle w:val="7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二、涉及住院和门诊特定病种结算的，还需进行《医疗保障基金结算清单》改造和优化。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249001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DD55E"/>
    <w:multiLevelType w:val="singleLevel"/>
    <w:tmpl w:val="82DDD5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2625AF"/>
    <w:multiLevelType w:val="singleLevel"/>
    <w:tmpl w:val="B42625AF"/>
    <w:lvl w:ilvl="0" w:tentative="0">
      <w:start w:val="9101"/>
      <w:numFmt w:val="decimal"/>
      <w:suff w:val="nothing"/>
      <w:lvlText w:val="%1-"/>
      <w:lvlJc w:val="left"/>
    </w:lvl>
  </w:abstractNum>
  <w:abstractNum w:abstractNumId="2">
    <w:nsid w:val="1352A72C"/>
    <w:multiLevelType w:val="singleLevel"/>
    <w:tmpl w:val="1352A72C"/>
    <w:lvl w:ilvl="0" w:tentative="0">
      <w:start w:val="2302"/>
      <w:numFmt w:val="decimal"/>
      <w:suff w:val="nothing"/>
      <w:lvlText w:val="%1-"/>
      <w:lvlJc w:val="left"/>
    </w:lvl>
  </w:abstractNum>
  <w:abstractNum w:abstractNumId="3">
    <w:nsid w:val="27014142"/>
    <w:multiLevelType w:val="singleLevel"/>
    <w:tmpl w:val="27014142"/>
    <w:lvl w:ilvl="0" w:tentative="0">
      <w:start w:val="2305"/>
      <w:numFmt w:val="decimal"/>
      <w:suff w:val="nothing"/>
      <w:lvlText w:val="%1-"/>
      <w:lvlJc w:val="left"/>
    </w:lvl>
  </w:abstractNum>
  <w:abstractNum w:abstractNumId="4">
    <w:nsid w:val="3ED2C628"/>
    <w:multiLevelType w:val="singleLevel"/>
    <w:tmpl w:val="3ED2C628"/>
    <w:lvl w:ilvl="0" w:tentative="0">
      <w:start w:val="2501"/>
      <w:numFmt w:val="decimal"/>
      <w:suff w:val="nothing"/>
      <w:lvlText w:val="%1-"/>
      <w:lvlJc w:val="left"/>
    </w:lvl>
  </w:abstractNum>
  <w:abstractNum w:abstractNumId="5">
    <w:nsid w:val="61F47828"/>
    <w:multiLevelType w:val="singleLevel"/>
    <w:tmpl w:val="61F47828"/>
    <w:lvl w:ilvl="0" w:tentative="0">
      <w:start w:val="2405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U1OTU1MzZhNTAzZGIyNzk5YmE2NGQ4ZTFmNmU2OTAifQ=="/>
  </w:docVars>
  <w:rsids>
    <w:rsidRoot w:val="00283EAF"/>
    <w:rsid w:val="00283EAF"/>
    <w:rsid w:val="003139AD"/>
    <w:rsid w:val="003B1174"/>
    <w:rsid w:val="003D6B54"/>
    <w:rsid w:val="004400D5"/>
    <w:rsid w:val="004F3E23"/>
    <w:rsid w:val="00654508"/>
    <w:rsid w:val="00702319"/>
    <w:rsid w:val="00775B66"/>
    <w:rsid w:val="0088277C"/>
    <w:rsid w:val="008D754B"/>
    <w:rsid w:val="00C479CD"/>
    <w:rsid w:val="00D55DCD"/>
    <w:rsid w:val="00F4603C"/>
    <w:rsid w:val="01442BE3"/>
    <w:rsid w:val="025E5A01"/>
    <w:rsid w:val="05A4718F"/>
    <w:rsid w:val="080A32C2"/>
    <w:rsid w:val="0B7F75AC"/>
    <w:rsid w:val="11D706B9"/>
    <w:rsid w:val="12B427A8"/>
    <w:rsid w:val="15066E34"/>
    <w:rsid w:val="15826B8D"/>
    <w:rsid w:val="1B930F17"/>
    <w:rsid w:val="1C40583A"/>
    <w:rsid w:val="1E1C6FFC"/>
    <w:rsid w:val="20142AD8"/>
    <w:rsid w:val="21337D91"/>
    <w:rsid w:val="260158AC"/>
    <w:rsid w:val="297A4E53"/>
    <w:rsid w:val="31B77767"/>
    <w:rsid w:val="324364AE"/>
    <w:rsid w:val="37F84641"/>
    <w:rsid w:val="39161217"/>
    <w:rsid w:val="39B822CE"/>
    <w:rsid w:val="410D5702"/>
    <w:rsid w:val="41C60F3C"/>
    <w:rsid w:val="44AA2108"/>
    <w:rsid w:val="44B72A00"/>
    <w:rsid w:val="4AC960E9"/>
    <w:rsid w:val="4DF74EC0"/>
    <w:rsid w:val="4F3C6FF2"/>
    <w:rsid w:val="4FA45978"/>
    <w:rsid w:val="53654D7A"/>
    <w:rsid w:val="543A0058"/>
    <w:rsid w:val="55384457"/>
    <w:rsid w:val="59CE21FB"/>
    <w:rsid w:val="5A531527"/>
    <w:rsid w:val="5ECA2D27"/>
    <w:rsid w:val="63536A40"/>
    <w:rsid w:val="668B471B"/>
    <w:rsid w:val="67890C82"/>
    <w:rsid w:val="6967747D"/>
    <w:rsid w:val="6D857760"/>
    <w:rsid w:val="6EBE2FC9"/>
    <w:rsid w:val="6F4656AB"/>
    <w:rsid w:val="6FFE3B17"/>
    <w:rsid w:val="713E2ADE"/>
    <w:rsid w:val="71E12A84"/>
    <w:rsid w:val="71E33685"/>
    <w:rsid w:val="72EF4F30"/>
    <w:rsid w:val="75E11513"/>
    <w:rsid w:val="7BD6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15</Pages>
  <Words>3792</Words>
  <Characters>4791</Characters>
  <Lines>16</Lines>
  <Paragraphs>4</Paragraphs>
  <TotalTime>11</TotalTime>
  <ScaleCrop>false</ScaleCrop>
  <LinksUpToDate>false</LinksUpToDate>
  <CharactersWithSpaces>4819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2021-08-27T09:46:00Z</dcterms:created>
  <dc:creator>LIU</dc:creator>
  <cp:lastModifiedBy>3</cp:lastModifiedBy>
  <dcterms:modified xsi:type="dcterms:W3CDTF">2025-12-08T08:53:45Z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3E0092E279A5434DBD516DD39865A3C0_12</vt:lpwstr>
  </property>
</Properties>
</file>