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50"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0"/>
        <w:gridCol w:w="7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事项名称</w:t>
            </w:r>
          </w:p>
        </w:tc>
        <w:tc>
          <w:tcPr>
            <w:tcW w:w="7170" w:type="dxa"/>
            <w:tcMar>
              <w:top w:w="0" w:type="dxa"/>
              <w:left w:w="90" w:type="dxa"/>
              <w:bottom w:w="0" w:type="dxa"/>
              <w:right w:w="90" w:type="dxa"/>
            </w:tcMar>
            <w:vAlign w:val="center"/>
          </w:tcPr>
          <w:p>
            <w:pPr>
              <w:pStyle w:val="2"/>
              <w:jc w:val="both"/>
              <w:rPr>
                <w:rFonts w:cs="Times New Roman"/>
                <w:color w:val="auto"/>
              </w:rPr>
            </w:pPr>
            <w:r>
              <w:rPr>
                <w:rFonts w:hint="eastAsia" w:ascii="宋体" w:hAnsi="宋体" w:eastAsia="宋体" w:cs="Times New Roman"/>
                <w:b w:val="0"/>
                <w:bCs w:val="0"/>
                <w:color w:val="auto"/>
                <w:kern w:val="0"/>
                <w:sz w:val="24"/>
                <w:szCs w:val="24"/>
                <w:lang w:val="en-US" w:eastAsia="zh-CN" w:bidi="ar-SA"/>
              </w:rPr>
              <w:t>需要回医保经办机构办理住院报销的流程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设定依据</w:t>
            </w:r>
          </w:p>
        </w:tc>
        <w:tc>
          <w:tcPr>
            <w:tcW w:w="7170" w:type="dxa"/>
            <w:tcMar>
              <w:top w:w="0" w:type="dxa"/>
              <w:left w:w="90" w:type="dxa"/>
              <w:bottom w:w="0" w:type="dxa"/>
              <w:right w:w="90" w:type="dxa"/>
            </w:tcMar>
            <w:vAlign w:val="center"/>
          </w:tcPr>
          <w:p>
            <w:pPr>
              <w:pStyle w:val="34"/>
              <w:rPr>
                <w:rFonts w:hint="default"/>
              </w:rPr>
            </w:pPr>
            <w:r>
              <w:t>《东莞市医疗保障办法》（东府〔2023〕60号）第四十九条：</w:t>
            </w:r>
          </w:p>
          <w:p>
            <w:pPr>
              <w:pStyle w:val="34"/>
              <w:rPr>
                <w:rFonts w:hint="default"/>
              </w:rPr>
            </w:pPr>
            <w:r>
              <w:t>第四十九条参保人就医购药发生的符合规定的基本医疗费用，按照以下有关规定进行结算：</w:t>
            </w:r>
          </w:p>
          <w:p>
            <w:pPr>
              <w:pStyle w:val="34"/>
              <w:rPr>
                <w:rFonts w:hint="default"/>
              </w:rPr>
            </w:pPr>
            <w:r>
              <w:t>（一）在联网定点医药机构发生的，应办理直接结算；</w:t>
            </w:r>
          </w:p>
          <w:p>
            <w:pPr>
              <w:pStyle w:val="34"/>
              <w:rPr>
                <w:rFonts w:hint="default"/>
              </w:rPr>
            </w:pPr>
            <w:r>
              <w:t>（二）未能在联网定点医药机构办理直接结算或在非联网的定点医药机构发生的，先由参保人垫付，参保人应在就医结算后持必需的资料按照规定及时办理零星报销手续；</w:t>
            </w:r>
          </w:p>
          <w:p>
            <w:pPr>
              <w:pStyle w:val="34"/>
              <w:rPr>
                <w:rFonts w:hint="eastAsia" w:cs="Times New Roman"/>
                <w:color w:val="auto"/>
              </w:rPr>
            </w:pPr>
            <w:r>
              <w:t>除急诊和抢救外，参保人在非定点医药机构发生的费用医疗保障基金不予支付。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申请条件</w:t>
            </w:r>
          </w:p>
        </w:tc>
        <w:tc>
          <w:tcPr>
            <w:tcW w:w="7170" w:type="dxa"/>
            <w:tcMar>
              <w:top w:w="0" w:type="dxa"/>
              <w:left w:w="90" w:type="dxa"/>
              <w:bottom w:w="0" w:type="dxa"/>
              <w:right w:w="90" w:type="dxa"/>
            </w:tcMar>
            <w:vAlign w:val="center"/>
          </w:tcPr>
          <w:p>
            <w:pPr>
              <w:pStyle w:val="35"/>
              <w:numPr>
                <w:ilvl w:val="0"/>
                <w:numId w:val="1"/>
              </w:numPr>
              <w:spacing w:line="360" w:lineRule="auto"/>
              <w:jc w:val="left"/>
            </w:pPr>
            <w:r>
              <w:t>在</w:t>
            </w:r>
            <w:r>
              <w:rPr>
                <w:b/>
              </w:rPr>
              <w:t>未联网</w:t>
            </w:r>
            <w:r>
              <w:t>的医疗机构发生的</w:t>
            </w:r>
            <w:r>
              <w:rPr>
                <w:b/>
              </w:rPr>
              <w:t>急诊</w:t>
            </w:r>
            <w:r>
              <w:t>住院医疗费用；</w:t>
            </w:r>
          </w:p>
          <w:p>
            <w:pPr>
              <w:pStyle w:val="35"/>
              <w:numPr>
                <w:ilvl w:val="0"/>
                <w:numId w:val="1"/>
              </w:numPr>
              <w:spacing w:line="360" w:lineRule="auto"/>
              <w:jc w:val="left"/>
              <w:rPr>
                <w:rFonts w:hint="default"/>
              </w:rPr>
            </w:pPr>
            <w:r>
              <w:t>住院期间符合规定的</w:t>
            </w:r>
            <w:r>
              <w:rPr>
                <w:b/>
              </w:rPr>
              <w:t>院外</w:t>
            </w:r>
            <w:r>
              <w:t>购药、检查等相关医疗费用；</w:t>
            </w:r>
          </w:p>
          <w:p>
            <w:pPr>
              <w:pStyle w:val="35"/>
              <w:numPr>
                <w:ilvl w:val="0"/>
                <w:numId w:val="1"/>
              </w:numPr>
              <w:spacing w:line="360" w:lineRule="auto"/>
              <w:jc w:val="left"/>
              <w:rPr>
                <w:rFonts w:cs="Times New Roman"/>
                <w:color w:val="auto"/>
              </w:rPr>
            </w:pPr>
            <w:r>
              <w:t>在</w:t>
            </w:r>
            <w:r>
              <w:rPr>
                <w:b/>
              </w:rPr>
              <w:t>市外联网医院</w:t>
            </w:r>
            <w:r>
              <w:t>住院，因故无法结算的费用。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办理材料</w:t>
            </w:r>
          </w:p>
        </w:tc>
        <w:tc>
          <w:tcPr>
            <w:tcW w:w="7170" w:type="dxa"/>
            <w:tcMar>
              <w:top w:w="0" w:type="dxa"/>
              <w:left w:w="90" w:type="dxa"/>
              <w:bottom w:w="0" w:type="dxa"/>
              <w:right w:w="90" w:type="dxa"/>
            </w:tcMar>
            <w:vAlign w:val="center"/>
          </w:tcPr>
          <w:p>
            <w:pPr>
              <w:pStyle w:val="36"/>
              <w:spacing w:line="360" w:lineRule="auto"/>
              <w:rPr>
                <w:rFonts w:hint="eastAsia" w:eastAsia="宋体"/>
                <w:lang w:eastAsia="zh-CN"/>
              </w:rPr>
            </w:pPr>
            <w:r>
              <w:rPr>
                <w:color w:val="000000"/>
              </w:rPr>
              <w:t>（1）住院收费收据（发票）原件1份</w:t>
            </w:r>
            <w:r>
              <w:rPr>
                <w:rFonts w:hint="eastAsia"/>
                <w:color w:val="000000"/>
                <w:lang w:eastAsia="zh-CN"/>
              </w:rPr>
              <w:t>；</w:t>
            </w:r>
          </w:p>
          <w:p>
            <w:pPr>
              <w:pStyle w:val="36"/>
              <w:spacing w:line="360" w:lineRule="auto"/>
              <w:rPr>
                <w:rFonts w:hint="default"/>
              </w:rPr>
            </w:pPr>
            <w:r>
              <w:rPr>
                <w:color w:val="000000"/>
              </w:rPr>
              <w:t>（2）疾病诊断证明复印件1份；</w:t>
            </w:r>
          </w:p>
          <w:p>
            <w:pPr>
              <w:pStyle w:val="36"/>
              <w:spacing w:line="360" w:lineRule="auto"/>
              <w:rPr>
                <w:rFonts w:hint="default"/>
              </w:rPr>
            </w:pPr>
            <w:r>
              <w:rPr>
                <w:color w:val="000000"/>
              </w:rPr>
              <w:t>（3）医疗收费汇总明细清单</w:t>
            </w:r>
            <w:r>
              <w:rPr>
                <w:rFonts w:hint="eastAsia"/>
                <w:color w:val="000000"/>
                <w:lang w:val="en-US" w:eastAsia="zh-CN"/>
              </w:rPr>
              <w:t>复印</w:t>
            </w:r>
            <w:r>
              <w:rPr>
                <w:color w:val="000000"/>
              </w:rPr>
              <w:t>件1份；</w:t>
            </w:r>
          </w:p>
          <w:p>
            <w:pPr>
              <w:pStyle w:val="36"/>
              <w:spacing w:line="360" w:lineRule="auto"/>
              <w:rPr>
                <w:color w:val="000000"/>
              </w:rPr>
            </w:pPr>
            <w:r>
              <w:rPr>
                <w:color w:val="000000"/>
              </w:rPr>
              <w:t>（4）病案首页复印件1份（限急诊住院提供）；</w:t>
            </w:r>
          </w:p>
          <w:p>
            <w:pPr>
              <w:pStyle w:val="36"/>
              <w:spacing w:line="360" w:lineRule="auto"/>
              <w:rPr>
                <w:rFonts w:hint="eastAsia"/>
                <w:color w:val="000000"/>
                <w:lang w:eastAsia="zh-CN"/>
              </w:rPr>
            </w:pPr>
            <w:r>
              <w:rPr>
                <w:rFonts w:hint="eastAsia"/>
                <w:color w:val="000000"/>
                <w:lang w:eastAsia="zh-CN"/>
              </w:rPr>
              <w:t>（</w:t>
            </w:r>
            <w:r>
              <w:rPr>
                <w:rFonts w:hint="eastAsia"/>
                <w:color w:val="000000"/>
                <w:lang w:val="en-US" w:eastAsia="zh-CN"/>
              </w:rPr>
              <w:t>5</w:t>
            </w:r>
            <w:r>
              <w:rPr>
                <w:rFonts w:hint="eastAsia"/>
                <w:color w:val="000000"/>
                <w:lang w:eastAsia="zh-CN"/>
              </w:rPr>
              <w:t>）住院期间外院检查治疗或定点药店购药单（</w:t>
            </w:r>
            <w:r>
              <w:rPr>
                <w:rFonts w:hint="eastAsia"/>
                <w:color w:val="000000"/>
                <w:lang w:val="en-US" w:eastAsia="zh-CN"/>
              </w:rPr>
              <w:t>限住院期间外购药、检查、治疗提供，</w:t>
            </w:r>
            <w:r>
              <w:rPr>
                <w:rFonts w:hint="eastAsia"/>
                <w:color w:val="000000"/>
                <w:lang w:eastAsia="zh-CN"/>
              </w:rPr>
              <w:t>需注明外购药品用法用量及适应症（无注明用法用量的需另外提供处方）并加盖医院公章（需医务科/处、医保办或医院公章））；</w:t>
            </w:r>
          </w:p>
          <w:p>
            <w:pPr>
              <w:pStyle w:val="36"/>
              <w:spacing w:line="360" w:lineRule="auto"/>
              <w:rPr>
                <w:rFonts w:hint="eastAsia"/>
                <w:color w:val="000000"/>
                <w:lang w:val="en-US" w:eastAsia="zh-CN"/>
              </w:rPr>
            </w:pPr>
            <w:r>
              <w:rPr>
                <w:rFonts w:hint="eastAsia"/>
                <w:color w:val="000000"/>
                <w:lang w:eastAsia="zh-CN"/>
              </w:rPr>
              <w:t>（</w:t>
            </w:r>
            <w:r>
              <w:rPr>
                <w:rFonts w:hint="eastAsia"/>
                <w:color w:val="000000"/>
                <w:lang w:val="en-US" w:eastAsia="zh-CN"/>
              </w:rPr>
              <w:t>6</w:t>
            </w:r>
            <w:r>
              <w:rPr>
                <w:rFonts w:hint="eastAsia"/>
                <w:color w:val="000000"/>
                <w:lang w:eastAsia="zh-CN"/>
              </w:rPr>
              <w:t>）</w:t>
            </w:r>
            <w:r>
              <w:rPr>
                <w:rFonts w:hint="eastAsia"/>
                <w:color w:val="000000"/>
                <w:lang w:val="en-US" w:eastAsia="zh-CN"/>
              </w:rPr>
              <w:t>住院期间外购药、检查、治疗对应的</w:t>
            </w:r>
            <w:r>
              <w:rPr>
                <w:color w:val="000000"/>
              </w:rPr>
              <w:t>收费收据（发票）原件1份</w:t>
            </w:r>
            <w:r>
              <w:rPr>
                <w:rFonts w:hint="eastAsia"/>
                <w:color w:val="000000"/>
                <w:lang w:eastAsia="zh-CN"/>
              </w:rPr>
              <w:t>（</w:t>
            </w:r>
            <w:r>
              <w:rPr>
                <w:rFonts w:hint="eastAsia"/>
                <w:color w:val="000000"/>
                <w:lang w:val="en-US" w:eastAsia="zh-CN"/>
              </w:rPr>
              <w:t>限住院期间外购药、检查、治疗提供）；</w:t>
            </w:r>
          </w:p>
          <w:p>
            <w:pPr>
              <w:pStyle w:val="36"/>
              <w:spacing w:line="360" w:lineRule="auto"/>
              <w:rPr>
                <w:rFonts w:hint="default"/>
                <w:color w:val="000000"/>
                <w:lang w:val="en-US" w:eastAsia="zh-CN"/>
              </w:rPr>
            </w:pPr>
            <w:r>
              <w:rPr>
                <w:rFonts w:hint="eastAsia"/>
                <w:color w:val="000000"/>
                <w:lang w:eastAsia="zh-CN"/>
              </w:rPr>
              <w:t>（</w:t>
            </w:r>
            <w:r>
              <w:rPr>
                <w:rFonts w:hint="eastAsia"/>
                <w:color w:val="000000"/>
                <w:lang w:val="en-US" w:eastAsia="zh-CN"/>
              </w:rPr>
              <w:t>7</w:t>
            </w:r>
            <w:r>
              <w:rPr>
                <w:rFonts w:hint="eastAsia"/>
                <w:color w:val="000000"/>
                <w:lang w:eastAsia="zh-CN"/>
              </w:rPr>
              <w:t>）</w:t>
            </w:r>
            <w:r>
              <w:rPr>
                <w:rFonts w:hint="eastAsia"/>
                <w:color w:val="000000"/>
                <w:lang w:val="en-US" w:eastAsia="zh-CN"/>
              </w:rPr>
              <w:t>住院期间外购药、检查、治疗对应的明细清单复印</w:t>
            </w:r>
            <w:r>
              <w:rPr>
                <w:color w:val="000000"/>
              </w:rPr>
              <w:t>件1份</w:t>
            </w:r>
            <w:r>
              <w:rPr>
                <w:rFonts w:hint="eastAsia"/>
                <w:color w:val="000000"/>
                <w:lang w:eastAsia="zh-CN"/>
              </w:rPr>
              <w:t>（</w:t>
            </w:r>
            <w:r>
              <w:rPr>
                <w:rFonts w:hint="eastAsia"/>
                <w:color w:val="000000"/>
                <w:lang w:val="en-US" w:eastAsia="zh-CN"/>
              </w:rPr>
              <w:t>限住院期间外购药、检查、治疗提供）；</w:t>
            </w:r>
          </w:p>
          <w:p>
            <w:pPr>
              <w:pStyle w:val="36"/>
              <w:spacing w:line="360" w:lineRule="auto"/>
              <w:rPr>
                <w:rFonts w:hint="default"/>
              </w:rPr>
            </w:pPr>
            <w:r>
              <w:rPr>
                <w:color w:val="000000"/>
              </w:rPr>
              <w:t>（</w:t>
            </w:r>
            <w:r>
              <w:rPr>
                <w:rFonts w:hint="eastAsia"/>
                <w:color w:val="000000"/>
                <w:lang w:val="en-US" w:eastAsia="zh-CN"/>
              </w:rPr>
              <w:t>8</w:t>
            </w:r>
            <w:r>
              <w:rPr>
                <w:color w:val="000000"/>
              </w:rPr>
              <w:t>）入院记录复印件1份（限</w:t>
            </w:r>
            <w:r>
              <w:rPr>
                <w:rFonts w:hint="eastAsia" w:ascii="宋体" w:hAnsi="宋体" w:eastAsia="宋体"/>
                <w:sz w:val="24"/>
                <w:szCs w:val="28"/>
              </w:rPr>
              <w:t>因外伤、合并生育、涉及整形美容等性质问题住院</w:t>
            </w:r>
            <w:r>
              <w:rPr>
                <w:rFonts w:hint="eastAsia" w:ascii="宋体" w:hAnsi="宋体" w:eastAsia="宋体"/>
                <w:sz w:val="24"/>
                <w:szCs w:val="28"/>
                <w:lang w:val="en-US" w:eastAsia="zh-CN"/>
              </w:rPr>
              <w:t>或</w:t>
            </w:r>
            <w:r>
              <w:rPr>
                <w:color w:val="000000"/>
              </w:rPr>
              <w:t>急诊住院提供）；</w:t>
            </w:r>
          </w:p>
          <w:p>
            <w:pPr>
              <w:pStyle w:val="36"/>
              <w:spacing w:line="360" w:lineRule="auto"/>
              <w:rPr>
                <w:rFonts w:hint="default"/>
              </w:rPr>
            </w:pPr>
            <w:r>
              <w:rPr>
                <w:color w:val="000000"/>
              </w:rPr>
              <w:t>（</w:t>
            </w:r>
            <w:r>
              <w:rPr>
                <w:rFonts w:hint="eastAsia"/>
                <w:color w:val="000000"/>
                <w:lang w:val="en-US" w:eastAsia="zh-CN"/>
              </w:rPr>
              <w:t>9</w:t>
            </w:r>
            <w:r>
              <w:rPr>
                <w:color w:val="000000"/>
              </w:rPr>
              <w:t>）出院小结复印件1份；</w:t>
            </w:r>
          </w:p>
          <w:p>
            <w:pPr>
              <w:pStyle w:val="36"/>
              <w:spacing w:line="360" w:lineRule="auto"/>
              <w:rPr>
                <w:rFonts w:hint="default"/>
              </w:rPr>
            </w:pPr>
            <w:r>
              <w:rPr>
                <w:color w:val="000000"/>
              </w:rPr>
              <w:t>（</w:t>
            </w:r>
            <w:r>
              <w:rPr>
                <w:rFonts w:hint="eastAsia"/>
                <w:color w:val="000000"/>
                <w:lang w:val="en-US" w:eastAsia="zh-CN"/>
              </w:rPr>
              <w:t>10</w:t>
            </w:r>
            <w:r>
              <w:rPr>
                <w:color w:val="000000"/>
              </w:rPr>
              <w:t>）出生证复印件1份（限新生儿提供）；</w:t>
            </w:r>
          </w:p>
          <w:p>
            <w:pPr>
              <w:pStyle w:val="36"/>
              <w:spacing w:line="360" w:lineRule="auto"/>
              <w:rPr>
                <w:rFonts w:hint="eastAsia" w:eastAsia="宋体"/>
                <w:lang w:eastAsia="zh-CN"/>
              </w:rPr>
            </w:pPr>
            <w:r>
              <w:rPr>
                <w:color w:val="000000"/>
              </w:rPr>
              <w:t>（</w:t>
            </w:r>
            <w:r>
              <w:rPr>
                <w:rFonts w:hint="eastAsia"/>
                <w:color w:val="000000"/>
                <w:lang w:val="en-US" w:eastAsia="zh-CN"/>
              </w:rPr>
              <w:t>11</w:t>
            </w:r>
            <w:r>
              <w:rPr>
                <w:color w:val="000000"/>
              </w:rPr>
              <w:t>）本人身份证正反两面或社会保障卡正面复印件1份（新生儿未制社保卡的，提供户口本复印件），他人代办的需同时提供代办人身份证正反两面或社会保障卡正面复印件1份</w:t>
            </w:r>
            <w:r>
              <w:rPr>
                <w:rFonts w:hint="eastAsia"/>
                <w:color w:val="000000"/>
                <w:lang w:eastAsia="zh-CN"/>
              </w:rPr>
              <w:t>；</w:t>
            </w:r>
          </w:p>
          <w:p>
            <w:pPr>
              <w:pStyle w:val="36"/>
              <w:spacing w:line="360" w:lineRule="auto"/>
              <w:rPr>
                <w:rFonts w:cs="Times New Roman"/>
                <w:color w:val="auto"/>
              </w:rPr>
            </w:pPr>
            <w:r>
              <w:rPr>
                <w:color w:val="000000"/>
              </w:rPr>
              <w:t>（</w:t>
            </w:r>
            <w:r>
              <w:rPr>
                <w:rFonts w:hint="eastAsia"/>
                <w:color w:val="000000"/>
                <w:lang w:val="en-US" w:eastAsia="zh-CN"/>
              </w:rPr>
              <w:t>12</w:t>
            </w:r>
            <w:r>
              <w:rPr>
                <w:color w:val="000000"/>
              </w:rPr>
              <w:t>）本人银行账户复印件1份（限所持社会保障卡不具备金融功能的）。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办理流程</w:t>
            </w:r>
          </w:p>
        </w:tc>
        <w:tc>
          <w:tcPr>
            <w:tcW w:w="7170" w:type="dxa"/>
            <w:tcMar>
              <w:top w:w="0" w:type="dxa"/>
              <w:left w:w="90" w:type="dxa"/>
              <w:bottom w:w="0" w:type="dxa"/>
              <w:right w:w="90" w:type="dxa"/>
            </w:tcMar>
            <w:vAlign w:val="center"/>
          </w:tcPr>
          <w:p>
            <w:pPr>
              <w:pStyle w:val="18"/>
              <w:spacing w:line="360" w:lineRule="auto"/>
              <w:rPr>
                <w:rFonts w:cs="Times New Roman"/>
                <w:color w:val="auto"/>
              </w:rPr>
            </w:pPr>
            <w:r>
              <w:rPr>
                <w:rFonts w:hint="eastAsia" w:cs="Times New Roman"/>
                <w:color w:val="auto"/>
              </w:rPr>
              <w:t>窗口办理流程：</w:t>
            </w:r>
          </w:p>
          <w:p>
            <w:pPr>
              <w:pStyle w:val="37"/>
              <w:spacing w:line="360" w:lineRule="auto"/>
              <w:rPr>
                <w:rFonts w:hint="default" w:ascii="宋体" w:hAnsi="宋体" w:eastAsia="宋体" w:cs="宋体"/>
                <w:color w:val="000000"/>
                <w:sz w:val="24"/>
                <w:szCs w:val="24"/>
                <w:lang w:val="en-US" w:eastAsia="zh-CN" w:bidi="ar-SA"/>
              </w:rPr>
            </w:pPr>
            <w:r>
              <w:rPr>
                <w:rFonts w:hint="eastAsia" w:cs="Times New Roman"/>
                <w:color w:val="auto"/>
              </w:rPr>
              <w:t xml:space="preserve"> </w:t>
            </w:r>
            <w:r>
              <w:rPr>
                <w:b/>
                <w:color w:val="000000"/>
                <w:sz w:val="27"/>
              </w:rPr>
              <w:t>一、申请。</w:t>
            </w:r>
            <w:r>
              <w:rPr>
                <w:rFonts w:hint="eastAsia" w:ascii="宋体" w:hAnsi="宋体" w:eastAsia="宋体" w:cs="宋体"/>
                <w:color w:val="000000"/>
                <w:sz w:val="24"/>
                <w:szCs w:val="24"/>
                <w:lang w:val="en-US" w:eastAsia="zh-CN" w:bidi="ar-SA"/>
              </w:rPr>
              <w:t>参保人通过现场方式提出申请，按要求提交纸质申请材料。</w:t>
            </w:r>
          </w:p>
          <w:p>
            <w:pPr>
              <w:pStyle w:val="37"/>
              <w:spacing w:line="360" w:lineRule="auto"/>
              <w:rPr>
                <w:rFonts w:hint="default" w:ascii="宋体" w:hAnsi="宋体" w:eastAsia="宋体" w:cs="宋体"/>
                <w:color w:val="000000"/>
                <w:sz w:val="24"/>
                <w:szCs w:val="24"/>
                <w:lang w:val="en-US" w:eastAsia="zh-CN" w:bidi="ar-SA"/>
              </w:rPr>
            </w:pPr>
            <w:r>
              <w:rPr>
                <w:b/>
                <w:color w:val="000000"/>
                <w:sz w:val="27"/>
              </w:rPr>
              <w:t>二、受理。</w:t>
            </w:r>
            <w:r>
              <w:rPr>
                <w:rFonts w:hint="eastAsia" w:ascii="宋体" w:hAnsi="宋体" w:eastAsia="宋体" w:cs="宋体"/>
                <w:color w:val="000000"/>
                <w:sz w:val="24"/>
                <w:szCs w:val="24"/>
                <w:lang w:val="en-US" w:eastAsia="zh-CN" w:bidi="ar-SA"/>
              </w:rPr>
              <w:t>工作人员收到申请材料之日起即时做出受理或不予受理决定。经审查，参保人符合申请资格，并材料齐全、格式规范、符合法定形式的，予以受理；参保人因不符合申请资格的，不予受理，出具《东莞市社会保险待遇退单通知书》由参保人签字确认后交参保人。材料不齐全、格式不规范、不符合法定形式的，不予受理，填写《东莞市社会保险医疗及生育待遇申领补资料通知单》由参保人签字确认后交一联参保人并一次性告知需要补正的全部内容。</w:t>
            </w:r>
          </w:p>
          <w:p>
            <w:pPr>
              <w:pStyle w:val="37"/>
              <w:spacing w:line="360" w:lineRule="auto"/>
              <w:rPr>
                <w:rFonts w:hint="default" w:ascii="宋体" w:hAnsi="宋体" w:eastAsia="宋体" w:cs="宋体"/>
                <w:color w:val="000000"/>
                <w:sz w:val="24"/>
                <w:szCs w:val="24"/>
                <w:lang w:val="en-US" w:eastAsia="zh-CN" w:bidi="ar-SA"/>
              </w:rPr>
            </w:pPr>
            <w:r>
              <w:rPr>
                <w:b/>
                <w:color w:val="000000"/>
                <w:sz w:val="27"/>
              </w:rPr>
              <w:t>三、审查。</w:t>
            </w:r>
            <w:r>
              <w:rPr>
                <w:rFonts w:hint="eastAsia" w:ascii="宋体" w:hAnsi="宋体" w:eastAsia="宋体" w:cs="宋体"/>
                <w:color w:val="000000"/>
                <w:sz w:val="24"/>
                <w:szCs w:val="24"/>
                <w:lang w:val="en-US" w:eastAsia="zh-CN" w:bidi="ar-SA"/>
              </w:rPr>
              <w:t>受理后，审查人员对材料进行书面审查，在承诺办理时限内作出批复。</w:t>
            </w:r>
          </w:p>
          <w:p>
            <w:pPr>
              <w:pStyle w:val="37"/>
              <w:spacing w:line="360" w:lineRule="auto"/>
              <w:rPr>
                <w:rFonts w:hint="default" w:ascii="宋体" w:hAnsi="宋体" w:eastAsia="宋体" w:cs="宋体"/>
                <w:color w:val="000000"/>
                <w:sz w:val="24"/>
                <w:szCs w:val="24"/>
                <w:lang w:val="en-US" w:eastAsia="zh-CN" w:bidi="ar-SA"/>
              </w:rPr>
            </w:pPr>
            <w:r>
              <w:rPr>
                <w:b/>
                <w:color w:val="000000"/>
              </w:rPr>
              <w:t>四、决定。</w:t>
            </w:r>
            <w:r>
              <w:rPr>
                <w:rFonts w:hint="eastAsia" w:ascii="宋体" w:hAnsi="宋体" w:eastAsia="宋体" w:cs="宋体"/>
                <w:color w:val="000000"/>
                <w:sz w:val="24"/>
                <w:szCs w:val="24"/>
                <w:lang w:val="en-US" w:eastAsia="zh-CN" w:bidi="ar-SA"/>
              </w:rPr>
              <w:t>参保人符合法定资格、标准且材料齐全、格式规范、符合法定形式的，准予通过，结束系流程；参保人不符合法定资格或标准的，不予通过，出具《东莞市社会保险待遇退单通知书》交参保人，告知参保人不予通过原因；材料不齐全、格式不规范、不符合法定形式的出具《东莞市社会保险医疗及生育待遇申领补资料通知单》交申请人补充材料。</w:t>
            </w:r>
          </w:p>
          <w:p>
            <w:pPr>
              <w:pStyle w:val="18"/>
              <w:spacing w:line="360" w:lineRule="auto"/>
              <w:rPr>
                <w:rFonts w:hint="eastAsia" w:cs="Times New Roman"/>
                <w:color w:val="auto"/>
              </w:rPr>
            </w:pPr>
          </w:p>
          <w:p>
            <w:pPr>
              <w:pStyle w:val="18"/>
              <w:rPr>
                <w:rFonts w:ascii="宋体" w:hAnsi="宋体" w:eastAsia="宋体" w:cs="Times New Roman"/>
                <w:color w:val="auto"/>
                <w:sz w:val="24"/>
                <w:szCs w:val="24"/>
                <w:lang w:val="en-US" w:eastAsia="zh-CN" w:bidi="ar-SA"/>
              </w:rPr>
            </w:pPr>
          </w:p>
          <w:p>
            <w:pPr>
              <w:pStyle w:val="18"/>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网上办理流程</w:t>
            </w:r>
            <w:r>
              <w:rPr>
                <w:rFonts w:hint="eastAsia" w:ascii="微软雅黑" w:hAnsi="微软雅黑" w:eastAsia="微软雅黑" w:cs="微软雅黑"/>
                <w:i w:val="0"/>
                <w:iCs w:val="0"/>
                <w:caps w:val="0"/>
                <w:color w:val="333333"/>
                <w:spacing w:val="0"/>
                <w:sz w:val="24"/>
                <w:szCs w:val="24"/>
                <w:shd w:val="clear" w:fill="FFFFFF"/>
                <w:lang w:val="en-US" w:eastAsia="zh-CN"/>
              </w:rPr>
              <w:t>:</w:t>
            </w:r>
          </w:p>
          <w:p>
            <w:pPr>
              <w:pStyle w:val="18"/>
              <w:numPr>
                <w:ilvl w:val="0"/>
                <w:numId w:val="2"/>
              </w:numPr>
              <w:rPr>
                <w:rFonts w:hint="eastAsia" w:cs="Times New Roman"/>
                <w:color w:val="auto"/>
              </w:rPr>
            </w:pPr>
            <w:r>
              <w:rPr>
                <w:rFonts w:hint="eastAsia" w:cs="Times New Roman"/>
                <w:color w:val="auto"/>
              </w:rPr>
              <w:t>申请。手机微信搜索“粤医保”并关注粤医保微信小程序或者直接登录网址：</w:t>
            </w:r>
            <w:r>
              <w:t>https://igi.hsa.gd.gov.cn/web/#/skipyyb?code=01046</w:t>
            </w:r>
            <w:bookmarkStart w:id="0" w:name="_GoBack"/>
            <w:bookmarkEnd w:id="0"/>
            <w:r>
              <w:rPr>
                <w:rFonts w:hint="eastAsia" w:cs="Times New Roman"/>
                <w:color w:val="auto"/>
              </w:rPr>
              <w:t>，进入“费用报销→</w:t>
            </w:r>
            <w:r>
              <w:rPr>
                <w:rFonts w:hint="eastAsia" w:cs="Times New Roman"/>
                <w:color w:val="auto"/>
                <w:lang w:val="en-US" w:eastAsia="zh-CN"/>
              </w:rPr>
              <w:t>住院</w:t>
            </w:r>
            <w:r>
              <w:rPr>
                <w:rFonts w:hint="eastAsia" w:cs="Times New Roman"/>
                <w:color w:val="auto"/>
              </w:rPr>
              <w:t>费用报销”中的登记界面，参考告知书提示内容，如实完整的录入相关信息并上传相关电子版材料，提交申请。 2、审查。 （1）申请人符合申请资格，并材料齐全、格式规范等，予以初审通过，在粤医保小程序→我的→办理事项进度→已审核，相应事项界面显示【邮寄材料】，申请人可通过两种方式办理：①携带申报时上传的相应纸质材料通过“i管家”预约到本人参保地所属的医保经办机构窗口（本人参保地所属的医保经办机构会在“邮寄材料”界面显示）线下提交纸质材料，现场邮寄标志选择“是”，需在经办机构完成审核后的3个工作日内前往办理；②邮寄申报时上传的相应纸质材料到本人参保地所属的医保经办机构窗口（本人参保地所属的医保经办机构会在“邮寄材料”界面显示），现场邮寄标志选择“否”，相关邮寄信息需在经办机构完成审核后的3个工作日内提交。注：本单位不承担邮寄服务导致资料遗失的相关责任。 （2）医保经办机构收到纸质材料后将进行复核，复核通过的进入拨付环节，30个工作日完成，特殊情况适当延长。 （3）申请人不符合申请资格，或提交材料不完整、不规范等，将审核不通过，并提示不通过原因，申请人可在粤医保小程序→我的→办理事项进度→已审核，相应事项界面查看。</w:t>
            </w:r>
          </w:p>
          <w:p>
            <w:pPr>
              <w:pStyle w:val="18"/>
              <w:numPr>
                <w:ilvl w:val="0"/>
                <w:numId w:val="0"/>
              </w:numPr>
              <w:rPr>
                <w:rFonts w:hint="eastAsia" w:eastAsia="微软雅黑" w:cs="Times New Roman"/>
                <w:color w:val="auto"/>
                <w:lang w:val="en-US" w:eastAsia="zh-CN"/>
              </w:rPr>
            </w:pPr>
            <w:r>
              <w:rPr>
                <w:rFonts w:hint="eastAsia" w:ascii="微软雅黑" w:hAnsi="微软雅黑" w:eastAsia="微软雅黑" w:cs="微软雅黑"/>
                <w:i w:val="0"/>
                <w:iCs w:val="0"/>
                <w:caps w:val="0"/>
                <w:color w:val="333333"/>
                <w:spacing w:val="0"/>
                <w:sz w:val="24"/>
                <w:szCs w:val="24"/>
                <w:shd w:val="clear" w:fill="FFFFFF"/>
              </w:rPr>
              <w:t>网上办理流程</w:t>
            </w:r>
            <w:r>
              <w:rPr>
                <w:rFonts w:hint="eastAsia" w:ascii="微软雅黑" w:hAnsi="微软雅黑" w:eastAsia="微软雅黑" w:cs="微软雅黑"/>
                <w:i w:val="0"/>
                <w:iCs w:val="0"/>
                <w:caps w:val="0"/>
                <w:color w:val="333333"/>
                <w:spacing w:val="0"/>
                <w:sz w:val="24"/>
                <w:szCs w:val="24"/>
                <w:shd w:val="clear" w:fill="FFFFFF"/>
                <w:lang w:val="en-US" w:eastAsia="zh-CN"/>
              </w:rPr>
              <w:t>图：</w:t>
            </w:r>
          </w:p>
          <w:p>
            <w:pPr>
              <w:pStyle w:val="18"/>
              <w:numPr>
                <w:ilvl w:val="0"/>
                <w:numId w:val="0"/>
              </w:numPr>
              <w:rPr>
                <w:rFonts w:ascii="微软雅黑" w:hAnsi="微软雅黑" w:eastAsia="微软雅黑" w:cs="微软雅黑"/>
                <w:i w:val="0"/>
                <w:iCs w:val="0"/>
                <w:caps w:val="0"/>
                <w:color w:val="333333"/>
                <w:spacing w:val="0"/>
                <w:sz w:val="24"/>
                <w:szCs w:val="24"/>
                <w:shd w:val="clear" w:fill="FFFFFF"/>
                <w:lang w:val="en-US" w:eastAsia="zh-CN"/>
              </w:rPr>
            </w:pPr>
            <w:r>
              <w:rPr>
                <w:rFonts w:ascii="微软雅黑" w:hAnsi="微软雅黑" w:eastAsia="微软雅黑" w:cs="微软雅黑"/>
                <w:i w:val="0"/>
                <w:iCs w:val="0"/>
                <w:caps w:val="0"/>
                <w:color w:val="333333"/>
                <w:spacing w:val="0"/>
                <w:sz w:val="24"/>
                <w:szCs w:val="24"/>
                <w:shd w:val="clear" w:fill="FFFFFF"/>
                <w:lang w:val="en-US" w:eastAsia="zh-CN"/>
              </w:rPr>
              <w:drawing>
                <wp:inline distT="0" distB="0" distL="114300" distR="114300">
                  <wp:extent cx="4435475" cy="3374390"/>
                  <wp:effectExtent l="0" t="0" r="3175" b="16510"/>
                  <wp:docPr id="3" name="图片 3" descr="网上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网上流程图"/>
                          <pic:cNvPicPr>
                            <a:picLocks noChangeAspect="1"/>
                          </pic:cNvPicPr>
                        </pic:nvPicPr>
                        <pic:blipFill>
                          <a:blip r:embed="rId4"/>
                          <a:stretch>
                            <a:fillRect/>
                          </a:stretch>
                        </pic:blipFill>
                        <pic:spPr>
                          <a:xfrm>
                            <a:off x="0" y="0"/>
                            <a:ext cx="4435475" cy="33743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办理时限</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经审核资料齐备的，自办理之日起30个工作日内办结；情况特殊的，视具体情况适当延长。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办理地点</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全市各医疗保险经办机构办事窗口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办理机构</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全市各医疗保险经办机构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收费标准</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办理时间</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工作日8:30/9:00-12:00、13:00/14:00-17:00（法定休息日、节假日除外），由于部分镇街办事窗口时间不一致，请以各镇街办事窗口办公时间为准。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联系电话</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 xml:space="preserve">0769—12345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相关表格下载</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温馨提示</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材料复印件请用A4纸复印并须提供原件备查，以上材料参保人需留存的，应在申领前自行复印。</w:t>
            </w:r>
          </w:p>
        </w:tc>
      </w:tr>
    </w:tbl>
    <w:p>
      <w:pPr>
        <w:pStyle w:val="18"/>
      </w:pPr>
      <w:r>
        <w:rPr>
          <w:rFonts w:hint="eastAsia"/>
        </w:rPr>
        <w:t xml:space="preserve"> </w:t>
      </w:r>
    </w:p>
    <w:p>
      <w:pPr>
        <w:pStyle w:val="18"/>
        <w:rPr>
          <w:rFonts w:hint="eastAsia"/>
        </w:rPr>
      </w:pPr>
      <w:r>
        <w:rPr>
          <w:rFonts w:hint="eastAsia"/>
        </w:rPr>
        <w:t xml:space="preserve"> </w:t>
      </w:r>
    </w:p>
    <w:sectPr>
      <w:pgSz w:w="11907" w:h="16839"/>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DF4C7"/>
    <w:multiLevelType w:val="singleLevel"/>
    <w:tmpl w:val="D86DF4C7"/>
    <w:lvl w:ilvl="0" w:tentative="0">
      <w:start w:val="1"/>
      <w:numFmt w:val="decimal"/>
      <w:suff w:val="nothing"/>
      <w:lvlText w:val="%1、"/>
      <w:lvlJc w:val="left"/>
    </w:lvl>
  </w:abstractNum>
  <w:abstractNum w:abstractNumId="1">
    <w:nsid w:val="02A06DBE"/>
    <w:multiLevelType w:val="singleLevel"/>
    <w:tmpl w:val="02A06DB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ZTg2YzM3N2NmNjZhNDM1OTIwYjhmNWY4N2QzYWEifQ=="/>
  </w:docVars>
  <w:rsids>
    <w:rsidRoot w:val="00174E39"/>
    <w:rsid w:val="00174E39"/>
    <w:rsid w:val="00961516"/>
    <w:rsid w:val="01F77248"/>
    <w:rsid w:val="0B8C5B00"/>
    <w:rsid w:val="22140352"/>
    <w:rsid w:val="2B6C0A60"/>
    <w:rsid w:val="5A596DB7"/>
    <w:rsid w:val="5D43609B"/>
    <w:rsid w:val="5E95708C"/>
    <w:rsid w:val="5EE45D9B"/>
    <w:rsid w:val="6FF43782"/>
    <w:rsid w:val="7120644F"/>
    <w:rsid w:val="75A56A2A"/>
    <w:rsid w:val="7C3769A8"/>
    <w:rsid w:val="7CC94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nhideWhenUsed="0"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spacing w:before="100" w:beforeAutospacing="1" w:after="100" w:afterAutospacing="1"/>
      <w:outlineLvl w:val="0"/>
    </w:pPr>
    <w:rPr>
      <w:b/>
      <w:bCs/>
      <w:kern w:val="44"/>
      <w:sz w:val="48"/>
      <w:szCs w:val="48"/>
    </w:rPr>
  </w:style>
  <w:style w:type="paragraph" w:styleId="3">
    <w:name w:val="heading 2"/>
    <w:basedOn w:val="1"/>
    <w:next w:val="1"/>
    <w:link w:val="20"/>
    <w:qFormat/>
    <w:uiPriority w:val="9"/>
    <w:pPr>
      <w:spacing w:before="100" w:beforeAutospacing="1" w:after="100" w:afterAutospacing="1"/>
      <w:outlineLvl w:val="1"/>
    </w:pPr>
    <w:rPr>
      <w:b/>
      <w:bCs/>
      <w:sz w:val="36"/>
      <w:szCs w:val="36"/>
    </w:rPr>
  </w:style>
  <w:style w:type="paragraph" w:styleId="4">
    <w:name w:val="heading 3"/>
    <w:basedOn w:val="1"/>
    <w:next w:val="1"/>
    <w:link w:val="21"/>
    <w:qFormat/>
    <w:uiPriority w:val="9"/>
    <w:pPr>
      <w:spacing w:before="100" w:beforeAutospacing="1" w:after="100" w:afterAutospacing="1"/>
      <w:outlineLvl w:val="2"/>
    </w:pPr>
    <w:rPr>
      <w:b/>
      <w:bCs/>
      <w:sz w:val="27"/>
      <w:szCs w:val="27"/>
    </w:rPr>
  </w:style>
  <w:style w:type="paragraph" w:styleId="5">
    <w:name w:val="heading 4"/>
    <w:basedOn w:val="1"/>
    <w:next w:val="1"/>
    <w:link w:val="22"/>
    <w:qFormat/>
    <w:uiPriority w:val="9"/>
    <w:pPr>
      <w:spacing w:before="100" w:beforeAutospacing="1" w:after="100" w:afterAutospacing="1"/>
      <w:outlineLvl w:val="3"/>
    </w:pPr>
    <w:rPr>
      <w:b/>
      <w:bCs/>
    </w:rPr>
  </w:style>
  <w:style w:type="paragraph" w:styleId="6">
    <w:name w:val="heading 5"/>
    <w:basedOn w:val="1"/>
    <w:next w:val="1"/>
    <w:link w:val="23"/>
    <w:qFormat/>
    <w:uiPriority w:val="9"/>
    <w:pPr>
      <w:spacing w:before="100" w:beforeAutospacing="1" w:after="100" w:afterAutospacing="1"/>
      <w:outlineLvl w:val="4"/>
    </w:pPr>
    <w:rPr>
      <w:b/>
      <w:bCs/>
      <w:sz w:val="20"/>
      <w:szCs w:val="20"/>
    </w:rPr>
  </w:style>
  <w:style w:type="paragraph" w:styleId="7">
    <w:name w:val="heading 6"/>
    <w:basedOn w:val="1"/>
    <w:next w:val="1"/>
    <w:link w:val="24"/>
    <w:qFormat/>
    <w:uiPriority w:val="9"/>
    <w:pPr>
      <w:spacing w:before="100" w:beforeAutospacing="1" w:after="100" w:afterAutospacing="1"/>
      <w:outlineLvl w:val="5"/>
    </w:pPr>
    <w:rPr>
      <w:b/>
      <w:bCs/>
      <w:sz w:val="15"/>
      <w:szCs w:val="15"/>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8">
    <w:name w:val="Balloon Text"/>
    <w:basedOn w:val="1"/>
    <w:link w:val="28"/>
    <w:qFormat/>
    <w:uiPriority w:val="99"/>
    <w:rPr>
      <w:sz w:val="18"/>
      <w:szCs w:val="18"/>
    </w:rPr>
  </w:style>
  <w:style w:type="paragraph" w:styleId="9">
    <w:name w:val="footer"/>
    <w:basedOn w:val="1"/>
    <w:link w:val="27"/>
    <w:qFormat/>
    <w:uiPriority w:val="99"/>
    <w:pPr>
      <w:tabs>
        <w:tab w:val="center" w:pos="4153"/>
        <w:tab w:val="right" w:pos="8306"/>
      </w:tabs>
      <w:snapToGrid w:val="0"/>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99"/>
    <w:pPr>
      <w:spacing w:before="100" w:beforeAutospacing="1" w:after="100" w:afterAutospacing="1"/>
    </w:pPr>
  </w:style>
  <w:style w:type="character" w:styleId="15">
    <w:name w:val="FollowedHyperlink"/>
    <w:basedOn w:val="14"/>
    <w:qFormat/>
    <w:uiPriority w:val="99"/>
    <w:rPr>
      <w:color w:val="800080"/>
      <w:u w:val="single"/>
    </w:rPr>
  </w:style>
  <w:style w:type="character" w:styleId="16">
    <w:name w:val="Hyperlink"/>
    <w:basedOn w:val="14"/>
    <w:qFormat/>
    <w:uiPriority w:val="99"/>
    <w:rPr>
      <w:color w:val="0000FF"/>
      <w:u w:val="single"/>
    </w:rPr>
  </w:style>
  <w:style w:type="paragraph" w:customStyle="1" w:styleId="17">
    <w:name w:val="HTML 预设格式 Char1"/>
    <w:basedOn w:val="1"/>
    <w:qFormat/>
    <w:uiPriority w:val="99"/>
  </w:style>
  <w:style w:type="paragraph" w:customStyle="1" w:styleId="18">
    <w:name w:val="普通(网站) Char"/>
    <w:basedOn w:val="1"/>
    <w:qFormat/>
    <w:uiPriority w:val="99"/>
    <w:pPr>
      <w:spacing w:before="100" w:beforeAutospacing="1" w:after="100" w:afterAutospacing="1"/>
    </w:pPr>
  </w:style>
  <w:style w:type="character" w:customStyle="1" w:styleId="19">
    <w:name w:val="标题 1 Char"/>
    <w:basedOn w:val="14"/>
    <w:link w:val="2"/>
    <w:qFormat/>
    <w:locked/>
    <w:uiPriority w:val="9"/>
    <w:rPr>
      <w:rFonts w:hint="eastAsia" w:ascii="宋体" w:hAnsi="宋体" w:eastAsia="宋体" w:cs="宋体"/>
      <w:b/>
      <w:bCs/>
      <w:kern w:val="44"/>
      <w:sz w:val="44"/>
      <w:szCs w:val="44"/>
    </w:rPr>
  </w:style>
  <w:style w:type="character" w:customStyle="1" w:styleId="20">
    <w:name w:val="标题 2 Char"/>
    <w:basedOn w:val="14"/>
    <w:link w:val="3"/>
    <w:qFormat/>
    <w:locked/>
    <w:uiPriority w:val="9"/>
    <w:rPr>
      <w:rFonts w:hint="default" w:ascii="Cambria" w:hAnsi="Cambria"/>
      <w:b/>
      <w:bCs/>
      <w:sz w:val="32"/>
      <w:szCs w:val="32"/>
    </w:rPr>
  </w:style>
  <w:style w:type="character" w:customStyle="1" w:styleId="21">
    <w:name w:val="标题 3 Char"/>
    <w:basedOn w:val="14"/>
    <w:link w:val="4"/>
    <w:qFormat/>
    <w:locked/>
    <w:uiPriority w:val="9"/>
    <w:rPr>
      <w:rFonts w:hint="eastAsia" w:ascii="宋体" w:hAnsi="宋体" w:eastAsia="宋体" w:cs="宋体"/>
      <w:b/>
      <w:bCs/>
      <w:sz w:val="32"/>
      <w:szCs w:val="32"/>
    </w:rPr>
  </w:style>
  <w:style w:type="character" w:customStyle="1" w:styleId="22">
    <w:name w:val="标题 4 Char"/>
    <w:basedOn w:val="14"/>
    <w:link w:val="5"/>
    <w:qFormat/>
    <w:locked/>
    <w:uiPriority w:val="9"/>
    <w:rPr>
      <w:rFonts w:hint="default" w:ascii="Cambria" w:hAnsi="Cambria"/>
      <w:b/>
      <w:bCs/>
      <w:sz w:val="28"/>
      <w:szCs w:val="28"/>
    </w:rPr>
  </w:style>
  <w:style w:type="character" w:customStyle="1" w:styleId="23">
    <w:name w:val="标题 5 Char"/>
    <w:basedOn w:val="14"/>
    <w:link w:val="6"/>
    <w:qFormat/>
    <w:locked/>
    <w:uiPriority w:val="9"/>
    <w:rPr>
      <w:rFonts w:hint="eastAsia" w:ascii="宋体" w:hAnsi="宋体" w:eastAsia="宋体" w:cs="宋体"/>
      <w:b/>
      <w:bCs/>
      <w:sz w:val="28"/>
      <w:szCs w:val="28"/>
    </w:rPr>
  </w:style>
  <w:style w:type="character" w:customStyle="1" w:styleId="24">
    <w:name w:val="标题 6 Char"/>
    <w:basedOn w:val="14"/>
    <w:link w:val="7"/>
    <w:qFormat/>
    <w:locked/>
    <w:uiPriority w:val="9"/>
    <w:rPr>
      <w:rFonts w:hint="default" w:ascii="Cambria" w:hAnsi="Cambria"/>
      <w:b/>
      <w:bCs/>
      <w:sz w:val="24"/>
      <w:szCs w:val="24"/>
    </w:rPr>
  </w:style>
  <w:style w:type="character" w:customStyle="1" w:styleId="25">
    <w:name w:val="HTML 预设格式 Char"/>
    <w:basedOn w:val="14"/>
    <w:link w:val="11"/>
    <w:qFormat/>
    <w:uiPriority w:val="99"/>
    <w:rPr>
      <w:rFonts w:ascii="Courier New" w:hAnsi="Courier New" w:eastAsia="宋体" w:cs="Courier New"/>
    </w:rPr>
  </w:style>
  <w:style w:type="character" w:customStyle="1" w:styleId="26">
    <w:name w:val="页眉 Char"/>
    <w:basedOn w:val="14"/>
    <w:link w:val="10"/>
    <w:qFormat/>
    <w:locked/>
    <w:uiPriority w:val="0"/>
    <w:rPr>
      <w:rFonts w:hint="eastAsia" w:ascii="宋体" w:hAnsi="宋体" w:eastAsia="宋体" w:cs="宋体"/>
      <w:sz w:val="18"/>
      <w:szCs w:val="18"/>
    </w:rPr>
  </w:style>
  <w:style w:type="character" w:customStyle="1" w:styleId="27">
    <w:name w:val="页脚 Char"/>
    <w:basedOn w:val="14"/>
    <w:link w:val="9"/>
    <w:qFormat/>
    <w:locked/>
    <w:uiPriority w:val="0"/>
    <w:rPr>
      <w:rFonts w:hint="eastAsia" w:ascii="宋体" w:hAnsi="宋体" w:eastAsia="宋体" w:cs="宋体"/>
      <w:sz w:val="18"/>
      <w:szCs w:val="18"/>
    </w:rPr>
  </w:style>
  <w:style w:type="character" w:customStyle="1" w:styleId="28">
    <w:name w:val="批注框文本 Char"/>
    <w:basedOn w:val="14"/>
    <w:link w:val="8"/>
    <w:qFormat/>
    <w:locked/>
    <w:uiPriority w:val="99"/>
    <w:rPr>
      <w:rFonts w:hint="eastAsia" w:ascii="宋体" w:hAnsi="宋体" w:eastAsia="宋体" w:cs="宋体"/>
      <w:sz w:val="18"/>
      <w:szCs w:val="18"/>
    </w:rPr>
  </w:style>
  <w:style w:type="character" w:customStyle="1" w:styleId="29">
    <w:name w:val="HTML 预设格式 Char2"/>
    <w:basedOn w:val="14"/>
    <w:link w:val="11"/>
    <w:qFormat/>
    <w:locked/>
    <w:uiPriority w:val="99"/>
    <w:rPr>
      <w:rFonts w:hint="default" w:ascii="Courier New" w:hAnsi="Courier New" w:eastAsia="宋体" w:cs="Courier New"/>
    </w:rPr>
  </w:style>
  <w:style w:type="character" w:customStyle="1" w:styleId="30">
    <w:name w:val="10"/>
    <w:basedOn w:val="14"/>
    <w:qFormat/>
    <w:uiPriority w:val="0"/>
    <w:rPr>
      <w:rFonts w:hint="default" w:ascii="Times New Roman" w:hAnsi="Times New Roman" w:cs="Times New Roman"/>
    </w:rPr>
  </w:style>
  <w:style w:type="character" w:customStyle="1" w:styleId="31">
    <w:name w:val="15"/>
    <w:basedOn w:val="14"/>
    <w:qFormat/>
    <w:uiPriority w:val="0"/>
    <w:rPr>
      <w:rFonts w:hint="default" w:ascii="Times New Roman" w:hAnsi="Times New Roman" w:cs="Times New Roman"/>
      <w:color w:val="0000FF"/>
      <w:u w:val="single"/>
    </w:rPr>
  </w:style>
  <w:style w:type="character" w:customStyle="1" w:styleId="32">
    <w:name w:val="16"/>
    <w:basedOn w:val="14"/>
    <w:qFormat/>
    <w:uiPriority w:val="0"/>
    <w:rPr>
      <w:rFonts w:hint="default" w:ascii="Times New Roman" w:hAnsi="Times New Roman" w:cs="Times New Roman"/>
      <w:color w:val="0000FF"/>
      <w:u w:val="single"/>
    </w:rPr>
  </w:style>
  <w:style w:type="character" w:customStyle="1" w:styleId="33">
    <w:name w:val="17"/>
    <w:basedOn w:val="14"/>
    <w:qFormat/>
    <w:uiPriority w:val="0"/>
    <w:rPr>
      <w:rFonts w:hint="default" w:ascii="Times New Roman" w:hAnsi="Times New Roman" w:cs="Times New Roman"/>
    </w:rPr>
  </w:style>
  <w:style w:type="paragraph" w:customStyle="1" w:styleId="34">
    <w:name w:val="915"/>
    <w:basedOn w:val="12"/>
    <w:qFormat/>
    <w:uiPriority w:val="0"/>
    <w:rPr>
      <w:rFonts w:hint="eastAsia"/>
      <w:lang w:val="en-US" w:eastAsia="zh-CN"/>
    </w:rPr>
  </w:style>
  <w:style w:type="paragraph" w:customStyle="1" w:styleId="35">
    <w:name w:val="916"/>
    <w:basedOn w:val="12"/>
    <w:qFormat/>
    <w:uiPriority w:val="0"/>
    <w:rPr>
      <w:rFonts w:hint="eastAsia"/>
      <w:lang w:val="en-US" w:eastAsia="zh-CN"/>
    </w:rPr>
  </w:style>
  <w:style w:type="paragraph" w:customStyle="1" w:styleId="36">
    <w:name w:val="917"/>
    <w:basedOn w:val="12"/>
    <w:qFormat/>
    <w:uiPriority w:val="0"/>
    <w:rPr>
      <w:rFonts w:hint="eastAsia"/>
      <w:lang w:val="en-US" w:eastAsia="zh-CN"/>
    </w:rPr>
  </w:style>
  <w:style w:type="paragraph" w:customStyle="1" w:styleId="37">
    <w:name w:val="918"/>
    <w:basedOn w:val="12"/>
    <w:qFormat/>
    <w:uiPriority w:val="0"/>
    <w:rPr>
      <w:rFonts w:hint="eastAsia"/>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1479</Words>
  <Characters>1528</Characters>
  <Lines>10</Lines>
  <Paragraphs>3</Paragraphs>
  <TotalTime>0</TotalTime>
  <ScaleCrop>false</ScaleCrop>
  <LinksUpToDate>false</LinksUpToDate>
  <CharactersWithSpaces>1537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2021-07-02T01:26:00Z</dcterms:created>
  <dc:creator>詹文仲()</dc:creator>
  <cp:lastModifiedBy>袁婉珍</cp:lastModifiedBy>
  <dcterms:modified xsi:type="dcterms:W3CDTF">2024-07-01T01:27:50Z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0BD801847B504A58A64861B29DA05824</vt:lpwstr>
  </property>
</Properties>
</file>