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16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18"/>
        <w:gridCol w:w="7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事项名称</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lang w:eastAsia="zh-CN"/>
              </w:rPr>
              <w:t>门诊特定病种</w:t>
            </w:r>
            <w:r>
              <w:rPr>
                <w:rFonts w:hint="eastAsia" w:cs="Times New Roman"/>
                <w:color w:val="auto"/>
              </w:rPr>
              <w:t>现场结算流程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设定依据</w:t>
            </w:r>
          </w:p>
        </w:tc>
        <w:tc>
          <w:tcPr>
            <w:tcW w:w="7047" w:type="dxa"/>
            <w:tcMar>
              <w:top w:w="0" w:type="dxa"/>
              <w:left w:w="90" w:type="dxa"/>
              <w:bottom w:w="0" w:type="dxa"/>
              <w:right w:w="90" w:type="dxa"/>
            </w:tcMar>
            <w:vAlign w:val="center"/>
          </w:tcPr>
          <w:p>
            <w:pPr>
              <w:pStyle w:val="12"/>
              <w:rPr>
                <w:rFonts w:hint="eastAsia" w:cs="Times New Roman"/>
                <w:color w:val="auto"/>
              </w:rPr>
            </w:pPr>
            <w:r>
              <w:rPr>
                <w:rFonts w:hint="eastAsia" w:cs="Times New Roman"/>
                <w:color w:val="auto"/>
              </w:rPr>
              <w:t>《东莞市</w:t>
            </w:r>
            <w:r>
              <w:rPr>
                <w:rFonts w:hint="eastAsia" w:cs="Times New Roman"/>
                <w:color w:val="auto"/>
                <w:lang w:val="en-US" w:eastAsia="zh-CN"/>
              </w:rPr>
              <w:t>医疗保障</w:t>
            </w:r>
            <w:r>
              <w:rPr>
                <w:rFonts w:hint="eastAsia" w:cs="Times New Roman"/>
                <w:color w:val="auto"/>
              </w:rPr>
              <w:t>办法》（东府〔2023〕60 号）第四十九条 参保人就医购药发生的符合规定的基本医疗费</w:t>
            </w:r>
          </w:p>
          <w:p>
            <w:pPr>
              <w:pStyle w:val="12"/>
              <w:rPr>
                <w:rFonts w:hint="eastAsia" w:cs="Times New Roman"/>
                <w:color w:val="auto"/>
              </w:rPr>
            </w:pPr>
            <w:r>
              <w:rPr>
                <w:rFonts w:hint="eastAsia" w:cs="Times New Roman"/>
                <w:color w:val="auto"/>
              </w:rPr>
              <w:t>用，按照以下有关规定进行结算：</w:t>
            </w:r>
          </w:p>
          <w:p>
            <w:pPr>
              <w:pStyle w:val="12"/>
              <w:rPr>
                <w:rFonts w:hint="eastAsia" w:cs="Times New Roman"/>
                <w:color w:val="auto"/>
              </w:rPr>
            </w:pPr>
            <w:r>
              <w:rPr>
                <w:rFonts w:hint="eastAsia" w:cs="Times New Roman"/>
                <w:color w:val="auto"/>
              </w:rPr>
              <w:t>（一）在联网定点医药机构发生的，应办理直接结算；</w:t>
            </w:r>
          </w:p>
          <w:p>
            <w:pPr>
              <w:pStyle w:val="12"/>
              <w:rPr>
                <w:rFonts w:hint="eastAsia" w:cs="Times New Roman"/>
                <w:color w:val="auto"/>
              </w:rPr>
            </w:pPr>
            <w:r>
              <w:rPr>
                <w:rFonts w:hint="eastAsia" w:cs="Times New Roman"/>
                <w:color w:val="auto"/>
              </w:rPr>
              <w:t>（二）未能在联网定点医药机构办理直接结算或在非联网</w:t>
            </w:r>
          </w:p>
          <w:p>
            <w:pPr>
              <w:pStyle w:val="12"/>
              <w:rPr>
                <w:rFonts w:hint="eastAsia" w:cs="Times New Roman"/>
                <w:color w:val="auto"/>
              </w:rPr>
            </w:pPr>
            <w:r>
              <w:rPr>
                <w:rFonts w:hint="eastAsia" w:cs="Times New Roman"/>
                <w:color w:val="auto"/>
              </w:rPr>
              <w:t>的定点医药机构发生的，先由参保人垫付，参保人应在就医结算</w:t>
            </w:r>
          </w:p>
          <w:p>
            <w:pPr>
              <w:pStyle w:val="12"/>
              <w:rPr>
                <w:rFonts w:hint="eastAsia" w:cs="Times New Roman"/>
                <w:color w:val="auto"/>
              </w:rPr>
            </w:pPr>
            <w:r>
              <w:rPr>
                <w:rFonts w:hint="eastAsia" w:cs="Times New Roman"/>
                <w:color w:val="auto"/>
              </w:rPr>
              <w:t>后持必需的资料按照规定及时办理零星报销手续；</w:t>
            </w:r>
          </w:p>
          <w:p>
            <w:pPr>
              <w:pStyle w:val="12"/>
              <w:ind w:firstLine="240" w:firstLineChars="100"/>
              <w:rPr>
                <w:rFonts w:hint="eastAsia" w:cs="Times New Roman"/>
                <w:color w:val="auto"/>
              </w:rPr>
            </w:pPr>
            <w:r>
              <w:rPr>
                <w:rFonts w:hint="eastAsia" w:cs="Times New Roman"/>
                <w:color w:val="auto"/>
              </w:rPr>
              <w:t>除急诊和抢救外，参保人在非定点医药机构发生的费用医疗</w:t>
            </w:r>
          </w:p>
          <w:p>
            <w:pPr>
              <w:pStyle w:val="12"/>
              <w:rPr>
                <w:rFonts w:hint="eastAsia" w:cs="Times New Roman"/>
                <w:color w:val="auto"/>
              </w:rPr>
            </w:pPr>
            <w:r>
              <w:rPr>
                <w:rFonts w:hint="eastAsia" w:cs="Times New Roman"/>
                <w:color w:val="auto"/>
              </w:rPr>
              <w:t>保障基金不予支付。</w:t>
            </w:r>
          </w:p>
          <w:p>
            <w:pPr>
              <w:pStyle w:val="29"/>
              <w:rPr>
                <w:rFonts w:hint="eastAsia" w:cs="Times New Roman"/>
                <w:color w:val="auto"/>
              </w:rPr>
            </w:pPr>
            <w:r>
              <w:rPr>
                <w:rFonts w:hint="eastAsia" w:cs="Times New Roman"/>
                <w:color w:val="auto"/>
              </w:rPr>
              <w:t>《东莞市医疗</w:t>
            </w:r>
            <w:r>
              <w:rPr>
                <w:rFonts w:hint="eastAsia" w:cs="Times New Roman"/>
                <w:color w:val="auto"/>
                <w:lang w:val="en-US" w:eastAsia="zh-CN"/>
              </w:rPr>
              <w:t>保障</w:t>
            </w:r>
            <w:r>
              <w:rPr>
                <w:rFonts w:hint="eastAsia" w:cs="Times New Roman"/>
                <w:color w:val="auto"/>
              </w:rPr>
              <w:t>办法</w:t>
            </w:r>
            <w:r>
              <w:rPr>
                <w:rFonts w:hint="eastAsia" w:cs="Times New Roman"/>
                <w:color w:val="auto"/>
                <w:lang w:val="en-US" w:eastAsia="zh-CN"/>
              </w:rPr>
              <w:t>实施细则</w:t>
            </w:r>
            <w:r>
              <w:rPr>
                <w:rFonts w:hint="eastAsia" w:cs="Times New Roman"/>
                <w:color w:val="auto"/>
              </w:rPr>
              <w:t>》（东医保〔2023〕</w:t>
            </w:r>
            <w:r>
              <w:rPr>
                <w:rFonts w:hint="eastAsia" w:cs="Times New Roman"/>
                <w:color w:val="auto"/>
                <w:lang w:val="en-US" w:eastAsia="zh-CN"/>
              </w:rPr>
              <w:t>75</w:t>
            </w:r>
            <w:r>
              <w:rPr>
                <w:rFonts w:hint="eastAsia" w:cs="Times New Roman"/>
                <w:color w:val="auto"/>
              </w:rPr>
              <w:t>号）第</w:t>
            </w:r>
            <w:r>
              <w:rPr>
                <w:rFonts w:hint="eastAsia" w:cs="Times New Roman"/>
                <w:color w:val="auto"/>
                <w:lang w:val="en-US" w:eastAsia="zh-CN"/>
              </w:rPr>
              <w:t>二十二</w:t>
            </w:r>
            <w:r>
              <w:rPr>
                <w:rFonts w:hint="eastAsia" w:cs="Times New Roman"/>
                <w:color w:val="auto"/>
              </w:rPr>
              <w:t>条：第二十二条参保人就医购药发生的符合规定的基本医疗费用，按照以下有关规定进行结算：</w:t>
            </w:r>
          </w:p>
          <w:p>
            <w:pPr>
              <w:pStyle w:val="12"/>
              <w:rPr>
                <w:rFonts w:hint="eastAsia" w:cs="Times New Roman"/>
                <w:color w:val="auto"/>
              </w:rPr>
            </w:pPr>
            <w:r>
              <w:rPr>
                <w:rFonts w:hint="eastAsia" w:cs="Times New Roman"/>
                <w:color w:val="auto"/>
              </w:rPr>
              <w:t>（一）在定点医药机构发生的符合规定的医疗费用可凭本人医保码、身份证、社会保障卡等有效身份证明材料及相关就医资料在定点医药机构直接结算；</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申请条件</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1.参保人经医保部门核准享受</w:t>
            </w:r>
            <w:r>
              <w:rPr>
                <w:rFonts w:hint="eastAsia" w:cs="Times New Roman"/>
                <w:color w:val="auto"/>
                <w:lang w:eastAsia="zh-CN"/>
              </w:rPr>
              <w:t>门诊特定病种</w:t>
            </w:r>
            <w:r>
              <w:rPr>
                <w:rFonts w:hint="eastAsia" w:cs="Times New Roman"/>
                <w:color w:val="auto"/>
              </w:rPr>
              <w:t>待遇；</w:t>
            </w:r>
          </w:p>
          <w:p>
            <w:pPr>
              <w:pStyle w:val="12"/>
              <w:rPr>
                <w:rFonts w:hint="eastAsia" w:cs="Times New Roman"/>
                <w:color w:val="auto"/>
              </w:rPr>
            </w:pPr>
            <w:r>
              <w:rPr>
                <w:rFonts w:hint="eastAsia" w:cs="Times New Roman"/>
                <w:color w:val="auto"/>
              </w:rPr>
              <w:t>2.到联网</w:t>
            </w:r>
            <w:r>
              <w:rPr>
                <w:rFonts w:hint="eastAsia" w:cs="Times New Roman"/>
                <w:color w:val="auto"/>
                <w:lang w:eastAsia="zh-CN"/>
              </w:rPr>
              <w:t>门诊特定病种</w:t>
            </w:r>
            <w:r>
              <w:rPr>
                <w:rFonts w:hint="eastAsia" w:cs="Times New Roman"/>
                <w:color w:val="auto"/>
              </w:rPr>
              <w:t>选定医药机构就医；</w:t>
            </w:r>
          </w:p>
          <w:p>
            <w:pPr>
              <w:pStyle w:val="12"/>
              <w:rPr>
                <w:rFonts w:cs="Times New Roman"/>
                <w:color w:val="auto"/>
              </w:rPr>
            </w:pPr>
            <w:r>
              <w:rPr>
                <w:rFonts w:hint="eastAsia" w:cs="Times New Roman"/>
                <w:color w:val="auto"/>
              </w:rPr>
              <w:t>3.就医病种为核准的</w:t>
            </w:r>
            <w:r>
              <w:rPr>
                <w:rFonts w:hint="eastAsia" w:cs="Times New Roman"/>
                <w:color w:val="auto"/>
                <w:lang w:eastAsia="zh-CN"/>
              </w:rPr>
              <w:t>门诊特定病种</w:t>
            </w:r>
            <w:r>
              <w:rPr>
                <w:rFonts w:hint="eastAsia" w:cs="Times New Roman"/>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办理材料</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1.有效身份凭证（电子医保凭证、居民身份证或社会保障卡）；</w:t>
            </w:r>
          </w:p>
          <w:p>
            <w:pPr>
              <w:pStyle w:val="12"/>
              <w:rPr>
                <w:rFonts w:cs="Times New Roman"/>
                <w:color w:val="auto"/>
              </w:rPr>
            </w:pPr>
            <w:r>
              <w:rPr>
                <w:rFonts w:hint="eastAsia" w:cs="Times New Roman"/>
                <w:color w:val="auto"/>
              </w:rPr>
              <w:t>2.《东莞市基本医疗保险</w:t>
            </w:r>
            <w:r>
              <w:rPr>
                <w:rFonts w:hint="eastAsia" w:cs="Times New Roman"/>
                <w:color w:val="auto"/>
                <w:lang w:eastAsia="zh-CN"/>
              </w:rPr>
              <w:t>特定</w:t>
            </w:r>
            <w:r>
              <w:rPr>
                <w:rFonts w:hint="eastAsia" w:cs="Times New Roman"/>
                <w:color w:val="auto"/>
                <w:lang w:val="en-US" w:eastAsia="zh-CN"/>
              </w:rPr>
              <w:t>门诊</w:t>
            </w:r>
            <w:r>
              <w:rPr>
                <w:rFonts w:hint="eastAsia" w:cs="Times New Roman"/>
                <w:color w:val="auto"/>
              </w:rPr>
              <w:t>批复意见》</w:t>
            </w:r>
            <w:r>
              <w:rPr>
                <w:rFonts w:hint="eastAsia" w:cs="Times New Roman"/>
                <w:color w:val="auto"/>
                <w:lang w:eastAsia="zh-CN"/>
              </w:rPr>
              <w:t>或</w:t>
            </w:r>
            <w:r>
              <w:rPr>
                <w:rFonts w:hint="eastAsia" w:cs="Times New Roman"/>
                <w:color w:val="auto"/>
              </w:rPr>
              <w:t>《门慢门特登记表》原件1份。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办理流程</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窗口办理流程：</w:t>
            </w:r>
          </w:p>
          <w:p>
            <w:pPr>
              <w:pStyle w:val="12"/>
              <w:rPr>
                <w:rFonts w:hint="eastAsia" w:cs="Times New Roman"/>
                <w:color w:val="auto"/>
              </w:rPr>
            </w:pPr>
            <w:r>
              <w:rPr>
                <w:rFonts w:hint="eastAsia" w:cs="Times New Roman"/>
                <w:color w:val="auto"/>
              </w:rPr>
              <w:t xml:space="preserve"> 一、申请。参保人到</w:t>
            </w:r>
            <w:r>
              <w:rPr>
                <w:rFonts w:hint="eastAsia" w:cs="Times New Roman"/>
                <w:color w:val="auto"/>
                <w:lang w:eastAsia="zh-CN"/>
              </w:rPr>
              <w:t>门诊特定病种</w:t>
            </w:r>
            <w:r>
              <w:rPr>
                <w:rFonts w:hint="eastAsia" w:cs="Times New Roman"/>
                <w:color w:val="auto"/>
              </w:rPr>
              <w:t>选定医药机构门诊挂号处通过现场方式提出申请或网上挂号预约，按要求提交《东莞市基本医疗保险</w:t>
            </w:r>
            <w:r>
              <w:rPr>
                <w:rFonts w:hint="eastAsia" w:cs="Times New Roman"/>
                <w:color w:val="auto"/>
                <w:lang w:eastAsia="zh-CN"/>
              </w:rPr>
              <w:t>特定</w:t>
            </w:r>
            <w:r>
              <w:rPr>
                <w:rFonts w:hint="eastAsia" w:cs="Times New Roman"/>
                <w:color w:val="auto"/>
                <w:lang w:val="en-US" w:eastAsia="zh-CN"/>
              </w:rPr>
              <w:t>门诊</w:t>
            </w:r>
            <w:r>
              <w:rPr>
                <w:rFonts w:hint="eastAsia" w:cs="Times New Roman"/>
                <w:color w:val="auto"/>
              </w:rPr>
              <w:t>批复意见》</w:t>
            </w:r>
            <w:r>
              <w:rPr>
                <w:rFonts w:hint="eastAsia" w:cs="Times New Roman"/>
                <w:color w:val="auto"/>
                <w:lang w:eastAsia="zh-CN"/>
              </w:rPr>
              <w:t>（或</w:t>
            </w:r>
            <w:r>
              <w:rPr>
                <w:rFonts w:hint="eastAsia" w:cs="Times New Roman"/>
                <w:color w:val="auto"/>
              </w:rPr>
              <w:t>《门慢门特登记表》</w:t>
            </w:r>
            <w:r>
              <w:rPr>
                <w:rFonts w:hint="eastAsia" w:cs="Times New Roman"/>
                <w:color w:val="auto"/>
                <w:lang w:eastAsia="zh-CN"/>
              </w:rPr>
              <w:t>）</w:t>
            </w:r>
            <w:r>
              <w:rPr>
                <w:rFonts w:hint="eastAsia" w:cs="Times New Roman"/>
                <w:color w:val="auto"/>
              </w:rPr>
              <w:t>及有效身份凭证到选定医药机构就诊。</w:t>
            </w:r>
          </w:p>
          <w:p>
            <w:pPr>
              <w:pStyle w:val="12"/>
              <w:rPr>
                <w:rFonts w:hint="eastAsia" w:cs="Times New Roman"/>
                <w:color w:val="auto"/>
              </w:rPr>
            </w:pPr>
            <w:r>
              <w:rPr>
                <w:rFonts w:hint="eastAsia" w:cs="Times New Roman"/>
                <w:color w:val="auto"/>
              </w:rPr>
              <w:t xml:space="preserve"> 二、受理。工作人员收到申请材料之日起即时做出是否受理</w:t>
            </w:r>
            <w:r>
              <w:rPr>
                <w:rFonts w:hint="eastAsia" w:cs="Times New Roman"/>
                <w:color w:val="auto"/>
                <w:lang w:eastAsia="zh-CN"/>
              </w:rPr>
              <w:t>门诊特定病种</w:t>
            </w:r>
            <w:r>
              <w:rPr>
                <w:rFonts w:hint="eastAsia" w:cs="Times New Roman"/>
                <w:color w:val="auto"/>
              </w:rPr>
              <w:t>现场结算决定。经审查，参保人符合申请资格，并材料齐全、格式规范、符合法定形式的，予以受理</w:t>
            </w:r>
            <w:r>
              <w:rPr>
                <w:rFonts w:hint="eastAsia" w:cs="Times New Roman"/>
                <w:color w:val="auto"/>
                <w:lang w:eastAsia="zh-CN"/>
              </w:rPr>
              <w:t>门诊特定病种</w:t>
            </w:r>
            <w:r>
              <w:rPr>
                <w:rFonts w:hint="eastAsia" w:cs="Times New Roman"/>
                <w:color w:val="auto"/>
              </w:rPr>
              <w:t>结算；参保人因不符合申请资格的，工作人员告知不予受理</w:t>
            </w:r>
            <w:r>
              <w:rPr>
                <w:rFonts w:hint="eastAsia" w:cs="Times New Roman"/>
                <w:color w:val="auto"/>
                <w:lang w:eastAsia="zh-CN"/>
              </w:rPr>
              <w:t>门诊特定病种</w:t>
            </w:r>
            <w:r>
              <w:rPr>
                <w:rFonts w:hint="eastAsia" w:cs="Times New Roman"/>
                <w:color w:val="auto"/>
              </w:rPr>
              <w:t>现场结算原因；参保人因材料不全或不符合法定形式的，工作人员一次性告知需要补正的全部内容。</w:t>
            </w:r>
          </w:p>
          <w:p>
            <w:pPr>
              <w:pStyle w:val="12"/>
              <w:rPr>
                <w:rFonts w:hint="eastAsia" w:cs="Times New Roman"/>
                <w:color w:val="auto"/>
              </w:rPr>
            </w:pPr>
            <w:r>
              <w:rPr>
                <w:rFonts w:hint="eastAsia" w:cs="Times New Roman"/>
                <w:color w:val="auto"/>
              </w:rPr>
              <w:t xml:space="preserve"> 三、审查。参保人配合工作人员做好身份信息核实工作。</w:t>
            </w:r>
          </w:p>
          <w:p>
            <w:pPr>
              <w:pStyle w:val="12"/>
              <w:rPr>
                <w:rFonts w:hint="eastAsia" w:cs="Times New Roman"/>
                <w:color w:val="auto"/>
              </w:rPr>
            </w:pPr>
            <w:r>
              <w:rPr>
                <w:rFonts w:hint="eastAsia" w:cs="Times New Roman"/>
                <w:color w:val="auto"/>
              </w:rPr>
              <w:t xml:space="preserve"> 四、决定。</w:t>
            </w:r>
            <w:r>
              <w:rPr>
                <w:rFonts w:hint="eastAsia" w:cs="Times New Roman"/>
                <w:color w:val="auto"/>
                <w:lang w:eastAsia="zh-CN"/>
              </w:rPr>
              <w:t>门诊特定病种</w:t>
            </w:r>
            <w:r>
              <w:rPr>
                <w:rFonts w:hint="eastAsia" w:cs="Times New Roman"/>
                <w:color w:val="auto"/>
              </w:rPr>
              <w:t>现场结算，工作人员对符合结算资格，并材料齐全、格式规范、符合法定形式的予以办理现场结算，完成现场结算报销后，参保人支付个人自付金额，领取相关单据；因不符合结算资格或标准的不予办理现场结算，工作人员告知不予办理现场结算原因；因材料不齐全、格式不规范、不符合法定形式的不予办理现场结算，工作人员一次性告知需要补正的全部内容。</w:t>
            </w:r>
          </w:p>
          <w:p>
            <w:pPr>
              <w:pStyle w:val="12"/>
              <w:rPr>
                <w:rFonts w:hint="eastAsia" w:cs="Times New Roman"/>
                <w:color w:val="auto"/>
              </w:rPr>
            </w:pPr>
            <w:r>
              <w:rPr>
                <w:rFonts w:hint="eastAsia" w:cs="Times New Roman"/>
                <w:color w:val="auto"/>
              </w:rPr>
              <w:t xml:space="preserve"> 窗口办理流程图：</w:t>
            </w:r>
          </w:p>
          <w:p>
            <w:pPr>
              <w:pStyle w:val="12"/>
              <w:rPr>
                <w:rFonts w:cs="Times New Roman"/>
                <w:color w:val="auto"/>
              </w:rPr>
            </w:pPr>
            <w:r>
              <w:rPr>
                <w:rFonts w:ascii="宋体" w:hAnsi="宋体" w:eastAsia="宋体" w:cs="Times New Roman"/>
                <w:color w:val="auto"/>
                <w:sz w:val="24"/>
                <w:szCs w:val="24"/>
                <w:lang w:val="en-US" w:eastAsia="zh-CN" w:bidi="ar-SA"/>
              </w:rPr>
              <w:drawing>
                <wp:inline distT="0" distB="0" distL="114300" distR="114300">
                  <wp:extent cx="4295775" cy="42386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a:blip>
                          <a:stretch>
                            <a:fillRect/>
                          </a:stretch>
                        </pic:blipFill>
                        <pic:spPr>
                          <a:xfrm>
                            <a:off x="0" y="0"/>
                            <a:ext cx="4295775" cy="42386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办理时限</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现场办理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办理地点</w:t>
            </w:r>
          </w:p>
        </w:tc>
        <w:tc>
          <w:tcPr>
            <w:tcW w:w="7047" w:type="dxa"/>
            <w:tcMar>
              <w:top w:w="0" w:type="dxa"/>
              <w:left w:w="90" w:type="dxa"/>
              <w:bottom w:w="0" w:type="dxa"/>
              <w:right w:w="90" w:type="dxa"/>
            </w:tcMar>
            <w:vAlign w:val="center"/>
          </w:tcPr>
          <w:p>
            <w:pPr>
              <w:pStyle w:val="12"/>
              <w:rPr>
                <w:rFonts w:cs="Times New Roman"/>
                <w:color w:val="auto"/>
              </w:rPr>
            </w:pPr>
            <w:r>
              <w:rPr>
                <w:color w:val="auto"/>
              </w:rPr>
              <w:fldChar w:fldCharType="begin"/>
            </w:r>
            <w:r>
              <w:rPr>
                <w:color w:val="auto"/>
              </w:rPr>
              <w:instrText xml:space="preserve">HYPERLINK "http://10.147.3.69http:/dghrss.dg.gov.cn/sbzw/quickSearch-fixHospital?id=65bf9a085b3c4fdf853d1ff6bd761b23" </w:instrText>
            </w:r>
            <w:r>
              <w:rPr>
                <w:color w:val="auto"/>
              </w:rPr>
              <w:fldChar w:fldCharType="separate"/>
            </w:r>
            <w:r>
              <w:rPr>
                <w:rStyle w:val="16"/>
                <w:rFonts w:hint="eastAsia"/>
                <w:color w:val="auto"/>
                <w:u w:val="none"/>
              </w:rPr>
              <w:t>选定的定点医药机构</w:t>
            </w:r>
            <w:r>
              <w:rPr>
                <w:color w:val="auto"/>
              </w:rPr>
              <w:fldChar w:fldCharType="end"/>
            </w:r>
            <w:r>
              <w:rPr>
                <w:rFonts w:hint="eastAsia" w:cs="Times New Roman"/>
                <w:color w:val="auto"/>
              </w:rPr>
              <w:t>门诊收费处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办理机构</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选定的定点医药机构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收费标准</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办理本事项无需收费，个人自费医疗费需自行支付。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办理时间</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周一至周五早上08:00-12:00，下午14:30-17:30（注：由于部分定点医药机构办理时间不一致，请以选定点的医药机构办公时间为准）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联系电话</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 xml:space="preserve">0769—12345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相关表格下载</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8"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温馨提示</w:t>
            </w:r>
          </w:p>
        </w:tc>
        <w:tc>
          <w:tcPr>
            <w:tcW w:w="7047" w:type="dxa"/>
            <w:tcMar>
              <w:top w:w="0" w:type="dxa"/>
              <w:left w:w="90" w:type="dxa"/>
              <w:bottom w:w="0" w:type="dxa"/>
              <w:right w:w="90" w:type="dxa"/>
            </w:tcMar>
            <w:vAlign w:val="center"/>
          </w:tcPr>
          <w:p>
            <w:pPr>
              <w:pStyle w:val="12"/>
              <w:rPr>
                <w:rFonts w:cs="Times New Roman"/>
                <w:color w:val="auto"/>
              </w:rPr>
            </w:pPr>
            <w:r>
              <w:rPr>
                <w:rFonts w:hint="eastAsia" w:cs="Times New Roman"/>
                <w:color w:val="auto"/>
              </w:rPr>
              <w:t>无</w:t>
            </w:r>
          </w:p>
        </w:tc>
      </w:tr>
    </w:tbl>
    <w:p>
      <w:pPr>
        <w:pStyle w:val="12"/>
      </w:pPr>
      <w:r>
        <w:rPr>
          <w:rFonts w:hint="eastAsia"/>
        </w:rPr>
        <w:t xml:space="preserve"> </w:t>
      </w:r>
    </w:p>
    <w:p>
      <w:pPr>
        <w:pStyle w:val="12"/>
        <w:rPr>
          <w:rFonts w:hint="eastAsia"/>
        </w:rPr>
      </w:pPr>
      <w:r>
        <w:rPr>
          <w:rFonts w:hint="eastAsia"/>
        </w:rPr>
        <w:t xml:space="preserve"> </w:t>
      </w:r>
    </w:p>
    <w:sectPr>
      <w:pgSz w:w="11907" w:h="16839"/>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Tg2YzM3N2NmNjZhNDM1OTIwYjhmNWY4N2QzYWEifQ=="/>
  </w:docVars>
  <w:rsids>
    <w:rsidRoot w:val="00374DFF"/>
    <w:rsid w:val="00374DFF"/>
    <w:rsid w:val="008B2808"/>
    <w:rsid w:val="05D602E9"/>
    <w:rsid w:val="20E26C19"/>
    <w:rsid w:val="26FE7E43"/>
    <w:rsid w:val="2DBD1DAA"/>
    <w:rsid w:val="4A3F5F14"/>
    <w:rsid w:val="652717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spacing w:before="100" w:beforeAutospacing="1" w:after="100" w:afterAutospacing="1"/>
      <w:outlineLvl w:val="0"/>
    </w:pPr>
    <w:rPr>
      <w:b/>
      <w:bCs/>
      <w:kern w:val="44"/>
      <w:sz w:val="48"/>
      <w:szCs w:val="48"/>
    </w:rPr>
  </w:style>
  <w:style w:type="paragraph" w:styleId="3">
    <w:name w:val="heading 2"/>
    <w:basedOn w:val="1"/>
    <w:next w:val="1"/>
    <w:link w:val="18"/>
    <w:qFormat/>
    <w:uiPriority w:val="9"/>
    <w:pPr>
      <w:spacing w:before="100" w:beforeAutospacing="1" w:after="100" w:afterAutospacing="1"/>
      <w:outlineLvl w:val="1"/>
    </w:pPr>
    <w:rPr>
      <w:b/>
      <w:bCs/>
      <w:sz w:val="36"/>
      <w:szCs w:val="36"/>
    </w:rPr>
  </w:style>
  <w:style w:type="paragraph" w:styleId="4">
    <w:name w:val="heading 3"/>
    <w:basedOn w:val="1"/>
    <w:next w:val="1"/>
    <w:link w:val="19"/>
    <w:qFormat/>
    <w:uiPriority w:val="9"/>
    <w:pPr>
      <w:spacing w:before="100" w:beforeAutospacing="1" w:after="100" w:afterAutospacing="1"/>
      <w:outlineLvl w:val="2"/>
    </w:pPr>
    <w:rPr>
      <w:b/>
      <w:bCs/>
      <w:sz w:val="27"/>
      <w:szCs w:val="27"/>
    </w:rPr>
  </w:style>
  <w:style w:type="paragraph" w:styleId="5">
    <w:name w:val="heading 4"/>
    <w:basedOn w:val="1"/>
    <w:next w:val="1"/>
    <w:link w:val="20"/>
    <w:qFormat/>
    <w:uiPriority w:val="9"/>
    <w:pPr>
      <w:spacing w:before="100" w:beforeAutospacing="1" w:after="100" w:afterAutospacing="1"/>
      <w:outlineLvl w:val="3"/>
    </w:pPr>
    <w:rPr>
      <w:b/>
      <w:bCs/>
    </w:rPr>
  </w:style>
  <w:style w:type="paragraph" w:styleId="6">
    <w:name w:val="heading 5"/>
    <w:basedOn w:val="1"/>
    <w:next w:val="1"/>
    <w:link w:val="21"/>
    <w:qFormat/>
    <w:uiPriority w:val="9"/>
    <w:pPr>
      <w:spacing w:before="100" w:beforeAutospacing="1" w:after="100" w:afterAutospacing="1"/>
      <w:outlineLvl w:val="4"/>
    </w:pPr>
    <w:rPr>
      <w:b/>
      <w:bCs/>
      <w:sz w:val="20"/>
      <w:szCs w:val="20"/>
    </w:rPr>
  </w:style>
  <w:style w:type="paragraph" w:styleId="7">
    <w:name w:val="heading 6"/>
    <w:basedOn w:val="1"/>
    <w:next w:val="1"/>
    <w:link w:val="22"/>
    <w:qFormat/>
    <w:uiPriority w:val="9"/>
    <w:pPr>
      <w:spacing w:before="100" w:beforeAutospacing="1" w:after="100" w:afterAutospacing="1"/>
      <w:outlineLvl w:val="5"/>
    </w:pPr>
    <w:rPr>
      <w:b/>
      <w:bCs/>
      <w:sz w:val="15"/>
      <w:szCs w:val="15"/>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Balloon Text"/>
    <w:basedOn w:val="1"/>
    <w:link w:val="26"/>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unhideWhenUsed/>
    <w:qFormat/>
    <w:uiPriority w:val="99"/>
    <w:pPr>
      <w:spacing w:before="100" w:beforeAutospacing="1" w:after="100" w:afterAutospacing="1"/>
    </w:pPr>
  </w:style>
  <w:style w:type="character" w:styleId="15">
    <w:name w:val="FollowedHyperlink"/>
    <w:basedOn w:val="14"/>
    <w:unhideWhenUsed/>
    <w:qFormat/>
    <w:uiPriority w:val="99"/>
    <w:rPr>
      <w:color w:val="800080"/>
      <w:u w:val="single"/>
    </w:rPr>
  </w:style>
  <w:style w:type="character" w:styleId="16">
    <w:name w:val="Hyperlink"/>
    <w:basedOn w:val="14"/>
    <w:unhideWhenUsed/>
    <w:qFormat/>
    <w:uiPriority w:val="99"/>
    <w:rPr>
      <w:color w:val="0000FF"/>
      <w:u w:val="single"/>
    </w:rPr>
  </w:style>
  <w:style w:type="character" w:customStyle="1" w:styleId="17">
    <w:name w:val="标题 1 Char"/>
    <w:basedOn w:val="14"/>
    <w:link w:val="2"/>
    <w:qFormat/>
    <w:locked/>
    <w:uiPriority w:val="9"/>
    <w:rPr>
      <w:rFonts w:hint="eastAsia" w:ascii="宋体" w:hAnsi="宋体" w:eastAsia="宋体" w:cs="宋体"/>
      <w:b/>
      <w:bCs/>
      <w:kern w:val="44"/>
      <w:sz w:val="44"/>
      <w:szCs w:val="44"/>
    </w:rPr>
  </w:style>
  <w:style w:type="character" w:customStyle="1" w:styleId="18">
    <w:name w:val="标题 2 Char"/>
    <w:basedOn w:val="14"/>
    <w:link w:val="3"/>
    <w:qFormat/>
    <w:locked/>
    <w:uiPriority w:val="9"/>
    <w:rPr>
      <w:rFonts w:hint="default" w:ascii="Cambria" w:hAnsi="Cambria"/>
      <w:b/>
      <w:bCs/>
      <w:sz w:val="32"/>
      <w:szCs w:val="32"/>
    </w:rPr>
  </w:style>
  <w:style w:type="character" w:customStyle="1" w:styleId="19">
    <w:name w:val="标题 3 Char"/>
    <w:basedOn w:val="14"/>
    <w:link w:val="4"/>
    <w:qFormat/>
    <w:locked/>
    <w:uiPriority w:val="9"/>
    <w:rPr>
      <w:rFonts w:hint="eastAsia" w:ascii="宋体" w:hAnsi="宋体" w:eastAsia="宋体" w:cs="宋体"/>
      <w:b/>
      <w:bCs/>
      <w:sz w:val="32"/>
      <w:szCs w:val="32"/>
    </w:rPr>
  </w:style>
  <w:style w:type="character" w:customStyle="1" w:styleId="20">
    <w:name w:val="标题 4 Char"/>
    <w:basedOn w:val="14"/>
    <w:link w:val="5"/>
    <w:qFormat/>
    <w:locked/>
    <w:uiPriority w:val="9"/>
    <w:rPr>
      <w:rFonts w:hint="default" w:ascii="Cambria" w:hAnsi="Cambria"/>
      <w:b/>
      <w:bCs/>
      <w:sz w:val="28"/>
      <w:szCs w:val="28"/>
    </w:rPr>
  </w:style>
  <w:style w:type="character" w:customStyle="1" w:styleId="21">
    <w:name w:val="标题 5 Char"/>
    <w:basedOn w:val="14"/>
    <w:link w:val="6"/>
    <w:qFormat/>
    <w:locked/>
    <w:uiPriority w:val="9"/>
    <w:rPr>
      <w:rFonts w:hint="eastAsia" w:ascii="宋体" w:hAnsi="宋体" w:eastAsia="宋体" w:cs="宋体"/>
      <w:b/>
      <w:bCs/>
      <w:sz w:val="28"/>
      <w:szCs w:val="28"/>
    </w:rPr>
  </w:style>
  <w:style w:type="character" w:customStyle="1" w:styleId="22">
    <w:name w:val="标题 6 Char"/>
    <w:basedOn w:val="14"/>
    <w:link w:val="7"/>
    <w:qFormat/>
    <w:locked/>
    <w:uiPriority w:val="9"/>
    <w:rPr>
      <w:rFonts w:hint="default" w:ascii="Cambria" w:hAnsi="Cambria"/>
      <w:b/>
      <w:bCs/>
      <w:sz w:val="24"/>
      <w:szCs w:val="24"/>
    </w:rPr>
  </w:style>
  <w:style w:type="character" w:customStyle="1" w:styleId="23">
    <w:name w:val="HTML 预设格式 Char"/>
    <w:basedOn w:val="14"/>
    <w:link w:val="11"/>
    <w:qFormat/>
    <w:locked/>
    <w:uiPriority w:val="99"/>
    <w:rPr>
      <w:rFonts w:hint="default" w:ascii="Courier New" w:hAnsi="Courier New" w:eastAsia="宋体" w:cs="Courier New"/>
    </w:rPr>
  </w:style>
  <w:style w:type="character" w:customStyle="1" w:styleId="24">
    <w:name w:val="页眉 Char"/>
    <w:basedOn w:val="14"/>
    <w:link w:val="10"/>
    <w:qFormat/>
    <w:locked/>
    <w:uiPriority w:val="0"/>
    <w:rPr>
      <w:rFonts w:hint="eastAsia" w:ascii="宋体" w:hAnsi="宋体" w:eastAsia="宋体" w:cs="宋体"/>
      <w:sz w:val="18"/>
      <w:szCs w:val="18"/>
    </w:rPr>
  </w:style>
  <w:style w:type="character" w:customStyle="1" w:styleId="25">
    <w:name w:val="页脚 Char"/>
    <w:basedOn w:val="14"/>
    <w:link w:val="9"/>
    <w:qFormat/>
    <w:locked/>
    <w:uiPriority w:val="0"/>
    <w:rPr>
      <w:rFonts w:hint="eastAsia" w:ascii="宋体" w:hAnsi="宋体" w:eastAsia="宋体" w:cs="宋体"/>
      <w:sz w:val="18"/>
      <w:szCs w:val="18"/>
    </w:rPr>
  </w:style>
  <w:style w:type="character" w:customStyle="1" w:styleId="26">
    <w:name w:val="批注框文本 Char"/>
    <w:basedOn w:val="14"/>
    <w:link w:val="8"/>
    <w:qFormat/>
    <w:locked/>
    <w:uiPriority w:val="99"/>
    <w:rPr>
      <w:rFonts w:hint="eastAsia" w:ascii="宋体" w:hAnsi="宋体" w:eastAsia="宋体" w:cs="宋体"/>
      <w:sz w:val="18"/>
      <w:szCs w:val="18"/>
    </w:rPr>
  </w:style>
  <w:style w:type="character" w:customStyle="1" w:styleId="27">
    <w:name w:val="10"/>
    <w:basedOn w:val="14"/>
    <w:qFormat/>
    <w:uiPriority w:val="0"/>
    <w:rPr>
      <w:rFonts w:hint="default" w:ascii="Times New Roman" w:hAnsi="Times New Roman" w:cs="Times New Roman"/>
    </w:rPr>
  </w:style>
  <w:style w:type="character" w:customStyle="1" w:styleId="28">
    <w:name w:val="15"/>
    <w:basedOn w:val="14"/>
    <w:qFormat/>
    <w:uiPriority w:val="0"/>
    <w:rPr>
      <w:rFonts w:hint="default" w:ascii="Times New Roman" w:hAnsi="Times New Roman" w:cs="Times New Roman"/>
      <w:color w:val="0000FF"/>
      <w:u w:val="single"/>
    </w:rPr>
  </w:style>
  <w:style w:type="paragraph" w:customStyle="1" w:styleId="29">
    <w:name w:val="普通(网站) Char"/>
    <w:basedOn w:val="1"/>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975</Words>
  <Characters>1016</Characters>
  <Lines>8</Lines>
  <Paragraphs>2</Paragraphs>
  <TotalTime>0</TotalTime>
  <ScaleCrop>false</ScaleCrop>
  <LinksUpToDate>false</LinksUpToDate>
  <CharactersWithSpaces>1025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2021-07-02T01:21:00Z</dcterms:created>
  <dc:creator>詹文仲()</dc:creator>
  <cp:lastModifiedBy>周先进</cp:lastModifiedBy>
  <dcterms:modified xsi:type="dcterms:W3CDTF">2024-01-09T02:53:47Z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CA384BD606C7440F9AB72B1D421668B5</vt:lpwstr>
  </property>
</Properties>
</file>