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300"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70"/>
        <w:gridCol w:w="8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7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事项名称</w:t>
            </w:r>
          </w:p>
        </w:tc>
        <w:tc>
          <w:tcPr>
            <w:tcW w:w="813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门诊特定病种申请流程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7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设定依据</w:t>
            </w:r>
          </w:p>
        </w:tc>
        <w:tc>
          <w:tcPr>
            <w:tcW w:w="813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《东莞市医疗保障局关于基本医疗保险门诊特定病种管理有关事项的通知》</w:t>
            </w:r>
            <w:r>
              <w:rPr>
                <w:rFonts w:hint="eastAsia" w:cs="Times New Roman"/>
                <w:color w:val="auto"/>
                <w:lang w:eastAsia="zh-CN"/>
              </w:rPr>
              <w:t>（东医保〔2023〕68号）</w:t>
            </w:r>
          </w:p>
          <w:p>
            <w:pPr>
              <w:spacing w:line="600" w:lineRule="exact"/>
              <w:ind w:firstLine="480" w:firstLineChars="200"/>
              <w:rPr>
                <w:rFonts w:hint="eastAsia" w:cs="Times New Roman"/>
                <w:color w:val="auto"/>
              </w:rPr>
            </w:pPr>
            <w:r>
              <w:rPr>
                <w:rFonts w:hint="eastAsia" w:cs="Times New Roman"/>
                <w:color w:val="auto"/>
              </w:rPr>
              <w:t>五、参保人申请门特认定的，应当在符合条件医疗机构确诊并办理审核确认手续。定点医疗机构开展门特待遇认定，按照相应门特准入标准予以审核确认；既往已确诊的，可根据既往化验单、诊断书等予以审核确认。</w:t>
            </w:r>
          </w:p>
          <w:p>
            <w:pPr>
              <w:spacing w:line="600" w:lineRule="exact"/>
              <w:ind w:firstLine="480" w:firstLineChars="200"/>
              <w:rPr>
                <w:color w:val="auto"/>
              </w:rPr>
            </w:pPr>
            <w:r>
              <w:rPr>
                <w:rFonts w:hint="eastAsia" w:cs="Times New Roman"/>
                <w:color w:val="auto"/>
              </w:rPr>
              <w:t>门特的准入标准及待遇享受有效期按省有关规定执行，省未予明确的，由市医疗保障行政部门制定。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117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申请条件</w:t>
            </w:r>
          </w:p>
        </w:tc>
        <w:tc>
          <w:tcPr>
            <w:tcW w:w="813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参保人所患疾病应符合我市门特病种范围及病种认定标准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1" w:hRule="atLeast"/>
        </w:trPr>
        <w:tc>
          <w:tcPr>
            <w:tcW w:w="117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办理材料</w:t>
            </w:r>
          </w:p>
        </w:tc>
        <w:tc>
          <w:tcPr>
            <w:tcW w:w="813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1、</w:t>
            </w:r>
            <w:r>
              <w:rPr>
                <w:rFonts w:hint="eastAsia" w:cs="Times New Roman"/>
                <w:color w:val="auto"/>
                <w:lang w:eastAsia="zh-CN"/>
              </w:rPr>
              <w:t>《</w:t>
            </w:r>
            <w:r>
              <w:rPr>
                <w:rFonts w:hint="eastAsia" w:cs="Times New Roman"/>
                <w:color w:val="auto"/>
              </w:rPr>
              <w:t>门诊特定病种待遇认定申请表》原件（由医生填写），纸质，1份；</w:t>
            </w:r>
          </w:p>
          <w:p>
            <w:pPr>
              <w:pStyle w:val="12"/>
              <w:rPr>
                <w:rFonts w:hint="eastAsia" w:cs="Times New Roman"/>
                <w:color w:val="auto"/>
              </w:rPr>
            </w:pPr>
            <w:r>
              <w:rPr>
                <w:rFonts w:hint="eastAsia" w:cs="Times New Roman"/>
                <w:color w:val="auto"/>
              </w:rPr>
              <w:t>2、</w:t>
            </w:r>
            <w:r>
              <w:rPr>
                <w:rFonts w:hint="eastAsia" w:cs="Times New Roman"/>
                <w:color w:val="auto"/>
                <w:lang w:eastAsia="zh-CN"/>
              </w:rPr>
              <w:t>《门诊特定病种就医医疗机构定点表》</w:t>
            </w:r>
            <w:r>
              <w:rPr>
                <w:rFonts w:hint="eastAsia" w:cs="Times New Roman"/>
                <w:color w:val="auto"/>
              </w:rPr>
              <w:t>原件（由</w:t>
            </w:r>
            <w:r>
              <w:rPr>
                <w:rFonts w:hint="eastAsia" w:cs="Times New Roman"/>
                <w:color w:val="auto"/>
                <w:lang w:eastAsia="zh-CN"/>
              </w:rPr>
              <w:t>参保人</w:t>
            </w:r>
            <w:r>
              <w:rPr>
                <w:rFonts w:hint="eastAsia" w:cs="Times New Roman"/>
                <w:color w:val="auto"/>
              </w:rPr>
              <w:t>填写），纸质，1份；</w:t>
            </w:r>
          </w:p>
          <w:p>
            <w:pPr>
              <w:pStyle w:val="12"/>
              <w:rPr>
                <w:rFonts w:hint="eastAsia" w:cs="Times New Roman"/>
                <w:color w:val="auto"/>
              </w:rPr>
            </w:pPr>
            <w:r>
              <w:rPr>
                <w:rFonts w:hint="eastAsia" w:cs="Times New Roman"/>
                <w:color w:val="auto"/>
                <w:lang w:val="en-US" w:eastAsia="zh-CN"/>
              </w:rPr>
              <w:t>3、</w:t>
            </w:r>
            <w:r>
              <w:rPr>
                <w:rFonts w:hint="eastAsia" w:cs="Times New Roman"/>
                <w:color w:val="auto"/>
              </w:rPr>
              <w:t>近三个月相关的病历资料复印件，纸质，1份；</w:t>
            </w:r>
          </w:p>
          <w:p>
            <w:pPr>
              <w:pStyle w:val="12"/>
              <w:rPr>
                <w:rFonts w:hint="eastAsia" w:cs="Times New Roman"/>
                <w:color w:val="auto"/>
              </w:rPr>
            </w:pPr>
            <w:r>
              <w:rPr>
                <w:rFonts w:hint="eastAsia" w:cs="Times New Roman"/>
                <w:color w:val="auto"/>
                <w:lang w:val="en-US" w:eastAsia="zh-CN"/>
              </w:rPr>
              <w:t>4</w:t>
            </w:r>
            <w:r>
              <w:rPr>
                <w:rFonts w:hint="eastAsia" w:cs="Times New Roman"/>
                <w:color w:val="auto"/>
              </w:rPr>
              <w:t>、确诊门特病种的相关检查、化验结果报告复印件，纸质，1份）；</w:t>
            </w:r>
          </w:p>
          <w:p>
            <w:pPr>
              <w:pStyle w:val="12"/>
              <w:rPr>
                <w:rFonts w:cs="Times New Roman"/>
                <w:color w:val="auto"/>
              </w:rPr>
            </w:pPr>
            <w:r>
              <w:rPr>
                <w:rFonts w:hint="eastAsia" w:cs="Times New Roman"/>
                <w:color w:val="auto"/>
                <w:lang w:val="en-US" w:eastAsia="zh-CN"/>
              </w:rPr>
              <w:t>5</w:t>
            </w:r>
            <w:r>
              <w:rPr>
                <w:rFonts w:hint="eastAsia" w:cs="Times New Roman"/>
                <w:color w:val="auto"/>
              </w:rPr>
              <w:t>、本人社会保障卡</w:t>
            </w:r>
            <w:r>
              <w:rPr>
                <w:rFonts w:hint="eastAsia" w:cs="Times New Roman"/>
                <w:color w:val="auto"/>
                <w:lang w:val="en-US" w:eastAsia="zh-CN"/>
              </w:rPr>
              <w:t>正面</w:t>
            </w:r>
            <w:r>
              <w:rPr>
                <w:rFonts w:hint="eastAsia" w:cs="Times New Roman"/>
                <w:color w:val="auto"/>
              </w:rPr>
              <w:t>或身份证正反两面复印件，他人代办的需同时提供代办人社会保障卡</w:t>
            </w:r>
            <w:r>
              <w:rPr>
                <w:rFonts w:hint="eastAsia" w:cs="Times New Roman"/>
                <w:color w:val="auto"/>
                <w:lang w:val="en-US" w:eastAsia="zh-CN"/>
              </w:rPr>
              <w:t>正面</w:t>
            </w:r>
            <w:r>
              <w:rPr>
                <w:rFonts w:hint="eastAsia" w:cs="Times New Roman"/>
                <w:color w:val="auto"/>
              </w:rPr>
              <w:t>或身份证正反两面复印件，纸质，1份；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1" w:hRule="atLeast"/>
        </w:trPr>
        <w:tc>
          <w:tcPr>
            <w:tcW w:w="117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办理流程</w:t>
            </w:r>
          </w:p>
        </w:tc>
        <w:tc>
          <w:tcPr>
            <w:tcW w:w="813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窗口办理流程：</w:t>
            </w:r>
          </w:p>
          <w:p>
            <w:pPr>
              <w:pStyle w:val="12"/>
              <w:rPr>
                <w:rFonts w:hint="eastAsia" w:cs="Times New Roman"/>
                <w:color w:val="auto"/>
              </w:rPr>
            </w:pPr>
            <w:r>
              <w:rPr>
                <w:rFonts w:hint="eastAsia" w:cs="Times New Roman"/>
                <w:color w:val="auto"/>
              </w:rPr>
              <w:t xml:space="preserve"> 一、申请。申请人通过现场方式提出申请，按要求提交纸质申请材料。</w:t>
            </w:r>
          </w:p>
          <w:p>
            <w:pPr>
              <w:pStyle w:val="12"/>
              <w:rPr>
                <w:rFonts w:hint="eastAsia" w:cs="Times New Roman"/>
                <w:color w:val="auto"/>
              </w:rPr>
            </w:pPr>
            <w:r>
              <w:rPr>
                <w:rFonts w:hint="eastAsia" w:cs="Times New Roman"/>
                <w:color w:val="auto"/>
              </w:rPr>
              <w:t xml:space="preserve"> 二、受理。工作人员收到申请材料之日起即时做出受理或不予受理决定。经审查，参保人符合申请资格，并材料齐全、格式规范、符合法定形式的，予以受理；参保人不符合申请资格的，不予受理，出具《东莞市医疗保障零星报销退单通知书》由参保人签字确认后交参保人；材料不齐全、格式不规范、不符合法定形式的，不予受理，填写《东莞市医疗保障零星报销补资料通知单》由参保人签字确认后交一联参保人并一次性告知需要补正的全部内容。</w:t>
            </w:r>
          </w:p>
          <w:p>
            <w:pPr>
              <w:pStyle w:val="12"/>
              <w:rPr>
                <w:rFonts w:hint="eastAsia" w:cs="Times New Roman"/>
                <w:color w:val="auto"/>
              </w:rPr>
            </w:pPr>
            <w:r>
              <w:rPr>
                <w:rFonts w:hint="eastAsia" w:cs="Times New Roman"/>
                <w:color w:val="auto"/>
              </w:rPr>
              <w:t xml:space="preserve"> 三、审查。受理后，审查人员对材料进行书面审查，在承诺办理时限内作出批复。</w:t>
            </w:r>
          </w:p>
          <w:p>
            <w:pPr>
              <w:pStyle w:val="12"/>
              <w:rPr>
                <w:rFonts w:hint="eastAsia" w:cs="Times New Roman"/>
                <w:color w:val="auto"/>
              </w:rPr>
            </w:pPr>
            <w:r>
              <w:rPr>
                <w:rFonts w:hint="eastAsia" w:cs="Times New Roman"/>
                <w:color w:val="auto"/>
              </w:rPr>
              <w:t xml:space="preserve"> 四、决定。参保人符合法定资格、标准且材料齐全、格式规范、符合法定形式的，出具《</w:t>
            </w:r>
            <w:r>
              <w:rPr>
                <w:rFonts w:hint="eastAsia" w:ascii="宋体" w:hAnsi="宋体" w:eastAsia="宋体" w:cs="宋体"/>
                <w:color w:val="auto"/>
                <w:kern w:val="0"/>
                <w:sz w:val="24"/>
                <w:szCs w:val="24"/>
              </w:rPr>
              <w:t>门慢门特登记表</w:t>
            </w:r>
            <w:r>
              <w:rPr>
                <w:rFonts w:hint="eastAsia" w:cs="Times New Roman"/>
                <w:color w:val="auto"/>
              </w:rPr>
              <w:t>》交参保人；参保人不符合法定资格的，不予通过，告知参保人不予通过原因；材料不齐全、格式不规范、不符合法定形式的填写《东莞市社会保险医疗及生育待遇申领补资料通知单》交参保人补充材料。</w:t>
            </w:r>
          </w:p>
          <w:p>
            <w:pPr>
              <w:pStyle w:val="12"/>
              <w:rPr>
                <w:rFonts w:hint="eastAsia" w:cs="Times New Roman"/>
                <w:color w:val="auto"/>
              </w:rPr>
            </w:pPr>
            <w:r>
              <w:rPr>
                <w:rFonts w:hint="eastAsia" w:cs="Times New Roman"/>
                <w:color w:val="auto"/>
              </w:rPr>
              <w:t xml:space="preserve"> 办理流程图：</w:t>
            </w:r>
          </w:p>
          <w:p>
            <w:pPr>
              <w:pStyle w:val="12"/>
              <w:rPr>
                <w:rFonts w:ascii="宋体" w:hAnsi="宋体" w:eastAsia="宋体" w:cs="Times New Roman"/>
                <w:color w:val="auto"/>
                <w:sz w:val="24"/>
                <w:szCs w:val="24"/>
                <w:lang w:val="en-US" w:eastAsia="zh-CN" w:bidi="ar-SA"/>
              </w:rPr>
            </w:pPr>
            <w:r>
              <w:rPr>
                <w:rFonts w:ascii="宋体" w:hAnsi="宋体" w:eastAsia="宋体" w:cs="Times New Roman"/>
                <w:color w:val="auto"/>
                <w:sz w:val="24"/>
                <w:szCs w:val="24"/>
                <w:lang w:val="en-US" w:eastAsia="zh-CN" w:bidi="ar-SA"/>
              </w:rPr>
              <w:drawing>
                <wp:inline distT="0" distB="0" distL="114300" distR="114300">
                  <wp:extent cx="5020945" cy="3724275"/>
                  <wp:effectExtent l="0" t="0" r="825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lum/>
                          </a:blip>
                          <a:stretch>
                            <a:fillRect/>
                          </a:stretch>
                        </pic:blipFill>
                        <pic:spPr>
                          <a:xfrm>
                            <a:off x="0" y="0"/>
                            <a:ext cx="5020945" cy="3724275"/>
                          </a:xfrm>
                          <a:prstGeom prst="rect">
                            <a:avLst/>
                          </a:prstGeom>
                          <a:noFill/>
                          <a:ln>
                            <a:noFill/>
                          </a:ln>
                        </pic:spPr>
                      </pic:pic>
                    </a:graphicData>
                  </a:graphic>
                </wp:inline>
              </w:drawing>
            </w:r>
          </w:p>
          <w:p>
            <w:pPr>
              <w:pStyle w:val="12"/>
              <w:rPr>
                <w:rFonts w:hint="default" w:ascii="宋体" w:hAnsi="宋体" w:eastAsia="宋体" w:cs="Times New Roman"/>
                <w:color w:val="auto"/>
                <w:sz w:val="24"/>
                <w:szCs w:val="24"/>
                <w:lang w:val="en-US" w:eastAsia="zh-CN" w:bidi="ar-SA"/>
              </w:rPr>
            </w:pPr>
            <w:r>
              <w:rPr>
                <w:rFonts w:hint="eastAsia" w:cs="Times New Roman"/>
                <w:color w:val="auto"/>
                <w:sz w:val="24"/>
                <w:szCs w:val="24"/>
                <w:lang w:val="en-US" w:eastAsia="zh-CN" w:bidi="ar-SA"/>
              </w:rPr>
              <w:t>网上办理流程：</w:t>
            </w:r>
          </w:p>
          <w:p>
            <w:pPr>
              <w:pStyle w:val="12"/>
              <w:numPr>
                <w:ilvl w:val="0"/>
                <w:numId w:val="1"/>
              </w:num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申请：登录网址：http://zwfw.dg.gov.cn/html/portal/apply/selfExamine.html?itemCode=11441900MB2C90186Q3442189211001，提交办理申请； </w:t>
            </w:r>
          </w:p>
          <w:p>
            <w:pPr>
              <w:pStyle w:val="12"/>
              <w:numPr>
                <w:ilvl w:val="0"/>
                <w:numId w:val="1"/>
              </w:numPr>
              <w:rPr>
                <w:rFonts w:ascii="宋体" w:hAnsi="宋体" w:eastAsia="宋体" w:cs="Times New Roman"/>
                <w:color w:val="auto"/>
                <w:sz w:val="24"/>
                <w:szCs w:val="24"/>
                <w:lang w:val="en-US" w:eastAsia="zh-CN" w:bidi="ar-SA"/>
              </w:rPr>
            </w:pPr>
            <w:r>
              <w:rPr>
                <w:rFonts w:hint="eastAsia" w:ascii="宋体" w:hAnsi="宋体" w:eastAsia="宋体" w:cs="宋体"/>
                <w:color w:val="auto"/>
                <w:kern w:val="0"/>
                <w:sz w:val="24"/>
                <w:szCs w:val="24"/>
              </w:rPr>
              <w:t>受理：上传相关材料电子版，符合办理条件进入资料审查环节；</w:t>
            </w:r>
          </w:p>
          <w:p>
            <w:pPr>
              <w:pStyle w:val="12"/>
              <w:numPr>
                <w:ilvl w:val="0"/>
                <w:numId w:val="1"/>
              </w:numPr>
              <w:rPr>
                <w:rFonts w:ascii="宋体" w:hAnsi="宋体" w:eastAsia="宋体" w:cs="Times New Roman"/>
                <w:color w:val="auto"/>
                <w:sz w:val="24"/>
                <w:szCs w:val="24"/>
                <w:lang w:val="en-US" w:eastAsia="zh-CN" w:bidi="ar-SA"/>
              </w:rPr>
            </w:pPr>
            <w:r>
              <w:rPr>
                <w:rFonts w:hint="eastAsia" w:ascii="宋体" w:hAnsi="宋体" w:eastAsia="宋体" w:cs="宋体"/>
                <w:color w:val="auto"/>
                <w:kern w:val="0"/>
                <w:sz w:val="24"/>
                <w:szCs w:val="24"/>
              </w:rPr>
              <w:t xml:space="preserve">审查。申请人符合申请资格，并材料齐全、格式规范、符合法定形式的，予以预审通过；申请人提交材料不完整的，经办人员应当自收到即时作出一次性告知申请人需要补正的全部内容，后申请人重新申请；申请人不符合申请资格，或申请不符合法定要求的，预审不通过。 </w:t>
            </w:r>
          </w:p>
          <w:p>
            <w:pPr>
              <w:pStyle w:val="12"/>
              <w:numPr>
                <w:ilvl w:val="0"/>
                <w:numId w:val="1"/>
              </w:numPr>
              <w:rPr>
                <w:rFonts w:ascii="宋体" w:hAnsi="宋体" w:eastAsia="宋体" w:cs="Times New Roman"/>
                <w:color w:val="auto"/>
                <w:sz w:val="24"/>
                <w:szCs w:val="24"/>
                <w:lang w:val="en-US" w:eastAsia="zh-CN" w:bidi="ar-SA"/>
              </w:rPr>
            </w:pPr>
            <w:r>
              <w:rPr>
                <w:rFonts w:hint="eastAsia" w:ascii="宋体" w:hAnsi="宋体" w:eastAsia="宋体" w:cs="宋体"/>
                <w:color w:val="auto"/>
                <w:kern w:val="0"/>
                <w:sz w:val="24"/>
                <w:szCs w:val="24"/>
              </w:rPr>
              <w:t>决定。根据审查结果作出决定，申请人符合申请资格，并材料齐全、格式规范、符合法定形式的，经办人员发送短信到申请人电话号码告知预审通过，申请人可在i莞家APP我的-个人中心-我的预约办事-我的办件或i莞家小程序个人中心-我的办件查询办事进度以及下载《门慢门特登记信息》。申请人提交材料不完整的，经办人员一次性告知申请人需要补正的全部内容，后申请人重新申请；申请人不符合申请资格，或申请不符合法定要求的，经办人员发送短信一次性告知预审不通过原因。</w:t>
            </w:r>
          </w:p>
          <w:p>
            <w:pPr>
              <w:pStyle w:val="12"/>
              <w:numPr>
                <w:numId w:val="0"/>
              </w:numPr>
              <w:rPr>
                <w:rFonts w:hint="default" w:ascii="宋体" w:hAnsi="宋体" w:eastAsia="宋体" w:cs="Times New Roman"/>
                <w:color w:val="auto"/>
                <w:sz w:val="24"/>
                <w:szCs w:val="24"/>
                <w:lang w:val="en-US" w:eastAsia="zh-CN" w:bidi="ar-SA"/>
              </w:rPr>
            </w:pPr>
            <w:r>
              <w:rPr>
                <w:rFonts w:hint="eastAsia" w:cs="Times New Roman"/>
                <w:color w:val="auto"/>
                <w:sz w:val="24"/>
                <w:szCs w:val="24"/>
                <w:lang w:val="en-US" w:eastAsia="zh-CN" w:bidi="ar-SA"/>
              </w:rPr>
              <w:t>网上办理流程图：</w:t>
            </w:r>
            <w:bookmarkStart w:id="0" w:name="_GoBack"/>
            <w:bookmarkEnd w:id="0"/>
          </w:p>
          <w:p>
            <w:pPr>
              <w:pStyle w:val="12"/>
              <w:numPr>
                <w:numId w:val="0"/>
              </w:numPr>
              <w:jc w:val="center"/>
              <w:rPr>
                <w:rFonts w:ascii="宋体" w:hAnsi="宋体" w:eastAsia="宋体" w:cs="Times New Roman"/>
                <w:color w:val="auto"/>
                <w:sz w:val="24"/>
                <w:szCs w:val="24"/>
                <w:lang w:val="en-US" w:eastAsia="zh-CN" w:bidi="ar-SA"/>
              </w:rPr>
            </w:pPr>
            <w:r>
              <w:rPr>
                <w:rFonts w:ascii="宋体" w:hAnsi="宋体" w:eastAsia="宋体" w:cs="Times New Roman"/>
                <w:color w:val="auto"/>
                <w:sz w:val="24"/>
                <w:szCs w:val="24"/>
                <w:lang w:val="en-US" w:eastAsia="zh-CN" w:bidi="ar-SA"/>
              </w:rPr>
              <w:drawing>
                <wp:inline distT="0" distB="0" distL="114300" distR="114300">
                  <wp:extent cx="4533900" cy="4152900"/>
                  <wp:effectExtent l="0" t="0" r="0" b="0"/>
                  <wp:docPr id="2" name="图片 2" descr="网上预审办理流程图-门特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网上预审办理流程图-门特备案"/>
                          <pic:cNvPicPr>
                            <a:picLocks noChangeAspect="1"/>
                          </pic:cNvPicPr>
                        </pic:nvPicPr>
                        <pic:blipFill>
                          <a:blip r:embed="rId5"/>
                          <a:stretch>
                            <a:fillRect/>
                          </a:stretch>
                        </pic:blipFill>
                        <pic:spPr>
                          <a:xfrm>
                            <a:off x="0" y="0"/>
                            <a:ext cx="4533900" cy="415290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7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办理时限</w:t>
            </w:r>
          </w:p>
        </w:tc>
        <w:tc>
          <w:tcPr>
            <w:tcW w:w="813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现场办结，情况特殊的，视具体情况适当延长。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7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办理地点</w:t>
            </w:r>
          </w:p>
        </w:tc>
        <w:tc>
          <w:tcPr>
            <w:tcW w:w="813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color w:val="auto"/>
              </w:rPr>
              <w:fldChar w:fldCharType="begin"/>
            </w:r>
            <w:r>
              <w:rPr>
                <w:color w:val="auto"/>
              </w:rPr>
              <w:instrText xml:space="preserve">HYPERLINK "http://10.147.3.69http:/dghrss.dg.gov.cn/sbzw/quickSearch-fixHospital?id=65bf9a085b3c4fdf853d1ff6bd761b23" </w:instrText>
            </w:r>
            <w:r>
              <w:rPr>
                <w:color w:val="auto"/>
              </w:rPr>
              <w:fldChar w:fldCharType="separate"/>
            </w:r>
            <w:r>
              <w:rPr>
                <w:rFonts w:hint="eastAsia" w:cs="Times New Roman"/>
                <w:color w:val="auto"/>
              </w:rPr>
              <w:t>医疗保险联网定点医院</w:t>
            </w:r>
            <w:r>
              <w:rPr>
                <w:color w:val="auto"/>
              </w:rPr>
              <w:fldChar w:fldCharType="end"/>
            </w:r>
            <w:r>
              <w:rPr>
                <w:rFonts w:hint="eastAsia" w:cs="Times New Roman"/>
                <w:color w:val="auto"/>
              </w:rPr>
              <w:t>医保办</w:t>
            </w:r>
            <w:r>
              <w:rPr>
                <w:rFonts w:hint="eastAsia" w:cs="Times New Roman"/>
                <w:color w:val="auto"/>
                <w:lang w:val="en-US" w:eastAsia="zh-CN"/>
              </w:rPr>
              <w:t>/全市各医疗保险经办机构（异地备案人员）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7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办理机构</w:t>
            </w:r>
          </w:p>
        </w:tc>
        <w:tc>
          <w:tcPr>
            <w:tcW w:w="813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color w:val="auto"/>
              </w:rPr>
              <w:fldChar w:fldCharType="begin"/>
            </w:r>
            <w:r>
              <w:rPr>
                <w:color w:val="auto"/>
              </w:rPr>
              <w:instrText xml:space="preserve">HYPERLINK "http://10.147.3.69http:/dghrss.dg.gov.cn/sbzw/quickSearch-fixHospital?id=65bf9a085b3c4fdf853d1ff6bd761b23" </w:instrText>
            </w:r>
            <w:r>
              <w:rPr>
                <w:color w:val="auto"/>
              </w:rPr>
              <w:fldChar w:fldCharType="separate"/>
            </w:r>
            <w:r>
              <w:rPr>
                <w:rFonts w:hint="eastAsia" w:cs="Times New Roman"/>
                <w:color w:val="auto"/>
              </w:rPr>
              <w:t>医疗保险联网定点医院</w:t>
            </w:r>
            <w:r>
              <w:rPr>
                <w:color w:val="auto"/>
              </w:rPr>
              <w:fldChar w:fldCharType="end"/>
            </w:r>
            <w:r>
              <w:rPr>
                <w:rFonts w:hint="eastAsia"/>
                <w:color w:val="auto"/>
                <w:lang w:val="en-US" w:eastAsia="zh-CN"/>
              </w:rPr>
              <w:t>/</w:t>
            </w:r>
            <w:r>
              <w:rPr>
                <w:rFonts w:hint="eastAsia" w:cs="Times New Roman"/>
                <w:color w:val="auto"/>
                <w:lang w:val="en-US" w:eastAsia="zh-CN"/>
              </w:rPr>
              <w:t>全市各医疗保险经办机构（异地备案人员）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7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收费标准</w:t>
            </w:r>
          </w:p>
        </w:tc>
        <w:tc>
          <w:tcPr>
            <w:tcW w:w="813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无需收费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7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办理时间</w:t>
            </w:r>
          </w:p>
        </w:tc>
        <w:tc>
          <w:tcPr>
            <w:tcW w:w="813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工作日8:30/9:00-12:00、13:00/14:00-17:00（法定休息日、节假日除外），由于部分镇街办事窗口时间不一致，请以各镇街办事窗口办公时间为准。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7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联系电话</w:t>
            </w:r>
          </w:p>
        </w:tc>
        <w:tc>
          <w:tcPr>
            <w:tcW w:w="813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0769—12345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7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相关表格下载</w:t>
            </w:r>
          </w:p>
        </w:tc>
        <w:tc>
          <w:tcPr>
            <w:tcW w:w="813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7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温馨提示</w:t>
            </w:r>
          </w:p>
        </w:tc>
        <w:tc>
          <w:tcPr>
            <w:tcW w:w="8130" w:type="dxa"/>
            <w:tcBorders>
              <w:top w:val="nil"/>
              <w:left w:val="nil"/>
              <w:bottom w:val="nil"/>
              <w:right w:val="nil"/>
            </w:tcBorders>
            <w:tcMar>
              <w:top w:w="0" w:type="dxa"/>
              <w:left w:w="90" w:type="dxa"/>
              <w:bottom w:w="0" w:type="dxa"/>
              <w:right w:w="90" w:type="dxa"/>
            </w:tcMar>
            <w:vAlign w:val="center"/>
          </w:tcPr>
          <w:p>
            <w:pPr>
              <w:pStyle w:val="12"/>
              <w:rPr>
                <w:rFonts w:cs="Times New Roman"/>
                <w:color w:val="auto"/>
              </w:rPr>
            </w:pPr>
            <w:r>
              <w:rPr>
                <w:rFonts w:hint="eastAsia" w:cs="Times New Roman"/>
                <w:color w:val="auto"/>
              </w:rPr>
              <w:t>材料复印件请用A4纸复印并须提供原件备查，以上材料参保人需留存的，应在申领前自行复印。</w:t>
            </w:r>
          </w:p>
        </w:tc>
      </w:tr>
    </w:tbl>
    <w:p>
      <w:pPr>
        <w:pStyle w:val="12"/>
      </w:pPr>
      <w:r>
        <w:rPr>
          <w:rFonts w:hint="eastAsia"/>
        </w:rPr>
        <w:t xml:space="preserve"> </w:t>
      </w:r>
    </w:p>
    <w:p>
      <w:pPr>
        <w:pStyle w:val="12"/>
        <w:rPr>
          <w:rFonts w:hint="eastAsia"/>
        </w:rPr>
      </w:pPr>
      <w:r>
        <w:rPr>
          <w:rFonts w:hint="eastAsia"/>
        </w:rPr>
        <w:t xml:space="preserve"> </w:t>
      </w:r>
    </w:p>
    <w:sectPr>
      <w:pgSz w:w="11907" w:h="16839"/>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7FE6B"/>
    <w:multiLevelType w:val="singleLevel"/>
    <w:tmpl w:val="8CB7FE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ZTg2YzM3N2NmNjZhNDM1OTIwYjhmNWY4N2QzYWEifQ=="/>
  </w:docVars>
  <w:rsids>
    <w:rsidRoot w:val="00CE0180"/>
    <w:rsid w:val="00084321"/>
    <w:rsid w:val="0019032A"/>
    <w:rsid w:val="005E56C9"/>
    <w:rsid w:val="00882812"/>
    <w:rsid w:val="00CE0180"/>
    <w:rsid w:val="0553443B"/>
    <w:rsid w:val="09CB05AF"/>
    <w:rsid w:val="142B3782"/>
    <w:rsid w:val="15E168CC"/>
    <w:rsid w:val="29146C28"/>
    <w:rsid w:val="2F183292"/>
    <w:rsid w:val="3FB63739"/>
    <w:rsid w:val="4CC40C4B"/>
    <w:rsid w:val="4D4579D2"/>
    <w:rsid w:val="52382589"/>
    <w:rsid w:val="5B0F5D9A"/>
    <w:rsid w:val="5B93080E"/>
    <w:rsid w:val="628621CA"/>
    <w:rsid w:val="6CDB30BF"/>
    <w:rsid w:val="7E2F4B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0" w:semiHidden="0" w:name="index 1"/>
    <w:lsdException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semiHidden="0" w:name="index 7"/>
    <w:lsdException w:uiPriority="0" w:semiHidden="0" w:name="index 8"/>
    <w:lsdException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semiHidden="0" w:name="Normal Indent"/>
    <w:lsdException w:uiPriority="0" w:semiHidden="0" w:name="footnote text"/>
    <w:lsdException w:uiPriority="0" w:semiHidden="0" w:name="annotation text"/>
    <w:lsdException w:qFormat="1" w:uiPriority="0" w:semiHidden="0" w:name="header"/>
    <w:lsdException w:qFormat="1" w:uiPriority="0" w:semiHidden="0" w:name="footer"/>
    <w:lsdException w:uiPriority="0" w:semiHidden="0" w:name="index heading"/>
    <w:lsdException w:qFormat="1" w:uiPriority="35" w:name="caption"/>
    <w:lsdException w:uiPriority="0" w:semiHidden="0" w:name="table of figures"/>
    <w:lsdException w:uiPriority="0" w:semiHidden="0" w:name="envelope address"/>
    <w:lsdException w:uiPriority="0" w:semiHidden="0" w:name="envelope return"/>
    <w:lsdException w:uiPriority="0" w:semiHidden="0" w:name="footnote reference"/>
    <w:lsdException w:uiPriority="0" w:semiHidden="0" w:name="annotation reference"/>
    <w:lsdException w:uiPriority="0" w:semiHidden="0" w:name="line number"/>
    <w:lsdException w:uiPriority="0" w:semiHidden="0" w:name="page number"/>
    <w:lsdException w:uiPriority="0" w:semiHidden="0" w:name="endnote reference"/>
    <w:lsdException w:uiPriority="0" w:semiHidden="0" w:name="endnote text"/>
    <w:lsdException w:uiPriority="0" w:semiHidden="0" w:name="table of authorities"/>
    <w:lsdException w:uiPriority="0" w:semiHidden="0" w:name="macro"/>
    <w:lsdException w:uiPriority="0" w:semiHidden="0" w:name="toa heading"/>
    <w:lsdException w:uiPriority="0" w:semiHidden="0" w:name="List"/>
    <w:lsdException w:uiPriority="0" w:semiHidden="0" w:name="List Bullet"/>
    <w:lsdException w:uiPriority="0" w:semiHidden="0" w:name="List Number"/>
    <w:lsdException w:uiPriority="0" w:semiHidden="0" w:name="List 2"/>
    <w:lsdException w:uiPriority="0" w:semiHidden="0" w:name="List 3"/>
    <w:lsdException w:uiPriority="0" w:semiHidden="0" w:name="List 4"/>
    <w:lsdException w:uiPriority="0" w:semiHidden="0" w:name="List 5"/>
    <w:lsdException w:uiPriority="0" w:semiHidden="0" w:name="List Bullet 2"/>
    <w:lsdException w:uiPriority="0" w:semiHidden="0" w:name="List Bullet 3"/>
    <w:lsdException w:uiPriority="0" w:semiHidden="0" w:name="List Bullet 4"/>
    <w:lsdException w:uiPriority="0" w:semiHidden="0" w:name="List Bullet 5"/>
    <w:lsdException w:uiPriority="0" w:semiHidden="0" w:name="List Number 2"/>
    <w:lsdException w:uiPriority="0" w:semiHidden="0" w:name="List Number 3"/>
    <w:lsdException w:uiPriority="0" w:semiHidden="0" w:name="List Number 4"/>
    <w:lsdException w:uiPriority="0" w:semiHidden="0" w:name="List Number 5"/>
    <w:lsdException w:qFormat="1" w:unhideWhenUsed="0" w:uiPriority="10" w:semiHidden="0" w:name="Title"/>
    <w:lsdException w:uiPriority="0" w:semiHidden="0" w:name="Closing"/>
    <w:lsdException w:uiPriority="0" w:semiHidden="0" w:name="Signature"/>
    <w:lsdException w:qFormat="1" w:uiPriority="1" w:semiHidden="0" w:name="Default Paragraph Font"/>
    <w:lsdException w:uiPriority="0" w:semiHidden="0" w:name="Body Text"/>
    <w:lsdException w:uiPriority="0" w:semiHidden="0" w:name="Body Text Indent"/>
    <w:lsdException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semiHidden="0" w:name="Message Header"/>
    <w:lsdException w:qFormat="1" w:unhideWhenUsed="0" w:uiPriority="11" w:semiHidden="0" w:name="Subtitle"/>
    <w:lsdException w:uiPriority="0" w:semiHidden="0" w:name="Salutation"/>
    <w:lsdException w:uiPriority="0" w:semiHidden="0" w:name="Date"/>
    <w:lsdException w:uiPriority="0" w:semiHidden="0" w:name="Body Text First Indent"/>
    <w:lsdException w:uiPriority="0" w:semiHidden="0" w:name="Body Text First Indent 2"/>
    <w:lsdException w:uiPriority="0" w:semiHidden="0" w:name="Note Heading"/>
    <w:lsdException w:uiPriority="0" w:semiHidden="0" w:name="Body Text 2"/>
    <w:lsdException w:uiPriority="0" w:semiHidden="0" w:name="Body Text 3"/>
    <w:lsdException w:uiPriority="0" w:semiHidden="0" w:name="Body Text Indent 2"/>
    <w:lsdException w:uiPriority="0" w:semiHidden="0" w:name="Body Text Indent 3"/>
    <w:lsdException w:uiPriority="0" w:semiHidden="0"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0" w:semiHidden="0" w:name="Document Map"/>
    <w:lsdException w:uiPriority="0" w:semiHidden="0" w:name="Plain Text"/>
    <w:lsdException w:uiPriority="0" w:semiHidden="0" w:name="E-mail Signature"/>
    <w:lsdException w:qFormat="1" w:uiPriority="99" w:semiHidden="0" w:name="Normal (Web)"/>
    <w:lsdException w:uiPriority="0" w:semiHidden="0" w:name="HTML Acronym"/>
    <w:lsdException w:uiPriority="0" w:semiHidden="0" w:name="HTML Address"/>
    <w:lsdException w:uiPriority="0" w:semiHidden="0" w:name="HTML Cite"/>
    <w:lsdException w:uiPriority="0" w:semiHidden="0" w:name="HTML Code"/>
    <w:lsdException w:uiPriority="0" w:semiHidden="0" w:name="HTML Definition"/>
    <w:lsdException w:uiPriority="0" w:semiHidden="0" w:name="HTML Keyboard"/>
    <w:lsdException w:qFormat="1" w:uiPriority="99" w:semiHidden="0" w:name="HTML Preformatted"/>
    <w:lsdException w:uiPriority="0" w:semiHidden="0" w:name="HTML Sample"/>
    <w:lsdException w:uiPriority="0" w:semiHidden="0" w:name="HTML Typewriter"/>
    <w:lsdException w:uiPriority="0" w:semiHidden="0" w:name="HTML Variable"/>
    <w:lsdException w:qFormat="1" w:uiPriority="99" w:semiHidden="0" w:name="Normal Table"/>
    <w:lsdException w:uiPriority="0" w:semiHidden="0" w:name="annotation subject"/>
    <w:lsdException w:uiPriority="0" w:semiHidden="0" w:name="Table Simple 1"/>
    <w:lsdException w:uiPriority="0" w:semiHidden="0" w:name="Table Simple 2"/>
    <w:lsdException w:uiPriority="0" w:semiHidden="0" w:name="Table Simple 3"/>
    <w:lsdException w:uiPriority="0" w:semiHidden="0" w:name="Table Classic 1"/>
    <w:lsdException w:uiPriority="0" w:semiHidden="0" w:name="Table Classic 2"/>
    <w:lsdException w:uiPriority="0" w:semiHidden="0" w:name="Table Classic 3"/>
    <w:lsdException w:uiPriority="0" w:semiHidden="0" w:name="Table Classic 4"/>
    <w:lsdException w:uiPriority="0" w:semiHidden="0" w:name="Table Colorful 1"/>
    <w:lsdException w:uiPriority="0" w:semiHidden="0" w:name="Table Colorful 2"/>
    <w:lsdException w:uiPriority="0" w:semiHidden="0" w:name="Table Colorful 3"/>
    <w:lsdException w:uiPriority="0" w:semiHidden="0" w:name="Table Columns 1"/>
    <w:lsdException w:uiPriority="0" w:semiHidden="0" w:name="Table Columns 2"/>
    <w:lsdException w:uiPriority="0" w:semiHidden="0" w:name="Table Columns 3"/>
    <w:lsdException w:uiPriority="0" w:semiHidden="0" w:name="Table Columns 4"/>
    <w:lsdException w:uiPriority="0" w:semiHidden="0" w:name="Table Columns 5"/>
    <w:lsdException w:uiPriority="0" w:semiHidden="0" w:name="Table Grid 1"/>
    <w:lsdException w:uiPriority="0" w:semiHidden="0" w:name="Table Grid 2"/>
    <w:lsdException w:uiPriority="0" w:semiHidden="0" w:name="Table Grid 3"/>
    <w:lsdException w:uiPriority="0" w:semiHidden="0" w:name="Table Grid 4"/>
    <w:lsdException w:uiPriority="0" w:semiHidden="0" w:name="Table Grid 5"/>
    <w:lsdException w:uiPriority="0" w:semiHidden="0" w:name="Table Grid 6"/>
    <w:lsdException w:uiPriority="0" w:semiHidden="0" w:name="Table Grid 7"/>
    <w:lsdException w:uiPriority="0" w:semiHidden="0" w:name="Table Grid 8"/>
    <w:lsdException w:uiPriority="0" w:semiHidden="0" w:name="Table List 1"/>
    <w:lsdException w:uiPriority="0" w:semiHidden="0" w:name="Table List 2"/>
    <w:lsdException w:uiPriority="0" w:semiHidden="0" w:name="Table List 3"/>
    <w:lsdException w:uiPriority="0" w:semiHidden="0" w:name="Table List 4"/>
    <w:lsdException w:uiPriority="0" w:semiHidden="0" w:name="Table List 5"/>
    <w:lsdException w:uiPriority="0" w:semiHidden="0" w:name="Table List 6"/>
    <w:lsdException w:uiPriority="0" w:semiHidden="0" w:name="Table List 7"/>
    <w:lsdException w:uiPriority="0" w:semiHidden="0" w:name="Table List 8"/>
    <w:lsdException w:uiPriority="0" w:semiHidden="0" w:name="Table 3D effects 1"/>
    <w:lsdException w:uiPriority="0" w:semiHidden="0" w:name="Table 3D effects 2"/>
    <w:lsdException w:uiPriority="0" w:semiHidden="0" w:name="Table 3D effects 3"/>
    <w:lsdException w:uiPriority="0" w:semiHidden="0" w:name="Table Contemporary"/>
    <w:lsdException w:uiPriority="0" w:semiHidden="0" w:name="Table Elegant"/>
    <w:lsdException w:uiPriority="0" w:semiHidden="0" w:name="Table Professional"/>
    <w:lsdException w:uiPriority="0" w:semiHidden="0" w:name="Table Subtle 1"/>
    <w:lsdException w:uiPriority="0" w:semiHidden="0" w:name="Table Subtle 2"/>
    <w:lsdException w:uiPriority="0" w:semiHidden="0" w:name="Table Web 1"/>
    <w:lsdException w:uiPriority="0" w:semiHidden="0" w:name="Table Web 2"/>
    <w:lsdException w:uiPriority="0" w:semiHidden="0" w:name="Table Web 3"/>
    <w:lsdException w:qFormat="1" w:uiPriority="99" w:semiHidden="0" w:name="Balloon Text"/>
    <w:lsdException w:uiPriority="0" w:semiHidden="0" w:name="Table Grid"/>
    <w:lsdException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8"/>
    <w:qFormat/>
    <w:uiPriority w:val="9"/>
    <w:pPr>
      <w:spacing w:before="100" w:beforeAutospacing="1" w:after="100" w:afterAutospacing="1"/>
      <w:outlineLvl w:val="0"/>
    </w:pPr>
    <w:rPr>
      <w:b/>
      <w:bCs/>
      <w:kern w:val="44"/>
      <w:sz w:val="48"/>
      <w:szCs w:val="48"/>
    </w:rPr>
  </w:style>
  <w:style w:type="paragraph" w:styleId="3">
    <w:name w:val="heading 2"/>
    <w:basedOn w:val="1"/>
    <w:next w:val="1"/>
    <w:link w:val="19"/>
    <w:qFormat/>
    <w:uiPriority w:val="9"/>
    <w:pPr>
      <w:spacing w:before="100" w:beforeAutospacing="1" w:after="100" w:afterAutospacing="1"/>
      <w:outlineLvl w:val="1"/>
    </w:pPr>
    <w:rPr>
      <w:b/>
      <w:bCs/>
      <w:sz w:val="36"/>
      <w:szCs w:val="36"/>
    </w:rPr>
  </w:style>
  <w:style w:type="paragraph" w:styleId="4">
    <w:name w:val="heading 3"/>
    <w:basedOn w:val="1"/>
    <w:next w:val="1"/>
    <w:link w:val="20"/>
    <w:qFormat/>
    <w:uiPriority w:val="9"/>
    <w:pPr>
      <w:spacing w:before="100" w:beforeAutospacing="1" w:after="100" w:afterAutospacing="1"/>
      <w:outlineLvl w:val="2"/>
    </w:pPr>
    <w:rPr>
      <w:b/>
      <w:bCs/>
      <w:sz w:val="27"/>
      <w:szCs w:val="27"/>
    </w:rPr>
  </w:style>
  <w:style w:type="paragraph" w:styleId="5">
    <w:name w:val="heading 4"/>
    <w:basedOn w:val="1"/>
    <w:next w:val="1"/>
    <w:link w:val="21"/>
    <w:qFormat/>
    <w:uiPriority w:val="9"/>
    <w:pPr>
      <w:spacing w:before="100" w:beforeAutospacing="1" w:after="100" w:afterAutospacing="1"/>
      <w:outlineLvl w:val="3"/>
    </w:pPr>
    <w:rPr>
      <w:b/>
      <w:bCs/>
    </w:rPr>
  </w:style>
  <w:style w:type="paragraph" w:styleId="6">
    <w:name w:val="heading 5"/>
    <w:basedOn w:val="1"/>
    <w:next w:val="1"/>
    <w:link w:val="22"/>
    <w:qFormat/>
    <w:uiPriority w:val="9"/>
    <w:pPr>
      <w:spacing w:before="100" w:beforeAutospacing="1" w:after="100" w:afterAutospacing="1"/>
      <w:outlineLvl w:val="4"/>
    </w:pPr>
    <w:rPr>
      <w:b/>
      <w:bCs/>
      <w:sz w:val="20"/>
      <w:szCs w:val="20"/>
    </w:rPr>
  </w:style>
  <w:style w:type="paragraph" w:styleId="7">
    <w:name w:val="heading 6"/>
    <w:basedOn w:val="1"/>
    <w:next w:val="1"/>
    <w:link w:val="23"/>
    <w:qFormat/>
    <w:uiPriority w:val="9"/>
    <w:pPr>
      <w:spacing w:before="100" w:beforeAutospacing="1" w:after="100" w:afterAutospacing="1"/>
      <w:outlineLvl w:val="5"/>
    </w:pPr>
    <w:rPr>
      <w:b/>
      <w:bCs/>
      <w:sz w:val="15"/>
      <w:szCs w:val="15"/>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8">
    <w:name w:val="Balloon Text"/>
    <w:basedOn w:val="1"/>
    <w:link w:val="27"/>
    <w:unhideWhenUsed/>
    <w:qFormat/>
    <w:uiPriority w:val="99"/>
    <w:rPr>
      <w:sz w:val="18"/>
      <w:szCs w:val="18"/>
    </w:rPr>
  </w:style>
  <w:style w:type="paragraph" w:styleId="9">
    <w:name w:val="footer"/>
    <w:basedOn w:val="1"/>
    <w:link w:val="29"/>
    <w:unhideWhenUsed/>
    <w:qFormat/>
    <w:uiPriority w:val="0"/>
    <w:pPr>
      <w:tabs>
        <w:tab w:val="center" w:pos="4153"/>
        <w:tab w:val="right" w:pos="8306"/>
      </w:tabs>
      <w:snapToGrid w:val="0"/>
    </w:pPr>
    <w:rPr>
      <w:sz w:val="18"/>
      <w:szCs w:val="18"/>
    </w:rPr>
  </w:style>
  <w:style w:type="paragraph" w:styleId="10">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4"/>
    <w:unhideWhenUsed/>
    <w:qFormat/>
    <w:uiPriority w:val="99"/>
  </w:style>
  <w:style w:type="paragraph" w:styleId="12">
    <w:name w:val="Normal (Web)"/>
    <w:basedOn w:val="1"/>
    <w:unhideWhenUsed/>
    <w:qFormat/>
    <w:uiPriority w:val="99"/>
    <w:pPr>
      <w:spacing w:before="100" w:beforeAutospacing="1" w:after="100" w:afterAutospacing="1"/>
    </w:pPr>
  </w:style>
  <w:style w:type="character" w:styleId="15">
    <w:name w:val="FollowedHyperlink"/>
    <w:basedOn w:val="14"/>
    <w:unhideWhenUsed/>
    <w:uiPriority w:val="99"/>
    <w:rPr>
      <w:color w:val="800080"/>
      <w:u w:val="single"/>
    </w:rPr>
  </w:style>
  <w:style w:type="character" w:styleId="16">
    <w:name w:val="Hyperlink"/>
    <w:basedOn w:val="14"/>
    <w:unhideWhenUsed/>
    <w:qFormat/>
    <w:uiPriority w:val="99"/>
    <w:rPr>
      <w:color w:val="0000FF"/>
      <w:u w:val="single"/>
    </w:rPr>
  </w:style>
  <w:style w:type="paragraph" w:customStyle="1" w:styleId="17">
    <w:name w:val="普通(网站) Char"/>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SA"/>
    </w:rPr>
  </w:style>
  <w:style w:type="character" w:customStyle="1" w:styleId="18">
    <w:name w:val="标题 1 Char"/>
    <w:basedOn w:val="14"/>
    <w:link w:val="2"/>
    <w:qFormat/>
    <w:uiPriority w:val="9"/>
    <w:rPr>
      <w:rFonts w:ascii="宋体" w:hAnsi="宋体" w:eastAsia="宋体" w:cs="宋体"/>
      <w:b/>
      <w:bCs/>
      <w:kern w:val="44"/>
      <w:sz w:val="44"/>
      <w:szCs w:val="44"/>
    </w:rPr>
  </w:style>
  <w:style w:type="character" w:customStyle="1" w:styleId="19">
    <w:name w:val="标题 2 Char"/>
    <w:basedOn w:val="14"/>
    <w:link w:val="3"/>
    <w:qFormat/>
    <w:uiPriority w:val="9"/>
    <w:rPr>
      <w:rFonts w:ascii="Cambria" w:hAnsi="Cambria" w:eastAsia="宋体"/>
      <w:b/>
      <w:bCs/>
      <w:sz w:val="32"/>
      <w:szCs w:val="32"/>
    </w:rPr>
  </w:style>
  <w:style w:type="character" w:customStyle="1" w:styleId="20">
    <w:name w:val="标题 3 Char"/>
    <w:basedOn w:val="14"/>
    <w:link w:val="4"/>
    <w:uiPriority w:val="9"/>
    <w:rPr>
      <w:rFonts w:ascii="宋体" w:hAnsi="宋体" w:eastAsia="宋体" w:cs="宋体"/>
      <w:b/>
      <w:bCs/>
      <w:sz w:val="32"/>
      <w:szCs w:val="32"/>
    </w:rPr>
  </w:style>
  <w:style w:type="character" w:customStyle="1" w:styleId="21">
    <w:name w:val="标题 4 Char"/>
    <w:basedOn w:val="14"/>
    <w:link w:val="5"/>
    <w:qFormat/>
    <w:uiPriority w:val="9"/>
    <w:rPr>
      <w:rFonts w:ascii="Cambria" w:hAnsi="Cambria" w:eastAsia="宋体"/>
      <w:b/>
      <w:bCs/>
      <w:sz w:val="28"/>
      <w:szCs w:val="28"/>
    </w:rPr>
  </w:style>
  <w:style w:type="character" w:customStyle="1" w:styleId="22">
    <w:name w:val="标题 5 Char"/>
    <w:basedOn w:val="14"/>
    <w:link w:val="6"/>
    <w:uiPriority w:val="9"/>
    <w:rPr>
      <w:rFonts w:ascii="宋体" w:hAnsi="宋体" w:eastAsia="宋体" w:cs="宋体"/>
      <w:b/>
      <w:bCs/>
      <w:sz w:val="28"/>
      <w:szCs w:val="28"/>
    </w:rPr>
  </w:style>
  <w:style w:type="character" w:customStyle="1" w:styleId="23">
    <w:name w:val="标题 6 Char"/>
    <w:basedOn w:val="14"/>
    <w:link w:val="7"/>
    <w:qFormat/>
    <w:uiPriority w:val="9"/>
    <w:rPr>
      <w:rFonts w:ascii="Cambria" w:hAnsi="Cambria" w:eastAsia="宋体"/>
      <w:b/>
      <w:bCs/>
      <w:sz w:val="24"/>
      <w:szCs w:val="24"/>
    </w:rPr>
  </w:style>
  <w:style w:type="character" w:customStyle="1" w:styleId="24">
    <w:name w:val="HTML 预设格式 Char"/>
    <w:basedOn w:val="14"/>
    <w:link w:val="11"/>
    <w:qFormat/>
    <w:uiPriority w:val="99"/>
    <w:rPr>
      <w:rFonts w:ascii="Courier New" w:hAnsi="Courier New" w:eastAsia="宋体" w:cs="Courier New"/>
    </w:rPr>
  </w:style>
  <w:style w:type="character" w:customStyle="1" w:styleId="25">
    <w:name w:val="10"/>
    <w:basedOn w:val="14"/>
    <w:qFormat/>
    <w:uiPriority w:val="0"/>
    <w:rPr>
      <w:rFonts w:hint="default" w:ascii="Times New Roman" w:hAnsi="Times New Roman" w:cs="Times New Roman"/>
    </w:rPr>
  </w:style>
  <w:style w:type="character" w:customStyle="1" w:styleId="26">
    <w:name w:val="15"/>
    <w:basedOn w:val="14"/>
    <w:qFormat/>
    <w:uiPriority w:val="0"/>
    <w:rPr>
      <w:rFonts w:hint="default" w:ascii="Times New Roman" w:hAnsi="Times New Roman" w:cs="Times New Roman"/>
      <w:color w:val="0000FF"/>
      <w:u w:val="single"/>
    </w:rPr>
  </w:style>
  <w:style w:type="character" w:customStyle="1" w:styleId="27">
    <w:name w:val="批注框文本 Char"/>
    <w:basedOn w:val="14"/>
    <w:link w:val="8"/>
    <w:qFormat/>
    <w:uiPriority w:val="99"/>
    <w:rPr>
      <w:rFonts w:ascii="宋体" w:hAnsi="宋体" w:eastAsia="宋体" w:cs="宋体"/>
      <w:sz w:val="18"/>
      <w:szCs w:val="18"/>
    </w:rPr>
  </w:style>
  <w:style w:type="character" w:customStyle="1" w:styleId="28">
    <w:name w:val="页眉 Char"/>
    <w:basedOn w:val="14"/>
    <w:link w:val="10"/>
    <w:qFormat/>
    <w:uiPriority w:val="0"/>
    <w:rPr>
      <w:rFonts w:ascii="宋体" w:hAnsi="宋体" w:eastAsia="宋体" w:cs="宋体"/>
      <w:sz w:val="18"/>
      <w:szCs w:val="18"/>
    </w:rPr>
  </w:style>
  <w:style w:type="character" w:customStyle="1" w:styleId="29">
    <w:name w:val="页脚 Char"/>
    <w:basedOn w:val="14"/>
    <w:link w:val="9"/>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1052</Words>
  <Characters>1094</Characters>
  <Lines>9</Lines>
  <Paragraphs>2</Paragraphs>
  <TotalTime>0</TotalTime>
  <ScaleCrop>false</ScaleCrop>
  <LinksUpToDate>false</LinksUpToDate>
  <CharactersWithSpaces>1105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2021-07-02T01:26:00Z</dcterms:created>
  <dc:creator>詹文仲()</dc:creator>
  <cp:lastModifiedBy>周先进</cp:lastModifiedBy>
  <dcterms:modified xsi:type="dcterms:W3CDTF">2024-01-09T02:40:36Z</dcterms:modified>
  <dc:title>事项名称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885328D19C854F458916EE468260BF55</vt:lpwstr>
  </property>
</Properties>
</file>