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440" w:type="dxa"/>
        <w:tblCellSpacing w:w="0" w:type="dxa"/>
        <w:tblInd w:w="0" w:type="dxa"/>
        <w:tblLayout w:type="autofit"/>
        <w:tblCellMar>
          <w:top w:w="0" w:type="dxa"/>
          <w:left w:w="0" w:type="dxa"/>
          <w:bottom w:w="0" w:type="dxa"/>
          <w:right w:w="0" w:type="dxa"/>
        </w:tblCellMar>
      </w:tblPr>
      <w:tblGrid>
        <w:gridCol w:w="486"/>
        <w:gridCol w:w="6954"/>
      </w:tblGrid>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事项名称</w:t>
            </w:r>
          </w:p>
        </w:tc>
        <w:tc>
          <w:tcPr>
            <w:tcW w:w="5748" w:type="dxa"/>
            <w:tcMar>
              <w:top w:w="0" w:type="dxa"/>
              <w:left w:w="72" w:type="dxa"/>
              <w:bottom w:w="0" w:type="dxa"/>
              <w:right w:w="72" w:type="dxa"/>
            </w:tcMar>
            <w:vAlign w:val="center"/>
          </w:tcPr>
          <w:p>
            <w:pPr>
              <w:pStyle w:val="5"/>
            </w:pPr>
            <w:r>
              <w:rPr>
                <w:rFonts w:hint="eastAsia"/>
              </w:rPr>
              <w:t>门诊抢救医疗费报销流程</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设定依据</w:t>
            </w:r>
          </w:p>
        </w:tc>
        <w:tc>
          <w:tcPr>
            <w:tcW w:w="5748" w:type="dxa"/>
            <w:tcMar>
              <w:top w:w="0" w:type="dxa"/>
              <w:left w:w="72" w:type="dxa"/>
              <w:bottom w:w="0" w:type="dxa"/>
              <w:right w:w="72" w:type="dxa"/>
            </w:tcMar>
            <w:vAlign w:val="center"/>
          </w:tcPr>
          <w:p>
            <w:pPr>
              <w:pStyle w:val="5"/>
            </w:pPr>
            <w:r>
              <w:rPr>
                <w:rFonts w:hint="eastAsia"/>
              </w:rPr>
              <w:t>1.《中华人民共和国社会保险法》（中华人民共和国主席令第35号）第二十八条、二十九条；第二十八条：符合基本医疗保险药品目录、诊疗项目、医疗服务设施标准以及急诊、抢救的医疗费用，按照国家规定从基本医疗保险基金中支付。第二十九条：参保人员医疗费用中应当由基本医疗保险基金支付的部分，由社会保险经办机构与医疗机构、药品经营单位直接结算。</w:t>
            </w:r>
          </w:p>
          <w:p>
            <w:pPr>
              <w:bidi w:val="0"/>
            </w:pPr>
            <w:r>
              <w:rPr>
                <w:rFonts w:hint="eastAsia"/>
              </w:rPr>
              <w:t>2. 《东莞市基本医疗保险门诊共济保实施细则》(东府办2022 61 号)</w:t>
            </w:r>
            <w:r>
              <w:rPr>
                <w:rFonts w:hint="eastAsia"/>
                <w:lang w:val="en-US" w:eastAsia="zh-CN"/>
              </w:rPr>
              <w:t xml:space="preserve"> </w:t>
            </w:r>
            <w:r>
              <w:rPr>
                <w:rFonts w:hint="eastAsia"/>
              </w:rPr>
              <w:t>第九条:</w:t>
            </w:r>
            <w:r>
              <w:rPr>
                <w:lang w:val="en-US" w:eastAsia="zh-CN"/>
              </w:rPr>
              <w:t xml:space="preserve">参保人在本市医疗机构门诊急救和抢救产生的普 </w:t>
            </w:r>
          </w:p>
          <w:p>
            <w:pPr>
              <w:bidi w:val="0"/>
            </w:pPr>
            <w:r>
              <w:rPr>
                <w:rFonts w:hint="eastAsia"/>
                <w:lang w:val="en-US" w:eastAsia="zh-CN"/>
              </w:rPr>
              <w:t xml:space="preserve">通门诊基本医疗费用，支付比例为 </w:t>
            </w:r>
            <w:r>
              <w:rPr>
                <w:rFonts w:hint="default"/>
                <w:lang w:val="en-US" w:eastAsia="zh-CN"/>
              </w:rPr>
              <w:t>75%</w:t>
            </w:r>
            <w:r>
              <w:rPr>
                <w:rFonts w:hint="eastAsia"/>
                <w:lang w:val="en-US" w:eastAsia="zh-CN"/>
              </w:rPr>
              <w:t xml:space="preserve">，签约参保人为 </w:t>
            </w:r>
            <w:r>
              <w:rPr>
                <w:rFonts w:hint="default"/>
                <w:lang w:val="en-US" w:eastAsia="zh-CN"/>
              </w:rPr>
              <w:t>80%</w:t>
            </w:r>
            <w:r>
              <w:rPr>
                <w:rFonts w:hint="eastAsia"/>
                <w:lang w:val="en-US" w:eastAsia="zh-CN"/>
              </w:rPr>
              <w:t xml:space="preserve">。 </w:t>
            </w:r>
          </w:p>
          <w:p>
            <w:pPr>
              <w:pStyle w:val="5"/>
            </w:pPr>
          </w:p>
        </w:tc>
      </w:tr>
      <w:tr>
        <w:tblPrEx>
          <w:tblCellMar>
            <w:top w:w="0" w:type="dxa"/>
            <w:left w:w="0" w:type="dxa"/>
            <w:bottom w:w="0" w:type="dxa"/>
            <w:right w:w="0" w:type="dxa"/>
          </w:tblCellMar>
        </w:tblPrEx>
        <w:trPr>
          <w:trHeight w:val="696" w:hRule="atLeast"/>
          <w:tblCellSpacing w:w="0" w:type="dxa"/>
        </w:trPr>
        <w:tc>
          <w:tcPr>
            <w:tcW w:w="1692" w:type="dxa"/>
            <w:tcMar>
              <w:top w:w="0" w:type="dxa"/>
              <w:left w:w="72" w:type="dxa"/>
              <w:bottom w:w="0" w:type="dxa"/>
              <w:right w:w="72" w:type="dxa"/>
            </w:tcMar>
            <w:vAlign w:val="center"/>
          </w:tcPr>
          <w:p>
            <w:pPr>
              <w:pStyle w:val="5"/>
            </w:pPr>
            <w:r>
              <w:rPr>
                <w:rFonts w:hint="eastAsia"/>
              </w:rPr>
              <w:t>申请条件</w:t>
            </w:r>
          </w:p>
        </w:tc>
        <w:tc>
          <w:tcPr>
            <w:tcW w:w="5748" w:type="dxa"/>
            <w:tcMar>
              <w:top w:w="0" w:type="dxa"/>
              <w:left w:w="72" w:type="dxa"/>
              <w:bottom w:w="0" w:type="dxa"/>
              <w:right w:w="72" w:type="dxa"/>
            </w:tcMar>
            <w:vAlign w:val="center"/>
          </w:tcPr>
          <w:p>
            <w:pPr>
              <w:pStyle w:val="5"/>
            </w:pPr>
            <w:r>
              <w:rPr>
                <w:rFonts w:hint="eastAsia"/>
              </w:rPr>
              <w:t>参保人在</w:t>
            </w:r>
            <w:r>
              <w:rPr>
                <w:lang w:val="en-US" w:eastAsia="zh-CN"/>
              </w:rPr>
              <w:t>本市</w:t>
            </w:r>
            <w:r>
              <w:rPr>
                <w:rFonts w:hint="eastAsia"/>
              </w:rPr>
              <w:t>医疗机构门诊抢救，可</w:t>
            </w:r>
            <w:bookmarkStart w:id="0" w:name="_GoBack"/>
            <w:bookmarkEnd w:id="0"/>
            <w:r>
              <w:rPr>
                <w:rFonts w:hint="eastAsia"/>
              </w:rPr>
              <w:t>按规定享受社会基本医疗保险待遇。</w:t>
            </w:r>
          </w:p>
        </w:tc>
      </w:tr>
      <w:tr>
        <w:tblPrEx>
          <w:tblCellMar>
            <w:top w:w="0" w:type="dxa"/>
            <w:left w:w="0" w:type="dxa"/>
            <w:bottom w:w="0" w:type="dxa"/>
            <w:right w:w="0" w:type="dxa"/>
          </w:tblCellMar>
        </w:tblPrEx>
        <w:trPr>
          <w:trHeight w:val="1224" w:hRule="atLeast"/>
          <w:tblCellSpacing w:w="0" w:type="dxa"/>
        </w:trPr>
        <w:tc>
          <w:tcPr>
            <w:tcW w:w="1692" w:type="dxa"/>
            <w:tcMar>
              <w:top w:w="0" w:type="dxa"/>
              <w:left w:w="72" w:type="dxa"/>
              <w:bottom w:w="0" w:type="dxa"/>
              <w:right w:w="72" w:type="dxa"/>
            </w:tcMar>
            <w:vAlign w:val="center"/>
          </w:tcPr>
          <w:p>
            <w:pPr>
              <w:pStyle w:val="5"/>
            </w:pPr>
            <w:r>
              <w:rPr>
                <w:rFonts w:hint="eastAsia"/>
              </w:rPr>
              <w:t>办理材料</w:t>
            </w:r>
          </w:p>
        </w:tc>
        <w:tc>
          <w:tcPr>
            <w:tcW w:w="5748" w:type="dxa"/>
            <w:tcMar>
              <w:top w:w="0" w:type="dxa"/>
              <w:left w:w="72" w:type="dxa"/>
              <w:bottom w:w="0" w:type="dxa"/>
              <w:right w:w="72" w:type="dxa"/>
            </w:tcMar>
            <w:vAlign w:val="center"/>
          </w:tcPr>
          <w:p>
            <w:pPr>
              <w:pStyle w:val="5"/>
            </w:pPr>
            <w:r>
              <w:rPr>
                <w:rFonts w:hint="eastAsia"/>
              </w:rPr>
              <w:t>1、医疗收费收据（发票）原件一份；</w:t>
            </w:r>
          </w:p>
          <w:p>
            <w:pPr>
              <w:pStyle w:val="5"/>
            </w:pPr>
            <w:r>
              <w:rPr>
                <w:rFonts w:hint="eastAsia"/>
              </w:rPr>
              <w:t>2、门诊抢救病历原件或 复印件一份；</w:t>
            </w:r>
          </w:p>
          <w:p>
            <w:pPr>
              <w:pStyle w:val="5"/>
            </w:pPr>
            <w:r>
              <w:rPr>
                <w:rFonts w:hint="eastAsia"/>
              </w:rPr>
              <w:t>3、医疗收费明细清单原件或复印件一份（若无，必须提供门诊处方复印件，注明各项目收费金额，加盖医院收费章）；</w:t>
            </w:r>
          </w:p>
          <w:p>
            <w:pPr>
              <w:pStyle w:val="5"/>
            </w:pPr>
            <w:r>
              <w:rPr>
                <w:rFonts w:hint="eastAsia"/>
              </w:rPr>
              <w:t>4、</w:t>
            </w:r>
            <w:r>
              <w:rPr>
                <w:rFonts w:hint="eastAsia"/>
                <w:lang w:val="en-US" w:eastAsia="zh-CN"/>
              </w:rPr>
              <w:t>门诊抢救记录</w:t>
            </w:r>
            <w:r>
              <w:rPr>
                <w:rFonts w:hint="eastAsia"/>
              </w:rPr>
              <w:t>原件或复印件一份；</w:t>
            </w:r>
          </w:p>
          <w:p>
            <w:pPr>
              <w:pStyle w:val="5"/>
              <w:rPr>
                <w:highlight w:val="none"/>
              </w:rPr>
            </w:pPr>
            <w:r>
              <w:rPr>
                <w:rFonts w:hint="eastAsia"/>
                <w:highlight w:val="none"/>
              </w:rPr>
              <w:t>5、患者本人居民身份证或社会保障卡原件。</w:t>
            </w:r>
          </w:p>
          <w:p>
            <w:pPr>
              <w:pStyle w:val="5"/>
            </w:pPr>
            <w:r>
              <w:rPr>
                <w:rFonts w:hint="eastAsia"/>
              </w:rPr>
              <w:t>6、家属代办的，提供代办人身份证原件，户口本原件及复印件或居委会证明原件一份。</w:t>
            </w:r>
          </w:p>
          <w:p>
            <w:pPr>
              <w:pStyle w:val="5"/>
            </w:pPr>
            <w:r>
              <w:rPr>
                <w:rFonts w:hint="eastAsia"/>
              </w:rPr>
              <w:t>注：以上1、2、3、4项材料依实际就诊发生的材料份数提供，不限一份。</w:t>
            </w:r>
          </w:p>
        </w:tc>
      </w:tr>
      <w:tr>
        <w:tblPrEx>
          <w:tblCellMar>
            <w:top w:w="0" w:type="dxa"/>
            <w:left w:w="0" w:type="dxa"/>
            <w:bottom w:w="0" w:type="dxa"/>
            <w:right w:w="0" w:type="dxa"/>
          </w:tblCellMar>
        </w:tblPrEx>
        <w:trPr>
          <w:trHeight w:val="1032" w:hRule="atLeast"/>
          <w:tblCellSpacing w:w="0" w:type="dxa"/>
        </w:trPr>
        <w:tc>
          <w:tcPr>
            <w:tcW w:w="1692" w:type="dxa"/>
            <w:tcMar>
              <w:top w:w="0" w:type="dxa"/>
              <w:left w:w="72" w:type="dxa"/>
              <w:bottom w:w="0" w:type="dxa"/>
              <w:right w:w="72" w:type="dxa"/>
            </w:tcMar>
            <w:vAlign w:val="center"/>
          </w:tcPr>
          <w:p>
            <w:pPr>
              <w:pStyle w:val="5"/>
            </w:pPr>
            <w:r>
              <w:rPr>
                <w:rFonts w:hint="eastAsia"/>
              </w:rPr>
              <w:t>办理流程</w:t>
            </w:r>
          </w:p>
        </w:tc>
        <w:tc>
          <w:tcPr>
            <w:tcW w:w="5748" w:type="dxa"/>
            <w:tcMar>
              <w:top w:w="0" w:type="dxa"/>
              <w:left w:w="72" w:type="dxa"/>
              <w:bottom w:w="0" w:type="dxa"/>
              <w:right w:w="72" w:type="dxa"/>
            </w:tcMar>
            <w:vAlign w:val="center"/>
          </w:tcPr>
          <w:p>
            <w:pPr>
              <w:pStyle w:val="5"/>
            </w:pPr>
            <w:r>
              <w:rPr>
                <w:rFonts w:hint="eastAsia"/>
              </w:rPr>
              <w:t>窗口办理流程：</w:t>
            </w:r>
          </w:p>
          <w:p>
            <w:pPr>
              <w:pStyle w:val="5"/>
            </w:pPr>
            <w:r>
              <w:rPr>
                <w:rFonts w:hint="eastAsia"/>
              </w:rPr>
              <w:t> 一、申请。参保人到市内医疗机构门诊抢救，</w:t>
            </w:r>
            <w:r>
              <w:rPr>
                <w:rFonts w:hint="eastAsia"/>
                <w:lang w:val="en-US" w:eastAsia="zh-CN"/>
              </w:rPr>
              <w:t>因故未能现场结算的费用，可</w:t>
            </w:r>
            <w:r>
              <w:rPr>
                <w:rFonts w:hint="eastAsia"/>
              </w:rPr>
              <w:t>在就医后</w:t>
            </w:r>
            <w:r>
              <w:rPr>
                <w:rFonts w:hint="eastAsia"/>
                <w:lang w:val="en-US" w:eastAsia="zh-CN"/>
              </w:rPr>
              <w:t>2年</w:t>
            </w:r>
            <w:r>
              <w:rPr>
                <w:rFonts w:hint="eastAsia"/>
              </w:rPr>
              <w:t>内持医疗收费收据（发票）原件、门诊病历、医疗收费明细清单、</w:t>
            </w:r>
            <w:r>
              <w:rPr>
                <w:rFonts w:hint="eastAsia"/>
                <w:lang w:val="en-US" w:eastAsia="zh-CN"/>
              </w:rPr>
              <w:t>门诊抢救记录</w:t>
            </w:r>
            <w:r>
              <w:rPr>
                <w:rFonts w:hint="eastAsia"/>
              </w:rPr>
              <w:t>、社会保障卡等材料到</w:t>
            </w:r>
            <w:r>
              <w:rPr>
                <w:rFonts w:hint="eastAsia"/>
                <w:lang w:val="en-US" w:eastAsia="zh-CN"/>
              </w:rPr>
              <w:t>门诊就医点</w:t>
            </w:r>
            <w:r>
              <w:rPr>
                <w:rFonts w:hint="eastAsia" w:ascii="宋体" w:hAnsi="宋体" w:eastAsia="宋体" w:cs="宋体"/>
                <w:kern w:val="0"/>
                <w:sz w:val="24"/>
                <w:szCs w:val="24"/>
              </w:rPr>
              <w:t>选定门诊就医点所属镇街社区卫生服务中心或辅点医院</w:t>
            </w:r>
            <w:r>
              <w:rPr>
                <w:rFonts w:hint="eastAsia" w:cs="宋体"/>
                <w:kern w:val="0"/>
                <w:sz w:val="24"/>
                <w:szCs w:val="24"/>
                <w:lang w:val="en-US" w:eastAsia="zh-CN"/>
              </w:rPr>
              <w:t>提出</w:t>
            </w:r>
            <w:r>
              <w:rPr>
                <w:rFonts w:hint="eastAsia"/>
              </w:rPr>
              <w:t>门诊抢救医疗费</w:t>
            </w:r>
            <w:r>
              <w:rPr>
                <w:rFonts w:hint="eastAsia"/>
                <w:lang w:val="en-US" w:eastAsia="zh-CN"/>
              </w:rPr>
              <w:t>零星</w:t>
            </w:r>
            <w:r>
              <w:rPr>
                <w:rFonts w:hint="eastAsia"/>
              </w:rPr>
              <w:t>报销申请。</w:t>
            </w:r>
          </w:p>
          <w:p>
            <w:pPr>
              <w:pStyle w:val="5"/>
            </w:pPr>
            <w:r>
              <w:rPr>
                <w:rFonts w:hint="eastAsia"/>
              </w:rPr>
              <w:t> 二、受理。工作人员收到申请材料之日起即时做出是否受理门诊抢救医疗费报销决定。经审查，参保人符合申请资格，并材料齐全、格式规范、符合法定形式的，予以受理门诊抢救医疗费报销；参保人因不符合申请资格的，工作人员告知不予受理门诊抢救医疗费报销原因；参保人因材料不全或不符合法定形式的，工作人员一次性告知需要补正的全部内容。</w:t>
            </w:r>
          </w:p>
          <w:p>
            <w:pPr>
              <w:pStyle w:val="5"/>
            </w:pPr>
            <w:r>
              <w:rPr>
                <w:rFonts w:hint="eastAsia"/>
              </w:rPr>
              <w:t> 三、审查。参保人配合工作人员人员做好身份信息核实工作。</w:t>
            </w:r>
          </w:p>
          <w:p>
            <w:pPr>
              <w:pStyle w:val="5"/>
            </w:pPr>
            <w:r>
              <w:rPr>
                <w:rFonts w:hint="eastAsia"/>
              </w:rPr>
              <w:t> 四、决定。门诊抢救医疗费报销，工作人员对符合结算资格，并材料齐全、格式规范、符合法定形式的予以办理现场结算，完成现场结算报销，参保人支付个人自付金额，领取相关单据；因材料不齐全、格式不规范、不符合法定形式的不予办理现场结算，工作人员一次性告知需要补正的全部内容。</w:t>
            </w:r>
          </w:p>
          <w:p>
            <w:pPr>
              <w:pStyle w:val="5"/>
            </w:pPr>
            <w:r>
              <w:rPr>
                <w:rFonts w:hint="eastAsia"/>
              </w:rPr>
              <w:t>办理流程图：</w:t>
            </w:r>
          </w:p>
          <w:p>
            <w:pPr>
              <w:pStyle w:val="5"/>
            </w:pPr>
            <w:r>
              <w:drawing>
                <wp:inline distT="0" distB="0" distL="0" distR="0">
                  <wp:extent cx="4295775" cy="4238625"/>
                  <wp:effectExtent l="19050" t="0" r="9525" b="0"/>
                  <wp:docPr id="1" name="图片 1" descr="门诊抢救医疗费报销流程（门诊抢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门诊抢救医疗费报销流程（门诊抢救）.jpg"/>
                          <pic:cNvPicPr>
                            <a:picLocks noChangeAspect="1" noChangeArrowheads="1"/>
                          </pic:cNvPicPr>
                        </pic:nvPicPr>
                        <pic:blipFill>
                          <a:blip r:link="rId4" cstate="print"/>
                          <a:srcRect/>
                          <a:stretch>
                            <a:fillRect/>
                          </a:stretch>
                        </pic:blipFill>
                        <pic:spPr>
                          <a:xfrm>
                            <a:off x="0" y="0"/>
                            <a:ext cx="4295775" cy="4238625"/>
                          </a:xfrm>
                          <a:prstGeom prst="rect">
                            <a:avLst/>
                          </a:prstGeom>
                          <a:noFill/>
                          <a:ln w="9525">
                            <a:noFill/>
                            <a:miter lim="800000"/>
                            <a:headEnd/>
                            <a:tailEnd/>
                          </a:ln>
                        </pic:spPr>
                      </pic:pic>
                    </a:graphicData>
                  </a:graphic>
                </wp:inline>
              </w:drawing>
            </w:r>
          </w:p>
          <w:p>
            <w:pPr>
              <w:pStyle w:val="5"/>
            </w:pPr>
            <w:r>
              <w:rPr>
                <w:rFonts w:hint="eastAsia"/>
              </w:rPr>
              <w:t> </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办理时限</w:t>
            </w:r>
          </w:p>
        </w:tc>
        <w:tc>
          <w:tcPr>
            <w:tcW w:w="5748" w:type="dxa"/>
            <w:tcMar>
              <w:top w:w="0" w:type="dxa"/>
              <w:left w:w="72" w:type="dxa"/>
              <w:bottom w:w="0" w:type="dxa"/>
              <w:right w:w="72" w:type="dxa"/>
            </w:tcMar>
            <w:vAlign w:val="center"/>
          </w:tcPr>
          <w:p>
            <w:pPr>
              <w:pStyle w:val="5"/>
            </w:pPr>
            <w:r>
              <w:rPr>
                <w:rFonts w:hint="eastAsia"/>
              </w:rPr>
              <w:t>现场办理</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办理地点</w:t>
            </w:r>
          </w:p>
        </w:tc>
        <w:tc>
          <w:tcPr>
            <w:tcW w:w="5748" w:type="dxa"/>
            <w:tcMar>
              <w:top w:w="0" w:type="dxa"/>
              <w:left w:w="72" w:type="dxa"/>
              <w:bottom w:w="0" w:type="dxa"/>
              <w:right w:w="72" w:type="dxa"/>
            </w:tcMar>
            <w:vAlign w:val="center"/>
          </w:tcPr>
          <w:p>
            <w:pPr>
              <w:pStyle w:val="5"/>
            </w:pPr>
            <w:r>
              <w:rPr>
                <w:rFonts w:hint="eastAsia"/>
              </w:rPr>
              <w:t>定点</w:t>
            </w:r>
            <w:r>
              <w:rPr>
                <w:rFonts w:hint="eastAsia"/>
                <w:lang w:val="en-US" w:eastAsia="zh-CN"/>
              </w:rPr>
              <w:t>医疗机构</w:t>
            </w:r>
            <w:r>
              <w:rPr>
                <w:rFonts w:hint="eastAsia"/>
              </w:rPr>
              <w:t>收费处</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办理机构</w:t>
            </w:r>
          </w:p>
        </w:tc>
        <w:tc>
          <w:tcPr>
            <w:tcW w:w="5748" w:type="dxa"/>
            <w:tcMar>
              <w:top w:w="0" w:type="dxa"/>
              <w:left w:w="72" w:type="dxa"/>
              <w:bottom w:w="0" w:type="dxa"/>
              <w:right w:w="72" w:type="dxa"/>
            </w:tcMar>
            <w:vAlign w:val="center"/>
          </w:tcPr>
          <w:p>
            <w:pPr>
              <w:pStyle w:val="5"/>
              <w:rPr>
                <w:rFonts w:hint="eastAsia" w:eastAsia="宋体"/>
                <w:lang w:val="en-US" w:eastAsia="zh-CN"/>
              </w:rPr>
            </w:pPr>
            <w:r>
              <w:rPr>
                <w:rFonts w:hint="eastAsia"/>
              </w:rPr>
              <w:t>定点</w:t>
            </w:r>
            <w:r>
              <w:rPr>
                <w:rFonts w:hint="eastAsia"/>
                <w:lang w:val="en-US" w:eastAsia="zh-CN"/>
              </w:rPr>
              <w:t>医疗机构</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收费标准</w:t>
            </w:r>
          </w:p>
        </w:tc>
        <w:tc>
          <w:tcPr>
            <w:tcW w:w="5748" w:type="dxa"/>
            <w:tcMar>
              <w:top w:w="0" w:type="dxa"/>
              <w:left w:w="72" w:type="dxa"/>
              <w:bottom w:w="0" w:type="dxa"/>
              <w:right w:w="72" w:type="dxa"/>
            </w:tcMar>
            <w:vAlign w:val="center"/>
          </w:tcPr>
          <w:p>
            <w:pPr>
              <w:pStyle w:val="5"/>
            </w:pPr>
            <w:r>
              <w:rPr>
                <w:rFonts w:hint="eastAsia"/>
              </w:rPr>
              <w:t>办理本事项无需收费，个人自费医疗费需自行支付。</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办理时间</w:t>
            </w:r>
          </w:p>
        </w:tc>
        <w:tc>
          <w:tcPr>
            <w:tcW w:w="5748" w:type="dxa"/>
            <w:tcMar>
              <w:top w:w="0" w:type="dxa"/>
              <w:left w:w="72" w:type="dxa"/>
              <w:bottom w:w="0" w:type="dxa"/>
              <w:right w:w="72" w:type="dxa"/>
            </w:tcMar>
            <w:vAlign w:val="center"/>
          </w:tcPr>
          <w:p>
            <w:pPr>
              <w:pStyle w:val="5"/>
            </w:pPr>
            <w:r>
              <w:rPr>
                <w:rFonts w:hint="eastAsia"/>
              </w:rPr>
              <w:t>周一至周五早上08:00-12:00，下午14:30-17:30（注：由于部分定点</w:t>
            </w:r>
            <w:r>
              <w:rPr>
                <w:rFonts w:hint="eastAsia"/>
                <w:lang w:val="en-US" w:eastAsia="zh-CN"/>
              </w:rPr>
              <w:t>医疗机构</w:t>
            </w:r>
            <w:r>
              <w:rPr>
                <w:rFonts w:hint="eastAsia"/>
              </w:rPr>
              <w:t>办理时间不一致，请以各定点</w:t>
            </w:r>
            <w:r>
              <w:rPr>
                <w:rFonts w:hint="eastAsia"/>
                <w:lang w:val="en-US" w:eastAsia="zh-CN"/>
              </w:rPr>
              <w:t>医疗机构</w:t>
            </w:r>
            <w:r>
              <w:rPr>
                <w:rFonts w:hint="eastAsia"/>
              </w:rPr>
              <w:t>办公时间为准）</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联系电话</w:t>
            </w:r>
          </w:p>
        </w:tc>
        <w:tc>
          <w:tcPr>
            <w:tcW w:w="5748" w:type="dxa"/>
            <w:tcMar>
              <w:top w:w="0" w:type="dxa"/>
              <w:left w:w="72" w:type="dxa"/>
              <w:bottom w:w="0" w:type="dxa"/>
              <w:right w:w="72" w:type="dxa"/>
            </w:tcMar>
            <w:vAlign w:val="center"/>
          </w:tcPr>
          <w:p>
            <w:pPr>
              <w:pStyle w:val="5"/>
            </w:pPr>
            <w:r>
              <w:rPr>
                <w:rFonts w:hint="eastAsia"/>
              </w:rPr>
              <w:t>0769—12345  </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相关表格下载</w:t>
            </w:r>
          </w:p>
        </w:tc>
        <w:tc>
          <w:tcPr>
            <w:tcW w:w="5748" w:type="dxa"/>
            <w:tcMar>
              <w:top w:w="0" w:type="dxa"/>
              <w:left w:w="72" w:type="dxa"/>
              <w:bottom w:w="0" w:type="dxa"/>
              <w:right w:w="72" w:type="dxa"/>
            </w:tcMar>
            <w:vAlign w:val="center"/>
          </w:tcPr>
          <w:p>
            <w:pPr>
              <w:pStyle w:val="5"/>
            </w:pPr>
            <w:r>
              <w:rPr>
                <w:rFonts w:hint="eastAsia"/>
              </w:rPr>
              <w:t>无</w:t>
            </w:r>
          </w:p>
        </w:tc>
      </w:tr>
      <w:tr>
        <w:tblPrEx>
          <w:tblCellMar>
            <w:top w:w="0" w:type="dxa"/>
            <w:left w:w="0" w:type="dxa"/>
            <w:bottom w:w="0" w:type="dxa"/>
            <w:right w:w="0" w:type="dxa"/>
          </w:tblCellMar>
        </w:tblPrEx>
        <w:trPr>
          <w:trHeight w:val="300" w:hRule="atLeast"/>
          <w:tblCellSpacing w:w="0" w:type="dxa"/>
        </w:trPr>
        <w:tc>
          <w:tcPr>
            <w:tcW w:w="1692" w:type="dxa"/>
            <w:tcMar>
              <w:top w:w="0" w:type="dxa"/>
              <w:left w:w="72" w:type="dxa"/>
              <w:bottom w:w="0" w:type="dxa"/>
              <w:right w:w="72" w:type="dxa"/>
            </w:tcMar>
            <w:vAlign w:val="center"/>
          </w:tcPr>
          <w:p>
            <w:pPr>
              <w:pStyle w:val="5"/>
            </w:pPr>
            <w:r>
              <w:rPr>
                <w:rFonts w:hint="eastAsia"/>
              </w:rPr>
              <w:t>温馨提示</w:t>
            </w:r>
          </w:p>
        </w:tc>
        <w:tc>
          <w:tcPr>
            <w:tcW w:w="5748" w:type="dxa"/>
            <w:tcMar>
              <w:top w:w="0" w:type="dxa"/>
              <w:left w:w="72" w:type="dxa"/>
              <w:bottom w:w="0" w:type="dxa"/>
              <w:right w:w="72" w:type="dxa"/>
            </w:tcMar>
            <w:vAlign w:val="center"/>
          </w:tcPr>
          <w:p>
            <w:pPr>
              <w:pStyle w:val="5"/>
            </w:pPr>
            <w:r>
              <w:rPr>
                <w:rFonts w:hint="eastAsia"/>
              </w:rPr>
              <w:t>无</w:t>
            </w:r>
          </w:p>
        </w:tc>
      </w:tr>
    </w:tbl>
    <w:p>
      <w:pPr>
        <w:pStyle w:val="5"/>
      </w:pPr>
      <w:r>
        <w:rPr>
          <w:rFonts w:hint="eastAsia"/>
        </w:rPr>
        <w:t> </w:t>
      </w: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MjJkZWYxZDA4YTE0MGI0YzQ0ODRiZDg5NGM0YjVlNDUifQ=="/>
  </w:docVars>
  <w:rsids>
    <w:rsidRoot w:val="00D0244F"/>
    <w:rsid w:val="001E17AA"/>
    <w:rsid w:val="002B396B"/>
    <w:rsid w:val="003E6B04"/>
    <w:rsid w:val="0043692D"/>
    <w:rsid w:val="00841131"/>
    <w:rsid w:val="008453A1"/>
    <w:rsid w:val="00D0244F"/>
    <w:rsid w:val="00DF2F0F"/>
    <w:rsid w:val="00DF7822"/>
    <w:rsid w:val="12E62EA6"/>
    <w:rsid w:val="2262104B"/>
    <w:rsid w:val="2A16555B"/>
    <w:rsid w:val="2ACB6489"/>
    <w:rsid w:val="33C05129"/>
    <w:rsid w:val="4FA071C7"/>
    <w:rsid w:val="5898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semiHidden/>
    <w:unhideWhenUsed/>
    <w:qFormat/>
    <w:uiPriority w:val="99"/>
    <w:pPr>
      <w:tabs>
        <w:tab w:val="center" w:pos="4153"/>
        <w:tab w:val="right" w:pos="8306"/>
      </w:tabs>
      <w:snapToGrid w:val="0"/>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uiPriority w:val="99"/>
    <w:pPr>
      <w:spacing w:before="100" w:beforeAutospacing="1" w:after="100" w:afterAutospacing="1"/>
    </w:pPr>
  </w:style>
  <w:style w:type="character" w:styleId="8">
    <w:name w:val="FollowedHyperlink"/>
    <w:basedOn w:val="7"/>
    <w:semiHidden/>
    <w:unhideWhenUsed/>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autoRedefine/>
    <w:semiHidden/>
    <w:qFormat/>
    <w:locked/>
    <w:uiPriority w:val="99"/>
    <w:rPr>
      <w:rFonts w:hint="eastAsia" w:ascii="宋体" w:hAnsi="宋体" w:eastAsia="宋体" w:cs="宋体"/>
      <w:sz w:val="18"/>
      <w:szCs w:val="18"/>
    </w:rPr>
  </w:style>
  <w:style w:type="character" w:customStyle="1" w:styleId="11">
    <w:name w:val="页脚 Char"/>
    <w:basedOn w:val="7"/>
    <w:link w:val="3"/>
    <w:semiHidden/>
    <w:qFormat/>
    <w:locked/>
    <w:uiPriority w:val="99"/>
    <w:rPr>
      <w:rFonts w:hint="eastAsia" w:ascii="宋体" w:hAnsi="宋体" w:eastAsia="宋体" w:cs="宋体"/>
      <w:sz w:val="18"/>
      <w:szCs w:val="18"/>
    </w:rPr>
  </w:style>
  <w:style w:type="character" w:customStyle="1" w:styleId="12">
    <w:name w:val="批注框文本 Char"/>
    <w:basedOn w:val="7"/>
    <w:link w:val="2"/>
    <w:semiHidden/>
    <w:qFormat/>
    <w:locked/>
    <w:uiPriority w:val="99"/>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http://10.147.3.69/sbzw/ueditor/jsp/upload/image/20190610/1560133620235059553.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1104</Words>
  <Characters>1143</Characters>
  <Lines>8</Lines>
  <Paragraphs>2</Paragraphs>
  <TotalTime>0</TotalTime>
  <ScaleCrop>false</ScaleCrop>
  <LinksUpToDate>false</LinksUpToDate>
  <CharactersWithSpaces>1160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2021-07-02T01:30:00Z</dcterms:created>
  <dc:creator>dgsi</dc:creator>
  <cp:lastModifiedBy>cxj</cp:lastModifiedBy>
  <dcterms:modified xsi:type="dcterms:W3CDTF">2024-01-09T03:20:37Z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460B3D924B73484D865DD92EA8BD6D99</vt:lpwstr>
  </property>
</Properties>
</file>