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C1F91">
      <w:pPr>
        <w:spacing w:line="570" w:lineRule="exact"/>
        <w:jc w:val="center"/>
        <w:rPr>
          <w:rFonts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万江街道社区集体经济组织货物和服务</w:t>
      </w:r>
    </w:p>
    <w:p w14:paraId="26C47A3E">
      <w:pPr>
        <w:spacing w:line="570" w:lineRule="exact"/>
        <w:jc w:val="center"/>
        <w:rPr>
          <w:rFonts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采购管理办法（试行）</w:t>
      </w:r>
    </w:p>
    <w:p w14:paraId="39C2B5AE">
      <w:pPr>
        <w:spacing w:line="570" w:lineRule="exact"/>
        <w:jc w:val="center"/>
        <w:rPr>
          <w:rFonts w:ascii="Times New Roman" w:hAnsi="Times New Roman"/>
          <w:bCs/>
          <w:color w:val="auto"/>
          <w:szCs w:val="32"/>
        </w:rPr>
      </w:pPr>
      <w:r>
        <w:rPr>
          <w:rFonts w:ascii="Times New Roman" w:hAnsi="Times New Roman"/>
          <w:bCs/>
          <w:color w:val="auto"/>
          <w:szCs w:val="32"/>
        </w:rPr>
        <w:t>（</w:t>
      </w:r>
      <w:r>
        <w:rPr>
          <w:rFonts w:hint="eastAsia" w:ascii="Times New Roman" w:hAnsi="Times New Roman"/>
          <w:bCs/>
          <w:color w:val="auto"/>
          <w:szCs w:val="32"/>
          <w:lang w:val="en-US" w:eastAsia="zh-CN"/>
        </w:rPr>
        <w:t>征求</w:t>
      </w:r>
      <w:r>
        <w:rPr>
          <w:rFonts w:hint="eastAsia" w:ascii="Times New Roman" w:hAnsi="Times New Roman"/>
          <w:bCs/>
          <w:color w:val="auto"/>
          <w:szCs w:val="32"/>
        </w:rPr>
        <w:t>意见稿</w:t>
      </w:r>
      <w:r>
        <w:rPr>
          <w:rFonts w:ascii="Times New Roman" w:hAnsi="Times New Roman"/>
          <w:bCs/>
          <w:color w:val="auto"/>
          <w:szCs w:val="32"/>
        </w:rPr>
        <w:t>）</w:t>
      </w:r>
    </w:p>
    <w:p w14:paraId="3FF997ED">
      <w:pPr>
        <w:pStyle w:val="2"/>
        <w:spacing w:line="600" w:lineRule="exact"/>
        <w:rPr>
          <w:rFonts w:ascii="Times New Roman" w:hAnsi="Times New Roman" w:cs="Times New Roman"/>
          <w:color w:val="auto"/>
          <w:szCs w:val="32"/>
        </w:rPr>
      </w:pPr>
    </w:p>
    <w:p w14:paraId="25C76CCE">
      <w:pPr>
        <w:spacing w:line="600" w:lineRule="exact"/>
        <w:jc w:val="center"/>
        <w:rPr>
          <w:rFonts w:ascii="Times New Roman" w:hAnsi="Times New Roman" w:eastAsia="黑体"/>
          <w:bCs/>
          <w:color w:val="auto"/>
          <w:szCs w:val="32"/>
        </w:rPr>
      </w:pPr>
      <w:r>
        <w:rPr>
          <w:rFonts w:ascii="Times New Roman" w:hAnsi="Times New Roman" w:eastAsia="黑体"/>
          <w:bCs/>
          <w:color w:val="auto"/>
          <w:szCs w:val="32"/>
        </w:rPr>
        <w:t>第一章   总 则</w:t>
      </w:r>
    </w:p>
    <w:p w14:paraId="033C7567">
      <w:pPr>
        <w:spacing w:line="600" w:lineRule="exact"/>
        <w:rPr>
          <w:rFonts w:ascii="Times New Roman" w:hAnsi="Times New Roman"/>
          <w:color w:val="auto"/>
          <w:szCs w:val="32"/>
        </w:rPr>
      </w:pPr>
    </w:p>
    <w:p w14:paraId="27053E4C">
      <w:pPr>
        <w:spacing w:line="600" w:lineRule="exact"/>
        <w:ind w:firstLine="640" w:firstLineChars="200"/>
        <w:rPr>
          <w:rFonts w:ascii="Times New Roman" w:hAnsi="Times New Roman"/>
          <w:color w:val="auto"/>
          <w:szCs w:val="32"/>
        </w:rPr>
      </w:pPr>
      <w:r>
        <w:rPr>
          <w:rFonts w:ascii="Times New Roman" w:hAnsi="Times New Roman" w:eastAsia="黑体"/>
          <w:color w:val="auto"/>
          <w:szCs w:val="32"/>
        </w:rPr>
        <w:t>第一条</w:t>
      </w:r>
      <w:r>
        <w:rPr>
          <w:rFonts w:ascii="Times New Roman" w:hAnsi="Times New Roman"/>
          <w:color w:val="auto"/>
          <w:szCs w:val="32"/>
        </w:rPr>
        <w:t xml:space="preserve"> 为加强社区集体经济组织货物和服务采购招标管理，进一步规范采购行为</w:t>
      </w:r>
      <w:bookmarkStart w:id="0" w:name="_GoBack"/>
      <w:bookmarkEnd w:id="0"/>
      <w:r>
        <w:rPr>
          <w:rFonts w:ascii="Times New Roman" w:hAnsi="Times New Roman"/>
          <w:color w:val="auto"/>
          <w:szCs w:val="32"/>
        </w:rPr>
        <w:t>，切实维护社区集体经济组织合法权益，</w:t>
      </w:r>
      <w:r>
        <w:rPr>
          <w:rFonts w:hint="eastAsia" w:ascii="Times New Roman" w:hAnsi="Times New Roman"/>
          <w:color w:val="auto"/>
          <w:szCs w:val="32"/>
        </w:rPr>
        <w:t>参照《中华人民共和国政府采购法》和《广东省实施〈中华人民共和国政府采购法〉办法》，</w:t>
      </w:r>
      <w:r>
        <w:rPr>
          <w:rFonts w:ascii="Times New Roman" w:hAnsi="Times New Roman"/>
          <w:color w:val="auto"/>
          <w:szCs w:val="32"/>
        </w:rPr>
        <w:t>制定本办法。</w:t>
      </w:r>
    </w:p>
    <w:p w14:paraId="382471BC">
      <w:pPr>
        <w:spacing w:line="600" w:lineRule="exact"/>
        <w:ind w:firstLine="640" w:firstLineChars="200"/>
        <w:rPr>
          <w:rFonts w:ascii="Times New Roman" w:hAnsi="Times New Roman"/>
          <w:color w:val="auto"/>
          <w:szCs w:val="32"/>
        </w:rPr>
      </w:pPr>
      <w:r>
        <w:rPr>
          <w:rFonts w:ascii="Times New Roman" w:hAnsi="Times New Roman" w:eastAsia="黑体"/>
          <w:color w:val="auto"/>
          <w:szCs w:val="32"/>
        </w:rPr>
        <w:t>第二条</w:t>
      </w:r>
      <w:r>
        <w:rPr>
          <w:rFonts w:ascii="Times New Roman" w:hAnsi="Times New Roman"/>
          <w:color w:val="auto"/>
          <w:szCs w:val="32"/>
        </w:rPr>
        <w:t xml:space="preserve"> 本办法适用于万江街道域内社区集体经济组织（经联社、经济社）货物和服务采购管理。社区集体经济组织建设工程所需材料、设备、</w:t>
      </w:r>
      <w:r>
        <w:rPr>
          <w:rFonts w:hint="eastAsia" w:ascii="Times New Roman" w:hAnsi="Times New Roman"/>
          <w:color w:val="auto"/>
          <w:szCs w:val="32"/>
        </w:rPr>
        <w:t>配套（中介）</w:t>
      </w:r>
      <w:r>
        <w:rPr>
          <w:rFonts w:ascii="Times New Roman" w:hAnsi="Times New Roman"/>
          <w:color w:val="auto"/>
          <w:szCs w:val="32"/>
        </w:rPr>
        <w:t>服务等</w:t>
      </w:r>
      <w:r>
        <w:rPr>
          <w:rFonts w:hint="eastAsia" w:ascii="Times New Roman" w:hAnsi="Times New Roman"/>
          <w:color w:val="auto"/>
          <w:szCs w:val="32"/>
        </w:rPr>
        <w:t>采购</w:t>
      </w:r>
      <w:r>
        <w:rPr>
          <w:rFonts w:ascii="Times New Roman" w:hAnsi="Times New Roman"/>
          <w:color w:val="auto"/>
          <w:szCs w:val="32"/>
        </w:rPr>
        <w:t>应按照上级或街道制定的建设工程招标投标</w:t>
      </w:r>
      <w:r>
        <w:rPr>
          <w:rFonts w:hint="eastAsia" w:ascii="Times New Roman" w:hAnsi="Times New Roman"/>
          <w:color w:val="auto"/>
          <w:szCs w:val="32"/>
        </w:rPr>
        <w:t>管理</w:t>
      </w:r>
      <w:r>
        <w:rPr>
          <w:rFonts w:ascii="Times New Roman" w:hAnsi="Times New Roman"/>
          <w:color w:val="auto"/>
          <w:szCs w:val="32"/>
        </w:rPr>
        <w:t>规定执行。</w:t>
      </w:r>
      <w:r>
        <w:rPr>
          <w:rFonts w:hint="eastAsia" w:ascii="Times New Roman" w:hAnsi="Times New Roman"/>
          <w:color w:val="auto"/>
          <w:szCs w:val="32"/>
        </w:rPr>
        <w:t>集体经济组织因城市更新、发展经济、环境治理、公共配套等原因需定向购入相关单位或个人的房产、设备设施</w:t>
      </w:r>
      <w:r>
        <w:rPr>
          <w:rFonts w:hint="eastAsia" w:ascii="Times New Roman" w:hAnsi="Times New Roman"/>
          <w:color w:val="auto"/>
          <w:szCs w:val="32"/>
        </w:rPr>
        <w:t>、其他资产</w:t>
      </w:r>
      <w:r>
        <w:rPr>
          <w:rFonts w:hint="eastAsia" w:ascii="Times New Roman" w:hAnsi="Times New Roman"/>
          <w:color w:val="auto"/>
          <w:szCs w:val="32"/>
        </w:rPr>
        <w:t>的项目也不适用本办法。</w:t>
      </w:r>
      <w:r>
        <w:rPr>
          <w:rFonts w:hint="eastAsia" w:ascii="Times New Roman" w:hAnsi="Times New Roman"/>
          <w:color w:val="auto"/>
          <w:szCs w:val="32"/>
        </w:rPr>
        <w:t>使用财政性资金的采购项目按有关规定执行，如无规定，按本办法执行。</w:t>
      </w:r>
    </w:p>
    <w:p w14:paraId="4CEC0A96">
      <w:pPr>
        <w:spacing w:line="600" w:lineRule="exact"/>
        <w:ind w:firstLine="640" w:firstLineChars="200"/>
        <w:rPr>
          <w:rFonts w:ascii="Times New Roman" w:hAnsi="Times New Roman"/>
          <w:color w:val="auto"/>
          <w:szCs w:val="32"/>
        </w:rPr>
      </w:pPr>
      <w:r>
        <w:rPr>
          <w:rFonts w:ascii="Times New Roman" w:hAnsi="Times New Roman" w:eastAsia="黑体"/>
          <w:color w:val="auto"/>
          <w:szCs w:val="32"/>
        </w:rPr>
        <w:t>第</w:t>
      </w:r>
      <w:r>
        <w:rPr>
          <w:rFonts w:hint="eastAsia" w:ascii="Times New Roman" w:hAnsi="Times New Roman" w:eastAsia="黑体"/>
          <w:color w:val="auto"/>
          <w:szCs w:val="32"/>
        </w:rPr>
        <w:t>三</w:t>
      </w:r>
      <w:r>
        <w:rPr>
          <w:rFonts w:ascii="Times New Roman" w:hAnsi="Times New Roman" w:eastAsia="黑体"/>
          <w:color w:val="auto"/>
          <w:szCs w:val="32"/>
        </w:rPr>
        <w:t>条</w:t>
      </w:r>
      <w:r>
        <w:rPr>
          <w:rFonts w:ascii="Times New Roman" w:hAnsi="Times New Roman"/>
          <w:color w:val="auto"/>
          <w:szCs w:val="32"/>
        </w:rPr>
        <w:t xml:space="preserve"> 社区集体经济组织是采购项目的采购人，法定代表人是采购活动第一责任人。所</w:t>
      </w:r>
      <w:r>
        <w:rPr>
          <w:rFonts w:hint="eastAsia" w:ascii="Times New Roman" w:hAnsi="Times New Roman"/>
          <w:color w:val="auto"/>
          <w:szCs w:val="32"/>
        </w:rPr>
        <w:t>属</w:t>
      </w:r>
      <w:r>
        <w:rPr>
          <w:rFonts w:ascii="Times New Roman" w:hAnsi="Times New Roman"/>
          <w:color w:val="auto"/>
          <w:szCs w:val="32"/>
        </w:rPr>
        <w:t>社区应指定干部</w:t>
      </w:r>
      <w:r>
        <w:rPr>
          <w:rFonts w:hint="eastAsia" w:ascii="Times New Roman" w:hAnsi="Times New Roman"/>
          <w:color w:val="auto"/>
          <w:szCs w:val="32"/>
        </w:rPr>
        <w:t>（分管采购工作）</w:t>
      </w:r>
      <w:r>
        <w:rPr>
          <w:rFonts w:ascii="Times New Roman" w:hAnsi="Times New Roman"/>
          <w:color w:val="auto"/>
          <w:szCs w:val="32"/>
        </w:rPr>
        <w:t>协调监督指导社区集体经济组织开展采购管理活动。</w:t>
      </w:r>
    </w:p>
    <w:p w14:paraId="1056EEF9">
      <w:pPr>
        <w:spacing w:line="600" w:lineRule="exact"/>
        <w:ind w:firstLine="640" w:firstLineChars="200"/>
        <w:rPr>
          <w:rFonts w:ascii="Times New Roman" w:hAnsi="Times New Roman"/>
          <w:color w:val="auto"/>
          <w:szCs w:val="32"/>
        </w:rPr>
      </w:pPr>
      <w:r>
        <w:rPr>
          <w:rFonts w:ascii="黑体" w:hAnsi="黑体" w:eastAsia="黑体"/>
          <w:color w:val="auto"/>
          <w:szCs w:val="32"/>
        </w:rPr>
        <w:t>第</w:t>
      </w:r>
      <w:r>
        <w:rPr>
          <w:rFonts w:hint="eastAsia" w:ascii="黑体" w:hAnsi="黑体" w:eastAsia="黑体"/>
          <w:color w:val="auto"/>
          <w:szCs w:val="32"/>
        </w:rPr>
        <w:t>四</w:t>
      </w:r>
      <w:r>
        <w:rPr>
          <w:rFonts w:ascii="黑体" w:hAnsi="黑体" w:eastAsia="黑体"/>
          <w:color w:val="auto"/>
          <w:szCs w:val="32"/>
        </w:rPr>
        <w:t>条</w:t>
      </w:r>
      <w:r>
        <w:rPr>
          <w:rFonts w:ascii="Times New Roman" w:hAnsi="Times New Roman"/>
          <w:color w:val="auto"/>
          <w:szCs w:val="32"/>
        </w:rPr>
        <w:t xml:space="preserve"> 本办法所称的货物和服务采购包含但不限于：</w:t>
      </w:r>
    </w:p>
    <w:p w14:paraId="1C3A6BED">
      <w:pPr>
        <w:spacing w:line="600" w:lineRule="exact"/>
        <w:ind w:firstLine="643" w:firstLineChars="200"/>
        <w:rPr>
          <w:rFonts w:ascii="Times New Roman" w:hAnsi="Times New Roman"/>
          <w:color w:val="auto"/>
          <w:szCs w:val="32"/>
        </w:rPr>
      </w:pPr>
      <w:r>
        <w:rPr>
          <w:rFonts w:ascii="Times New Roman" w:hAnsi="Times New Roman"/>
          <w:b/>
          <w:bCs/>
          <w:color w:val="auto"/>
          <w:szCs w:val="32"/>
        </w:rPr>
        <w:t>（一）货物采购：</w:t>
      </w:r>
      <w:r>
        <w:rPr>
          <w:rFonts w:ascii="Times New Roman" w:hAnsi="Times New Roman"/>
          <w:color w:val="auto"/>
          <w:szCs w:val="32"/>
        </w:rPr>
        <w:t>办公用品、办公家具、办公电器设备、固定资产、公益类设施设备、农作物种子、农药、肥料、病虫害防治药品、农用生产设备、加工设备、垃圾清运设备、苗木、家禽苗及饲料、疫苗、其他货物采购；</w:t>
      </w:r>
    </w:p>
    <w:p w14:paraId="537035A3">
      <w:pPr>
        <w:spacing w:line="600" w:lineRule="exact"/>
        <w:ind w:firstLine="643" w:firstLineChars="200"/>
        <w:rPr>
          <w:rFonts w:ascii="Times New Roman" w:hAnsi="Times New Roman"/>
          <w:color w:val="auto"/>
          <w:szCs w:val="32"/>
        </w:rPr>
      </w:pPr>
      <w:r>
        <w:rPr>
          <w:rFonts w:ascii="Times New Roman" w:hAnsi="Times New Roman"/>
          <w:b/>
          <w:bCs/>
          <w:color w:val="auto"/>
          <w:szCs w:val="32"/>
        </w:rPr>
        <w:t>（二）服务采购：</w:t>
      </w:r>
      <w:r>
        <w:rPr>
          <w:rFonts w:ascii="Times New Roman" w:hAnsi="Times New Roman"/>
          <w:color w:val="auto"/>
          <w:szCs w:val="32"/>
        </w:rPr>
        <w:t>道路养护、培训服务、</w:t>
      </w:r>
      <w:r>
        <w:rPr>
          <w:rFonts w:hint="eastAsia" w:ascii="Times New Roman" w:hAnsi="Times New Roman"/>
          <w:color w:val="auto"/>
          <w:szCs w:val="32"/>
        </w:rPr>
        <w:t>清洁保洁</w:t>
      </w:r>
      <w:r>
        <w:rPr>
          <w:rFonts w:hint="eastAsia" w:ascii="Times New Roman" w:hAnsi="Times New Roman"/>
          <w:color w:val="auto"/>
          <w:szCs w:val="32"/>
        </w:rPr>
        <w:t>、</w:t>
      </w:r>
      <w:r>
        <w:rPr>
          <w:rFonts w:ascii="Times New Roman" w:hAnsi="Times New Roman"/>
          <w:color w:val="auto"/>
          <w:szCs w:val="32"/>
        </w:rPr>
        <w:t>宣传</w:t>
      </w:r>
      <w:r>
        <w:rPr>
          <w:rFonts w:hint="eastAsia" w:ascii="Times New Roman" w:hAnsi="Times New Roman"/>
          <w:color w:val="auto"/>
          <w:szCs w:val="32"/>
        </w:rPr>
        <w:t>、</w:t>
      </w:r>
      <w:r>
        <w:rPr>
          <w:rFonts w:ascii="Times New Roman" w:hAnsi="Times New Roman"/>
          <w:color w:val="auto"/>
          <w:szCs w:val="32"/>
        </w:rPr>
        <w:t>展示及印刷、</w:t>
      </w:r>
      <w:r>
        <w:rPr>
          <w:rFonts w:hint="eastAsia" w:ascii="Times New Roman" w:hAnsi="Times New Roman"/>
          <w:color w:val="auto"/>
          <w:szCs w:val="32"/>
        </w:rPr>
        <w:t>管理服务</w:t>
      </w:r>
      <w:r>
        <w:rPr>
          <w:rFonts w:hint="eastAsia" w:ascii="Times New Roman" w:hAnsi="Times New Roman"/>
          <w:color w:val="auto"/>
          <w:szCs w:val="32"/>
        </w:rPr>
        <w:t>、</w:t>
      </w:r>
      <w:r>
        <w:rPr>
          <w:rFonts w:ascii="Times New Roman" w:hAnsi="Times New Roman"/>
          <w:color w:val="auto"/>
          <w:szCs w:val="32"/>
        </w:rPr>
        <w:t>后勤劳务、农技服务、垃圾清运、绿化、市场调查、</w:t>
      </w:r>
      <w:r>
        <w:rPr>
          <w:rFonts w:hint="eastAsia" w:ascii="Times New Roman" w:hAnsi="Times New Roman"/>
          <w:color w:val="auto"/>
          <w:szCs w:val="32"/>
        </w:rPr>
        <w:t>设计、</w:t>
      </w:r>
      <w:r>
        <w:rPr>
          <w:rFonts w:hint="eastAsia" w:ascii="Times New Roman" w:hAnsi="Times New Roman"/>
          <w:color w:val="auto"/>
          <w:szCs w:val="32"/>
        </w:rPr>
        <w:t>咨询</w:t>
      </w:r>
      <w:r>
        <w:rPr>
          <w:rFonts w:ascii="Times New Roman" w:hAnsi="Times New Roman"/>
          <w:color w:val="auto"/>
          <w:szCs w:val="32"/>
        </w:rPr>
        <w:t>评估</w:t>
      </w:r>
      <w:r>
        <w:rPr>
          <w:rFonts w:ascii="Times New Roman" w:hAnsi="Times New Roman"/>
          <w:color w:val="auto"/>
          <w:szCs w:val="32"/>
        </w:rPr>
        <w:t>、审计、</w:t>
      </w:r>
      <w:r>
        <w:rPr>
          <w:rFonts w:hint="eastAsia" w:ascii="Times New Roman" w:hAnsi="Times New Roman"/>
          <w:color w:val="auto"/>
          <w:szCs w:val="32"/>
        </w:rPr>
        <w:t>勘察、测绘测量、</w:t>
      </w:r>
      <w:r>
        <w:rPr>
          <w:rFonts w:ascii="Times New Roman" w:hAnsi="Times New Roman"/>
          <w:color w:val="auto"/>
          <w:szCs w:val="32"/>
        </w:rPr>
        <w:t>其他服务采购。</w:t>
      </w:r>
    </w:p>
    <w:p w14:paraId="28B4F98A">
      <w:pPr>
        <w:pStyle w:val="2"/>
        <w:spacing w:line="600" w:lineRule="exact"/>
        <w:rPr>
          <w:rFonts w:ascii="仿宋_GB2312" w:hAnsi="黑体"/>
          <w:b w:val="0"/>
          <w:color w:val="auto"/>
        </w:rPr>
      </w:pPr>
      <w:r>
        <w:rPr>
          <w:rFonts w:hint="eastAsia"/>
          <w:color w:val="auto"/>
        </w:rPr>
        <w:t xml:space="preserve">     </w:t>
      </w:r>
      <w:r>
        <w:rPr>
          <w:rFonts w:hint="eastAsia" w:ascii="黑体" w:hAnsi="黑体" w:eastAsia="黑体"/>
          <w:b w:val="0"/>
          <w:color w:val="auto"/>
        </w:rPr>
        <w:t xml:space="preserve">第五条 </w:t>
      </w:r>
      <w:r>
        <w:rPr>
          <w:rFonts w:hint="eastAsia" w:ascii="仿宋_GB2312" w:hAnsi="黑体"/>
          <w:b w:val="0"/>
          <w:color w:val="auto"/>
        </w:rPr>
        <w:t>法律法规和上级制度对采购行为另有规定的，从其规定。</w:t>
      </w:r>
    </w:p>
    <w:p w14:paraId="55ABC57B">
      <w:pPr>
        <w:spacing w:line="600" w:lineRule="exact"/>
        <w:jc w:val="center"/>
        <w:rPr>
          <w:rFonts w:ascii="Times New Roman" w:hAnsi="Times New Roman" w:eastAsia="黑体"/>
          <w:bCs/>
          <w:color w:val="auto"/>
          <w:szCs w:val="32"/>
        </w:rPr>
      </w:pPr>
    </w:p>
    <w:p w14:paraId="49460703">
      <w:pPr>
        <w:spacing w:line="600" w:lineRule="exact"/>
        <w:jc w:val="center"/>
        <w:rPr>
          <w:rFonts w:ascii="Times New Roman" w:hAnsi="Times New Roman" w:eastAsia="黑体"/>
          <w:bCs/>
          <w:color w:val="auto"/>
          <w:szCs w:val="32"/>
        </w:rPr>
      </w:pPr>
      <w:r>
        <w:rPr>
          <w:rFonts w:ascii="Times New Roman" w:hAnsi="Times New Roman" w:eastAsia="黑体"/>
          <w:bCs/>
          <w:color w:val="auto"/>
          <w:szCs w:val="32"/>
        </w:rPr>
        <w:t>第二章  采购方式</w:t>
      </w:r>
    </w:p>
    <w:p w14:paraId="0ADF6C6F">
      <w:pPr>
        <w:pStyle w:val="2"/>
        <w:spacing w:line="600" w:lineRule="exact"/>
        <w:rPr>
          <w:color w:val="auto"/>
        </w:rPr>
      </w:pPr>
    </w:p>
    <w:p w14:paraId="0C31D78F">
      <w:pPr>
        <w:spacing w:line="600" w:lineRule="exact"/>
        <w:ind w:firstLine="640" w:firstLineChars="200"/>
        <w:rPr>
          <w:rFonts w:ascii="Times New Roman" w:hAnsi="Times New Roman"/>
          <w:color w:val="auto"/>
          <w:szCs w:val="32"/>
        </w:rPr>
      </w:pPr>
      <w:r>
        <w:rPr>
          <w:rFonts w:ascii="Times New Roman" w:hAnsi="Times New Roman" w:eastAsia="黑体"/>
          <w:color w:val="auto"/>
          <w:szCs w:val="32"/>
        </w:rPr>
        <w:t>第</w:t>
      </w:r>
      <w:r>
        <w:rPr>
          <w:rFonts w:hint="eastAsia" w:ascii="Times New Roman" w:hAnsi="Times New Roman" w:eastAsia="黑体"/>
          <w:color w:val="auto"/>
          <w:szCs w:val="32"/>
        </w:rPr>
        <w:t>六</w:t>
      </w:r>
      <w:r>
        <w:rPr>
          <w:rFonts w:ascii="Times New Roman" w:hAnsi="Times New Roman" w:eastAsia="黑体"/>
          <w:color w:val="auto"/>
          <w:szCs w:val="32"/>
        </w:rPr>
        <w:t>条</w:t>
      </w:r>
      <w:r>
        <w:rPr>
          <w:rFonts w:hint="eastAsia" w:ascii="Times New Roman" w:hAnsi="Times New Roman" w:eastAsia="黑体"/>
          <w:color w:val="auto"/>
          <w:szCs w:val="32"/>
        </w:rPr>
        <w:t xml:space="preserve"> </w:t>
      </w:r>
      <w:r>
        <w:rPr>
          <w:rFonts w:hint="eastAsia" w:ascii="Times New Roman" w:hAnsi="Times New Roman"/>
          <w:color w:val="auto"/>
          <w:szCs w:val="32"/>
        </w:rPr>
        <w:t>社区集体经济组织货物和服务采购的方式包括自行采购和公开招标。根据不同项目金额按下列方式采购：</w:t>
      </w:r>
    </w:p>
    <w:p w14:paraId="6AA80960">
      <w:pPr>
        <w:pStyle w:val="17"/>
        <w:spacing w:line="600" w:lineRule="exact"/>
        <w:ind w:left="640" w:firstLine="0" w:firstLineChars="0"/>
        <w:rPr>
          <w:rFonts w:ascii="Times New Roman" w:hAnsi="Times New Roman"/>
          <w:bCs/>
          <w:color w:val="auto"/>
          <w:szCs w:val="32"/>
        </w:rPr>
      </w:pPr>
      <w:r>
        <w:rPr>
          <w:rFonts w:hint="eastAsia" w:ascii="Times New Roman" w:hAnsi="Times New Roman"/>
          <w:bCs/>
          <w:color w:val="auto"/>
          <w:szCs w:val="32"/>
        </w:rPr>
        <w:t>（一）</w:t>
      </w:r>
      <w:r>
        <w:rPr>
          <w:rFonts w:ascii="Times New Roman" w:hAnsi="Times New Roman"/>
          <w:bCs/>
          <w:color w:val="auto"/>
          <w:szCs w:val="32"/>
        </w:rPr>
        <w:t>预算在50万元</w:t>
      </w:r>
      <w:r>
        <w:rPr>
          <w:rFonts w:hint="eastAsia" w:ascii="Times New Roman" w:hAnsi="Times New Roman"/>
          <w:bCs/>
          <w:color w:val="auto"/>
          <w:szCs w:val="32"/>
        </w:rPr>
        <w:t>以下</w:t>
      </w:r>
      <w:r>
        <w:rPr>
          <w:rFonts w:ascii="Times New Roman" w:hAnsi="Times New Roman"/>
          <w:bCs/>
          <w:color w:val="auto"/>
          <w:szCs w:val="32"/>
        </w:rPr>
        <w:t>的采购项目，可以自行采购。</w:t>
      </w:r>
    </w:p>
    <w:p w14:paraId="0D7A5252">
      <w:pPr>
        <w:spacing w:line="600" w:lineRule="exact"/>
        <w:ind w:firstLine="640" w:firstLineChars="200"/>
        <w:rPr>
          <w:rFonts w:ascii="Times New Roman" w:hAnsi="Times New Roman"/>
          <w:bCs/>
          <w:color w:val="auto"/>
          <w:szCs w:val="32"/>
        </w:rPr>
      </w:pPr>
      <w:r>
        <w:rPr>
          <w:rFonts w:ascii="Times New Roman" w:hAnsi="Times New Roman"/>
          <w:bCs/>
          <w:color w:val="auto"/>
          <w:szCs w:val="32"/>
        </w:rPr>
        <w:t>（</w:t>
      </w:r>
      <w:r>
        <w:rPr>
          <w:rFonts w:hint="eastAsia" w:ascii="Times New Roman" w:hAnsi="Times New Roman"/>
          <w:bCs/>
          <w:color w:val="auto"/>
          <w:szCs w:val="32"/>
        </w:rPr>
        <w:t>二</w:t>
      </w:r>
      <w:r>
        <w:rPr>
          <w:rFonts w:ascii="Times New Roman" w:hAnsi="Times New Roman"/>
          <w:bCs/>
          <w:color w:val="auto"/>
          <w:szCs w:val="32"/>
        </w:rPr>
        <w:t>）预算在50万元（含）以上的采购项目，一般采用公开招标的方式采购。</w:t>
      </w:r>
    </w:p>
    <w:p w14:paraId="50069609">
      <w:pPr>
        <w:pStyle w:val="2"/>
        <w:rPr>
          <w:rFonts w:ascii="Times New Roman" w:hAnsi="Times New Roman" w:cs="Times New Roman"/>
          <w:b w:val="0"/>
          <w:color w:val="auto"/>
        </w:rPr>
      </w:pPr>
      <w:r>
        <w:rPr>
          <w:rFonts w:hint="eastAsia"/>
          <w:color w:val="auto"/>
        </w:rPr>
        <w:t xml:space="preserve">    </w:t>
      </w:r>
      <w:r>
        <w:rPr>
          <w:rFonts w:hint="eastAsia" w:ascii="仿宋_GB2312"/>
          <w:b w:val="0"/>
          <w:color w:val="auto"/>
        </w:rPr>
        <w:t>非建设工程配套(中介)服务如：可行性研究、咨询、设计、规划策划、测量测绘、检验检测等采购参照建设工程配套(中介)服务采购管理。</w:t>
      </w:r>
      <w:r>
        <w:rPr>
          <w:rFonts w:ascii="Times New Roman" w:hAnsi="Times New Roman" w:cs="Times New Roman"/>
          <w:b w:val="0"/>
          <w:color w:val="auto"/>
        </w:rPr>
        <w:t>预算50万元以下的，由社区集体经济组织根据项目特征通过广东省网上中介超市平台的电子化选取模式进行采购；预算50万元（含）至100万元的项目，由社区集体经济组织通过广东省网上中介超市平台竞价选取的电子化模式采购；预算100万元（含）以上的项目，参照市相关规定进入市公共资源交易中心进行采购招标。</w:t>
      </w:r>
      <w:r>
        <w:rPr>
          <w:rFonts w:hint="eastAsia" w:ascii="Times New Roman" w:hAnsi="Times New Roman" w:cs="Times New Roman"/>
          <w:b w:val="0"/>
          <w:color w:val="auto"/>
        </w:rPr>
        <w:t>若广东省网上中介超市平台上没有相应供应商的，经农林水务局审核同意后按本条款设定的采购方式采购。</w:t>
      </w:r>
    </w:p>
    <w:p w14:paraId="1F8C8432">
      <w:pPr>
        <w:spacing w:line="600" w:lineRule="exact"/>
        <w:ind w:firstLine="640"/>
        <w:rPr>
          <w:rFonts w:ascii="Times New Roman" w:hAnsi="Times New Roman"/>
          <w:color w:val="auto"/>
          <w:szCs w:val="32"/>
        </w:rPr>
      </w:pPr>
      <w:r>
        <w:rPr>
          <w:rFonts w:hint="eastAsia" w:ascii="黑体" w:hAnsi="黑体" w:eastAsia="黑体"/>
          <w:color w:val="auto"/>
          <w:szCs w:val="32"/>
        </w:rPr>
        <w:t>第七条</w:t>
      </w:r>
      <w:r>
        <w:rPr>
          <w:rFonts w:hint="eastAsia" w:ascii="Times New Roman" w:hAnsi="Times New Roman"/>
          <w:color w:val="auto"/>
          <w:szCs w:val="32"/>
        </w:rPr>
        <w:t xml:space="preserve"> </w:t>
      </w:r>
      <w:r>
        <w:rPr>
          <w:rFonts w:ascii="Times New Roman" w:hAnsi="Times New Roman"/>
          <w:color w:val="auto"/>
          <w:szCs w:val="32"/>
        </w:rPr>
        <w:t>公开采购一般应委托招标代理机构办理公开采购事</w:t>
      </w:r>
      <w:r>
        <w:rPr>
          <w:rFonts w:hint="eastAsia" w:ascii="Times New Roman" w:hAnsi="Times New Roman"/>
          <w:color w:val="auto"/>
          <w:szCs w:val="32"/>
        </w:rPr>
        <w:t>项</w:t>
      </w:r>
      <w:r>
        <w:rPr>
          <w:rFonts w:ascii="Times New Roman" w:hAnsi="Times New Roman"/>
          <w:color w:val="auto"/>
          <w:szCs w:val="32"/>
        </w:rPr>
        <w:t>。</w:t>
      </w:r>
      <w:r>
        <w:rPr>
          <w:rFonts w:ascii="Times New Roman" w:hAnsi="Times New Roman"/>
          <w:bCs/>
          <w:color w:val="auto"/>
          <w:szCs w:val="32"/>
        </w:rPr>
        <w:t>社区集体经济组织可自行委托招标代理机构，委托费用应在采购项目表决中一并表决，可以约定委托费用由该采购项目中标人负担。</w:t>
      </w:r>
    </w:p>
    <w:p w14:paraId="2B755DC2">
      <w:pPr>
        <w:spacing w:line="600" w:lineRule="exact"/>
        <w:ind w:firstLine="640"/>
        <w:rPr>
          <w:rFonts w:ascii="Times New Roman" w:hAnsi="Times New Roman"/>
          <w:color w:val="auto"/>
          <w:szCs w:val="32"/>
        </w:rPr>
      </w:pPr>
      <w:r>
        <w:rPr>
          <w:rFonts w:ascii="黑体" w:hAnsi="黑体" w:eastAsia="黑体"/>
          <w:color w:val="auto"/>
          <w:szCs w:val="32"/>
        </w:rPr>
        <w:t>第</w:t>
      </w:r>
      <w:r>
        <w:rPr>
          <w:rFonts w:hint="eastAsia" w:ascii="黑体" w:hAnsi="黑体" w:eastAsia="黑体"/>
          <w:color w:val="auto"/>
          <w:szCs w:val="32"/>
        </w:rPr>
        <w:t>八</w:t>
      </w:r>
      <w:r>
        <w:rPr>
          <w:rFonts w:ascii="黑体" w:hAnsi="黑体" w:eastAsia="黑体"/>
          <w:color w:val="auto"/>
          <w:szCs w:val="32"/>
        </w:rPr>
        <w:t>条</w:t>
      </w:r>
      <w:r>
        <w:rPr>
          <w:rFonts w:ascii="Times New Roman" w:hAnsi="Times New Roman"/>
          <w:color w:val="auto"/>
          <w:szCs w:val="32"/>
        </w:rPr>
        <w:t xml:space="preserve"> 实施公开招标的采购项目，投标截止后投标人不足3家、通过资格审查或符合性审查的投标人不足3家的，除采购任务取消情形外，按照以下方式处理：</w:t>
      </w:r>
    </w:p>
    <w:p w14:paraId="0D7FB0A5">
      <w:pPr>
        <w:pStyle w:val="9"/>
        <w:spacing w:before="0" w:beforeAutospacing="0" w:after="0" w:afterAutospacing="0" w:line="600" w:lineRule="exact"/>
        <w:jc w:val="both"/>
        <w:rPr>
          <w:rFonts w:ascii="Times New Roman" w:hAnsi="Times New Roman" w:cs="Times New Roman"/>
          <w:color w:val="auto"/>
          <w:kern w:val="2"/>
          <w:sz w:val="32"/>
          <w:szCs w:val="32"/>
        </w:rPr>
      </w:pPr>
      <w:r>
        <w:rPr>
          <w:rFonts w:ascii="Times New Roman" w:hAnsi="Times New Roman" w:cs="Times New Roman"/>
          <w:b/>
          <w:bCs/>
          <w:color w:val="auto"/>
          <w:kern w:val="2"/>
          <w:sz w:val="32"/>
          <w:szCs w:val="32"/>
        </w:rPr>
        <w:t>　　</w:t>
      </w:r>
      <w:r>
        <w:rPr>
          <w:rFonts w:ascii="Times New Roman" w:hAnsi="Times New Roman" w:cs="Times New Roman"/>
          <w:bCs/>
          <w:color w:val="auto"/>
          <w:kern w:val="2"/>
          <w:sz w:val="32"/>
          <w:szCs w:val="32"/>
        </w:rPr>
        <w:t>（一）</w:t>
      </w:r>
      <w:r>
        <w:rPr>
          <w:rFonts w:ascii="Times New Roman" w:hAnsi="Times New Roman" w:cs="Times New Roman"/>
          <w:color w:val="auto"/>
          <w:kern w:val="2"/>
          <w:sz w:val="32"/>
          <w:szCs w:val="32"/>
        </w:rPr>
        <w:t>招标文件存在不合理条款或者招标程序不符合规定的，采购人、采购代理机构改正后依法重新招标；</w:t>
      </w:r>
    </w:p>
    <w:p w14:paraId="6C99A4AC">
      <w:pPr>
        <w:pStyle w:val="9"/>
        <w:spacing w:before="0" w:beforeAutospacing="0" w:after="0" w:afterAutospacing="0" w:line="600" w:lineRule="exact"/>
        <w:jc w:val="both"/>
        <w:rPr>
          <w:rFonts w:ascii="Times New Roman" w:hAnsi="Times New Roman" w:cs="Times New Roman"/>
          <w:color w:val="auto"/>
          <w:sz w:val="32"/>
          <w:szCs w:val="32"/>
        </w:rPr>
      </w:pPr>
      <w:r>
        <w:rPr>
          <w:rFonts w:ascii="Times New Roman" w:hAnsi="Times New Roman" w:cs="Times New Roman"/>
          <w:color w:val="auto"/>
          <w:kern w:val="2"/>
          <w:sz w:val="32"/>
          <w:szCs w:val="32"/>
        </w:rPr>
        <w:t>　</w:t>
      </w:r>
      <w:r>
        <w:rPr>
          <w:rFonts w:ascii="Times New Roman" w:hAnsi="Times New Roman" w:cs="Times New Roman"/>
          <w:bCs/>
          <w:color w:val="auto"/>
          <w:kern w:val="2"/>
          <w:sz w:val="32"/>
          <w:szCs w:val="32"/>
        </w:rPr>
        <w:t>　（二）</w:t>
      </w:r>
      <w:r>
        <w:rPr>
          <w:rFonts w:ascii="Times New Roman" w:hAnsi="Times New Roman" w:cs="Times New Roman"/>
          <w:color w:val="auto"/>
          <w:kern w:val="2"/>
          <w:sz w:val="32"/>
          <w:szCs w:val="32"/>
        </w:rPr>
        <w:t>招标2次以上的，投标人达不到招标要求，且招标文</w:t>
      </w:r>
      <w:r>
        <w:rPr>
          <w:rFonts w:ascii="Times New Roman" w:hAnsi="Times New Roman" w:cs="Times New Roman"/>
          <w:color w:val="auto"/>
          <w:sz w:val="32"/>
          <w:szCs w:val="32"/>
        </w:rPr>
        <w:t>件没有不合理条款、招标程序符合规定的，需要采用其他采购方式采购的，采购人应当报农林水务局重新审核。</w:t>
      </w:r>
    </w:p>
    <w:p w14:paraId="7963ED73">
      <w:pPr>
        <w:spacing w:line="600" w:lineRule="exact"/>
        <w:ind w:firstLine="640" w:firstLineChars="200"/>
        <w:rPr>
          <w:rFonts w:ascii="Times New Roman" w:hAnsi="Times New Roman"/>
          <w:color w:val="auto"/>
          <w:szCs w:val="32"/>
        </w:rPr>
      </w:pPr>
      <w:r>
        <w:rPr>
          <w:rFonts w:ascii="黑体" w:hAnsi="黑体" w:eastAsia="黑体"/>
          <w:color w:val="auto"/>
          <w:szCs w:val="32"/>
        </w:rPr>
        <w:t>第</w:t>
      </w:r>
      <w:r>
        <w:rPr>
          <w:rFonts w:hint="eastAsia" w:ascii="黑体" w:hAnsi="黑体" w:eastAsia="黑体"/>
          <w:color w:val="auto"/>
          <w:szCs w:val="32"/>
        </w:rPr>
        <w:t>九</w:t>
      </w:r>
      <w:r>
        <w:rPr>
          <w:rFonts w:ascii="黑体" w:hAnsi="黑体" w:eastAsia="黑体"/>
          <w:color w:val="auto"/>
          <w:szCs w:val="32"/>
        </w:rPr>
        <w:t>条</w:t>
      </w:r>
      <w:r>
        <w:rPr>
          <w:rFonts w:ascii="Times New Roman" w:hAnsi="Times New Roman"/>
          <w:color w:val="auto"/>
          <w:szCs w:val="32"/>
        </w:rPr>
        <w:t xml:space="preserve"> 出现下列情况之一的，经农林水务局审核同意后可</w:t>
      </w:r>
      <w:r>
        <w:rPr>
          <w:rFonts w:hint="eastAsia" w:ascii="Times New Roman" w:hAnsi="Times New Roman"/>
          <w:color w:val="auto"/>
          <w:szCs w:val="32"/>
        </w:rPr>
        <w:t>自行采购</w:t>
      </w:r>
      <w:r>
        <w:rPr>
          <w:rFonts w:ascii="Times New Roman" w:hAnsi="Times New Roman"/>
          <w:color w:val="auto"/>
          <w:szCs w:val="32"/>
        </w:rPr>
        <w:t>方式采购：</w:t>
      </w:r>
    </w:p>
    <w:p w14:paraId="5ECFAC30">
      <w:pPr>
        <w:spacing w:line="600" w:lineRule="exact"/>
        <w:ind w:firstLine="640" w:firstLineChars="200"/>
        <w:rPr>
          <w:rFonts w:ascii="Times New Roman" w:hAnsi="Times New Roman"/>
          <w:color w:val="auto"/>
          <w:szCs w:val="32"/>
        </w:rPr>
      </w:pPr>
      <w:r>
        <w:rPr>
          <w:rFonts w:ascii="Times New Roman" w:hAnsi="Times New Roman"/>
          <w:bCs/>
          <w:color w:val="auto"/>
          <w:szCs w:val="32"/>
        </w:rPr>
        <w:t>（一）</w:t>
      </w:r>
      <w:r>
        <w:rPr>
          <w:rFonts w:ascii="Times New Roman" w:hAnsi="Times New Roman"/>
          <w:color w:val="auto"/>
          <w:szCs w:val="32"/>
        </w:rPr>
        <w:t>只能从唯一供应商处采购的；</w:t>
      </w:r>
    </w:p>
    <w:p w14:paraId="44A396CF">
      <w:pPr>
        <w:spacing w:line="600" w:lineRule="exact"/>
        <w:ind w:firstLine="640" w:firstLineChars="200"/>
        <w:rPr>
          <w:rFonts w:ascii="Times New Roman" w:hAnsi="Times New Roman"/>
          <w:color w:val="auto"/>
          <w:szCs w:val="32"/>
        </w:rPr>
      </w:pPr>
      <w:r>
        <w:rPr>
          <w:rFonts w:ascii="Times New Roman" w:hAnsi="Times New Roman"/>
          <w:bCs/>
          <w:color w:val="auto"/>
          <w:szCs w:val="32"/>
        </w:rPr>
        <w:t>（二）</w:t>
      </w:r>
      <w:r>
        <w:rPr>
          <w:rFonts w:ascii="Times New Roman" w:hAnsi="Times New Roman"/>
          <w:color w:val="auto"/>
          <w:szCs w:val="32"/>
        </w:rPr>
        <w:t>发生不可预见的紧急情况，不能从其他供应商处采购的；</w:t>
      </w:r>
    </w:p>
    <w:p w14:paraId="38C2097B">
      <w:pPr>
        <w:spacing w:line="600" w:lineRule="exact"/>
        <w:ind w:firstLine="640" w:firstLineChars="200"/>
        <w:rPr>
          <w:rFonts w:ascii="Times New Roman" w:hAnsi="Times New Roman"/>
          <w:color w:val="auto"/>
          <w:szCs w:val="32"/>
        </w:rPr>
      </w:pPr>
      <w:r>
        <w:rPr>
          <w:rFonts w:ascii="Times New Roman" w:hAnsi="Times New Roman"/>
          <w:bCs/>
          <w:color w:val="auto"/>
          <w:szCs w:val="32"/>
        </w:rPr>
        <w:t>（三）</w:t>
      </w:r>
      <w:r>
        <w:rPr>
          <w:rFonts w:ascii="Times New Roman" w:hAnsi="Times New Roman"/>
          <w:color w:val="auto"/>
          <w:szCs w:val="32"/>
        </w:rPr>
        <w:t>必须保证原有采购项目一致性或者服务配套的要求，需要继续从原供应商处添购，且添购资金总额不超过原合同采购金额百分之十的。</w:t>
      </w:r>
    </w:p>
    <w:p w14:paraId="3F8E39DE">
      <w:pPr>
        <w:pStyle w:val="2"/>
        <w:spacing w:line="600" w:lineRule="exact"/>
        <w:rPr>
          <w:color w:val="auto"/>
        </w:rPr>
      </w:pPr>
    </w:p>
    <w:p w14:paraId="53C7A6D4">
      <w:pPr>
        <w:spacing w:line="600" w:lineRule="exact"/>
        <w:jc w:val="center"/>
        <w:rPr>
          <w:rFonts w:ascii="黑体" w:hAnsi="黑体" w:eastAsia="黑体"/>
          <w:bCs/>
          <w:color w:val="auto"/>
          <w:szCs w:val="32"/>
        </w:rPr>
      </w:pPr>
      <w:r>
        <w:rPr>
          <w:rFonts w:ascii="黑体" w:hAnsi="黑体" w:eastAsia="黑体"/>
          <w:bCs/>
          <w:color w:val="auto"/>
          <w:szCs w:val="32"/>
        </w:rPr>
        <w:t>第三章   采购流程</w:t>
      </w:r>
    </w:p>
    <w:p w14:paraId="6D597994">
      <w:pPr>
        <w:spacing w:line="600" w:lineRule="exact"/>
        <w:ind w:firstLine="640" w:firstLineChars="200"/>
        <w:rPr>
          <w:rFonts w:ascii="黑体" w:hAnsi="黑体" w:eastAsia="黑体"/>
          <w:color w:val="auto"/>
          <w:szCs w:val="32"/>
        </w:rPr>
      </w:pPr>
    </w:p>
    <w:p w14:paraId="7042A4F4">
      <w:pPr>
        <w:spacing w:line="600" w:lineRule="exact"/>
        <w:ind w:firstLine="640" w:firstLineChars="200"/>
        <w:rPr>
          <w:rFonts w:ascii="Times New Roman" w:hAnsi="Times New Roman"/>
          <w:color w:val="auto"/>
          <w:szCs w:val="32"/>
        </w:rPr>
      </w:pPr>
      <w:r>
        <w:rPr>
          <w:rFonts w:ascii="黑体" w:hAnsi="黑体" w:eastAsia="黑体"/>
          <w:color w:val="auto"/>
          <w:szCs w:val="32"/>
        </w:rPr>
        <w:t>第</w:t>
      </w:r>
      <w:r>
        <w:rPr>
          <w:rFonts w:hint="eastAsia" w:ascii="黑体" w:hAnsi="黑体" w:eastAsia="黑体"/>
          <w:color w:val="auto"/>
          <w:szCs w:val="32"/>
        </w:rPr>
        <w:t>十</w:t>
      </w:r>
      <w:r>
        <w:rPr>
          <w:rFonts w:ascii="黑体" w:hAnsi="黑体" w:eastAsia="黑体"/>
          <w:color w:val="auto"/>
          <w:szCs w:val="32"/>
        </w:rPr>
        <w:t>条</w:t>
      </w:r>
      <w:r>
        <w:rPr>
          <w:rFonts w:hint="eastAsia" w:ascii="黑体" w:hAnsi="黑体" w:eastAsia="黑体"/>
          <w:color w:val="auto"/>
          <w:szCs w:val="32"/>
        </w:rPr>
        <w:t xml:space="preserve"> </w:t>
      </w:r>
      <w:r>
        <w:rPr>
          <w:rFonts w:ascii="Times New Roman" w:hAnsi="Times New Roman"/>
          <w:color w:val="auto"/>
          <w:szCs w:val="32"/>
        </w:rPr>
        <w:t>采购</w:t>
      </w:r>
      <w:r>
        <w:rPr>
          <w:rFonts w:hint="eastAsia" w:ascii="Times New Roman" w:hAnsi="Times New Roman"/>
          <w:color w:val="auto"/>
          <w:szCs w:val="32"/>
        </w:rPr>
        <w:t>操作</w:t>
      </w:r>
      <w:r>
        <w:rPr>
          <w:rFonts w:ascii="Times New Roman" w:hAnsi="Times New Roman"/>
          <w:color w:val="auto"/>
          <w:szCs w:val="32"/>
        </w:rPr>
        <w:t>流程一般</w:t>
      </w:r>
      <w:r>
        <w:rPr>
          <w:rFonts w:hint="eastAsia" w:ascii="Times New Roman" w:hAnsi="Times New Roman"/>
          <w:color w:val="auto"/>
          <w:szCs w:val="32"/>
        </w:rPr>
        <w:t>包括：</w:t>
      </w:r>
      <w:r>
        <w:rPr>
          <w:rFonts w:ascii="Times New Roman" w:hAnsi="Times New Roman"/>
          <w:color w:val="auto"/>
          <w:szCs w:val="32"/>
        </w:rPr>
        <w:t>采购申请、采购审核、组织交易、成交签约、验收结算</w:t>
      </w:r>
      <w:r>
        <w:rPr>
          <w:rFonts w:hint="eastAsia" w:ascii="Times New Roman" w:hAnsi="Times New Roman"/>
          <w:color w:val="auto"/>
          <w:szCs w:val="32"/>
        </w:rPr>
        <w:t>、付款</w:t>
      </w:r>
      <w:r>
        <w:rPr>
          <w:rFonts w:ascii="Times New Roman" w:hAnsi="Times New Roman"/>
          <w:color w:val="auto"/>
          <w:szCs w:val="32"/>
        </w:rPr>
        <w:t>等。</w:t>
      </w:r>
    </w:p>
    <w:p w14:paraId="620DF8EC">
      <w:pPr>
        <w:pStyle w:val="17"/>
        <w:numPr>
          <w:ilvl w:val="0"/>
          <w:numId w:val="1"/>
        </w:numPr>
        <w:spacing w:line="600" w:lineRule="exact"/>
        <w:ind w:firstLineChars="0"/>
        <w:rPr>
          <w:rFonts w:ascii="Times New Roman" w:hAnsi="Times New Roman"/>
          <w:color w:val="auto"/>
          <w:szCs w:val="32"/>
        </w:rPr>
      </w:pPr>
      <w:r>
        <w:rPr>
          <w:rFonts w:hint="eastAsia" w:ascii="Times New Roman" w:hAnsi="Times New Roman"/>
          <w:color w:val="auto"/>
          <w:szCs w:val="32"/>
        </w:rPr>
        <w:t>自行采购</w:t>
      </w:r>
    </w:p>
    <w:p w14:paraId="48A0A1BE">
      <w:pPr>
        <w:pStyle w:val="17"/>
        <w:spacing w:line="600" w:lineRule="exact"/>
        <w:ind w:firstLine="640"/>
        <w:rPr>
          <w:rFonts w:ascii="Times New Roman" w:hAnsi="Times New Roman"/>
          <w:bCs/>
          <w:color w:val="auto"/>
          <w:szCs w:val="32"/>
        </w:rPr>
      </w:pPr>
      <w:r>
        <w:rPr>
          <w:rFonts w:hint="eastAsia" w:ascii="Times New Roman" w:hAnsi="Times New Roman"/>
          <w:bCs/>
          <w:color w:val="auto"/>
          <w:szCs w:val="32"/>
        </w:rPr>
        <w:t>1.</w:t>
      </w:r>
      <w:r>
        <w:rPr>
          <w:rFonts w:ascii="Times New Roman" w:hAnsi="Times New Roman"/>
          <w:bCs/>
          <w:color w:val="auto"/>
          <w:szCs w:val="32"/>
        </w:rPr>
        <w:t>预算在</w:t>
      </w:r>
      <w:r>
        <w:rPr>
          <w:rFonts w:hint="eastAsia" w:ascii="Times New Roman" w:hAnsi="Times New Roman"/>
          <w:bCs/>
          <w:color w:val="auto"/>
          <w:szCs w:val="32"/>
        </w:rPr>
        <w:t>1</w:t>
      </w:r>
      <w:r>
        <w:rPr>
          <w:rFonts w:ascii="Times New Roman" w:hAnsi="Times New Roman"/>
          <w:bCs/>
          <w:color w:val="auto"/>
          <w:szCs w:val="32"/>
        </w:rPr>
        <w:t>万元</w:t>
      </w:r>
      <w:r>
        <w:rPr>
          <w:rFonts w:hint="eastAsia" w:ascii="Times New Roman" w:hAnsi="Times New Roman"/>
          <w:bCs/>
          <w:color w:val="auto"/>
          <w:szCs w:val="32"/>
        </w:rPr>
        <w:t>以下的采购项目由社区制定自行采购管理流程实施。</w:t>
      </w:r>
    </w:p>
    <w:p w14:paraId="2996A06B">
      <w:pPr>
        <w:pStyle w:val="17"/>
        <w:spacing w:line="600" w:lineRule="exact"/>
        <w:ind w:firstLine="640"/>
        <w:rPr>
          <w:rFonts w:ascii="Times New Roman" w:hAnsi="Times New Roman"/>
          <w:color w:val="auto"/>
          <w:szCs w:val="32"/>
        </w:rPr>
      </w:pPr>
      <w:r>
        <w:rPr>
          <w:rFonts w:hint="eastAsia" w:ascii="Times New Roman" w:hAnsi="Times New Roman"/>
          <w:bCs/>
          <w:color w:val="auto"/>
          <w:szCs w:val="32"/>
        </w:rPr>
        <w:t>2.预算在1万元（含）至50万元采购项目的</w:t>
      </w:r>
      <w:r>
        <w:rPr>
          <w:rFonts w:ascii="Times New Roman" w:hAnsi="Times New Roman"/>
          <w:color w:val="auto"/>
          <w:szCs w:val="32"/>
        </w:rPr>
        <w:t>应由相关人员</w:t>
      </w:r>
      <w:r>
        <w:rPr>
          <w:rFonts w:hint="eastAsia" w:ascii="Times New Roman" w:hAnsi="Times New Roman"/>
          <w:color w:val="auto"/>
          <w:szCs w:val="32"/>
        </w:rPr>
        <w:t>（或部门单位）书面</w:t>
      </w:r>
      <w:r>
        <w:rPr>
          <w:rFonts w:ascii="Times New Roman" w:hAnsi="Times New Roman"/>
          <w:color w:val="auto"/>
          <w:szCs w:val="32"/>
        </w:rPr>
        <w:t>提出采购</w:t>
      </w:r>
      <w:r>
        <w:rPr>
          <w:rFonts w:hint="eastAsia" w:ascii="Times New Roman" w:hAnsi="Times New Roman"/>
          <w:color w:val="auto"/>
          <w:szCs w:val="32"/>
        </w:rPr>
        <w:t>申请，经社区集体经济组织负责人签字同意</w:t>
      </w:r>
      <w:r>
        <w:rPr>
          <w:rFonts w:ascii="Times New Roman" w:hAnsi="Times New Roman"/>
          <w:color w:val="auto"/>
          <w:szCs w:val="32"/>
        </w:rPr>
        <w:t>，</w:t>
      </w:r>
      <w:r>
        <w:rPr>
          <w:rFonts w:hint="eastAsia" w:ascii="Times New Roman" w:hAnsi="Times New Roman"/>
          <w:color w:val="auto"/>
          <w:szCs w:val="32"/>
        </w:rPr>
        <w:t>按规定履行民主决策程序，并按规定层级审批后自行采购</w:t>
      </w:r>
      <w:r>
        <w:rPr>
          <w:rFonts w:ascii="Times New Roman" w:hAnsi="Times New Roman"/>
          <w:color w:val="auto"/>
          <w:szCs w:val="32"/>
        </w:rPr>
        <w:t>。</w:t>
      </w:r>
    </w:p>
    <w:p w14:paraId="33D166DF">
      <w:pPr>
        <w:pStyle w:val="17"/>
        <w:numPr>
          <w:ilvl w:val="0"/>
          <w:numId w:val="1"/>
        </w:numPr>
        <w:spacing w:line="600" w:lineRule="exact"/>
        <w:ind w:firstLineChars="0"/>
        <w:rPr>
          <w:rFonts w:ascii="Times New Roman" w:hAnsi="Times New Roman"/>
          <w:color w:val="auto"/>
          <w:szCs w:val="32"/>
        </w:rPr>
      </w:pPr>
      <w:r>
        <w:rPr>
          <w:rFonts w:hint="eastAsia" w:ascii="Times New Roman" w:hAnsi="Times New Roman"/>
          <w:color w:val="auto"/>
          <w:szCs w:val="32"/>
        </w:rPr>
        <w:t>公开采购</w:t>
      </w:r>
    </w:p>
    <w:p w14:paraId="58765C70">
      <w:pPr>
        <w:pStyle w:val="17"/>
        <w:spacing w:line="600" w:lineRule="exact"/>
        <w:ind w:firstLine="640"/>
        <w:rPr>
          <w:rFonts w:ascii="Times New Roman" w:hAnsi="Times New Roman"/>
          <w:color w:val="auto"/>
          <w:szCs w:val="32"/>
        </w:rPr>
      </w:pPr>
      <w:r>
        <w:rPr>
          <w:rFonts w:hint="eastAsia" w:ascii="Times New Roman" w:hAnsi="Times New Roman"/>
          <w:color w:val="auto"/>
          <w:szCs w:val="32"/>
        </w:rPr>
        <w:t>1.</w:t>
      </w:r>
      <w:r>
        <w:rPr>
          <w:rFonts w:ascii="Times New Roman" w:hAnsi="Times New Roman"/>
          <w:color w:val="auto"/>
          <w:szCs w:val="32"/>
        </w:rPr>
        <w:t>相关人员</w:t>
      </w:r>
      <w:r>
        <w:rPr>
          <w:rFonts w:hint="eastAsia" w:ascii="Times New Roman" w:hAnsi="Times New Roman"/>
          <w:color w:val="auto"/>
          <w:szCs w:val="32"/>
        </w:rPr>
        <w:t>（或部门单位）书面</w:t>
      </w:r>
      <w:r>
        <w:rPr>
          <w:rFonts w:ascii="Times New Roman" w:hAnsi="Times New Roman"/>
          <w:color w:val="auto"/>
          <w:szCs w:val="32"/>
        </w:rPr>
        <w:t>提出</w:t>
      </w:r>
      <w:r>
        <w:rPr>
          <w:rFonts w:hint="eastAsia" w:ascii="Times New Roman" w:hAnsi="Times New Roman"/>
          <w:color w:val="auto"/>
          <w:szCs w:val="32"/>
        </w:rPr>
        <w:t>采购申请和</w:t>
      </w:r>
      <w:r>
        <w:rPr>
          <w:rFonts w:ascii="Times New Roman" w:hAnsi="Times New Roman"/>
          <w:color w:val="auto"/>
          <w:szCs w:val="32"/>
        </w:rPr>
        <w:t>采购方案</w:t>
      </w:r>
      <w:r>
        <w:rPr>
          <w:rFonts w:hint="eastAsia" w:ascii="Times New Roman" w:hAnsi="Times New Roman"/>
          <w:color w:val="auto"/>
          <w:szCs w:val="32"/>
        </w:rPr>
        <w:t>，</w:t>
      </w:r>
      <w:r>
        <w:rPr>
          <w:rFonts w:ascii="Times New Roman" w:hAnsi="Times New Roman"/>
          <w:color w:val="auto"/>
          <w:szCs w:val="32"/>
        </w:rPr>
        <w:t>方案内容包括采购理由、</w:t>
      </w:r>
      <w:r>
        <w:rPr>
          <w:rFonts w:hint="eastAsia" w:ascii="Times New Roman" w:hAnsi="Times New Roman"/>
          <w:color w:val="auto"/>
          <w:szCs w:val="32"/>
        </w:rPr>
        <w:t>效益分析、</w:t>
      </w:r>
      <w:r>
        <w:rPr>
          <w:rFonts w:ascii="Times New Roman" w:hAnsi="Times New Roman"/>
          <w:color w:val="auto"/>
          <w:szCs w:val="32"/>
        </w:rPr>
        <w:t>采购内容与要求、采购</w:t>
      </w:r>
      <w:r>
        <w:rPr>
          <w:rFonts w:hint="eastAsia" w:ascii="Times New Roman" w:hAnsi="Times New Roman"/>
          <w:color w:val="auto"/>
          <w:szCs w:val="32"/>
        </w:rPr>
        <w:t>预算</w:t>
      </w:r>
      <w:r>
        <w:rPr>
          <w:rFonts w:ascii="Times New Roman" w:hAnsi="Times New Roman"/>
          <w:color w:val="auto"/>
          <w:szCs w:val="32"/>
        </w:rPr>
        <w:t>金额和采购方式</w:t>
      </w:r>
      <w:r>
        <w:rPr>
          <w:rFonts w:hint="eastAsia" w:ascii="Times New Roman" w:hAnsi="Times New Roman"/>
          <w:color w:val="auto"/>
          <w:szCs w:val="32"/>
        </w:rPr>
        <w:t>等内容。</w:t>
      </w:r>
    </w:p>
    <w:p w14:paraId="3795965D">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2.50万元（含）以上采购项目的预算价必须经广东省网上中介服务超市选取有资质咨询公司进行审核。</w:t>
      </w:r>
    </w:p>
    <w:p w14:paraId="6CE8C39F">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3.社区集体经济组织将采购方案连同招标文件、预算审核报告等资料按规定履行民主决策程序，并按规定办理相关民主决策审查后才能实施。</w:t>
      </w:r>
    </w:p>
    <w:p w14:paraId="593DF98A">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招标文件资料应明确：投标邀请；投标人须知；投标人应当提交的资格、资信证明文件、投标文件编制要求、投标报价要求和投标保证金交纳；退还方式以及不予退还投标保证金的情形；采购项目预算金额，设定最高限价的，还应当公开最高限价；采购项目的技术规格、数量、服务标准、验收等要求；拟签订的合同文本；货物服务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其他情况等内容。</w:t>
      </w:r>
    </w:p>
    <w:p w14:paraId="6AF91432">
      <w:pPr>
        <w:spacing w:line="600" w:lineRule="exact"/>
        <w:ind w:firstLine="480" w:firstLineChars="150"/>
        <w:rPr>
          <w:rFonts w:ascii="Times New Roman" w:hAnsi="Times New Roman"/>
          <w:bCs/>
          <w:color w:val="auto"/>
          <w:szCs w:val="32"/>
        </w:rPr>
      </w:pPr>
      <w:r>
        <w:rPr>
          <w:rFonts w:hint="eastAsia"/>
          <w:color w:val="auto"/>
        </w:rPr>
        <w:t xml:space="preserve"> </w:t>
      </w:r>
      <w:r>
        <w:rPr>
          <w:rFonts w:hint="eastAsia" w:ascii="Times New Roman" w:hAnsi="Times New Roman"/>
          <w:bCs/>
          <w:color w:val="auto"/>
          <w:szCs w:val="32"/>
        </w:rPr>
        <w:t>采购项目民主决策表决内容应包括采购的标的、数量、规格或服务要求、用途、预算限价、供应商或选取供应商的方法（招标方式）、款项支付方式、合同重大条款和特殊约定等内容。</w:t>
      </w:r>
    </w:p>
    <w:p w14:paraId="58C17A96">
      <w:pPr>
        <w:spacing w:line="600" w:lineRule="exact"/>
        <w:ind w:firstLine="640" w:firstLineChars="200"/>
        <w:rPr>
          <w:rFonts w:ascii="Times New Roman" w:hAnsi="Times New Roman"/>
          <w:color w:val="auto"/>
          <w:szCs w:val="32"/>
        </w:rPr>
      </w:pPr>
      <w:r>
        <w:rPr>
          <w:rFonts w:hint="eastAsia" w:ascii="黑体" w:hAnsi="黑体" w:eastAsia="黑体"/>
          <w:color w:val="auto"/>
        </w:rPr>
        <w:t>第十一条</w:t>
      </w:r>
      <w:r>
        <w:rPr>
          <w:rFonts w:hint="eastAsia"/>
          <w:color w:val="auto"/>
        </w:rPr>
        <w:t xml:space="preserve"> </w:t>
      </w:r>
      <w:r>
        <w:rPr>
          <w:rFonts w:ascii="Arial" w:hAnsi="Arial" w:cs="Arial"/>
          <w:color w:val="auto"/>
          <w:shd w:val="clear" w:color="auto" w:fill="FFFFFF"/>
        </w:rPr>
        <w:t>招标文件</w:t>
      </w:r>
      <w:r>
        <w:rPr>
          <w:rFonts w:hint="eastAsia" w:ascii="Arial" w:hAnsi="Arial" w:cs="Arial"/>
          <w:color w:val="auto"/>
          <w:shd w:val="clear" w:color="auto" w:fill="FFFFFF"/>
        </w:rPr>
        <w:t>中</w:t>
      </w:r>
      <w:r>
        <w:rPr>
          <w:rFonts w:ascii="Arial" w:hAnsi="Arial" w:cs="Arial"/>
          <w:color w:val="auto"/>
          <w:shd w:val="clear" w:color="auto" w:fill="FFFFFF"/>
        </w:rPr>
        <w:t>资格条件设</w:t>
      </w:r>
      <w:r>
        <w:rPr>
          <w:rStyle w:val="19"/>
          <w:rFonts w:ascii="Arial" w:hAnsi="Arial" w:cs="Arial"/>
          <w:color w:val="auto"/>
          <w:shd w:val="clear" w:color="auto" w:fill="FFFFFF"/>
        </w:rPr>
        <w:t>置上不</w:t>
      </w:r>
      <w:r>
        <w:rPr>
          <w:rStyle w:val="19"/>
          <w:rFonts w:hint="eastAsia" w:ascii="Arial" w:hAnsi="Arial" w:cs="Arial"/>
          <w:color w:val="auto"/>
          <w:shd w:val="clear" w:color="auto" w:fill="FFFFFF"/>
        </w:rPr>
        <w:t>得带</w:t>
      </w:r>
      <w:r>
        <w:rPr>
          <w:rStyle w:val="19"/>
          <w:rFonts w:ascii="Arial" w:hAnsi="Arial" w:cs="Arial"/>
          <w:color w:val="auto"/>
          <w:shd w:val="clear" w:color="auto" w:fill="FFFFFF"/>
        </w:rPr>
        <w:t>有倾向性</w:t>
      </w:r>
      <w:r>
        <w:rPr>
          <w:rStyle w:val="19"/>
          <w:rFonts w:hint="eastAsia" w:ascii="Arial" w:hAnsi="Arial" w:cs="Arial"/>
          <w:color w:val="auto"/>
          <w:shd w:val="clear" w:color="auto" w:fill="FFFFFF"/>
        </w:rPr>
        <w:t>和</w:t>
      </w:r>
      <w:r>
        <w:rPr>
          <w:rStyle w:val="19"/>
          <w:rFonts w:ascii="Arial" w:hAnsi="Arial" w:cs="Arial"/>
          <w:color w:val="auto"/>
          <w:shd w:val="clear" w:color="auto" w:fill="FFFFFF"/>
        </w:rPr>
        <w:t>排</w:t>
      </w:r>
      <w:r>
        <w:rPr>
          <w:rFonts w:ascii="Arial" w:hAnsi="Arial" w:cs="Arial"/>
          <w:color w:val="auto"/>
          <w:shd w:val="clear" w:color="auto" w:fill="FFFFFF"/>
        </w:rPr>
        <w:t>斥性，不得对潜在投标人</w:t>
      </w:r>
      <w:r>
        <w:rPr>
          <w:rFonts w:hint="eastAsia" w:ascii="Arial" w:hAnsi="Arial" w:cs="Arial"/>
          <w:color w:val="auto"/>
          <w:shd w:val="clear" w:color="auto" w:fill="FFFFFF"/>
        </w:rPr>
        <w:t>实行</w:t>
      </w:r>
      <w:r>
        <w:rPr>
          <w:rFonts w:ascii="Arial" w:hAnsi="Arial" w:cs="Arial"/>
          <w:color w:val="auto"/>
          <w:shd w:val="clear" w:color="auto" w:fill="FFFFFF"/>
        </w:rPr>
        <w:t>歧视</w:t>
      </w:r>
      <w:r>
        <w:rPr>
          <w:rFonts w:hint="eastAsia" w:ascii="Arial" w:hAnsi="Arial" w:cs="Arial"/>
          <w:color w:val="auto"/>
          <w:shd w:val="clear" w:color="auto" w:fill="FFFFFF"/>
        </w:rPr>
        <w:t>或差别</w:t>
      </w:r>
      <w:r>
        <w:rPr>
          <w:rFonts w:ascii="Arial" w:hAnsi="Arial" w:cs="Arial"/>
          <w:color w:val="auto"/>
          <w:shd w:val="clear" w:color="auto" w:fill="FFFFFF"/>
        </w:rPr>
        <w:t>待遇</w:t>
      </w:r>
      <w:r>
        <w:rPr>
          <w:rFonts w:hint="eastAsia" w:ascii="Arial" w:hAnsi="Arial" w:cs="Arial"/>
          <w:color w:val="auto"/>
          <w:shd w:val="clear" w:color="auto" w:fill="FFFFFF"/>
        </w:rPr>
        <w:t>。</w:t>
      </w:r>
    </w:p>
    <w:p w14:paraId="1324245C">
      <w:pPr>
        <w:spacing w:line="600" w:lineRule="exact"/>
        <w:ind w:firstLine="640" w:firstLineChars="200"/>
        <w:rPr>
          <w:rFonts w:ascii="Times New Roman" w:hAnsi="Times New Roman"/>
          <w:color w:val="auto"/>
          <w:szCs w:val="32"/>
        </w:rPr>
      </w:pPr>
      <w:r>
        <w:rPr>
          <w:rFonts w:hint="eastAsia" w:ascii="黑体" w:hAnsi="黑体" w:eastAsia="黑体"/>
          <w:color w:val="auto"/>
          <w:szCs w:val="32"/>
        </w:rPr>
        <w:t>第</w:t>
      </w:r>
      <w:r>
        <w:rPr>
          <w:rFonts w:ascii="黑体" w:hAnsi="黑体" w:eastAsia="黑体"/>
          <w:color w:val="auto"/>
          <w:szCs w:val="32"/>
        </w:rPr>
        <w:t>十</w:t>
      </w:r>
      <w:r>
        <w:rPr>
          <w:rFonts w:hint="eastAsia" w:ascii="黑体" w:hAnsi="黑体" w:eastAsia="黑体"/>
          <w:color w:val="auto"/>
          <w:szCs w:val="32"/>
        </w:rPr>
        <w:t>二条</w:t>
      </w:r>
      <w:r>
        <w:rPr>
          <w:rFonts w:hint="eastAsia" w:ascii="Times New Roman" w:hAnsi="Times New Roman"/>
          <w:color w:val="auto"/>
          <w:szCs w:val="32"/>
        </w:rPr>
        <w:t xml:space="preserve"> </w:t>
      </w:r>
      <w:r>
        <w:rPr>
          <w:rFonts w:ascii="Times New Roman" w:hAnsi="Times New Roman"/>
          <w:color w:val="auto"/>
          <w:szCs w:val="32"/>
        </w:rPr>
        <w:t>公开招标项目招标文件</w:t>
      </w:r>
      <w:r>
        <w:rPr>
          <w:rFonts w:hint="eastAsia" w:ascii="Times New Roman" w:hAnsi="Times New Roman"/>
          <w:color w:val="auto"/>
          <w:szCs w:val="32"/>
        </w:rPr>
        <w:t>应社区公布栏公示不</w:t>
      </w:r>
      <w:r>
        <w:rPr>
          <w:rFonts w:ascii="Times New Roman" w:hAnsi="Times New Roman"/>
          <w:color w:val="auto"/>
          <w:szCs w:val="32"/>
        </w:rPr>
        <w:t>少于</w:t>
      </w:r>
      <w:r>
        <w:rPr>
          <w:rFonts w:hint="eastAsia" w:ascii="Times New Roman" w:hAnsi="Times New Roman"/>
          <w:color w:val="auto"/>
          <w:szCs w:val="32"/>
        </w:rPr>
        <w:t>7</w:t>
      </w:r>
      <w:r>
        <w:rPr>
          <w:rFonts w:ascii="Times New Roman" w:hAnsi="Times New Roman"/>
          <w:color w:val="auto"/>
          <w:szCs w:val="32"/>
        </w:rPr>
        <w:t>个工作日。</w:t>
      </w:r>
    </w:p>
    <w:p w14:paraId="50EF3FD5">
      <w:pPr>
        <w:pStyle w:val="2"/>
        <w:spacing w:line="600" w:lineRule="exact"/>
        <w:rPr>
          <w:color w:val="auto"/>
        </w:rPr>
      </w:pPr>
      <w:r>
        <w:rPr>
          <w:rFonts w:hint="eastAsia"/>
          <w:color w:val="auto"/>
        </w:rPr>
        <w:t xml:space="preserve">    </w:t>
      </w:r>
      <w:r>
        <w:rPr>
          <w:rFonts w:hint="eastAsia" w:ascii="黑体" w:hAnsi="黑体" w:eastAsia="黑体"/>
          <w:b w:val="0"/>
          <w:color w:val="auto"/>
        </w:rPr>
        <w:t>第十三条</w:t>
      </w:r>
      <w:r>
        <w:rPr>
          <w:rFonts w:hint="eastAsia"/>
          <w:color w:val="auto"/>
        </w:rPr>
        <w:t xml:space="preserve"> </w:t>
      </w:r>
      <w:r>
        <w:rPr>
          <w:rFonts w:hint="eastAsia"/>
          <w:b w:val="0"/>
          <w:color w:val="auto"/>
        </w:rPr>
        <w:t>现场公开采购招标的项目，应该由社区干部（至</w:t>
      </w:r>
      <w:r>
        <w:rPr>
          <w:rFonts w:ascii="Times New Roman" w:hAnsi="Times New Roman" w:cs="Times New Roman"/>
          <w:b w:val="0"/>
          <w:color w:val="auto"/>
        </w:rPr>
        <w:t>少1</w:t>
      </w:r>
      <w:r>
        <w:rPr>
          <w:rFonts w:hint="eastAsia"/>
          <w:b w:val="0"/>
          <w:color w:val="auto"/>
        </w:rPr>
        <w:t>名）、集体经济组织监事会成员监督。</w:t>
      </w:r>
    </w:p>
    <w:p w14:paraId="345567E5">
      <w:pPr>
        <w:spacing w:line="600" w:lineRule="exact"/>
        <w:ind w:firstLine="640" w:firstLineChars="200"/>
        <w:rPr>
          <w:rFonts w:ascii="Times New Roman" w:hAnsi="Times New Roman"/>
          <w:color w:val="auto"/>
          <w:szCs w:val="32"/>
        </w:rPr>
      </w:pPr>
      <w:r>
        <w:rPr>
          <w:rFonts w:hint="eastAsia" w:ascii="黑体" w:hAnsi="黑体" w:eastAsia="黑体"/>
          <w:color w:val="auto"/>
          <w:szCs w:val="32"/>
        </w:rPr>
        <w:t>第</w:t>
      </w:r>
      <w:r>
        <w:rPr>
          <w:rFonts w:ascii="黑体" w:hAnsi="黑体" w:eastAsia="黑体"/>
          <w:color w:val="auto"/>
          <w:szCs w:val="32"/>
        </w:rPr>
        <w:t>十</w:t>
      </w:r>
      <w:r>
        <w:rPr>
          <w:rFonts w:hint="eastAsia" w:ascii="黑体" w:hAnsi="黑体" w:eastAsia="黑体"/>
          <w:color w:val="auto"/>
          <w:szCs w:val="32"/>
        </w:rPr>
        <w:t>四条</w:t>
      </w:r>
      <w:r>
        <w:rPr>
          <w:rFonts w:hint="eastAsia" w:ascii="Times New Roman" w:hAnsi="Times New Roman"/>
          <w:color w:val="auto"/>
          <w:szCs w:val="32"/>
        </w:rPr>
        <w:t xml:space="preserve"> 集体经济组织应及时与</w:t>
      </w:r>
      <w:r>
        <w:rPr>
          <w:rFonts w:ascii="Times New Roman" w:hAnsi="Times New Roman"/>
          <w:color w:val="auto"/>
          <w:szCs w:val="32"/>
        </w:rPr>
        <w:t>中标（成交）供应商签订采购合同</w:t>
      </w:r>
      <w:r>
        <w:rPr>
          <w:rFonts w:hint="eastAsia" w:ascii="Times New Roman" w:hAnsi="Times New Roman"/>
          <w:color w:val="auto"/>
          <w:szCs w:val="32"/>
        </w:rPr>
        <w:t>。</w:t>
      </w:r>
      <w:r>
        <w:rPr>
          <w:rFonts w:hint="eastAsia" w:ascii="Times New Roman" w:hAnsi="Times New Roman"/>
          <w:color w:val="auto"/>
          <w:szCs w:val="32"/>
        </w:rPr>
        <w:t>采购合同文本应在民主决策程序前按规定办理审查</w:t>
      </w:r>
      <w:r>
        <w:rPr>
          <w:rFonts w:ascii="Times New Roman" w:hAnsi="Times New Roman"/>
          <w:color w:val="auto"/>
          <w:szCs w:val="32"/>
        </w:rPr>
        <w:t>。</w:t>
      </w:r>
    </w:p>
    <w:p w14:paraId="172ACA82">
      <w:pPr>
        <w:spacing w:line="600" w:lineRule="exact"/>
        <w:ind w:firstLine="640" w:firstLineChars="200"/>
        <w:rPr>
          <w:rFonts w:ascii="Times New Roman" w:hAnsi="Times New Roman"/>
          <w:color w:val="auto"/>
          <w:szCs w:val="32"/>
        </w:rPr>
      </w:pPr>
      <w:r>
        <w:rPr>
          <w:rFonts w:hint="eastAsia" w:ascii="黑体" w:hAnsi="黑体" w:eastAsia="黑体"/>
          <w:color w:val="auto"/>
          <w:szCs w:val="32"/>
        </w:rPr>
        <w:t>第</w:t>
      </w:r>
      <w:r>
        <w:rPr>
          <w:rFonts w:ascii="黑体" w:hAnsi="黑体" w:eastAsia="黑体"/>
          <w:color w:val="auto"/>
          <w:szCs w:val="32"/>
        </w:rPr>
        <w:t>十</w:t>
      </w:r>
      <w:r>
        <w:rPr>
          <w:rFonts w:hint="eastAsia" w:ascii="黑体" w:hAnsi="黑体" w:eastAsia="黑体"/>
          <w:color w:val="auto"/>
          <w:szCs w:val="32"/>
        </w:rPr>
        <w:t>五条</w:t>
      </w:r>
      <w:r>
        <w:rPr>
          <w:rFonts w:hint="eastAsia" w:ascii="Times New Roman" w:hAnsi="Times New Roman"/>
          <w:color w:val="auto"/>
          <w:szCs w:val="32"/>
        </w:rPr>
        <w:t xml:space="preserve"> </w:t>
      </w:r>
      <w:r>
        <w:rPr>
          <w:rFonts w:ascii="Times New Roman" w:hAnsi="Times New Roman"/>
          <w:color w:val="auto"/>
          <w:szCs w:val="32"/>
        </w:rPr>
        <w:t>供应商应按合同约定向</w:t>
      </w:r>
      <w:r>
        <w:rPr>
          <w:rFonts w:hint="eastAsia" w:ascii="Times New Roman" w:hAnsi="Times New Roman"/>
          <w:color w:val="auto"/>
          <w:szCs w:val="32"/>
        </w:rPr>
        <w:t>集体经济组织</w:t>
      </w:r>
      <w:r>
        <w:rPr>
          <w:rFonts w:ascii="Times New Roman" w:hAnsi="Times New Roman"/>
          <w:color w:val="auto"/>
          <w:szCs w:val="32"/>
        </w:rPr>
        <w:t>交货</w:t>
      </w:r>
      <w:r>
        <w:rPr>
          <w:rFonts w:hint="eastAsia" w:ascii="Times New Roman" w:hAnsi="Times New Roman"/>
          <w:color w:val="auto"/>
          <w:szCs w:val="32"/>
        </w:rPr>
        <w:t>，采购合同10万元以下采购项目验收人员应包括集体经济组织理事会成员（至少1名）、相关采购人员；采购合同10万元（含）以上采购项目验收人员应包括集体经济组织理事会成员（至少1名）、社区分管采购干部、监事会成员（过半数）及相关参与采购人员。合格后按以下程序审查付款</w:t>
      </w:r>
      <w:r>
        <w:rPr>
          <w:rFonts w:ascii="Times New Roman" w:hAnsi="Times New Roman"/>
          <w:color w:val="auto"/>
          <w:szCs w:val="32"/>
        </w:rPr>
        <w:t>。</w:t>
      </w:r>
    </w:p>
    <w:p w14:paraId="3D54C85F">
      <w:pPr>
        <w:pStyle w:val="2"/>
        <w:ind w:firstLine="640" w:firstLineChars="200"/>
        <w:rPr>
          <w:b w:val="0"/>
          <w:color w:val="auto"/>
        </w:rPr>
      </w:pPr>
      <w:r>
        <w:rPr>
          <w:rFonts w:hint="eastAsia"/>
          <w:b w:val="0"/>
          <w:color w:val="auto"/>
        </w:rPr>
        <w:t>（一）社区集体经济组织相关人员根据合同付款约定和项目进度填写付款呈批表，注明应付、已付、本次应付金额和本次付款原因等信息，按程序提交审批。</w:t>
      </w:r>
    </w:p>
    <w:p w14:paraId="3B5A89FE">
      <w:pPr>
        <w:pStyle w:val="3"/>
        <w:rPr>
          <w:color w:val="auto"/>
        </w:rPr>
      </w:pPr>
      <w:r>
        <w:rPr>
          <w:rFonts w:hint="eastAsia"/>
          <w:color w:val="auto"/>
        </w:rPr>
        <w:t xml:space="preserve">    （二）财务人员付款时应核实采购项目的民主决策程序、合同、发票等资料，符合规定的方可支付款项，否则，不得支付款项。</w:t>
      </w:r>
    </w:p>
    <w:p w14:paraId="4CBA4D09">
      <w:pPr>
        <w:spacing w:line="600" w:lineRule="exact"/>
        <w:ind w:firstLine="640" w:firstLineChars="200"/>
        <w:rPr>
          <w:rFonts w:ascii="Times New Roman" w:hAnsi="Times New Roman"/>
          <w:color w:val="auto"/>
          <w:szCs w:val="32"/>
        </w:rPr>
      </w:pPr>
      <w:r>
        <w:rPr>
          <w:rFonts w:hint="eastAsia" w:ascii="黑体" w:hAnsi="黑体" w:eastAsia="黑体"/>
          <w:color w:val="auto"/>
          <w:szCs w:val="32"/>
        </w:rPr>
        <w:t>第十六条</w:t>
      </w:r>
      <w:r>
        <w:rPr>
          <w:rFonts w:hint="eastAsia" w:ascii="Times New Roman" w:hAnsi="Times New Roman"/>
          <w:color w:val="auto"/>
          <w:szCs w:val="32"/>
        </w:rPr>
        <w:t xml:space="preserve"> 公开</w:t>
      </w:r>
      <w:r>
        <w:rPr>
          <w:rFonts w:ascii="Times New Roman" w:hAnsi="Times New Roman"/>
          <w:color w:val="auto"/>
          <w:szCs w:val="32"/>
        </w:rPr>
        <w:t>采购结果应</w:t>
      </w:r>
      <w:r>
        <w:rPr>
          <w:rFonts w:hint="eastAsia" w:ascii="Times New Roman" w:hAnsi="Times New Roman"/>
          <w:color w:val="auto"/>
          <w:szCs w:val="32"/>
        </w:rPr>
        <w:t>在财务</w:t>
      </w:r>
      <w:r>
        <w:rPr>
          <w:rFonts w:ascii="Times New Roman" w:hAnsi="Times New Roman"/>
          <w:color w:val="auto"/>
          <w:szCs w:val="32"/>
        </w:rPr>
        <w:t>公</w:t>
      </w:r>
      <w:r>
        <w:rPr>
          <w:rFonts w:hint="eastAsia" w:ascii="Times New Roman" w:hAnsi="Times New Roman"/>
          <w:color w:val="auto"/>
          <w:szCs w:val="32"/>
        </w:rPr>
        <w:t>布栏公示</w:t>
      </w:r>
      <w:r>
        <w:rPr>
          <w:rFonts w:ascii="Times New Roman" w:hAnsi="Times New Roman"/>
          <w:color w:val="auto"/>
          <w:szCs w:val="32"/>
        </w:rPr>
        <w:t>，</w:t>
      </w:r>
      <w:r>
        <w:rPr>
          <w:rFonts w:hint="eastAsia" w:ascii="Times New Roman" w:hAnsi="Times New Roman"/>
          <w:color w:val="auto"/>
          <w:szCs w:val="32"/>
        </w:rPr>
        <w:t>内容</w:t>
      </w:r>
      <w:r>
        <w:rPr>
          <w:rFonts w:ascii="Times New Roman" w:hAnsi="Times New Roman"/>
          <w:color w:val="auto"/>
          <w:szCs w:val="32"/>
        </w:rPr>
        <w:t>包括采购货物（服务）名称、数量、单价、总价等，公示期限</w:t>
      </w:r>
      <w:r>
        <w:rPr>
          <w:rFonts w:hint="eastAsia" w:ascii="Times New Roman" w:hAnsi="Times New Roman"/>
          <w:color w:val="auto"/>
          <w:szCs w:val="32"/>
        </w:rPr>
        <w:t>不少于</w:t>
      </w:r>
      <w:r>
        <w:rPr>
          <w:rFonts w:ascii="Times New Roman" w:hAnsi="Times New Roman"/>
          <w:color w:val="auto"/>
          <w:szCs w:val="32"/>
        </w:rPr>
        <w:t>3个工作日。</w:t>
      </w:r>
    </w:p>
    <w:p w14:paraId="27E77679">
      <w:pPr>
        <w:spacing w:line="600" w:lineRule="exact"/>
        <w:ind w:firstLine="640" w:firstLineChars="200"/>
        <w:rPr>
          <w:rFonts w:ascii="Times New Roman" w:hAnsi="Times New Roman"/>
          <w:color w:val="auto"/>
          <w:szCs w:val="32"/>
        </w:rPr>
      </w:pPr>
      <w:r>
        <w:rPr>
          <w:rFonts w:hint="eastAsia" w:ascii="黑体" w:hAnsi="黑体" w:eastAsia="黑体"/>
          <w:color w:val="auto"/>
          <w:szCs w:val="32"/>
        </w:rPr>
        <w:t>第十七条</w:t>
      </w:r>
      <w:r>
        <w:rPr>
          <w:rFonts w:hint="eastAsia" w:ascii="Times New Roman" w:hAnsi="Times New Roman"/>
          <w:color w:val="auto"/>
          <w:szCs w:val="32"/>
        </w:rPr>
        <w:t xml:space="preserve"> 供</w:t>
      </w:r>
      <w:r>
        <w:rPr>
          <w:rFonts w:ascii="Times New Roman" w:hAnsi="Times New Roman"/>
          <w:color w:val="auto"/>
          <w:szCs w:val="32"/>
        </w:rPr>
        <w:t>应商已签订采购合同的，出现纠纷时可协商处理，也可按合同约定申请仲裁或者依法向人民法院提起诉讼。</w:t>
      </w:r>
    </w:p>
    <w:p w14:paraId="17CF6F38">
      <w:pPr>
        <w:spacing w:line="600" w:lineRule="exact"/>
        <w:jc w:val="center"/>
        <w:rPr>
          <w:rFonts w:ascii="黑体" w:hAnsi="黑体" w:eastAsia="黑体"/>
          <w:bCs/>
          <w:color w:val="auto"/>
          <w:szCs w:val="32"/>
        </w:rPr>
      </w:pPr>
    </w:p>
    <w:p w14:paraId="7C1164D2">
      <w:pPr>
        <w:spacing w:line="600" w:lineRule="exact"/>
        <w:jc w:val="center"/>
        <w:rPr>
          <w:rFonts w:ascii="黑体" w:hAnsi="黑体" w:eastAsia="黑体"/>
          <w:bCs/>
          <w:color w:val="auto"/>
          <w:szCs w:val="32"/>
        </w:rPr>
      </w:pPr>
      <w:r>
        <w:rPr>
          <w:rFonts w:ascii="黑体" w:hAnsi="黑体" w:eastAsia="黑体"/>
          <w:bCs/>
          <w:color w:val="auto"/>
          <w:szCs w:val="32"/>
        </w:rPr>
        <w:t>第六章   附  则</w:t>
      </w:r>
    </w:p>
    <w:p w14:paraId="7609FC86">
      <w:pPr>
        <w:pStyle w:val="2"/>
        <w:spacing w:line="600" w:lineRule="exact"/>
        <w:ind w:firstLine="627" w:firstLineChars="196"/>
        <w:rPr>
          <w:rFonts w:ascii="黑体" w:hAnsi="黑体" w:eastAsia="黑体"/>
          <w:b w:val="0"/>
          <w:color w:val="auto"/>
          <w:szCs w:val="32"/>
        </w:rPr>
      </w:pPr>
    </w:p>
    <w:p w14:paraId="4694EBBE">
      <w:pPr>
        <w:pStyle w:val="2"/>
        <w:spacing w:line="600" w:lineRule="exact"/>
        <w:ind w:firstLine="627" w:firstLineChars="196"/>
        <w:rPr>
          <w:b w:val="0"/>
          <w:color w:val="auto"/>
        </w:rPr>
      </w:pPr>
      <w:r>
        <w:rPr>
          <w:rFonts w:hint="eastAsia" w:ascii="黑体" w:hAnsi="黑体" w:eastAsia="黑体"/>
          <w:b w:val="0"/>
          <w:color w:val="auto"/>
          <w:szCs w:val="32"/>
        </w:rPr>
        <w:t>第</w:t>
      </w:r>
      <w:r>
        <w:rPr>
          <w:rFonts w:ascii="黑体" w:hAnsi="黑体" w:eastAsia="黑体"/>
          <w:b w:val="0"/>
          <w:color w:val="auto"/>
          <w:szCs w:val="32"/>
        </w:rPr>
        <w:t>十</w:t>
      </w:r>
      <w:r>
        <w:rPr>
          <w:rFonts w:hint="eastAsia" w:ascii="黑体" w:hAnsi="黑体" w:eastAsia="黑体"/>
          <w:b w:val="0"/>
          <w:color w:val="auto"/>
          <w:szCs w:val="32"/>
        </w:rPr>
        <w:t>八条</w:t>
      </w:r>
      <w:r>
        <w:rPr>
          <w:rFonts w:hint="eastAsia" w:ascii="Times New Roman" w:hAnsi="Times New Roman"/>
          <w:color w:val="auto"/>
          <w:szCs w:val="32"/>
        </w:rPr>
        <w:t xml:space="preserve"> </w:t>
      </w:r>
      <w:r>
        <w:rPr>
          <w:rFonts w:ascii="Times New Roman" w:hAnsi="Times New Roman"/>
          <w:b w:val="0"/>
          <w:color w:val="auto"/>
          <w:szCs w:val="32"/>
        </w:rPr>
        <w:t>采购人员、评标委员会成员、现场监督人员，存在徇私舞弊、玩忽职守、商业贿赂等违规违纪行为的，由</w:t>
      </w:r>
      <w:r>
        <w:rPr>
          <w:rFonts w:hint="eastAsia" w:ascii="Times New Roman" w:hAnsi="Times New Roman"/>
          <w:b w:val="0"/>
          <w:color w:val="auto"/>
          <w:szCs w:val="32"/>
        </w:rPr>
        <w:t>街道纪检监察部门依规依纪依法予以处理；构成犯罪的，依法移送司法机关处理。</w:t>
      </w:r>
    </w:p>
    <w:p w14:paraId="057654A8">
      <w:pPr>
        <w:spacing w:line="600" w:lineRule="exact"/>
        <w:ind w:firstLine="640" w:firstLineChars="200"/>
        <w:rPr>
          <w:rFonts w:ascii="黑体" w:hAnsi="黑体" w:eastAsia="黑体"/>
          <w:color w:val="auto"/>
          <w:szCs w:val="32"/>
        </w:rPr>
      </w:pPr>
      <w:r>
        <w:rPr>
          <w:rFonts w:hint="eastAsia" w:ascii="黑体" w:hAnsi="黑体" w:eastAsia="黑体"/>
          <w:color w:val="auto"/>
          <w:szCs w:val="32"/>
        </w:rPr>
        <w:t xml:space="preserve">第十九条 </w:t>
      </w:r>
      <w:r>
        <w:rPr>
          <w:rFonts w:hint="eastAsia" w:ascii="Times New Roman" w:hAnsi="Times New Roman"/>
          <w:color w:val="auto"/>
          <w:szCs w:val="32"/>
        </w:rPr>
        <w:t>公开采购项目应独立建档，存档期一般不少于</w:t>
      </w:r>
      <w:r>
        <w:rPr>
          <w:rFonts w:ascii="Times New Roman" w:hAnsi="Times New Roman"/>
          <w:color w:val="auto"/>
          <w:szCs w:val="32"/>
        </w:rPr>
        <w:t>20</w:t>
      </w:r>
      <w:r>
        <w:rPr>
          <w:rFonts w:hint="eastAsia" w:ascii="Times New Roman" w:hAnsi="Times New Roman"/>
          <w:color w:val="auto"/>
          <w:szCs w:val="32"/>
        </w:rPr>
        <w:t>年，归档资料一般包括：</w:t>
      </w:r>
      <w:r>
        <w:rPr>
          <w:rFonts w:hint="eastAsia" w:ascii="Times New Roman" w:hAnsi="Times New Roman"/>
          <w:color w:val="auto"/>
          <w:szCs w:val="32"/>
        </w:rPr>
        <w:t>采购申请、</w:t>
      </w:r>
      <w:r>
        <w:rPr>
          <w:rFonts w:hint="eastAsia" w:ascii="Times New Roman" w:hAnsi="Times New Roman"/>
          <w:color w:val="auto"/>
          <w:szCs w:val="32"/>
        </w:rPr>
        <w:t>采购方案、投标文件、</w:t>
      </w:r>
      <w:r>
        <w:rPr>
          <w:rFonts w:hint="eastAsia" w:ascii="Times New Roman" w:hAnsi="Times New Roman"/>
          <w:color w:val="auto"/>
          <w:szCs w:val="32"/>
        </w:rPr>
        <w:t>审核文件、</w:t>
      </w:r>
      <w:r>
        <w:rPr>
          <w:rFonts w:hint="eastAsia" w:ascii="Times New Roman" w:hAnsi="Times New Roman"/>
          <w:color w:val="auto"/>
          <w:szCs w:val="32"/>
        </w:rPr>
        <w:t>采购事项表决记录、评标报告、开标记录、中标通知书、</w:t>
      </w:r>
      <w:r>
        <w:rPr>
          <w:rFonts w:hint="eastAsia" w:ascii="Times New Roman" w:hAnsi="Times New Roman"/>
          <w:color w:val="auto"/>
          <w:szCs w:val="32"/>
        </w:rPr>
        <w:t>采购合同</w:t>
      </w:r>
      <w:r>
        <w:rPr>
          <w:rFonts w:hint="eastAsia" w:ascii="Times New Roman" w:hAnsi="Times New Roman"/>
          <w:color w:val="auto"/>
          <w:szCs w:val="32"/>
        </w:rPr>
        <w:t>、采购财务公开资料、街道审查资料等所有与采购活动相关的资料。</w:t>
      </w:r>
    </w:p>
    <w:p w14:paraId="70A17AB9">
      <w:pPr>
        <w:spacing w:line="600" w:lineRule="exact"/>
        <w:ind w:firstLine="640" w:firstLineChars="200"/>
        <w:rPr>
          <w:rFonts w:ascii="Times New Roman" w:hAnsi="Times New Roman"/>
          <w:color w:val="auto"/>
          <w:szCs w:val="32"/>
        </w:rPr>
      </w:pPr>
      <w:r>
        <w:rPr>
          <w:rFonts w:hint="eastAsia" w:ascii="黑体" w:hAnsi="黑体" w:eastAsia="黑体"/>
          <w:color w:val="auto"/>
          <w:szCs w:val="32"/>
        </w:rPr>
        <w:t>第二十条</w:t>
      </w:r>
      <w:r>
        <w:rPr>
          <w:rFonts w:hint="eastAsia" w:ascii="Times New Roman" w:hAnsi="Times New Roman"/>
          <w:color w:val="auto"/>
          <w:szCs w:val="32"/>
        </w:rPr>
        <w:t xml:space="preserve"> </w:t>
      </w:r>
      <w:r>
        <w:rPr>
          <w:rFonts w:ascii="Times New Roman" w:hAnsi="Times New Roman"/>
          <w:color w:val="auto"/>
          <w:szCs w:val="32"/>
        </w:rPr>
        <w:t>本办法由</w:t>
      </w:r>
      <w:r>
        <w:rPr>
          <w:rFonts w:hint="eastAsia" w:ascii="Times New Roman" w:hAnsi="Times New Roman"/>
          <w:color w:val="auto"/>
          <w:szCs w:val="32"/>
        </w:rPr>
        <w:t>街道</w:t>
      </w:r>
      <w:r>
        <w:rPr>
          <w:rFonts w:ascii="Times New Roman" w:hAnsi="Times New Roman"/>
          <w:color w:val="auto"/>
          <w:szCs w:val="32"/>
        </w:rPr>
        <w:t>农</w:t>
      </w:r>
      <w:r>
        <w:rPr>
          <w:rFonts w:hint="eastAsia" w:ascii="Times New Roman" w:hAnsi="Times New Roman"/>
          <w:color w:val="auto"/>
          <w:szCs w:val="32"/>
        </w:rPr>
        <w:t>林水务</w:t>
      </w:r>
      <w:r>
        <w:rPr>
          <w:rFonts w:ascii="Times New Roman" w:hAnsi="Times New Roman"/>
          <w:color w:val="auto"/>
          <w:szCs w:val="32"/>
        </w:rPr>
        <w:t>局负责解释。</w:t>
      </w:r>
    </w:p>
    <w:p w14:paraId="3A5045A6">
      <w:pPr>
        <w:spacing w:before="1" w:line="600" w:lineRule="exact"/>
        <w:ind w:firstLine="640" w:firstLineChars="200"/>
        <w:rPr>
          <w:rFonts w:ascii="Times New Roman" w:hAnsi="Times New Roman"/>
          <w:color w:val="auto"/>
          <w:szCs w:val="32"/>
        </w:rPr>
      </w:pPr>
      <w:r>
        <w:rPr>
          <w:rFonts w:hint="eastAsia" w:ascii="黑体" w:hAnsi="黑体" w:eastAsia="黑体"/>
          <w:color w:val="auto"/>
          <w:szCs w:val="32"/>
        </w:rPr>
        <w:t>第二</w:t>
      </w:r>
      <w:r>
        <w:rPr>
          <w:rFonts w:ascii="黑体" w:hAnsi="黑体" w:eastAsia="黑体"/>
          <w:color w:val="auto"/>
          <w:szCs w:val="32"/>
        </w:rPr>
        <w:t>十</w:t>
      </w:r>
      <w:r>
        <w:rPr>
          <w:rFonts w:hint="eastAsia" w:ascii="黑体" w:hAnsi="黑体" w:eastAsia="黑体"/>
          <w:color w:val="auto"/>
          <w:szCs w:val="32"/>
        </w:rPr>
        <w:t>一条</w:t>
      </w:r>
      <w:r>
        <w:rPr>
          <w:rFonts w:hint="eastAsia" w:ascii="Times New Roman" w:hAnsi="Times New Roman"/>
          <w:color w:val="auto"/>
          <w:szCs w:val="32"/>
        </w:rPr>
        <w:t xml:space="preserve"> </w:t>
      </w:r>
      <w:r>
        <w:rPr>
          <w:rFonts w:ascii="Times New Roman" w:hAnsi="Times New Roman"/>
          <w:color w:val="auto"/>
          <w:szCs w:val="32"/>
        </w:rPr>
        <w:t>本办法</w:t>
      </w:r>
      <w:r>
        <w:rPr>
          <w:rFonts w:hint="eastAsia" w:ascii="Times New Roman" w:hAnsi="Times New Roman"/>
          <w:color w:val="auto"/>
          <w:szCs w:val="32"/>
        </w:rPr>
        <w:t>试行</w:t>
      </w:r>
      <w:r>
        <w:rPr>
          <w:rFonts w:ascii="Times New Roman" w:hAnsi="Times New Roman"/>
          <w:color w:val="auto"/>
          <w:szCs w:val="32"/>
        </w:rPr>
        <w:t>自</w:t>
      </w:r>
      <w:r>
        <w:rPr>
          <w:rFonts w:hint="eastAsia" w:ascii="Times New Roman" w:hAnsi="Times New Roman"/>
          <w:color w:val="auto"/>
          <w:szCs w:val="32"/>
        </w:rPr>
        <w:t>印发起生效，有效期至2026年8月31日</w:t>
      </w:r>
      <w:r>
        <w:rPr>
          <w:rFonts w:ascii="Times New Roman" w:hAnsi="Times New Roman"/>
          <w:color w:val="auto"/>
          <w:szCs w:val="32"/>
        </w:rPr>
        <w:t>。</w:t>
      </w:r>
    </w:p>
    <w:sectPr>
      <w:footerReference r:id="rId3" w:type="default"/>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B97DDEA-C265-4D98-B71E-226C9C646879}"/>
  </w:font>
  <w:font w:name="黑体">
    <w:panose1 w:val="02010609060101010101"/>
    <w:charset w:val="86"/>
    <w:family w:val="auto"/>
    <w:pitch w:val="default"/>
    <w:sig w:usb0="800002BF" w:usb1="38CF7CFA" w:usb2="00000016" w:usb3="00000000" w:csb0="00040001" w:csb1="00000000"/>
    <w:embedRegular r:id="rId2" w:fontKey="{2D0DB856-66A5-4019-A5B0-084C8CF619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E09CD2B-E7BD-4D9C-9B40-6D2B1E7C7550}"/>
  </w:font>
  <w:font w:name="方正小标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方正楷体_GBK">
    <w:altName w:val="Arial Unicode MS"/>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B13A914B-8DB1-40B9-BEBD-5D3A79D4DFD6}"/>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19DCB">
    <w:pPr>
      <w:spacing w:line="182" w:lineRule="exact"/>
      <w:ind w:firstLine="4099"/>
      <w:rPr>
        <w:rFonts w:ascii="幼圆" w:hAnsi="幼圆" w:eastAsia="幼圆" w:cs="幼圆"/>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550C9">
                          <w:pPr>
                            <w:pStyle w:val="7"/>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1</w:t>
                          </w:r>
                          <w:r>
                            <w:rPr>
                              <w:rFonts w:ascii="Times New Roman" w:hAnsi="Times New Roman"/>
                              <w:sz w:val="30"/>
                              <w:szCs w:val="30"/>
                            </w:rPr>
                            <w:fldChar w:fldCharType="end"/>
                          </w:r>
                          <w:r>
                            <w:rPr>
                              <w:rFonts w:ascii="Times New Roman" w:hAnsi="Times New Roman"/>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9550C9">
                    <w:pPr>
                      <w:pStyle w:val="7"/>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1</w:t>
                    </w:r>
                    <w:r>
                      <w:rPr>
                        <w:rFonts w:ascii="Times New Roman" w:hAnsi="Times New Roman"/>
                        <w:sz w:val="30"/>
                        <w:szCs w:val="30"/>
                      </w:rPr>
                      <w:fldChar w:fldCharType="end"/>
                    </w:r>
                    <w:r>
                      <w:rPr>
                        <w:rFonts w:ascii="Times New Roman" w:hAnsi="Times New Roman"/>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D1326"/>
    <w:multiLevelType w:val="multilevel"/>
    <w:tmpl w:val="71CD1326"/>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ZmFhY2U1ZDljZGJjYzA1ZGQ2MjA5Y2I2YjAwMjMifQ=="/>
  </w:docVars>
  <w:rsids>
    <w:rsidRoot w:val="4E233B68"/>
    <w:rsid w:val="000012AF"/>
    <w:rsid w:val="000016AA"/>
    <w:rsid w:val="00012ECF"/>
    <w:rsid w:val="00020074"/>
    <w:rsid w:val="00025224"/>
    <w:rsid w:val="000323D7"/>
    <w:rsid w:val="00034B75"/>
    <w:rsid w:val="000350DD"/>
    <w:rsid w:val="00050678"/>
    <w:rsid w:val="00056928"/>
    <w:rsid w:val="00060D16"/>
    <w:rsid w:val="00064B3B"/>
    <w:rsid w:val="000939EF"/>
    <w:rsid w:val="000A5DF6"/>
    <w:rsid w:val="000A6EE7"/>
    <w:rsid w:val="000B21C8"/>
    <w:rsid w:val="000C152C"/>
    <w:rsid w:val="000F58B0"/>
    <w:rsid w:val="0010147F"/>
    <w:rsid w:val="0010240D"/>
    <w:rsid w:val="001047BD"/>
    <w:rsid w:val="00112E47"/>
    <w:rsid w:val="00124222"/>
    <w:rsid w:val="00125002"/>
    <w:rsid w:val="001265FD"/>
    <w:rsid w:val="00133030"/>
    <w:rsid w:val="00133608"/>
    <w:rsid w:val="00142ACE"/>
    <w:rsid w:val="00143A82"/>
    <w:rsid w:val="001612ED"/>
    <w:rsid w:val="00162643"/>
    <w:rsid w:val="0019085C"/>
    <w:rsid w:val="00194428"/>
    <w:rsid w:val="00197DCB"/>
    <w:rsid w:val="001A1EEF"/>
    <w:rsid w:val="001A686B"/>
    <w:rsid w:val="001C3120"/>
    <w:rsid w:val="001C7636"/>
    <w:rsid w:val="001D6713"/>
    <w:rsid w:val="001E1647"/>
    <w:rsid w:val="0021448A"/>
    <w:rsid w:val="0021466A"/>
    <w:rsid w:val="00214979"/>
    <w:rsid w:val="002270B4"/>
    <w:rsid w:val="002458DB"/>
    <w:rsid w:val="00277EEF"/>
    <w:rsid w:val="00281F69"/>
    <w:rsid w:val="00285C6C"/>
    <w:rsid w:val="00287879"/>
    <w:rsid w:val="002B20CC"/>
    <w:rsid w:val="002B2B49"/>
    <w:rsid w:val="002B2E2B"/>
    <w:rsid w:val="002B5BB7"/>
    <w:rsid w:val="002B7036"/>
    <w:rsid w:val="002C0A5F"/>
    <w:rsid w:val="002C13BD"/>
    <w:rsid w:val="002C2377"/>
    <w:rsid w:val="002D0DE2"/>
    <w:rsid w:val="002D6B40"/>
    <w:rsid w:val="002E57F8"/>
    <w:rsid w:val="003000B7"/>
    <w:rsid w:val="00303D0A"/>
    <w:rsid w:val="00305FA7"/>
    <w:rsid w:val="003142FD"/>
    <w:rsid w:val="003166A0"/>
    <w:rsid w:val="00321C48"/>
    <w:rsid w:val="0033461D"/>
    <w:rsid w:val="00337617"/>
    <w:rsid w:val="00352004"/>
    <w:rsid w:val="00365DBC"/>
    <w:rsid w:val="003702CD"/>
    <w:rsid w:val="003734EE"/>
    <w:rsid w:val="00374D5D"/>
    <w:rsid w:val="003765C6"/>
    <w:rsid w:val="00390271"/>
    <w:rsid w:val="00392952"/>
    <w:rsid w:val="003A2017"/>
    <w:rsid w:val="003A552C"/>
    <w:rsid w:val="003B1DCD"/>
    <w:rsid w:val="003C154F"/>
    <w:rsid w:val="003C1E92"/>
    <w:rsid w:val="003C6209"/>
    <w:rsid w:val="003C648A"/>
    <w:rsid w:val="003D5943"/>
    <w:rsid w:val="003D6D23"/>
    <w:rsid w:val="003E3DC7"/>
    <w:rsid w:val="003E6A06"/>
    <w:rsid w:val="00400512"/>
    <w:rsid w:val="00402860"/>
    <w:rsid w:val="00437652"/>
    <w:rsid w:val="0043779D"/>
    <w:rsid w:val="004517E1"/>
    <w:rsid w:val="00454E13"/>
    <w:rsid w:val="00461068"/>
    <w:rsid w:val="00461BF7"/>
    <w:rsid w:val="00483BCB"/>
    <w:rsid w:val="004928AB"/>
    <w:rsid w:val="004A5D97"/>
    <w:rsid w:val="004B0578"/>
    <w:rsid w:val="004B453F"/>
    <w:rsid w:val="004B6F09"/>
    <w:rsid w:val="004C3109"/>
    <w:rsid w:val="004C62EF"/>
    <w:rsid w:val="004E4ACB"/>
    <w:rsid w:val="004F0218"/>
    <w:rsid w:val="004F0C56"/>
    <w:rsid w:val="004F3874"/>
    <w:rsid w:val="00503C0D"/>
    <w:rsid w:val="005175E8"/>
    <w:rsid w:val="00525998"/>
    <w:rsid w:val="00531292"/>
    <w:rsid w:val="00531701"/>
    <w:rsid w:val="00535ABE"/>
    <w:rsid w:val="005433FC"/>
    <w:rsid w:val="00544217"/>
    <w:rsid w:val="00550485"/>
    <w:rsid w:val="005528FA"/>
    <w:rsid w:val="00592F60"/>
    <w:rsid w:val="005A0A04"/>
    <w:rsid w:val="005A268B"/>
    <w:rsid w:val="005A34DE"/>
    <w:rsid w:val="005A4DA1"/>
    <w:rsid w:val="005A6936"/>
    <w:rsid w:val="005B3A4D"/>
    <w:rsid w:val="005C5854"/>
    <w:rsid w:val="005D02D3"/>
    <w:rsid w:val="005D0400"/>
    <w:rsid w:val="005E7E1B"/>
    <w:rsid w:val="005F52E4"/>
    <w:rsid w:val="00602B4B"/>
    <w:rsid w:val="006055D4"/>
    <w:rsid w:val="006141A7"/>
    <w:rsid w:val="006213B7"/>
    <w:rsid w:val="006213E0"/>
    <w:rsid w:val="00621F53"/>
    <w:rsid w:val="00631B56"/>
    <w:rsid w:val="0063430A"/>
    <w:rsid w:val="006343AE"/>
    <w:rsid w:val="00640716"/>
    <w:rsid w:val="00642369"/>
    <w:rsid w:val="00642E3E"/>
    <w:rsid w:val="006465E3"/>
    <w:rsid w:val="006524A2"/>
    <w:rsid w:val="00656DC9"/>
    <w:rsid w:val="00657FB1"/>
    <w:rsid w:val="0066598E"/>
    <w:rsid w:val="00666B65"/>
    <w:rsid w:val="00666B9C"/>
    <w:rsid w:val="0067418A"/>
    <w:rsid w:val="006764B2"/>
    <w:rsid w:val="00687CCC"/>
    <w:rsid w:val="00690EC5"/>
    <w:rsid w:val="00696FC2"/>
    <w:rsid w:val="006A6E17"/>
    <w:rsid w:val="006B498A"/>
    <w:rsid w:val="006B730E"/>
    <w:rsid w:val="006C33FA"/>
    <w:rsid w:val="006C40A1"/>
    <w:rsid w:val="006D6D87"/>
    <w:rsid w:val="00700104"/>
    <w:rsid w:val="00726373"/>
    <w:rsid w:val="00727F51"/>
    <w:rsid w:val="00737750"/>
    <w:rsid w:val="00737A78"/>
    <w:rsid w:val="00745779"/>
    <w:rsid w:val="0075459D"/>
    <w:rsid w:val="00755E32"/>
    <w:rsid w:val="00757EC1"/>
    <w:rsid w:val="007619F2"/>
    <w:rsid w:val="00764A33"/>
    <w:rsid w:val="00770C2F"/>
    <w:rsid w:val="007823B3"/>
    <w:rsid w:val="00782718"/>
    <w:rsid w:val="00783B22"/>
    <w:rsid w:val="007875E6"/>
    <w:rsid w:val="00792168"/>
    <w:rsid w:val="00792CBC"/>
    <w:rsid w:val="00796A3E"/>
    <w:rsid w:val="007B5D9D"/>
    <w:rsid w:val="007B63A6"/>
    <w:rsid w:val="007C374D"/>
    <w:rsid w:val="007C6120"/>
    <w:rsid w:val="007C7D5C"/>
    <w:rsid w:val="007D20B4"/>
    <w:rsid w:val="007D2917"/>
    <w:rsid w:val="007D65B5"/>
    <w:rsid w:val="007E763A"/>
    <w:rsid w:val="008075FB"/>
    <w:rsid w:val="00810031"/>
    <w:rsid w:val="00812CBE"/>
    <w:rsid w:val="00814A6B"/>
    <w:rsid w:val="00831BD2"/>
    <w:rsid w:val="008535B6"/>
    <w:rsid w:val="00861B0A"/>
    <w:rsid w:val="00862F0C"/>
    <w:rsid w:val="00862F2F"/>
    <w:rsid w:val="00872788"/>
    <w:rsid w:val="00872D8B"/>
    <w:rsid w:val="008813F3"/>
    <w:rsid w:val="00883327"/>
    <w:rsid w:val="00890580"/>
    <w:rsid w:val="008922D7"/>
    <w:rsid w:val="00893ECA"/>
    <w:rsid w:val="008A0C02"/>
    <w:rsid w:val="008A323C"/>
    <w:rsid w:val="008A37FA"/>
    <w:rsid w:val="008A691E"/>
    <w:rsid w:val="008C7E8A"/>
    <w:rsid w:val="008D21C7"/>
    <w:rsid w:val="008D333D"/>
    <w:rsid w:val="008D7868"/>
    <w:rsid w:val="008E5BD7"/>
    <w:rsid w:val="008E77D4"/>
    <w:rsid w:val="008F50EC"/>
    <w:rsid w:val="00902CA0"/>
    <w:rsid w:val="00907D29"/>
    <w:rsid w:val="00913DCB"/>
    <w:rsid w:val="00923E0F"/>
    <w:rsid w:val="00936A82"/>
    <w:rsid w:val="00943126"/>
    <w:rsid w:val="00954B0C"/>
    <w:rsid w:val="0095527A"/>
    <w:rsid w:val="00964BCC"/>
    <w:rsid w:val="0097538A"/>
    <w:rsid w:val="00976A79"/>
    <w:rsid w:val="00977EB5"/>
    <w:rsid w:val="00980ED0"/>
    <w:rsid w:val="00995B6C"/>
    <w:rsid w:val="009A205C"/>
    <w:rsid w:val="009B5A3B"/>
    <w:rsid w:val="009B76F5"/>
    <w:rsid w:val="009B7BF1"/>
    <w:rsid w:val="009D2737"/>
    <w:rsid w:val="009E1E63"/>
    <w:rsid w:val="009E727E"/>
    <w:rsid w:val="009F0D3B"/>
    <w:rsid w:val="009F385A"/>
    <w:rsid w:val="009F577C"/>
    <w:rsid w:val="009F7D55"/>
    <w:rsid w:val="00A01ACF"/>
    <w:rsid w:val="00A01F15"/>
    <w:rsid w:val="00A173AF"/>
    <w:rsid w:val="00A215B5"/>
    <w:rsid w:val="00A26F43"/>
    <w:rsid w:val="00A34631"/>
    <w:rsid w:val="00A40BC4"/>
    <w:rsid w:val="00A415AD"/>
    <w:rsid w:val="00A51D97"/>
    <w:rsid w:val="00A70ABB"/>
    <w:rsid w:val="00A73888"/>
    <w:rsid w:val="00A94546"/>
    <w:rsid w:val="00A97307"/>
    <w:rsid w:val="00AA4F28"/>
    <w:rsid w:val="00AA5109"/>
    <w:rsid w:val="00AB08AA"/>
    <w:rsid w:val="00AC7CE2"/>
    <w:rsid w:val="00AE2EEE"/>
    <w:rsid w:val="00AF2706"/>
    <w:rsid w:val="00AF4E61"/>
    <w:rsid w:val="00B013E4"/>
    <w:rsid w:val="00B02048"/>
    <w:rsid w:val="00B04305"/>
    <w:rsid w:val="00B0621B"/>
    <w:rsid w:val="00B07D16"/>
    <w:rsid w:val="00B10EFA"/>
    <w:rsid w:val="00B11776"/>
    <w:rsid w:val="00B122C3"/>
    <w:rsid w:val="00B15C9C"/>
    <w:rsid w:val="00B20A70"/>
    <w:rsid w:val="00B25C71"/>
    <w:rsid w:val="00B25FF2"/>
    <w:rsid w:val="00B27510"/>
    <w:rsid w:val="00B3550D"/>
    <w:rsid w:val="00B35F73"/>
    <w:rsid w:val="00B367D9"/>
    <w:rsid w:val="00B3773B"/>
    <w:rsid w:val="00B440C6"/>
    <w:rsid w:val="00B45DA6"/>
    <w:rsid w:val="00B532B3"/>
    <w:rsid w:val="00B55C08"/>
    <w:rsid w:val="00B82F9E"/>
    <w:rsid w:val="00B833CB"/>
    <w:rsid w:val="00B8350F"/>
    <w:rsid w:val="00B8371D"/>
    <w:rsid w:val="00B85858"/>
    <w:rsid w:val="00B90712"/>
    <w:rsid w:val="00B91325"/>
    <w:rsid w:val="00B95E64"/>
    <w:rsid w:val="00BA67AB"/>
    <w:rsid w:val="00BB32F3"/>
    <w:rsid w:val="00BC0B4C"/>
    <w:rsid w:val="00BC1374"/>
    <w:rsid w:val="00BD2832"/>
    <w:rsid w:val="00BD758D"/>
    <w:rsid w:val="00BE1AA1"/>
    <w:rsid w:val="00BE556E"/>
    <w:rsid w:val="00BF19E9"/>
    <w:rsid w:val="00BF4734"/>
    <w:rsid w:val="00C12BCD"/>
    <w:rsid w:val="00C147B6"/>
    <w:rsid w:val="00C21D3D"/>
    <w:rsid w:val="00C27BFC"/>
    <w:rsid w:val="00C336C7"/>
    <w:rsid w:val="00C43FE6"/>
    <w:rsid w:val="00C452DA"/>
    <w:rsid w:val="00C52C95"/>
    <w:rsid w:val="00C64E38"/>
    <w:rsid w:val="00C666B3"/>
    <w:rsid w:val="00C764AA"/>
    <w:rsid w:val="00C952F4"/>
    <w:rsid w:val="00C968FD"/>
    <w:rsid w:val="00CA58BF"/>
    <w:rsid w:val="00CA5E4B"/>
    <w:rsid w:val="00CC2BB5"/>
    <w:rsid w:val="00CC3B8E"/>
    <w:rsid w:val="00CC7E42"/>
    <w:rsid w:val="00CC7ECE"/>
    <w:rsid w:val="00CD277D"/>
    <w:rsid w:val="00CD4634"/>
    <w:rsid w:val="00CE06A0"/>
    <w:rsid w:val="00CE0D9B"/>
    <w:rsid w:val="00CE120A"/>
    <w:rsid w:val="00CE1D70"/>
    <w:rsid w:val="00CE380B"/>
    <w:rsid w:val="00CF3FAB"/>
    <w:rsid w:val="00D10978"/>
    <w:rsid w:val="00D11145"/>
    <w:rsid w:val="00D113B1"/>
    <w:rsid w:val="00D116FF"/>
    <w:rsid w:val="00D152D8"/>
    <w:rsid w:val="00D22A9C"/>
    <w:rsid w:val="00D34715"/>
    <w:rsid w:val="00D35405"/>
    <w:rsid w:val="00D436B9"/>
    <w:rsid w:val="00D47114"/>
    <w:rsid w:val="00D4739D"/>
    <w:rsid w:val="00D66413"/>
    <w:rsid w:val="00D66D4C"/>
    <w:rsid w:val="00D7309B"/>
    <w:rsid w:val="00D73E8D"/>
    <w:rsid w:val="00D80925"/>
    <w:rsid w:val="00D85379"/>
    <w:rsid w:val="00D85D8C"/>
    <w:rsid w:val="00D91AE4"/>
    <w:rsid w:val="00D96691"/>
    <w:rsid w:val="00DA1E50"/>
    <w:rsid w:val="00DD16E7"/>
    <w:rsid w:val="00DD306D"/>
    <w:rsid w:val="00DD4903"/>
    <w:rsid w:val="00DD6BA1"/>
    <w:rsid w:val="00DD7A41"/>
    <w:rsid w:val="00DE0625"/>
    <w:rsid w:val="00DE08E0"/>
    <w:rsid w:val="00DE3EEE"/>
    <w:rsid w:val="00DF4700"/>
    <w:rsid w:val="00E03623"/>
    <w:rsid w:val="00E3393B"/>
    <w:rsid w:val="00E50479"/>
    <w:rsid w:val="00E5373D"/>
    <w:rsid w:val="00E60FCF"/>
    <w:rsid w:val="00E61342"/>
    <w:rsid w:val="00E645F0"/>
    <w:rsid w:val="00E66599"/>
    <w:rsid w:val="00E70D85"/>
    <w:rsid w:val="00E80267"/>
    <w:rsid w:val="00E8295A"/>
    <w:rsid w:val="00E94BAC"/>
    <w:rsid w:val="00E97C58"/>
    <w:rsid w:val="00EB2288"/>
    <w:rsid w:val="00EB715F"/>
    <w:rsid w:val="00EC2D97"/>
    <w:rsid w:val="00EC31CB"/>
    <w:rsid w:val="00EC502B"/>
    <w:rsid w:val="00EC7553"/>
    <w:rsid w:val="00ED0253"/>
    <w:rsid w:val="00EE45AE"/>
    <w:rsid w:val="00F04EF4"/>
    <w:rsid w:val="00F06070"/>
    <w:rsid w:val="00F07D9D"/>
    <w:rsid w:val="00F33424"/>
    <w:rsid w:val="00F3621D"/>
    <w:rsid w:val="00F41189"/>
    <w:rsid w:val="00F433B2"/>
    <w:rsid w:val="00F47DED"/>
    <w:rsid w:val="00F566B3"/>
    <w:rsid w:val="00F624E8"/>
    <w:rsid w:val="00F67321"/>
    <w:rsid w:val="00F7382A"/>
    <w:rsid w:val="00F74A12"/>
    <w:rsid w:val="00F83B40"/>
    <w:rsid w:val="00F83DF1"/>
    <w:rsid w:val="00F8405C"/>
    <w:rsid w:val="00F84BC6"/>
    <w:rsid w:val="00F8693A"/>
    <w:rsid w:val="00FA2483"/>
    <w:rsid w:val="00FA4E0D"/>
    <w:rsid w:val="00FA5CC1"/>
    <w:rsid w:val="00FA7AA1"/>
    <w:rsid w:val="00FB15B4"/>
    <w:rsid w:val="00FD1276"/>
    <w:rsid w:val="00FD49D9"/>
    <w:rsid w:val="00FD5ED9"/>
    <w:rsid w:val="00FD6926"/>
    <w:rsid w:val="00FD7E02"/>
    <w:rsid w:val="00FE037C"/>
    <w:rsid w:val="00FE3926"/>
    <w:rsid w:val="00FF0C38"/>
    <w:rsid w:val="01B54DB7"/>
    <w:rsid w:val="01C963AC"/>
    <w:rsid w:val="01F21361"/>
    <w:rsid w:val="027345B1"/>
    <w:rsid w:val="02755FB4"/>
    <w:rsid w:val="03D41080"/>
    <w:rsid w:val="0441634A"/>
    <w:rsid w:val="044C4332"/>
    <w:rsid w:val="04D035F5"/>
    <w:rsid w:val="06436049"/>
    <w:rsid w:val="069470D7"/>
    <w:rsid w:val="085B03F1"/>
    <w:rsid w:val="0B620918"/>
    <w:rsid w:val="0B621946"/>
    <w:rsid w:val="0B73065E"/>
    <w:rsid w:val="0C164D85"/>
    <w:rsid w:val="0C8353F1"/>
    <w:rsid w:val="0D415269"/>
    <w:rsid w:val="0D505652"/>
    <w:rsid w:val="0EAC525A"/>
    <w:rsid w:val="0F0408A9"/>
    <w:rsid w:val="0F4C2EA3"/>
    <w:rsid w:val="0F8808EA"/>
    <w:rsid w:val="0F9F0794"/>
    <w:rsid w:val="102B33B7"/>
    <w:rsid w:val="10865D5C"/>
    <w:rsid w:val="108856CC"/>
    <w:rsid w:val="122411C9"/>
    <w:rsid w:val="12617F82"/>
    <w:rsid w:val="131735FC"/>
    <w:rsid w:val="132C233E"/>
    <w:rsid w:val="13B05872"/>
    <w:rsid w:val="142E381C"/>
    <w:rsid w:val="14A26C98"/>
    <w:rsid w:val="1594066F"/>
    <w:rsid w:val="166A66F1"/>
    <w:rsid w:val="16E1188B"/>
    <w:rsid w:val="17591B70"/>
    <w:rsid w:val="19314B52"/>
    <w:rsid w:val="19C43961"/>
    <w:rsid w:val="19E8318B"/>
    <w:rsid w:val="1A2024D1"/>
    <w:rsid w:val="1BE77FFC"/>
    <w:rsid w:val="1CFD2F9D"/>
    <w:rsid w:val="1E1007AF"/>
    <w:rsid w:val="1E140C3C"/>
    <w:rsid w:val="1E997845"/>
    <w:rsid w:val="1EDF4270"/>
    <w:rsid w:val="208E4638"/>
    <w:rsid w:val="214178FD"/>
    <w:rsid w:val="21C65756"/>
    <w:rsid w:val="226E0B3B"/>
    <w:rsid w:val="22C32593"/>
    <w:rsid w:val="23C574C5"/>
    <w:rsid w:val="23FA1FE5"/>
    <w:rsid w:val="241E3F25"/>
    <w:rsid w:val="24327310"/>
    <w:rsid w:val="2628402E"/>
    <w:rsid w:val="265751E0"/>
    <w:rsid w:val="26B5091A"/>
    <w:rsid w:val="26C16B41"/>
    <w:rsid w:val="27320B40"/>
    <w:rsid w:val="28C900B5"/>
    <w:rsid w:val="290A0F1C"/>
    <w:rsid w:val="294049F8"/>
    <w:rsid w:val="29470FA6"/>
    <w:rsid w:val="29FF65A7"/>
    <w:rsid w:val="2A111E36"/>
    <w:rsid w:val="2AC04FE3"/>
    <w:rsid w:val="2CCB20ED"/>
    <w:rsid w:val="2D104F08"/>
    <w:rsid w:val="2EAF5FC4"/>
    <w:rsid w:val="2F011B63"/>
    <w:rsid w:val="2F4131BE"/>
    <w:rsid w:val="2F8D6403"/>
    <w:rsid w:val="2FD66EDE"/>
    <w:rsid w:val="2FF1448B"/>
    <w:rsid w:val="304D54D5"/>
    <w:rsid w:val="31670532"/>
    <w:rsid w:val="322654CC"/>
    <w:rsid w:val="32351DB0"/>
    <w:rsid w:val="32840F7B"/>
    <w:rsid w:val="32854077"/>
    <w:rsid w:val="32A77797"/>
    <w:rsid w:val="32E12CEE"/>
    <w:rsid w:val="32FF3441"/>
    <w:rsid w:val="33016EEC"/>
    <w:rsid w:val="33CC0DB1"/>
    <w:rsid w:val="33D6744F"/>
    <w:rsid w:val="362979CB"/>
    <w:rsid w:val="369E3333"/>
    <w:rsid w:val="38A97435"/>
    <w:rsid w:val="39410EE0"/>
    <w:rsid w:val="3A4B20C9"/>
    <w:rsid w:val="3A7461F5"/>
    <w:rsid w:val="3B0532F1"/>
    <w:rsid w:val="3C137C90"/>
    <w:rsid w:val="3C6E0545"/>
    <w:rsid w:val="3CDD502A"/>
    <w:rsid w:val="3D000963"/>
    <w:rsid w:val="3D2C5A4B"/>
    <w:rsid w:val="3D42082D"/>
    <w:rsid w:val="3D9848F1"/>
    <w:rsid w:val="3E75253C"/>
    <w:rsid w:val="3FB54359"/>
    <w:rsid w:val="3FD23641"/>
    <w:rsid w:val="40354679"/>
    <w:rsid w:val="40B41A41"/>
    <w:rsid w:val="40CA0FBC"/>
    <w:rsid w:val="413649FB"/>
    <w:rsid w:val="41384420"/>
    <w:rsid w:val="413F1D92"/>
    <w:rsid w:val="428963A5"/>
    <w:rsid w:val="44CD1324"/>
    <w:rsid w:val="45AC3BE6"/>
    <w:rsid w:val="45E33E46"/>
    <w:rsid w:val="46537607"/>
    <w:rsid w:val="46734B2F"/>
    <w:rsid w:val="469814BD"/>
    <w:rsid w:val="46E464B1"/>
    <w:rsid w:val="47EE378D"/>
    <w:rsid w:val="48BB6873"/>
    <w:rsid w:val="48DA7B6B"/>
    <w:rsid w:val="49864DE4"/>
    <w:rsid w:val="4A072B9A"/>
    <w:rsid w:val="4A1E6ABE"/>
    <w:rsid w:val="4AD145C4"/>
    <w:rsid w:val="4B117A90"/>
    <w:rsid w:val="4BFC1E51"/>
    <w:rsid w:val="4C070814"/>
    <w:rsid w:val="4C2B1D58"/>
    <w:rsid w:val="4C6360CA"/>
    <w:rsid w:val="4D1B4BF6"/>
    <w:rsid w:val="4D3A55F0"/>
    <w:rsid w:val="4E233B68"/>
    <w:rsid w:val="4EC76DE4"/>
    <w:rsid w:val="4EE673BC"/>
    <w:rsid w:val="4F565DD7"/>
    <w:rsid w:val="503E6C32"/>
    <w:rsid w:val="505E1082"/>
    <w:rsid w:val="50860FEB"/>
    <w:rsid w:val="50A03894"/>
    <w:rsid w:val="50A27156"/>
    <w:rsid w:val="50EE3E48"/>
    <w:rsid w:val="50F47C38"/>
    <w:rsid w:val="51183927"/>
    <w:rsid w:val="51D021E7"/>
    <w:rsid w:val="53476745"/>
    <w:rsid w:val="5385162D"/>
    <w:rsid w:val="540C6549"/>
    <w:rsid w:val="558C3B80"/>
    <w:rsid w:val="55EE1632"/>
    <w:rsid w:val="56311020"/>
    <w:rsid w:val="56674A08"/>
    <w:rsid w:val="56F80CAB"/>
    <w:rsid w:val="576D3CD7"/>
    <w:rsid w:val="57771AFC"/>
    <w:rsid w:val="582E27DF"/>
    <w:rsid w:val="5845279F"/>
    <w:rsid w:val="58A82FEE"/>
    <w:rsid w:val="5A1D40DF"/>
    <w:rsid w:val="5A4C4C95"/>
    <w:rsid w:val="5A5B1DED"/>
    <w:rsid w:val="5B3E042E"/>
    <w:rsid w:val="5CDF354A"/>
    <w:rsid w:val="626C787E"/>
    <w:rsid w:val="62CA4617"/>
    <w:rsid w:val="634E17BA"/>
    <w:rsid w:val="640E5CDC"/>
    <w:rsid w:val="657038D9"/>
    <w:rsid w:val="65CB447C"/>
    <w:rsid w:val="65D05AD1"/>
    <w:rsid w:val="67992221"/>
    <w:rsid w:val="67BB76FB"/>
    <w:rsid w:val="69267C77"/>
    <w:rsid w:val="69A43B52"/>
    <w:rsid w:val="69C266CE"/>
    <w:rsid w:val="69E00902"/>
    <w:rsid w:val="69EB24FD"/>
    <w:rsid w:val="6A06185F"/>
    <w:rsid w:val="6A1E0D6D"/>
    <w:rsid w:val="6A7639E9"/>
    <w:rsid w:val="6A7774B8"/>
    <w:rsid w:val="6A862505"/>
    <w:rsid w:val="6AC36259"/>
    <w:rsid w:val="6AF47602"/>
    <w:rsid w:val="6BD526E8"/>
    <w:rsid w:val="6C6B03EA"/>
    <w:rsid w:val="6CB174AE"/>
    <w:rsid w:val="6D5E04BB"/>
    <w:rsid w:val="6D877A12"/>
    <w:rsid w:val="6ED616BD"/>
    <w:rsid w:val="6F0933CD"/>
    <w:rsid w:val="6F15681B"/>
    <w:rsid w:val="6F190B3E"/>
    <w:rsid w:val="6FA10C39"/>
    <w:rsid w:val="6FBE2549"/>
    <w:rsid w:val="70622071"/>
    <w:rsid w:val="709541F4"/>
    <w:rsid w:val="72760055"/>
    <w:rsid w:val="727A5D97"/>
    <w:rsid w:val="728C0E2B"/>
    <w:rsid w:val="73A3279E"/>
    <w:rsid w:val="73DE5EB2"/>
    <w:rsid w:val="742F2BB2"/>
    <w:rsid w:val="747800B5"/>
    <w:rsid w:val="76055BDA"/>
    <w:rsid w:val="77527832"/>
    <w:rsid w:val="77D637C2"/>
    <w:rsid w:val="77E50054"/>
    <w:rsid w:val="78056103"/>
    <w:rsid w:val="780E04B2"/>
    <w:rsid w:val="79860F0D"/>
    <w:rsid w:val="7A113CEE"/>
    <w:rsid w:val="7A2B0F7D"/>
    <w:rsid w:val="7B1D7C08"/>
    <w:rsid w:val="7B486CF1"/>
    <w:rsid w:val="7BC9569A"/>
    <w:rsid w:val="7BDF0A19"/>
    <w:rsid w:val="7D391E12"/>
    <w:rsid w:val="7D4476CE"/>
    <w:rsid w:val="7DB83C18"/>
    <w:rsid w:val="7F182F6E"/>
    <w:rsid w:val="7F511C2E"/>
    <w:rsid w:val="7F8B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方正小标宋_GBK"/>
      <w:kern w:val="44"/>
      <w:sz w:val="52"/>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semiHidden/>
    <w:qFormat/>
    <w:uiPriority w:val="0"/>
    <w:rPr>
      <w:rFonts w:ascii="Arial" w:hAnsi="Arial" w:cs="Arial"/>
      <w:b/>
      <w:bCs/>
    </w:rPr>
  </w:style>
  <w:style w:type="paragraph" w:styleId="3">
    <w:name w:val="index 1"/>
    <w:basedOn w:val="1"/>
    <w:next w:val="1"/>
    <w:semiHidden/>
    <w:qFormat/>
    <w:uiPriority w:val="0"/>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Hyperlink"/>
    <w:basedOn w:val="11"/>
    <w:qFormat/>
    <w:uiPriority w:val="0"/>
    <w:rPr>
      <w:color w:val="0000FF"/>
      <w:u w:val="single"/>
    </w:rPr>
  </w:style>
  <w:style w:type="paragraph" w:customStyle="1" w:styleId="13">
    <w:name w:val="我标题"/>
    <w:basedOn w:val="1"/>
    <w:qFormat/>
    <w:uiPriority w:val="0"/>
    <w:pPr>
      <w:spacing w:line="590" w:lineRule="exact"/>
      <w:jc w:val="center"/>
    </w:pPr>
    <w:rPr>
      <w:rFonts w:hint="eastAsia" w:ascii="Times New Roman" w:hAnsi="Times New Roman" w:eastAsia="方正小标宋_GBK"/>
      <w:sz w:val="44"/>
      <w:szCs w:val="44"/>
    </w:rPr>
  </w:style>
  <w:style w:type="paragraph" w:customStyle="1" w:styleId="14">
    <w:name w:val="一级标题"/>
    <w:basedOn w:val="4"/>
    <w:next w:val="1"/>
    <w:qFormat/>
    <w:uiPriority w:val="0"/>
    <w:pPr>
      <w:ind w:firstLine="680" w:firstLineChars="200"/>
    </w:pPr>
    <w:rPr>
      <w:rFonts w:eastAsia="方正黑体_GBK" w:asciiTheme="minorHAnsi" w:hAnsiTheme="minorHAnsi" w:cstheme="minorBidi"/>
      <w:sz w:val="34"/>
      <w:szCs w:val="32"/>
    </w:rPr>
  </w:style>
  <w:style w:type="paragraph" w:customStyle="1" w:styleId="15">
    <w:name w:val="二级标题"/>
    <w:basedOn w:val="1"/>
    <w:next w:val="5"/>
    <w:qFormat/>
    <w:uiPriority w:val="0"/>
    <w:pPr>
      <w:spacing w:line="520" w:lineRule="exact"/>
      <w:ind w:firstLine="643" w:firstLineChars="200"/>
    </w:pPr>
    <w:rPr>
      <w:rFonts w:hint="eastAsia" w:ascii="Times New Roman" w:hAnsi="Times New Roman" w:eastAsia="方正楷体_GBK"/>
      <w:sz w:val="34"/>
      <w:szCs w:val="32"/>
    </w:rPr>
  </w:style>
  <w:style w:type="paragraph" w:customStyle="1" w:styleId="16">
    <w:name w:val="Body text|1"/>
    <w:basedOn w:val="1"/>
    <w:qFormat/>
    <w:uiPriority w:val="0"/>
    <w:pPr>
      <w:spacing w:line="454" w:lineRule="auto"/>
      <w:ind w:firstLine="400"/>
    </w:pPr>
    <w:rPr>
      <w:rFonts w:ascii="宋体" w:hAnsi="宋体" w:eastAsia="宋体" w:cs="宋体"/>
      <w:sz w:val="28"/>
      <w:szCs w:val="28"/>
      <w:lang w:val="zh-TW" w:eastAsia="zh-TW" w:bidi="zh-TW"/>
    </w:rPr>
  </w:style>
  <w:style w:type="paragraph" w:styleId="17">
    <w:name w:val="List Paragraph"/>
    <w:basedOn w:val="1"/>
    <w:unhideWhenUsed/>
    <w:qFormat/>
    <w:uiPriority w:val="99"/>
    <w:pPr>
      <w:ind w:firstLine="420" w:firstLineChars="200"/>
    </w:pPr>
  </w:style>
  <w:style w:type="character" w:customStyle="1" w:styleId="18">
    <w:name w:val="批注框文本 Char"/>
    <w:basedOn w:val="11"/>
    <w:link w:val="6"/>
    <w:qFormat/>
    <w:uiPriority w:val="0"/>
    <w:rPr>
      <w:rFonts w:ascii="Calibri" w:hAnsi="Calibri" w:eastAsia="仿宋_GB2312"/>
      <w:kern w:val="2"/>
      <w:sz w:val="18"/>
      <w:szCs w:val="18"/>
    </w:rPr>
  </w:style>
  <w:style w:type="character" w:customStyle="1" w:styleId="19">
    <w:name w:val="q0i9p6ubej"/>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2947</Words>
  <Characters>2970</Characters>
  <Lines>21</Lines>
  <Paragraphs>6</Paragraphs>
  <TotalTime>1433</TotalTime>
  <ScaleCrop>false</ScaleCrop>
  <LinksUpToDate>false</LinksUpToDate>
  <CharactersWithSpaces>3027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2024-04-29T01:01:00Z</dcterms:created>
  <dc:creator>洪艳</dc:creator>
  <cp:lastModifiedBy>Spongebob</cp:lastModifiedBy>
  <cp:lastPrinted>2024-07-25T02:03:00Z</cp:lastPrinted>
  <dcterms:modified xsi:type="dcterms:W3CDTF">2024-08-02T08:09:13Z</dcterms:modified>
  <cp:revision>401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EAF78FDC4BFA4979AE0C98552E296439_13</vt:lpwstr>
  </property>
</Properties>
</file>