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441900020-2025-00216</w:t>
      </w:r>
    </w:p>
    <w:p>
      <w:pPr>
        <w:pStyle w:val="null3"/>
        <w:jc w:val="center"/>
        <w:outlineLvl w:val="3"/>
      </w:pPr>
      <w:r>
        <w:rPr>
          <w:sz w:val="24"/>
          <w:b/>
        </w:rPr>
        <w:t>采购项目编号：</w:t>
      </w:r>
      <w:r>
        <w:rPr>
          <w:sz w:val="24"/>
          <w:b/>
        </w:rPr>
        <w:t>441900020-2025-00216</w:t>
      </w:r>
    </w:p>
    <w:p>
      <w:pPr>
        <w:pStyle w:val="null3"/>
        <w:jc w:val="center"/>
        <w:outlineLvl w:val="3"/>
      </w:pPr>
      <w:r>
        <w:rPr>
          <w:sz w:val="24"/>
          <w:b/>
        </w:rPr>
        <w:t>项目名称：</w:t>
      </w:r>
      <w:r>
        <w:rPr>
          <w:sz w:val="24"/>
          <w:b/>
        </w:rPr>
        <w:t>樟木头镇禾笔山路电力线路迁改工程</w:t>
      </w:r>
    </w:p>
    <w:p>
      <w:pPr>
        <w:pStyle w:val="null3"/>
        <w:jc w:val="center"/>
        <w:outlineLvl w:val="3"/>
      </w:pPr>
      <w:r>
        <w:rPr>
          <w:sz w:val="24"/>
          <w:b/>
        </w:rPr>
        <w:t>采购人：</w:t>
      </w:r>
      <w:r>
        <w:rPr>
          <w:sz w:val="24"/>
          <w:b/>
        </w:rPr>
        <w:t>东莞市樟木头镇工程建设中心</w:t>
      </w:r>
    </w:p>
    <w:p>
      <w:pPr>
        <w:pStyle w:val="null3"/>
        <w:jc w:val="center"/>
        <w:outlineLvl w:val="3"/>
      </w:pPr>
      <w:r>
        <w:rPr>
          <w:sz w:val="24"/>
          <w:b/>
        </w:rPr>
        <w:t>采购代理机构：</w:t>
      </w:r>
      <w:r>
        <w:rPr>
          <w:sz w:val="24"/>
          <w:b/>
        </w:rPr>
        <w:t>中金招标有限责任公司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中金招标有限责任公司</w:t>
      </w:r>
      <w:r>
        <w:rPr/>
        <w:t>受</w:t>
      </w:r>
      <w:r>
        <w:rPr/>
        <w:t>东莞市樟木头镇工程建设中心</w:t>
      </w:r>
      <w:r>
        <w:rPr/>
        <w:t>的委托，采用</w:t>
      </w:r>
      <w:r>
        <w:rPr/>
        <w:t>竞争性磋商</w:t>
      </w:r>
      <w:r>
        <w:rPr/>
        <w:t>方式组织采购</w:t>
      </w:r>
      <w:r>
        <w:rPr/>
        <w:t>樟木头镇禾笔山路电力线路迁改工程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樟木头镇禾笔山路电力线路迁改工程</w:t>
      </w:r>
    </w:p>
    <w:p>
      <w:pPr>
        <w:pStyle w:val="null3"/>
        <w:ind w:firstLine="480"/>
      </w:pPr>
      <w:r>
        <w:rPr/>
        <w:t>采购计划编号：</w:t>
      </w:r>
      <w:r>
        <w:rPr/>
        <w:t>441900020-2025-00216</w:t>
      </w:r>
    </w:p>
    <w:p>
      <w:pPr>
        <w:pStyle w:val="null3"/>
        <w:ind w:firstLine="480"/>
      </w:pPr>
      <w:r>
        <w:rPr/>
        <w:t>采购项目编号：</w:t>
      </w:r>
      <w:r>
        <w:rPr/>
        <w:t>441900020-2025-00216</w:t>
      </w:r>
    </w:p>
    <w:p>
      <w:pPr>
        <w:pStyle w:val="null3"/>
        <w:ind w:firstLine="480"/>
      </w:pPr>
      <w:r>
        <w:rPr/>
        <w:t>采购方式：</w:t>
      </w:r>
      <w:r>
        <w:rPr/>
        <w:t>竞争性磋商</w:t>
      </w:r>
    </w:p>
    <w:p>
      <w:pPr>
        <w:pStyle w:val="null3"/>
        <w:ind w:firstLine="480"/>
      </w:pPr>
      <w:r>
        <w:rPr/>
        <w:t>预算金额：</w:t>
      </w:r>
      <w:r>
        <w:rPr/>
        <w:t>1,118,196.01</w:t>
      </w:r>
      <w:r>
        <w:rPr/>
        <w:t>元</w:t>
      </w:r>
    </w:p>
    <w:p>
      <w:pPr>
        <w:pStyle w:val="null3"/>
        <w:outlineLvl w:val="3"/>
      </w:pPr>
      <w:r>
        <w:rPr>
          <w:sz w:val="24"/>
          <w:b/>
        </w:rPr>
        <w:t>2.项目内容及需求情况（采购项目技术规格、参数及要求）</w:t>
      </w:r>
    </w:p>
    <w:p>
      <w:pPr>
        <w:pStyle w:val="null3"/>
      </w:pPr>
      <w:r>
        <w:rPr/>
        <w:t>采购包1(樟木头镇禾笔山路电力线路迁改工程):</w:t>
      </w:r>
    </w:p>
    <w:p>
      <w:pPr>
        <w:pStyle w:val="null3"/>
      </w:pPr>
      <w:r>
        <w:rPr/>
        <w:t>采购包预算金额：1,118,196.01元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樟木头镇禾笔山路电力线路迁改工程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合同履行期限：自签订施工合同之日起64日历天内完工。项目缺陷责任期为自工程全部竣工验收合格交付采购人使用之日起2年。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或在投标文件中提供《资格条件承诺函》。</w:t>
      </w:r>
    </w:p>
    <w:p>
      <w:pPr>
        <w:pStyle w:val="null3"/>
      </w:pPr>
      <w:r>
        <w:rPr/>
        <w:t>3）具有良好的商业信誉和健全的财务会计制度：供应商必须具有良好的商业信誉和健全的财务会计制度（提供2023年度财务状况报告或基本开户行出具的资信证明）,或在投标文件中提供《资格条件承诺函》。</w:t>
      </w:r>
    </w:p>
    <w:p>
      <w:pPr>
        <w:pStyle w:val="null3"/>
      </w:pPr>
      <w:r>
        <w:rPr/>
        <w:t>4）履行合同所必需的设备和专业技术能力：按投标（响应）文件格式填报设备及专业技术能力情况且提供相应证明材料,或在投标文件中提供《资格条件承诺函》。</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采购包1（樟木头镇禾笔山路电力线路迁改工程）：</w:t>
      </w:r>
      <w:r>
        <w:rPr/>
        <w:t>采购包整体专门面向中小企业，中小企业须符合本项目采购标的对应行业的政策划分标准，本项目所属行业为建筑业。【注：1、供应商须提供《中小企业声明函》；2、监狱企业、残疾人福利单位视同小型、微型企业。残疾人福利性单位以磋商响应人填写的《残疾人福利性单位声明函》为判定标准；监狱企业须提供由省级以上监狱管理局、戒毒管理局（含新疆生产建设兵团）出具的属于监狱企业的证明文件，不再提供《中小企业声明函》】。</w:t>
      </w:r>
    </w:p>
    <w:p>
      <w:pPr>
        <w:pStyle w:val="null3"/>
        <w:outlineLvl w:val="3"/>
      </w:pPr>
      <w:r>
        <w:rPr>
          <w:sz w:val="24"/>
          <w:b/>
        </w:rPr>
        <w:t>3.本项目特定的资格要求：</w:t>
      </w:r>
    </w:p>
    <w:p>
      <w:pPr>
        <w:pStyle w:val="null3"/>
      </w:pPr>
      <w:r>
        <w:rPr/>
        <w:t>采购包1（樟木头镇禾笔山路电力线路迁改工程）：</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管理关系的不同供应商，不得同时参加本采购项目（或采购包）投标（响应）。 为本项目提供整体设计、 规范编制或者项目管理、 监理、检测等服务的供应商，不得再参与本项目投标（响应）。 投标（报价）函相关承诺要求内容。</w:t>
      </w:r>
    </w:p>
    <w:p>
      <w:pPr>
        <w:pStyle w:val="null3"/>
      </w:pPr>
      <w:r>
        <w:rPr/>
        <w:t>3)供应商须具备建设行政主管部门颁发的在有效期内的电力工程施工总承包三级（或以上）资质，或输变电工程专业承包三级（或以上）资质；同时具备《承装（修、试）电力设施许可证》承装、修、试类五级及以上许可（必须在有效期内）。</w:t>
      </w:r>
    </w:p>
    <w:p>
      <w:pPr>
        <w:pStyle w:val="null3"/>
      </w:pPr>
      <w:r>
        <w:rPr/>
        <w:t>4)供应商须具有建设行政主管部门颁发且在有效期内的安全生产许可证。</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东莞市樟木头镇工程建设中心</w:t>
      </w:r>
    </w:p>
    <w:p>
      <w:pPr>
        <w:pStyle w:val="null3"/>
        <w:ind w:firstLine="480"/>
      </w:pPr>
      <w:r>
        <w:rPr/>
        <w:t>地址：</w:t>
      </w:r>
      <w:r>
        <w:rPr/>
        <w:t>东莞市樟木头镇银河北路12号建设大厦</w:t>
      </w:r>
    </w:p>
    <w:p>
      <w:pPr>
        <w:pStyle w:val="null3"/>
        <w:ind w:firstLine="480"/>
      </w:pPr>
      <w:r>
        <w:rPr/>
        <w:t>联系方式：</w:t>
      </w:r>
      <w:r>
        <w:rPr/>
        <w:t>0769-87783005</w:t>
      </w:r>
    </w:p>
    <w:p>
      <w:pPr>
        <w:pStyle w:val="null3"/>
        <w:outlineLvl w:val="3"/>
      </w:pPr>
      <w:r>
        <w:rPr>
          <w:sz w:val="24"/>
          <w:b/>
        </w:rPr>
        <w:t>2.采购代理机构信息</w:t>
      </w:r>
    </w:p>
    <w:p>
      <w:pPr>
        <w:pStyle w:val="null3"/>
        <w:ind w:firstLine="480"/>
      </w:pPr>
      <w:r>
        <w:rPr/>
        <w:t>名称：</w:t>
      </w:r>
      <w:r>
        <w:rPr/>
        <w:t>中金招标有限责任公司</w:t>
      </w:r>
    </w:p>
    <w:p>
      <w:pPr>
        <w:pStyle w:val="null3"/>
        <w:ind w:firstLine="480"/>
      </w:pPr>
      <w:r>
        <w:rPr/>
        <w:t xml:space="preserve"> 地址：</w:t>
      </w:r>
      <w:r>
        <w:rPr/>
        <w:t>东莞市南城街道鸿福路108号中盛商务大厦1403室</w:t>
      </w:r>
    </w:p>
    <w:p>
      <w:pPr>
        <w:pStyle w:val="null3"/>
        <w:ind w:firstLine="480"/>
      </w:pPr>
      <w:r>
        <w:rPr/>
        <w:t xml:space="preserve"> 联系方式：</w:t>
      </w:r>
      <w:r>
        <w:rPr/>
        <w:t>0769-22888279</w:t>
      </w:r>
    </w:p>
    <w:p>
      <w:pPr>
        <w:pStyle w:val="null3"/>
        <w:outlineLvl w:val="3"/>
      </w:pPr>
      <w:r>
        <w:rPr>
          <w:sz w:val="24"/>
          <w:b/>
        </w:rPr>
        <w:t xml:space="preserve"> 3.项目联系方式</w:t>
      </w:r>
    </w:p>
    <w:p>
      <w:pPr>
        <w:pStyle w:val="null3"/>
        <w:ind w:firstLine="480"/>
      </w:pPr>
      <w:r>
        <w:rPr/>
        <w:t xml:space="preserve"> 项目联系人：</w:t>
      </w:r>
      <w:r>
        <w:rPr/>
        <w:t>杨先生</w:t>
      </w:r>
    </w:p>
    <w:p>
      <w:pPr>
        <w:pStyle w:val="null3"/>
        <w:ind w:firstLine="480"/>
      </w:pPr>
      <w:r>
        <w:rPr/>
        <w:t xml:space="preserve"> 电话：</w:t>
      </w:r>
      <w:r>
        <w:rPr/>
        <w:t>0769-22888279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中金招标有限责任公司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w:t>
      </w:r>
      <w:r>
        <w:rPr>
          <w:sz w:val="21"/>
        </w:rPr>
        <w:t>一</w:t>
      </w:r>
      <w:r>
        <w:rPr>
          <w:sz w:val="21"/>
        </w:rPr>
        <w:t>)</w:t>
      </w:r>
      <w:r>
        <w:rPr>
          <w:sz w:val="21"/>
        </w:rPr>
        <w:t>工程名称：</w:t>
      </w:r>
      <w:r>
        <w:rPr>
          <w:sz w:val="21"/>
        </w:rPr>
        <w:t>樟木头镇禾笔山路电力线路迁改工程</w:t>
      </w:r>
      <w:r>
        <w:rPr>
          <w:sz w:val="21"/>
        </w:rPr>
        <w:t>。</w:t>
      </w:r>
      <w:r>
        <w:br/>
      </w:r>
      <w:r>
        <w:rPr>
          <w:sz w:val="21"/>
        </w:rPr>
        <w:t>(</w:t>
      </w:r>
      <w:r>
        <w:rPr>
          <w:sz w:val="21"/>
        </w:rPr>
        <w:t>二</w:t>
      </w:r>
      <w:r>
        <w:rPr>
          <w:sz w:val="21"/>
        </w:rPr>
        <w:t>)</w:t>
      </w:r>
      <w:r>
        <w:rPr>
          <w:sz w:val="21"/>
        </w:rPr>
        <w:t>项目建设地点：</w:t>
      </w:r>
      <w:r>
        <w:rPr>
          <w:sz w:val="21"/>
        </w:rPr>
        <w:t>东莞市</w:t>
      </w:r>
      <w:r>
        <w:rPr>
          <w:sz w:val="21"/>
        </w:rPr>
        <w:t>樟木头</w:t>
      </w:r>
      <w:r>
        <w:rPr>
          <w:sz w:val="21"/>
        </w:rPr>
        <w:t>镇</w:t>
      </w:r>
      <w:r>
        <w:rPr>
          <w:sz w:val="21"/>
        </w:rPr>
        <w:t>。</w:t>
      </w:r>
      <w:r>
        <w:br/>
      </w:r>
      <w:r>
        <w:rPr>
          <w:sz w:val="21"/>
        </w:rPr>
        <w:t>(</w:t>
      </w:r>
      <w:r>
        <w:rPr>
          <w:sz w:val="21"/>
        </w:rPr>
        <w:t>三</w:t>
      </w:r>
      <w:r>
        <w:rPr>
          <w:sz w:val="21"/>
        </w:rPr>
        <w:t>)</w:t>
      </w:r>
      <w:r>
        <w:rPr>
          <w:sz w:val="21"/>
        </w:rPr>
        <w:t>工程规模：具体建设规模以图纸及</w:t>
      </w:r>
      <w:r>
        <w:rPr>
          <w:sz w:val="21"/>
        </w:rPr>
        <w:t>招标控制价</w:t>
      </w:r>
      <w:r>
        <w:rPr>
          <w:sz w:val="21"/>
        </w:rPr>
        <w:t>为准。</w:t>
      </w:r>
      <w:r>
        <w:br/>
      </w:r>
      <w:r>
        <w:rPr>
          <w:sz w:val="21"/>
        </w:rPr>
        <w:t>(</w:t>
      </w:r>
      <w:r>
        <w:rPr>
          <w:sz w:val="21"/>
        </w:rPr>
        <w:t>四</w:t>
      </w:r>
      <w:r>
        <w:rPr>
          <w:sz w:val="21"/>
        </w:rPr>
        <w:t>)</w:t>
      </w:r>
      <w:r>
        <w:rPr>
          <w:sz w:val="21"/>
        </w:rPr>
        <w:t>采购范围：</w:t>
      </w:r>
      <w:r>
        <w:rPr>
          <w:sz w:val="21"/>
        </w:rPr>
        <w:t>按招标图纸及工程量清单所含内容，包括但不限于：</w:t>
      </w:r>
      <w:r>
        <w:rPr>
          <w:sz w:val="21"/>
        </w:rPr>
        <w:t>1</w:t>
      </w:r>
      <w:r>
        <w:rPr>
          <w:sz w:val="21"/>
        </w:rPr>
        <w:t>、拆除工程；</w:t>
      </w:r>
      <w:r>
        <w:rPr>
          <w:sz w:val="21"/>
        </w:rPr>
        <w:t>2</w:t>
      </w:r>
      <w:r>
        <w:rPr>
          <w:sz w:val="21"/>
        </w:rPr>
        <w:t>、土建工程；</w:t>
      </w:r>
      <w:r>
        <w:rPr>
          <w:sz w:val="21"/>
        </w:rPr>
        <w:t>3</w:t>
      </w:r>
      <w:r>
        <w:rPr>
          <w:sz w:val="21"/>
        </w:rPr>
        <w:t>、安装工程；</w:t>
      </w:r>
      <w:r>
        <w:rPr>
          <w:sz w:val="21"/>
        </w:rPr>
        <w:t>4</w:t>
      </w:r>
      <w:r>
        <w:rPr>
          <w:sz w:val="21"/>
        </w:rPr>
        <w:t>、电线电缆工程等。注：承包人需到供电部门完成本工程的报建、施工方案审核、报停电计划和验收等，在施工过程中完成电力电缆的试验，保证通电且取得验收合格证</w:t>
      </w:r>
      <w:r>
        <w:rPr>
          <w:sz w:val="21"/>
        </w:rPr>
        <w:t>,</w:t>
      </w:r>
      <w:r>
        <w:rPr>
          <w:sz w:val="21"/>
        </w:rPr>
        <w:t>并完成工程的移交工作；施工过程中完成设备的安装、调试、验收；工程完工后要求开展工程保修，经确认具备条件时必须按带电作业方式开展施工。</w:t>
      </w:r>
      <w:r>
        <w:br/>
      </w:r>
      <w:r>
        <w:rPr>
          <w:sz w:val="21"/>
        </w:rPr>
        <w:t>(</w:t>
      </w:r>
      <w:r>
        <w:rPr>
          <w:sz w:val="21"/>
        </w:rPr>
        <w:t>五</w:t>
      </w:r>
      <w:r>
        <w:rPr>
          <w:sz w:val="21"/>
        </w:rPr>
        <w:t>)</w:t>
      </w:r>
      <w:r>
        <w:rPr>
          <w:sz w:val="21"/>
        </w:rPr>
        <w:t>预算金额：</w:t>
      </w:r>
      <w:r>
        <w:rPr>
          <w:sz w:val="21"/>
        </w:rPr>
        <w:t>1118196.01</w:t>
      </w:r>
      <w:r>
        <w:rPr>
          <w:sz w:val="21"/>
        </w:rPr>
        <w:t>元（其中</w:t>
      </w:r>
      <w:r>
        <w:rPr>
          <w:sz w:val="21"/>
        </w:rPr>
        <w:t>包含</w:t>
      </w:r>
      <w:r>
        <w:rPr>
          <w:sz w:val="21"/>
        </w:rPr>
        <w:t>：绿色施工安全防护措施费</w:t>
      </w:r>
      <w:r>
        <w:rPr>
          <w:sz w:val="21"/>
        </w:rPr>
        <w:t>：</w:t>
      </w:r>
      <w:r>
        <w:rPr>
          <w:sz w:val="21"/>
        </w:rPr>
        <w:t>49058.58</w:t>
      </w:r>
      <w:r>
        <w:rPr>
          <w:sz w:val="21"/>
        </w:rPr>
        <w:t>元</w:t>
      </w:r>
      <w:r>
        <w:rPr>
          <w:sz w:val="21"/>
        </w:rPr>
        <w:t>，人工费：</w:t>
      </w:r>
      <w:r>
        <w:rPr>
          <w:sz w:val="21"/>
        </w:rPr>
        <w:t>115889.29</w:t>
      </w:r>
      <w:r>
        <w:rPr>
          <w:sz w:val="21"/>
        </w:rPr>
        <w:t>元。</w:t>
      </w:r>
      <w:r>
        <w:rPr>
          <w:sz w:val="21"/>
        </w:rPr>
        <w:t>）</w:t>
      </w:r>
      <w:r>
        <w:br/>
      </w:r>
      <w:r>
        <w:rPr>
          <w:sz w:val="21"/>
          <w:b/>
        </w:rPr>
        <w:t>(</w:t>
      </w:r>
      <w:r>
        <w:rPr>
          <w:sz w:val="21"/>
          <w:b/>
        </w:rPr>
        <w:t>六</w:t>
      </w:r>
      <w:r>
        <w:rPr>
          <w:sz w:val="21"/>
          <w:b/>
        </w:rPr>
        <w:t>)★</w:t>
      </w:r>
      <w:r>
        <w:rPr>
          <w:sz w:val="21"/>
          <w:b/>
        </w:rPr>
        <w:t>最高限价：</w:t>
      </w:r>
      <w:r>
        <w:rPr>
          <w:sz w:val="21"/>
          <w:b/>
        </w:rPr>
        <w:t>1068427.66</w:t>
      </w:r>
      <w:r>
        <w:rPr>
          <w:sz w:val="21"/>
          <w:b/>
        </w:rPr>
        <w:t>元（其中</w:t>
      </w:r>
      <w:r>
        <w:rPr>
          <w:sz w:val="21"/>
          <w:b/>
        </w:rPr>
        <w:t>包含</w:t>
      </w:r>
      <w:r>
        <w:rPr>
          <w:sz w:val="21"/>
          <w:b/>
        </w:rPr>
        <w:t>：绿色施工安全防护</w:t>
      </w:r>
      <w:r>
        <w:rPr>
          <w:sz w:val="21"/>
          <w:b/>
        </w:rPr>
        <w:t>措施费：</w:t>
      </w:r>
      <w:r>
        <w:rPr>
          <w:sz w:val="21"/>
          <w:b/>
        </w:rPr>
        <w:t>49058.58</w:t>
      </w:r>
      <w:r>
        <w:rPr>
          <w:sz w:val="21"/>
          <w:b/>
        </w:rPr>
        <w:t>元，人工费：</w:t>
      </w:r>
      <w:r>
        <w:rPr>
          <w:sz w:val="21"/>
          <w:b/>
        </w:rPr>
        <w:t>115889.29</w:t>
      </w:r>
      <w:r>
        <w:rPr>
          <w:sz w:val="21"/>
          <w:b/>
        </w:rPr>
        <w:t>元。）</w:t>
      </w:r>
      <w:r>
        <w:br/>
      </w:r>
      <w:r>
        <w:rPr>
          <w:sz w:val="21"/>
          <w:b/>
        </w:rPr>
        <w:t>【注：本项目最高限价按</w:t>
      </w:r>
      <w:r>
        <w:rPr>
          <w:sz w:val="21"/>
          <w:b/>
        </w:rPr>
        <w:t>4.655</w:t>
      </w:r>
      <w:r>
        <w:rPr>
          <w:sz w:val="21"/>
          <w:b/>
        </w:rPr>
        <w:t>%</w:t>
      </w:r>
      <w:r>
        <w:rPr>
          <w:sz w:val="21"/>
          <w:b/>
        </w:rPr>
        <w:t>下浮，即经审核的不含绿色施工安全防护措施单列费的招标控制价下浮</w:t>
      </w:r>
      <w:r>
        <w:rPr>
          <w:sz w:val="21"/>
          <w:b/>
        </w:rPr>
        <w:t>4.655</w:t>
      </w:r>
      <w:r>
        <w:rPr>
          <w:sz w:val="21"/>
          <w:b/>
        </w:rPr>
        <w:t>%</w:t>
      </w:r>
      <w:r>
        <w:rPr>
          <w:sz w:val="21"/>
          <w:b/>
        </w:rPr>
        <w:t>后，再加上</w:t>
      </w:r>
      <w:r>
        <w:rPr>
          <w:sz w:val="21"/>
          <w:b/>
        </w:rPr>
        <w:t>绿色施工安全防护措施单列费。】</w:t>
      </w:r>
    </w:p>
    <w:p>
      <w:pPr>
        <w:pStyle w:val="null3"/>
      </w:pPr>
      <w:r>
        <w:rPr/>
        <w:t>采购包1（樟木头镇禾笔山路电力线路迁改工程）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自签订施工合同之日起64日历天内完工。项目缺陷责任期为自工程全部竣工验收合格交付采购人使用之日起2年。</w:t>
            </w:r>
          </w:p>
        </w:tc>
      </w:tr>
      <w:tr>
        <w:tc>
          <w:tcPr>
            <w:tcW w:type="dxa" w:w="4153"/>
          </w:tcPr>
          <w:p>
            <w:pPr>
              <w:pStyle w:val="null3"/>
            </w:pPr>
            <w:r>
              <w:rPr/>
              <w:t>标的提供的地点</w:t>
            </w:r>
          </w:p>
        </w:tc>
        <w:tc>
          <w:tcPr>
            <w:tcW w:type="dxa" w:w="4153"/>
          </w:tcPr>
          <w:p>
            <w:pPr>
              <w:pStyle w:val="null3"/>
            </w:pPr>
            <w:r>
              <w:rPr/>
              <w:t>东莞市樟木头镇。</w:t>
            </w:r>
          </w:p>
        </w:tc>
      </w:tr>
      <w:tr/>
      <w:tr/>
      <w:tr>
        <w:tc>
          <w:tcPr>
            <w:tcW w:type="dxa" w:w="4153"/>
          </w:tcPr>
          <w:p>
            <w:pPr>
              <w:pStyle w:val="null3"/>
            </w:pPr>
            <w:r>
              <w:rPr/>
              <w:t>付款方式</w:t>
            </w:r>
          </w:p>
        </w:tc>
        <w:tc>
          <w:tcPr>
            <w:tcW w:type="dxa" w:w="4153"/>
          </w:tcPr>
          <w:p>
            <w:pPr>
              <w:pStyle w:val="null3"/>
            </w:pPr>
            <w:r>
              <w:rPr/>
              <w:t>第1期为(樟木头镇禾笔山路电力线路迁改工程)：支付比例100%，1、第一阶段：合同签订之日起30日内，甲方支付合同价的10%作为预付款； 2、第二阶段：甲方按每月完成工程量的80%支付工程进度款，工程完工之日起30日内支付至合同总价80%； 3、第三阶段：工程竣工验收合格之日起30日内，甲方支付至合同总价的97%；在质量保修期满后的30个工作日内，采购人支付剩余合同价的3%。 4、付款前成交供应商应向采购人提出请款申请及所需的材料和等额合格发票。 注：付款前成交人应向采购人提出请款申请及所需的材料和等额合格发票。本合同的经费由财政拨款，如因政策影响，拨款未能及时到位，成交人不得以此为由而不履行本合同规定的义务，如果成交人怠于或者拒绝提供资料或者办理手续的，则因此产生的付款迟延的责任全部由成交人承担。</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1期：1.成交人应按照施工图、相关规范要求施工，随时接受采购人的检查，为检查提供便利条件。如施工与规范要求不相符处，须按采购人要求返工修改，并承担因自身原因导致返工、修改的费用； 2. 对于隐蔽工程，待工程具备覆盖、掩盖条件，并经自检合格后24小时内书面通知采购人参与验收，采购人接到通知后48小时内组织验收；验收合格后，采购人在验收记录上签字方可进行隐蔽和继续施工；验收不合格，成交人在限定时间内返工后重新验收。如采购人在验收合格后48小时内不在验收记录上签字，可视为采购人已批准，成交人可继续施工； 3. 项目验收，以国家颁发的最新的验收规范、检验标准，按双方签字认可的为准，对有关硬件、设备、材料按相关的国标、行业标准和产品说明书为准。 4. 本项目使用的材料、机械设备必须经国家认可的技术检验部门检测合格，工程验收前必须满足下列条件：符合施工图、相关规范要求，现有的缺陷已全部纠正，试运行期满。 5. 成交人在验收合格后在5日内向采购人提交一式四份标准的工程资料。假如双方不赞成工程验收结果或验收手段，任何一方都可能将检验结果提交给国家指定的技术监督部门再作检查，双方提出的任何索赔都应依据合同和权威部门签发的证书而定。</w:t>
            </w:r>
          </w:p>
        </w:tc>
      </w:tr>
      <w:tr>
        <w:tc>
          <w:tcPr>
            <w:tcW w:type="dxa" w:w="4153"/>
          </w:tcPr>
          <w:p>
            <w:pPr>
              <w:pStyle w:val="null3"/>
            </w:pPr>
            <w:r>
              <w:rPr/>
              <w:t>履约保证金</w:t>
            </w:r>
          </w:p>
        </w:tc>
        <w:tc>
          <w:tcPr>
            <w:tcW w:type="dxa" w:w="4153"/>
          </w:tcPr>
          <w:p>
            <w:pPr>
              <w:pStyle w:val="null3"/>
            </w:pPr>
            <w:r>
              <w:rPr/>
              <w:t>收取比例：10%,说明：1、成交人应在采购合同签订前向采购人缴纳履约保证金，履约保证金金额为合同总金额的10%。成交人应当以不可撤销银行履约保函或担保公司履约保函的方式缴纳履约保证金。给采购人造成的损失超过履约担保数额的，还应当由其对超过部分予以赔偿，并依法追究其责任。履约保函的内容，应符合采购文件和采购合同的要求。 2、如果成交人没有按照上述履约保证金的规定执行，采购人将有充分的理由解除合同，给采购人造成的损失，还应当予以赔偿。 3、履约保证金的退还条件：向采购人提交了履约保证金的，成交人在依法履行完毕采购合同后，成交人可向采购人提交退回履约保证金的申请，采购人收到成交人的退回履约保证金申请后，3个工作日内予以答复，由采购人按照合同约定及相关法规规定办理履约保证金退回手续。 4、下列情况履约保证金将不予退还：（1）成交人将中标项目转让给他人，或者在投标文件中未说明，且未经采购人同意将中标项目分包给他人。（2）成交人在履行采购合同期间，违反相关法律法规的规定及合同约定条款，损害了采购人利益的。（3）成交人未在成交通知书发出30天内与采购人签订合同、向采购人提出不合理的要求作为签订合同的条件、无正当理由放弃中标资格等导致未与采购人在规定时间内签定采购合同。 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成交价为合同价。成交人在合同实施过程中不能以原材料价格变动、清单漏项等原因增加任何收费。结算时按已确定的合同单价进行结算；施工过程中如有变更，工程结算清单报价中有报价按报价单价调整结算，没有单价的按财政财审信息价结算，结算总价最终以财政财审结算为准； 2、投标报价应包含购置费、工程施工费、安装费、包装费、运输费、人工费、保险费、调试费、各种税费、资料费、送检费、验收费、包括开挖及原状恢复费用、售后服务费等进行总承包,最终结算以实际施工工程量为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★缺陷责任期</w:t>
            </w:r>
          </w:p>
        </w:tc>
        <w:tc>
          <w:tcPr>
            <w:tcW w:type="dxa" w:w="2076"/>
          </w:tcPr>
          <w:p>
            <w:pPr>
              <w:pStyle w:val="null3"/>
              <w:jc w:val="left"/>
            </w:pPr>
            <w:r>
              <w:rPr/>
              <w:t>本工程的缺陷责任期为2年。</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1、供应商在响应报价时，不得自行变更绿色施工安全防护措施费金额，否则视为非实质性响应而予以拒绝。磋商报价不得高于最高限价，最终磋商报价均应包括工程量清单所发生的购置费、工程施工费、安装费、包装费、运输费、人工费、保险费、调试费、各种税费、资料费、送检费、验收费、包括开挖及原状恢复费用、售后服务费以及施工合同包含的所有风险责任等各项应有费用，采购人不再支付除此之外的其它任何费用； 2、报价为本项目的总价包干，磋商最终报价即为合同价，其中绿色施工安全防护措施单列费49058.58元，不参与竞价。不得在成交后提出任何增加费用要求，供应商在磋商时应充分考虑相关风险性因素； 3、供应商在成交并签署合同后，服务期限内出现的任何遗漏，均由成交人负责，采购人不再支付任何费用。 4、所有材料必须符合采购人要求且经监理检验并做好记录。 5、项目施工及布置须符合采购人要求，施工中监理或采购人提出须整改部分由成交人负责整改且不予增加任何费用。</w:t>
            </w:r>
          </w:p>
        </w:tc>
      </w:tr>
      <w:tr>
        <w:tc>
          <w:tcPr>
            <w:tcW w:type="dxa" w:w="2076"/>
          </w:tcPr>
          <w:p/>
        </w:tc>
        <w:tc>
          <w:tcPr>
            <w:tcW w:type="dxa" w:w="2076"/>
          </w:tcPr>
          <w:p>
            <w:pPr>
              <w:pStyle w:val="null3"/>
              <w:jc w:val="center"/>
            </w:pPr>
            <w:r>
              <w:rPr/>
              <w:t>3</w:t>
            </w:r>
          </w:p>
        </w:tc>
        <w:tc>
          <w:tcPr>
            <w:tcW w:type="dxa" w:w="2076"/>
          </w:tcPr>
          <w:p>
            <w:pPr>
              <w:pStyle w:val="null3"/>
              <w:jc w:val="left"/>
            </w:pPr>
            <w:r>
              <w:rPr/>
              <w:t>工程量报价清单</w:t>
            </w:r>
          </w:p>
        </w:tc>
        <w:tc>
          <w:tcPr>
            <w:tcW w:type="dxa" w:w="2076"/>
          </w:tcPr>
          <w:p>
            <w:pPr>
              <w:pStyle w:val="null3"/>
              <w:jc w:val="left"/>
            </w:pPr>
            <w:r>
              <w:rPr/>
              <w:t>成交供应商中标后须按总价不变的原则编制《工程量清单报价表》。在发出成交通知书前，采购人可对成交供应商的已标价工程量清单进行审查，并按总价不变的原则，对已标价工程量清单的算术性错误及严重不平衡报价进行修正、调整，调整后的工程量清单经双方确认后，作为合同文件的组成部分，如果成交供应商拒绝修正、调整的要求，将被认为放弃中标资格，其投标保证金将被没收。</w:t>
            </w:r>
          </w:p>
        </w:tc>
      </w:tr>
      <w:tr>
        <w:tc>
          <w:tcPr>
            <w:tcW w:type="dxa" w:w="2076"/>
          </w:tcPr>
          <w:p/>
        </w:tc>
        <w:tc>
          <w:tcPr>
            <w:tcW w:type="dxa" w:w="2076"/>
          </w:tcPr>
          <w:p>
            <w:pPr>
              <w:pStyle w:val="null3"/>
              <w:jc w:val="center"/>
            </w:pPr>
            <w:r>
              <w:rPr/>
              <w:t>4</w:t>
            </w:r>
          </w:p>
        </w:tc>
        <w:tc>
          <w:tcPr>
            <w:tcW w:type="dxa" w:w="2076"/>
          </w:tcPr>
          <w:p>
            <w:pPr>
              <w:pStyle w:val="null3"/>
              <w:jc w:val="left"/>
            </w:pPr>
            <w:r>
              <w:rPr/>
              <w:t>其他</w:t>
            </w:r>
          </w:p>
        </w:tc>
        <w:tc>
          <w:tcPr>
            <w:tcW w:type="dxa" w:w="2076"/>
          </w:tcPr>
          <w:p>
            <w:pPr>
              <w:pStyle w:val="null3"/>
              <w:jc w:val="left"/>
            </w:pPr>
            <w:r>
              <w:rPr/>
              <w:t>（1）质量要求：达到国家或行业质量检验评定的合格标准。 （2）计划开竣工日期：2025年05月08日至2025年07月11日（合同签订后64个日历日内完工，14个日历日内完成竣工验收）（开工日期实际以采购人或者监理人发出的开工通知为准）。 （3）合同条款：详见合同条款。 （4）现场考察和磋商前答疑会：本项目不举行现场考察和磋商前答疑会。 （5）本项目不允许分包（劳务分包除外）。</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樟木头镇禾笔山路电力线路迁改工程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1,118,196.01</w:t>
            </w:r>
          </w:p>
        </w:tc>
        <w:tc>
          <w:tcPr>
            <w:tcW w:type="dxa" w:w="933"/>
          </w:tcPr>
          <w:p>
            <w:pPr>
              <w:pStyle w:val="null3"/>
              <w:jc w:val="right"/>
            </w:pPr>
            <w:r>
              <w:rPr/>
              <w:t>1,118,196.01</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樟木头镇禾笔山路电力线路迁改工程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（一）项目总体要求</w:t>
            </w:r>
          </w:p>
          <w:p>
            <w:pPr>
              <w:pStyle w:val="null3"/>
            </w:pPr>
            <w:r>
              <w:rPr/>
              <w:t>①须符合工程施工质量验收规范合格标准；</w:t>
            </w:r>
          </w:p>
          <w:p>
            <w:pPr>
              <w:pStyle w:val="null3"/>
            </w:pPr>
            <w:r>
              <w:rPr/>
              <w:t>②工程交工验收的质量评定须为合格（或以上）；</w:t>
            </w:r>
          </w:p>
          <w:p>
            <w:pPr>
              <w:pStyle w:val="null3"/>
            </w:pPr>
            <w:r>
              <w:rPr/>
              <w:t>③工程质量验收须按合同约定验收标准执行；</w:t>
            </w:r>
          </w:p>
          <w:p>
            <w:pPr>
              <w:pStyle w:val="null3"/>
            </w:pPr>
            <w:r>
              <w:rPr/>
              <w:t>④若因成交供应商原因造成工程质量没有达到合同约定的验收标准，采购人有权要求成交供应商返工直至符合合同要求为止，由此造成的费用增加或工期延误，由成交供应商承担责任；</w:t>
            </w:r>
          </w:p>
          <w:p>
            <w:pPr>
              <w:pStyle w:val="null3"/>
            </w:pPr>
            <w:r>
              <w:rPr/>
              <w:t>⑤供应商购买的材料、设备等必须符合本项目设计和规范要求，必须向采购人提供厂家批号、出厂合格证、质量检验书等资料证明（需待采购人认可后，方可进场使用）；采购人可随时对成交供应商所购买的材料、设备进行监督、检查；</w:t>
            </w:r>
          </w:p>
          <w:p>
            <w:pPr>
              <w:pStyle w:val="null3"/>
            </w:pPr>
            <w:r>
              <w:rPr/>
              <w:t>⑥缺陷责任期出现故障，除合同另有规定除外，出现由于设计、技术或材料的缺陷而造成的任何缺陷或故障的，成交供应商必须在4小时内响应，接到采购人通知后12小时内到场维修，解决质量问题不得超过3个工作日；在保修期内无偿提供人员和技术支持，配合采购人进行技术改进。</w:t>
            </w:r>
          </w:p>
        </w:tc>
      </w:tr>
      <w:tr>
        <w:tc>
          <w:tcPr>
            <w:tcW w:type="dxa" w:w="2076"/>
          </w:tcPr>
          <w:p/>
        </w:tc>
        <w:tc>
          <w:tcPr>
            <w:tcW w:type="dxa" w:w="415"/>
          </w:tcPr>
          <w:p>
            <w:pPr>
              <w:pStyle w:val="null3"/>
            </w:pPr>
            <w:r>
              <w:rPr/>
              <w:t>2</w:t>
            </w:r>
          </w:p>
        </w:tc>
        <w:tc>
          <w:tcPr>
            <w:tcW w:type="dxa" w:w="5814"/>
          </w:tcPr>
          <w:p>
            <w:pPr>
              <w:pStyle w:val="null3"/>
            </w:pPr>
            <w:r>
              <w:rPr/>
              <w:t>（二）招标控制价及施工图纸 本项目具体工程量与施工要求以采购人发出的招标控制价及施工图纸为准，若招标控制价与图纸存在不一致的，以图纸为准。（获取磋商文件同时向供应商提供电子版图纸及招标控制价）</w:t>
            </w:r>
          </w:p>
        </w:tc>
      </w:tr>
      <w:tr>
        <w:tc>
          <w:tcPr>
            <w:tcW w:type="dxa" w:w="2076"/>
          </w:tcPr>
          <w:p/>
        </w:tc>
        <w:tc>
          <w:tcPr>
            <w:tcW w:type="dxa" w:w="415"/>
          </w:tcPr>
          <w:p>
            <w:pPr>
              <w:pStyle w:val="null3"/>
            </w:pPr>
            <w:r>
              <w:rPr/>
              <w:t>3</w:t>
            </w:r>
          </w:p>
        </w:tc>
        <w:tc>
          <w:tcPr>
            <w:tcW w:type="dxa" w:w="5814"/>
          </w:tcPr>
          <w:p>
            <w:pPr>
              <w:pStyle w:val="null3"/>
            </w:pPr>
            <w:r>
              <w:rPr/>
              <w:t>（三）人员要求</w:t>
            </w:r>
          </w:p>
          <w:p>
            <w:pPr>
              <w:pStyle w:val="null3"/>
            </w:pPr>
            <w:r>
              <w:rPr/>
              <w:t>①成交供应商全面负责项目的技术工作，对本次项目负全部的责任，包括前期调研和施工方案制定、项目的实施和成果的提交；</w:t>
            </w:r>
          </w:p>
          <w:p>
            <w:pPr>
              <w:pStyle w:val="null3"/>
            </w:pPr>
            <w:r>
              <w:rPr/>
              <w:t>②为使项目按质、按量、按时及有序实施，拟派施工管理架构人员的设置必须满足工程施工需要，配备项目负责人、技术负责人，拟委派的施工架构人员必须是本公司的正式员工；</w:t>
            </w:r>
          </w:p>
          <w:p>
            <w:pPr>
              <w:pStyle w:val="null3"/>
            </w:pPr>
            <w:r>
              <w:rPr/>
              <w:t>③项目负责人必须执行经办所有与本项目相关的事项；</w:t>
            </w:r>
          </w:p>
        </w:tc>
      </w:tr>
      <w:tr>
        <w:tc>
          <w:tcPr>
            <w:tcW w:type="dxa" w:w="2076"/>
          </w:tcPr>
          <w:p/>
        </w:tc>
        <w:tc>
          <w:tcPr>
            <w:tcW w:type="dxa" w:w="415"/>
          </w:tcPr>
          <w:p>
            <w:pPr>
              <w:pStyle w:val="null3"/>
            </w:pPr>
            <w:r>
              <w:rPr/>
              <w:t>4</w:t>
            </w:r>
          </w:p>
        </w:tc>
        <w:tc>
          <w:tcPr>
            <w:tcW w:type="dxa" w:w="5814"/>
          </w:tcPr>
          <w:p>
            <w:pPr>
              <w:pStyle w:val="null3"/>
            </w:pPr>
            <w:r>
              <w:rPr/>
              <w:t>（四）图纸目录 详见磋商公告附件</w:t>
            </w:r>
          </w:p>
        </w:tc>
      </w:tr>
      <w:tr>
        <w:tc>
          <w:tcPr>
            <w:tcW w:type="dxa" w:w="2076"/>
          </w:tcPr>
          <w:p/>
        </w:tc>
        <w:tc>
          <w:tcPr>
            <w:tcW w:type="dxa" w:w="415"/>
          </w:tcPr>
          <w:p>
            <w:pPr>
              <w:pStyle w:val="null3"/>
            </w:pPr>
            <w:r>
              <w:rPr/>
              <w:t>5</w:t>
            </w:r>
          </w:p>
        </w:tc>
        <w:tc>
          <w:tcPr>
            <w:tcW w:type="dxa" w:w="5814"/>
          </w:tcPr>
          <w:p>
            <w:pPr>
              <w:pStyle w:val="null3"/>
            </w:pPr>
            <w:r>
              <w:rPr/>
              <w:t>（五）安全、文明施工要求</w:t>
            </w:r>
          </w:p>
          <w:p>
            <w:pPr>
              <w:pStyle w:val="null3"/>
            </w:pPr>
            <w:r>
              <w:rPr/>
              <w:t>①成交人须对自身的人员安全负完全责任，采购人不对成交人的人员安全负任何责任。</w:t>
            </w:r>
          </w:p>
          <w:p>
            <w:pPr>
              <w:pStyle w:val="null3"/>
            </w:pPr>
            <w:r>
              <w:rPr/>
              <w:t>②成交人须为参与本项目的工作人员购买人身意外保险，保险期须涵盖整个项目工期。</w:t>
            </w:r>
          </w:p>
          <w:p>
            <w:pPr>
              <w:pStyle w:val="null3"/>
            </w:pPr>
            <w:r>
              <w:rPr/>
              <w:t>③若成交人发生安全事故，期间因发生安全整顿而带来的工期延误或无法按期完成的责任由成交人负责，因此而造成的损失由成交人赔偿。</w:t>
            </w:r>
          </w:p>
          <w:p>
            <w:pPr>
              <w:pStyle w:val="null3"/>
            </w:pPr>
            <w:r>
              <w:rPr/>
              <w:t>④成交人在作业期间造成人员伤亡事故（包括成交人自身人员和其它人员伤亡等），由成交人负责事故上报、经济赔偿和善后处理。事故的损失和善后处理费用均由成交人承担。</w:t>
            </w:r>
          </w:p>
          <w:p>
            <w:pPr>
              <w:pStyle w:val="null3"/>
            </w:pPr>
            <w:r>
              <w:rPr/>
              <w:t>⑤在施工期间应严格遵守国家、省、市有关施工安全以及文明施工、环卫和城管等规定，建立规章管理制度和防护措施。否则，由此造成的经济和法律责任均由成交人负责。</w:t>
            </w:r>
          </w:p>
          <w:p>
            <w:pPr>
              <w:pStyle w:val="null3"/>
            </w:pPr>
            <w:r>
              <w:rPr/>
              <w:t>⑥成交人应按安全施工的要求，采取严格科学的安全措施，做好从进场施工开始到验收结束交付工程前的安全施工预防措施，并制定相应的应急预案，确保施工安全和第三者的安全，成交人完全承担出于自身安全措施不力所造成的事故责任和发生的费用。</w:t>
            </w:r>
          </w:p>
          <w:p>
            <w:pPr>
              <w:pStyle w:val="null3"/>
            </w:pPr>
            <w:r>
              <w:rPr/>
              <w:t>⑦施工队伍必须接受现场管理单位的监督、管理和指导。</w:t>
            </w:r>
          </w:p>
          <w:p>
            <w:pPr>
              <w:pStyle w:val="null3"/>
            </w:pPr>
            <w:r>
              <w:rPr/>
              <w:t>⑧施工所用的机械工具由施工队伍自备及自费运到施工工地，进场后进行必要的性能安全检查，完工后从工地自费搬出运走，施工所用的材料及机械工具应在恰当的场所存放并由施工队伍自行保管，不得随便存放，以免造成不必要的丢失、损坏。</w:t>
            </w:r>
          </w:p>
        </w:tc>
      </w:tr>
      <w:tr>
        <w:tc>
          <w:tcPr>
            <w:tcW w:type="dxa" w:w="2076"/>
          </w:tcPr>
          <w:p/>
        </w:tc>
        <w:tc>
          <w:tcPr>
            <w:tcW w:type="dxa" w:w="415"/>
          </w:tcPr>
          <w:p>
            <w:pPr>
              <w:pStyle w:val="null3"/>
            </w:pPr>
            <w:r>
              <w:rPr/>
              <w:t>6</w:t>
            </w:r>
          </w:p>
        </w:tc>
        <w:tc>
          <w:tcPr>
            <w:tcW w:type="dxa" w:w="5814"/>
          </w:tcPr>
          <w:p>
            <w:pPr>
              <w:pStyle w:val="null3"/>
            </w:pPr>
            <w:r>
              <w:rPr/>
              <w:t>（六）验收要求</w:t>
            </w:r>
          </w:p>
          <w:p>
            <w:pPr>
              <w:pStyle w:val="null3"/>
            </w:pPr>
            <w:r>
              <w:rPr/>
              <w:t>①验收应在采购人和成交人双方共同参加下进行。</w:t>
            </w:r>
          </w:p>
          <w:p>
            <w:pPr>
              <w:pStyle w:val="null3"/>
            </w:pPr>
            <w:r>
              <w:rPr/>
              <w:t>②按照国家颁布的现行相关行业规定标准进行验收，如验收不合格的必须返工，返工费由成交人负责。</w:t>
            </w:r>
          </w:p>
          <w:p>
            <w:pPr>
              <w:pStyle w:val="null3"/>
            </w:pPr>
            <w:r>
              <w:rPr/>
              <w:t>③各项技术经济指标先进，应结合当前的施工技术水平，建设方案，具有可实施性。</w:t>
            </w:r>
          </w:p>
          <w:p>
            <w:pPr>
              <w:pStyle w:val="null3"/>
            </w:pPr>
            <w:r>
              <w:rPr/>
              <w:t>④按工程规划要点和工程建设的要求，在满足主要功能的前提下，应优先采用科学、先进的设计理念和方法。</w:t>
            </w:r>
          </w:p>
          <w:p>
            <w:pPr>
              <w:pStyle w:val="null3"/>
            </w:pPr>
            <w:r>
              <w:rPr/>
              <w:t>⑤当施工效果无法达到采购人的要求时，采购人可拒绝验收，由此造成的损失全部由成交人承担。</w:t>
            </w:r>
          </w:p>
          <w:p>
            <w:pPr>
              <w:pStyle w:val="null3"/>
            </w:pPr>
            <w:r>
              <w:rPr/>
              <w:t>⑥所有验收文件，测试报告，资料要提交给采购人以作留档备案。</w:t>
            </w:r>
          </w:p>
          <w:p>
            <w:pPr>
              <w:pStyle w:val="null3"/>
            </w:pPr>
            <w:r>
              <w:rPr/>
              <w:t>⑦成交人若违反相关规定，发生重大安全事故的，采购人有权单方终止合同。</w:t>
            </w:r>
          </w:p>
        </w:tc>
      </w:tr>
      <w:tr>
        <w:tc>
          <w:tcPr>
            <w:tcW w:type="dxa" w:w="2076"/>
          </w:tcPr>
          <w:p/>
        </w:tc>
        <w:tc>
          <w:tcPr>
            <w:tcW w:type="dxa" w:w="415"/>
          </w:tcPr>
          <w:p>
            <w:pPr>
              <w:pStyle w:val="null3"/>
            </w:pPr>
            <w:r>
              <w:rPr/>
              <w:t>7</w:t>
            </w:r>
          </w:p>
        </w:tc>
        <w:tc>
          <w:tcPr>
            <w:tcW w:type="dxa" w:w="5814"/>
          </w:tcPr>
          <w:p>
            <w:pPr>
              <w:pStyle w:val="null3"/>
            </w:pPr>
            <w:r>
              <w:rPr/>
              <w:t>（七）其他要求</w:t>
            </w:r>
          </w:p>
          <w:p>
            <w:pPr>
              <w:pStyle w:val="null3"/>
            </w:pPr>
            <w:r>
              <w:rPr/>
              <w:t>①成交人须对项目实施提供必要的技术支持和服务保证。</w:t>
            </w:r>
          </w:p>
          <w:p>
            <w:pPr>
              <w:pStyle w:val="null3"/>
            </w:pPr>
            <w:r>
              <w:rPr/>
              <w:t>②最终成果要求：成交人提交的项目成果质量必须符合项目要求且通过采购人的验收。</w:t>
            </w:r>
          </w:p>
          <w:p>
            <w:pPr>
              <w:pStyle w:val="null3"/>
            </w:pPr>
            <w:r>
              <w:rPr/>
              <w:t>③项目缺陷责任期自工程全部竣工验收合格交付采购人使用之日起算，在项目缺陷责任期内成交人须承担因施工质量问题而造成的返修，其费用由成交人负责。在项目实施及项目缺陷责任期内，成交人须在接到采购人通知后1小时内响应并到达现场，6小时内进场维修，并在24小时内修复，若因成交人原因给采购人或第三方造成损失，成交人须承担赔偿责任，成交人须在采购人要求的期限内完成采购人通知要求更换或维修的任务，并达到合格标准，若成交人未满足对采购人的维修承诺，或不在规定的期限内派人更换、维修，采购人不再另行通知，有权委托其他施工队伍更换、维修，发生的费用及成交人为此应承担的违约责任按合同违约责任条款执行，采购人因成交人违约而委托他人对工程进行维修，不解除成交人对本工程的保修责任，返修费用由成交人承担。</w:t>
            </w:r>
          </w:p>
          <w:p>
            <w:pPr>
              <w:pStyle w:val="null3"/>
            </w:pPr>
            <w:r>
              <w:rPr/>
              <w:t>④工程质量不合格、不符合设计标准、达不到设计要求，或施工程序不按施工规范的，采购人有权要求成交人停工和返工，因停工和返工造成的一切损失由成交人自行承担，工期不予顺延。</w:t>
            </w:r>
          </w:p>
          <w:p>
            <w:pPr>
              <w:pStyle w:val="null3"/>
            </w:pPr>
            <w:r>
              <w:rPr/>
              <w:t>⑤发生须紧急抢修事故的，成交人在接到事故通知后，应当立即到达事故现场抢修。</w:t>
            </w:r>
          </w:p>
          <w:p>
            <w:pPr>
              <w:pStyle w:val="null3"/>
            </w:pPr>
            <w:r>
              <w:rPr/>
              <w:t>⑥因成交人原因致使工程在国家规定的工程合理使用期限内造成人身和财产损害的，成交人应承担赔偿责任。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1.采购代理机构：本项目是指中金招标有限责任公司，负责整个采购活动的组织，依法负责编制和发布磋商文件，对磋商文件拥有最终的解释权，不以任何身份出任磋商小组成员。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东莞市樟木头镇工程建设中心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采购机构代理服务收费标准：采购机构代理服务收费标准：参照国家发展和改革委员会文件“发改价格[2011]534号]”及“国家计委[计价格[2002]1980号]文”相关规定计算。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落实的政府采购政策，《政府采购促进中小企业发展管理办法》的通知（财库〔2020〕46号）、《关于政府采购支持监狱企业发展有关问题的通知》(财库〔2014〕68号)、《关于促进残疾人就业政府采购政策的通知》（财库〔2017〕141号)、《财政部 发展改革委 生态环境部 市场监管总局关于调整优化节能产品、环境标志产品政府采购执行机制的通知》（财库〔2019〕9号）、《关于印发〈商品包装政府采购需求标准（试行）〉、〈快递包装政府采购需求标准（试行）〉的通知》等。</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中金招标有限责任公司</w:t>
      </w:r>
      <w:r>
        <w:rPr/>
        <w:t>代收。具体操作要求详见</w:t>
      </w:r>
      <w:r>
        <w:rPr/>
        <w:t>中金招标有限责任公司</w:t>
      </w:r>
      <w:r>
        <w:rPr/>
        <w:t>有关指引，递交事宜请自行咨询</w:t>
      </w:r>
      <w:r>
        <w:rPr/>
        <w:t>中金招标有限责任公司</w:t>
      </w:r>
      <w:r>
        <w:rPr/>
        <w:t>；请各供应商在响应文件递交截止时间前按须知前附表规定的金额递交至</w:t>
      </w:r>
      <w:r>
        <w:rPr/>
        <w:t>中金招标有限责任公司</w:t>
      </w:r>
      <w:r>
        <w:rPr/>
        <w:t>，到账情况以开启时</w:t>
      </w:r>
      <w:r>
        <w:rPr/>
        <w:t>中金招标有限责任公司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杨先生</w:t>
      </w:r>
    </w:p>
    <w:p>
      <w:pPr>
        <w:pStyle w:val="null3"/>
        <w:ind w:firstLine="480"/>
      </w:pPr>
      <w:r>
        <w:rPr/>
        <w:t>电话：</w:t>
      </w:r>
      <w:r>
        <w:rPr/>
        <w:t>0769-22888279</w:t>
      </w:r>
    </w:p>
    <w:p>
      <w:pPr>
        <w:pStyle w:val="null3"/>
        <w:ind w:firstLine="480"/>
      </w:pPr>
      <w:r>
        <w:rPr/>
        <w:t>传真：</w:t>
      </w:r>
      <w:r>
        <w:rPr/>
        <w:t>/</w:t>
      </w:r>
    </w:p>
    <w:p>
      <w:pPr>
        <w:pStyle w:val="null3"/>
        <w:ind w:firstLine="480"/>
      </w:pPr>
      <w:r>
        <w:rPr/>
        <w:t>邮箱：</w:t>
      </w:r>
      <w:r>
        <w:rPr/>
        <w:t>ZJZB0769@163.com</w:t>
      </w:r>
    </w:p>
    <w:p>
      <w:pPr>
        <w:pStyle w:val="null3"/>
        <w:ind w:firstLine="480"/>
      </w:pPr>
      <w:r>
        <w:rPr/>
        <w:t>地址：</w:t>
      </w:r>
      <w:r>
        <w:rPr/>
        <w:t>东莞市南城街道鸿福路108号中盛商务大厦1403室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樟木头镇禾笔山路电力线路迁改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中金招标有限责任公司</w:t>
      </w:r>
      <w:r>
        <w:rPr/>
        <w:t>统一对外发布。</w:t>
      </w:r>
    </w:p>
    <w:p>
      <w:pPr>
        <w:pStyle w:val="null3"/>
        <w:ind w:firstLine="480"/>
      </w:pPr>
      <w:r>
        <w:rPr/>
        <w:t>（2）对</w:t>
      </w:r>
      <w:r>
        <w:rPr/>
        <w:t>中金招标有限责任公司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采购包1（樟木头镇禾笔山路电力线路迁改工程）：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采购包1（樟木头镇禾笔山路电力线路迁改工程）：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提供投标截止日前6个月内任意1个月依法缴纳税收和社会保障资金的相关材料。如依法免税或不需要缴纳社会保障资金的，或在投标文件中提供《资格条件承诺函》。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供应商必须具有良好的商业信誉和健全的财务会计制度（提供2023年度财务状况报告或基本开户行出具的资信证明）,或在投标文件中提供《资格条件承诺函》。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按投标（响应）文件格式填报设备及专业技术能力情况且提供相应证明材料,或在投标文件中提供《资格条件承诺函》。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 为本项目提供整体设计、 规范编制或者项目管理、 监理、检测等服务的供应商，不得再参与本项目投标（响应）。 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备建设行政主管部门颁发的在有效期内的电力工程施工总承包三级（或以上）资质，或输变电工程专业承包三级（或以上）资质；同时具备《承装（修、试）电力设施许可证》承装、修、试类五级及以上许可（必须在有效期内）。</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供应商须具有建设行政主管部门颁发且在有效期内的安全生产许可证。</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中小企业须符合本项目采购标的对应行业的政策划分标准，本项目所属行业为建筑业。【注：1、供应商须提供《中小企业声明函》；2、监狱企业、残疾人福利单位视同小型、微型企业。残疾人福利性单位以磋商响应人填写的《残疾人福利性单位声明函》为判定标准；监狱企业须提供由省级以上监狱管理局、戒毒管理局（含新疆生产建设兵团）出具的属于监狱企业的证明文件，不再提供《中小企业声明函》】。</w:t>
            </w:r>
          </w:p>
        </w:tc>
      </w:tr>
    </w:tbl>
    <w:p>
      <w:pPr>
        <w:pStyle w:val="null3"/>
        <w:ind w:firstLine="480"/>
      </w:pPr>
      <w:r>
        <w:rPr/>
        <w:t>表二符合性审查表：</w:t>
      </w:r>
    </w:p>
    <w:p>
      <w:pPr>
        <w:pStyle w:val="null3"/>
      </w:pPr>
      <w:r>
        <w:rPr/>
        <w:t>采购包1（樟木头镇禾笔山路电力线路迁改工程）：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报价要求</w:t>
            </w:r>
          </w:p>
        </w:tc>
        <w:tc>
          <w:tcPr>
            <w:tcW w:type="dxa" w:w="4238"/>
          </w:tcPr>
          <w:p>
            <w:pPr>
              <w:pStyle w:val="null3"/>
            </w:pPr>
            <w:r>
              <w:rPr/>
              <w:t>最终报价及方案是唯一、固定的，未超出用户需求书中规定的预算总价或最高限价的。</w:t>
            </w:r>
          </w:p>
        </w:tc>
      </w:tr>
      <w:tr>
        <w:tc>
          <w:tcPr>
            <w:tcW w:type="dxa" w:w="890"/>
          </w:tcPr>
          <w:p>
            <w:pPr>
              <w:pStyle w:val="null3"/>
            </w:pPr>
            <w:r>
              <w:rPr/>
              <w:t>2</w:t>
            </w:r>
          </w:p>
        </w:tc>
        <w:tc>
          <w:tcPr>
            <w:tcW w:type="dxa" w:w="3178"/>
          </w:tcPr>
          <w:p>
            <w:pPr>
              <w:pStyle w:val="null3"/>
            </w:pPr>
            <w:r>
              <w:rPr/>
              <w:t>磋商有效期</w:t>
            </w:r>
          </w:p>
        </w:tc>
        <w:tc>
          <w:tcPr>
            <w:tcW w:type="dxa" w:w="4238"/>
          </w:tcPr>
          <w:p>
            <w:pPr>
              <w:pStyle w:val="null3"/>
            </w:pPr>
            <w:r>
              <w:rPr/>
              <w:t>磋商有效期满足采购文件要求。</w:t>
            </w:r>
          </w:p>
        </w:tc>
      </w:tr>
      <w:tr>
        <w:tc>
          <w:tcPr>
            <w:tcW w:type="dxa" w:w="890"/>
          </w:tcPr>
          <w:p>
            <w:pPr>
              <w:pStyle w:val="null3"/>
            </w:pPr>
            <w:r>
              <w:rPr/>
              <w:t>3</w:t>
            </w:r>
          </w:p>
        </w:tc>
        <w:tc>
          <w:tcPr>
            <w:tcW w:type="dxa" w:w="3178"/>
          </w:tcPr>
          <w:p>
            <w:pPr>
              <w:pStyle w:val="null3"/>
            </w:pPr>
            <w:r>
              <w:rPr/>
              <w:t>盖章及签署要求</w:t>
            </w:r>
          </w:p>
        </w:tc>
        <w:tc>
          <w:tcPr>
            <w:tcW w:type="dxa" w:w="4238"/>
          </w:tcPr>
          <w:p>
            <w:pPr>
              <w:pStyle w:val="null3"/>
            </w:pPr>
            <w:r>
              <w:rPr/>
              <w:t>响应文件的签名和盖章符合磋商文件的要求。</w:t>
            </w:r>
          </w:p>
        </w:tc>
      </w:tr>
      <w:tr>
        <w:tc>
          <w:tcPr>
            <w:tcW w:type="dxa" w:w="890"/>
          </w:tcPr>
          <w:p>
            <w:pPr>
              <w:pStyle w:val="null3"/>
            </w:pPr>
            <w:r>
              <w:rPr/>
              <w:t>4</w:t>
            </w:r>
          </w:p>
        </w:tc>
        <w:tc>
          <w:tcPr>
            <w:tcW w:type="dxa" w:w="3178"/>
          </w:tcPr>
          <w:p>
            <w:pPr>
              <w:pStyle w:val="null3"/>
            </w:pPr>
            <w:r>
              <w:rPr/>
              <w:t>商务要求</w:t>
            </w:r>
          </w:p>
        </w:tc>
        <w:tc>
          <w:tcPr>
            <w:tcW w:type="dxa" w:w="4238"/>
          </w:tcPr>
          <w:p>
            <w:pPr>
              <w:pStyle w:val="null3"/>
            </w:pPr>
            <w:r>
              <w:rPr/>
              <w:t>响应文件商务要求未出现以下情况：①竞争性磋商文件商务要求带“★”的条款有负偏离的；②《商务条件响应表》未按竞争性磋商文件要求填写；③其它未实质性响应竞争性磋商文件商务要求的。</w:t>
            </w:r>
          </w:p>
        </w:tc>
      </w:tr>
      <w:tr>
        <w:tc>
          <w:tcPr>
            <w:tcW w:type="dxa" w:w="890"/>
          </w:tcPr>
          <w:p>
            <w:pPr>
              <w:pStyle w:val="null3"/>
            </w:pPr>
            <w:r>
              <w:rPr/>
              <w:t>5</w:t>
            </w:r>
          </w:p>
        </w:tc>
        <w:tc>
          <w:tcPr>
            <w:tcW w:type="dxa" w:w="3178"/>
          </w:tcPr>
          <w:p>
            <w:pPr>
              <w:pStyle w:val="null3"/>
            </w:pPr>
            <w:r>
              <w:rPr/>
              <w:t>技术要求</w:t>
            </w:r>
          </w:p>
        </w:tc>
        <w:tc>
          <w:tcPr>
            <w:tcW w:type="dxa" w:w="4238"/>
          </w:tcPr>
          <w:p>
            <w:pPr>
              <w:pStyle w:val="null3"/>
            </w:pPr>
            <w:r>
              <w:rPr/>
              <w:t>响应文件技术要求未出现以下情况：①竞争性磋商文件技术要求带“★”的条款有负偏离的；②《技术和服务要求响应表》未按竞争性磋商文件要求填写；③其它未实质性响应竞争性磋商文件技术要求的。</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未出现法律、法规或磋商文件中规定投标无效的其它情形。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采购包1(樟木头镇禾笔山路电力线路迁改工程):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(12.0分)</w:t>
            </w:r>
          </w:p>
        </w:tc>
        <w:tc>
          <w:tcPr>
            <w:tcW w:type="dxa" w:w="5076"/>
          </w:tcPr>
          <w:p>
            <w:pPr>
              <w:pStyle w:val="null3"/>
              <w:jc w:val="left"/>
            </w:pPr>
            <w:r>
              <w:rPr/>
              <w:t>根据供应商对本项目的实施方案（包括但不限于：项目施工现场的熟悉程度、施工组织、施工部署，对项目重点、难点的分析及其解决措施等）进行评审：①项目实施方案非常合理、规范，施工组织、施工部署有针对性，非常有利于项目实施，对项目重点、难点的分析及其解决措施非常明确、详尽的，得12分；②项目实施方案比较合理、规范，能提供具有针对性的施工组织、施工部署，比较有利于项目实施，对项目重点、难点的分析及其解决措施比较明确、详尽的，得8分；③项目实施方案基本合理、规范，相对有利于项目实施，对项目重点、难点的分析及其解决措施基本明确、详尽的，得4分；④项目实施方案简单，对项目重点、难点的分析及其解决措施不太明确的，得1分； ⑤未提供对应方案的不得分。</w:t>
            </w:r>
          </w:p>
        </w:tc>
      </w:tr>
      <w:tr>
        <w:tc>
          <w:tcPr>
            <w:tcW w:type="dxa" w:w="922"/>
            <w:gridSpan w:val="2"/>
            <w:vMerge/>
          </w:tcPr>
          <w:p/>
        </w:tc>
        <w:tc>
          <w:tcPr>
            <w:tcW w:type="dxa" w:w="2307"/>
          </w:tcPr>
          <w:p>
            <w:pPr>
              <w:pStyle w:val="null3"/>
              <w:jc w:val="left"/>
            </w:pPr>
            <w:r>
              <w:rPr/>
              <w:t>施工进度计划及工期保证措施 (11.0分)</w:t>
            </w:r>
          </w:p>
        </w:tc>
        <w:tc>
          <w:tcPr>
            <w:tcW w:type="dxa" w:w="5076"/>
          </w:tcPr>
          <w:p>
            <w:pPr>
              <w:pStyle w:val="null3"/>
              <w:jc w:val="left"/>
            </w:pPr>
            <w:r>
              <w:rPr/>
              <w:t>根据供应商对本项目所实施进度计划及工期保证措施进行评审：①施工进度计划及工期保证措施完善，施工进度安排非常合理、施工工序非常明确，充分足总工期，能全面高效地完成本项目，得11分；②施工进度计划及工期保证措施较完善，施工进度安排较合理，施工工序较明确，能满足总工期，得8分；③施工进度计划及工期保证措施一般，施工进度安排及施工工序一般，基本能满足总工期，得4分；④施工进度计划及工期保证措施完善，施工进度安排不合理、施工工序不明确，得1分；⑤未提供对应方案的不得分。</w:t>
            </w:r>
          </w:p>
        </w:tc>
      </w:tr>
      <w:tr>
        <w:tc>
          <w:tcPr>
            <w:tcW w:type="dxa" w:w="922"/>
            <w:gridSpan w:val="2"/>
            <w:vMerge/>
          </w:tcPr>
          <w:p/>
        </w:tc>
        <w:tc>
          <w:tcPr>
            <w:tcW w:type="dxa" w:w="2307"/>
          </w:tcPr>
          <w:p>
            <w:pPr>
              <w:pStyle w:val="null3"/>
              <w:jc w:val="left"/>
            </w:pPr>
            <w:r>
              <w:rPr/>
              <w:t>质量保证措施 (11.0分)</w:t>
            </w:r>
          </w:p>
        </w:tc>
        <w:tc>
          <w:tcPr>
            <w:tcW w:type="dxa" w:w="5076"/>
          </w:tcPr>
          <w:p>
            <w:pPr>
              <w:pStyle w:val="null3"/>
              <w:jc w:val="left"/>
            </w:pPr>
            <w:r>
              <w:rPr/>
              <w:t>根据供应商对本项目实际提出质量保证措施进行评审：①质量保证措施非常完整齐全，科学合理，可行性高的，得11分；②质量保证措施比较完整，较科学合理，可行性较高的，得8分；③质量保证措施基本完整，具备可行性的，得4分；④质量保证措施缺乏合理性的，得1分；⑤未提供对应方案不得分。</w:t>
            </w:r>
          </w:p>
        </w:tc>
      </w:tr>
      <w:tr>
        <w:tc>
          <w:tcPr>
            <w:tcW w:type="dxa" w:w="922"/>
            <w:gridSpan w:val="2"/>
            <w:vMerge/>
          </w:tcPr>
          <w:p/>
        </w:tc>
        <w:tc>
          <w:tcPr>
            <w:tcW w:type="dxa" w:w="2307"/>
          </w:tcPr>
          <w:p>
            <w:pPr>
              <w:pStyle w:val="null3"/>
              <w:jc w:val="left"/>
            </w:pPr>
            <w:r>
              <w:rPr/>
              <w:t>安全、文明实施方案 (11.0分)</w:t>
            </w:r>
          </w:p>
        </w:tc>
        <w:tc>
          <w:tcPr>
            <w:tcW w:type="dxa" w:w="5076"/>
          </w:tcPr>
          <w:p>
            <w:pPr>
              <w:pStyle w:val="null3"/>
              <w:jc w:val="left"/>
            </w:pPr>
            <w:r>
              <w:rPr/>
              <w:t>根据供应商对本项目实施所采取的安全、文明管理方案及安全保证措施进行评审：①安全、文明管理方案非常详细明确，安全保证措施非常具体可行、详细准确，得11分；②安全、文明管理方案比较明确，安全保证措施比较可行、准确，得8分；③安全、文明管理方案相对明确，安全保证措施基本可行，得4分；④安全、文明管理方案不清晰，安全保证措施欠缺可行性，得1分；⑤未提供对应方案不得分。</w:t>
            </w:r>
          </w:p>
        </w:tc>
      </w:tr>
      <w:tr>
        <w:tc>
          <w:tcPr>
            <w:tcW w:type="dxa" w:w="922"/>
            <w:gridSpan w:val="2"/>
            <w:vMerge/>
          </w:tcPr>
          <w:p/>
        </w:tc>
        <w:tc>
          <w:tcPr>
            <w:tcW w:type="dxa" w:w="2307"/>
          </w:tcPr>
          <w:p>
            <w:pPr>
              <w:pStyle w:val="null3"/>
              <w:jc w:val="left"/>
            </w:pPr>
            <w:r>
              <w:rPr/>
              <w:t>应急处置方案 (10.0分)</w:t>
            </w:r>
          </w:p>
        </w:tc>
        <w:tc>
          <w:tcPr>
            <w:tcW w:type="dxa" w:w="5076"/>
          </w:tcPr>
          <w:p>
            <w:pPr>
              <w:pStyle w:val="null3"/>
              <w:jc w:val="left"/>
            </w:pPr>
            <w:r>
              <w:rPr/>
              <w:t>根据供应商针对台风、暴雨等天气影响，设备故障，重大接待任务，重大节假日或活动等特殊情况，防破坏、防事故、防爆破等制定应急处置方案，包括传达机制、人员调配、责任分工等进行评审：①应急救援方案及保障措施详细具体，可行性高的，得10分；②应急救援方案及保障措施较详细具体，可行性较高的，得7分；③应急救援方案及保障措施一般，可行性一般，得3分；④应急救援方案及保障措施简单粗略，可行性差的，得1分；⑤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体系认证情况 (3.0分)</w:t>
            </w:r>
          </w:p>
        </w:tc>
        <w:tc>
          <w:tcPr>
            <w:tcW w:type="dxa" w:w="5076"/>
          </w:tcPr>
          <w:p>
            <w:pPr>
              <w:pStyle w:val="null3"/>
              <w:jc w:val="left"/>
            </w:pPr>
            <w:r>
              <w:rPr/>
              <w:t>供应商具有由国家认证认可监督管理部门批准设立的认证机构颁发并在有效期内的质量管理体系认证证书、环境管理体系认证证书、职业健康安全管理体系认证证书的，每个认证证书得1分，满分3分。注：须提供有效证书复印件并加盖供应商公章。</w:t>
            </w:r>
          </w:p>
        </w:tc>
      </w:tr>
      <w:tr>
        <w:tc>
          <w:tcPr>
            <w:tcW w:type="dxa" w:w="922"/>
            <w:gridSpan w:val="2"/>
            <w:vMerge/>
          </w:tcPr>
          <w:p/>
        </w:tc>
        <w:tc>
          <w:tcPr>
            <w:tcW w:type="dxa" w:w="2307"/>
          </w:tcPr>
          <w:p>
            <w:pPr>
              <w:pStyle w:val="null3"/>
              <w:jc w:val="left"/>
            </w:pPr>
            <w:r>
              <w:rPr/>
              <w:t>业绩 (15.0分)</w:t>
            </w:r>
          </w:p>
        </w:tc>
        <w:tc>
          <w:tcPr>
            <w:tcW w:type="dxa" w:w="5076"/>
          </w:tcPr>
          <w:p>
            <w:pPr>
              <w:pStyle w:val="null3"/>
              <w:jc w:val="left"/>
            </w:pPr>
            <w:r>
              <w:rPr/>
              <w:t>供应商具有电力工程类项目同类业绩，每个业绩合同得3分，满分15分。注：同类业绩指的是电力迁改类业绩，须提供合同复印件并加盖供应商公章。</w:t>
            </w:r>
          </w:p>
        </w:tc>
      </w:tr>
      <w:tr>
        <w:tc>
          <w:tcPr>
            <w:tcW w:type="dxa" w:w="922"/>
            <w:gridSpan w:val="2"/>
            <w:vMerge/>
          </w:tcPr>
          <w:p/>
        </w:tc>
        <w:tc>
          <w:tcPr>
            <w:tcW w:type="dxa" w:w="2307"/>
          </w:tcPr>
          <w:p>
            <w:pPr>
              <w:pStyle w:val="null3"/>
              <w:jc w:val="left"/>
            </w:pPr>
            <w:r>
              <w:rPr/>
              <w:t>拟投入人员情况 (5.0分)</w:t>
            </w:r>
          </w:p>
        </w:tc>
        <w:tc>
          <w:tcPr>
            <w:tcW w:type="dxa" w:w="5076"/>
          </w:tcPr>
          <w:p>
            <w:pPr>
              <w:pStyle w:val="null3"/>
              <w:jc w:val="left"/>
            </w:pPr>
            <w:r>
              <w:rPr/>
              <w:t>根据供应商拟投入人员进行评审： ①项目负责人：投入项目负责人具有机电工程专业二级或以上注册建造师证书及住建部门颁发的安全生产考核合格证（建安B证），得3分。本项最高得3分。 ②技术负责人：投入人员技术负责人具有中级或以上电力专业职称的，得2分。本项最高得2分。注：以上人员不重复计分，须提供有效证书复印件及社会保障部门出具的开标前6个月（不含开标当月）任意一个月在供应商缴纳社会保险的有效凭证的复印件并加盖供应商公章。）</w:t>
            </w:r>
          </w:p>
        </w:tc>
      </w:tr>
      <w:tr>
        <w:tc>
          <w:tcPr>
            <w:tcW w:type="dxa" w:w="922"/>
            <w:gridSpan w:val="2"/>
            <w:vMerge/>
          </w:tcPr>
          <w:p/>
        </w:tc>
        <w:tc>
          <w:tcPr>
            <w:tcW w:type="dxa" w:w="2307"/>
          </w:tcPr>
          <w:p>
            <w:pPr>
              <w:pStyle w:val="null3"/>
              <w:jc w:val="left"/>
            </w:pPr>
            <w:r>
              <w:rPr/>
              <w:t>服务响应时间 (2.0分)</w:t>
            </w:r>
          </w:p>
        </w:tc>
        <w:tc>
          <w:tcPr>
            <w:tcW w:type="dxa" w:w="5076"/>
          </w:tcPr>
          <w:p>
            <w:pPr>
              <w:pStyle w:val="null3"/>
              <w:jc w:val="left"/>
            </w:pPr>
            <w:r>
              <w:rPr/>
              <w:t>根据供应商对项目执行期内应急响应时间进行评审：①供应商承诺在接到采购人通知后1小时（含）内到现场，得2分；②供应商承诺在接到采购人通知后1小时以上到现场，得1分。注：供应商需提供服务承诺书，并加盖供应商公章，未提供服务承诺书，本项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color w:val="000000"/>
        </w:rPr>
        <w:t>合同部分另册（详见竞争性磋商公告附件）</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441900020-2025-00216</w:t>
      </w:r>
    </w:p>
    <w:p>
      <w:pPr>
        <w:pStyle w:val="null3"/>
        <w:jc w:val="center"/>
        <w:outlineLvl w:val="3"/>
      </w:pPr>
      <w:r>
        <w:rPr>
          <w:sz w:val="24"/>
          <w:b/>
        </w:rPr>
        <w:t>采购项目编号：</w:t>
      </w:r>
      <w:r>
        <w:rPr>
          <w:sz w:val="24"/>
          <w:b/>
        </w:rPr>
        <w:t>441900020-2025-00216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中金招标有限责任公司</w:t>
      </w:r>
    </w:p>
    <w:p>
      <w:pPr>
        <w:pStyle w:val="null3"/>
        <w:ind w:firstLine="480"/>
      </w:pPr>
      <w:r>
        <w:rPr/>
        <w:t xml:space="preserve"> 你方组织的</w:t>
      </w:r>
      <w:r>
        <w:rPr>
          <w:u w:val="single"/>
        </w:rPr>
        <w:t>“</w:t>
      </w:r>
      <w:r>
        <w:rPr>
          <w:u w:val="single"/>
        </w:rPr>
        <w:t>樟木头镇禾笔山路电力线路迁改工程</w:t>
      </w:r>
      <w:r>
        <w:rPr>
          <w:u w:val="single"/>
        </w:rPr>
        <w:t>”</w:t>
      </w:r>
      <w:r>
        <w:rPr/>
        <w:t>项目的竞争性磋商[采购项目编号为：</w:t>
      </w:r>
      <w:r>
        <w:rPr>
          <w:u w:val="single"/>
        </w:rPr>
        <w:t>441900020-2025-00216</w:t>
      </w:r>
      <w:r>
        <w:rPr/>
        <w:t>]，我方愿参与响应。</w:t>
      </w:r>
    </w:p>
    <w:p>
      <w:pPr>
        <w:pStyle w:val="null3"/>
        <w:ind w:firstLine="480"/>
      </w:pPr>
      <w:r>
        <w:rPr/>
        <w:t>我方确认收到贵方提供的</w:t>
      </w:r>
      <w:r>
        <w:rPr>
          <w:u w:val="single"/>
        </w:rPr>
        <w:t>“</w:t>
      </w:r>
      <w:r>
        <w:rPr>
          <w:u w:val="single"/>
        </w:rPr>
        <w:t>樟木头镇禾笔山路电力线路迁改工程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中金招标有限责任公司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樟木头镇禾笔山路电力线路迁改工程</w:t>
      </w:r>
      <w:r>
        <w:rPr/>
        <w:t>”项目采购[采购项目编号为</w:t>
      </w:r>
      <w:r>
        <w:rPr/>
        <w:t>441900020-2025-00216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东莞市樟木头镇工程建设中心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中金招标有限责任公司</w:t>
      </w:r>
    </w:p>
    <w:p>
      <w:pPr>
        <w:pStyle w:val="null3"/>
        <w:ind w:firstLine="480"/>
      </w:pPr>
      <w:r>
        <w:rPr/>
        <w:t>我单位参加贵公司组织的</w:t>
      </w:r>
      <w:r>
        <w:rPr/>
        <w:t>樟木头镇禾笔山路电力线路迁改工程</w:t>
      </w:r>
      <w:r>
        <w:rPr/>
        <w:t>（采购项目编号：</w:t>
      </w:r>
      <w:r>
        <w:rPr/>
        <w:t>441900020-2025-00216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中金招标有限责任公司</w:t>
      </w:r>
    </w:p>
    <w:p>
      <w:pPr>
        <w:pStyle w:val="null3"/>
        <w:ind w:firstLine="480"/>
      </w:pPr>
      <w:r>
        <w:rPr/>
        <w:t>我单位已登记并准备参与“</w:t>
      </w:r>
      <w:r>
        <w:rPr/>
        <w:t>樟木头镇禾笔山路电力线路迁改工程</w:t>
      </w:r>
      <w:r>
        <w:rPr/>
        <w:t>”项目（采购项目编号：</w:t>
      </w:r>
      <w:r>
        <w:rPr/>
        <w:t>441900020-2025-00216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