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ind w:left="0" w:leftChars="0" w:right="0"/>
        <w:jc w:val="center"/>
        <w:textAlignment w:val="auto"/>
        <w:outlineLvl w:val="9"/>
        <w:rPr>
          <w:rFonts w:hint="default" w:ascii="Times New Roman" w:hAnsi="Times New Roman" w:eastAsia="方正小标宋简体" w:cs="Times New Roman"/>
          <w:b/>
          <w:bCs/>
          <w:color w:val="333333"/>
          <w:kern w:val="0"/>
          <w:sz w:val="44"/>
          <w:szCs w:val="44"/>
        </w:rPr>
      </w:pPr>
    </w:p>
    <w:p>
      <w:pPr>
        <w:widowControl/>
        <w:shd w:val="clear" w:color="auto" w:fill="FFFFFF"/>
        <w:spacing w:line="580" w:lineRule="exact"/>
        <w:ind w:left="0" w:leftChars="0" w:right="0"/>
        <w:jc w:val="center"/>
        <w:textAlignment w:val="auto"/>
        <w:outlineLvl w:val="9"/>
        <w:rPr>
          <w:rFonts w:hint="default" w:ascii="Times New Roman" w:hAnsi="Times New Roman" w:eastAsia="方正小标宋简体" w:cs="Times New Roman"/>
          <w:b/>
          <w:bCs/>
          <w:color w:val="333333"/>
          <w:kern w:val="0"/>
          <w:sz w:val="44"/>
          <w:szCs w:val="44"/>
        </w:rPr>
      </w:pPr>
    </w:p>
    <w:p>
      <w:pPr>
        <w:widowControl/>
        <w:shd w:val="clear" w:color="auto" w:fill="FFFFFF"/>
        <w:spacing w:line="580" w:lineRule="exact"/>
        <w:ind w:left="0" w:leftChars="0" w:right="0"/>
        <w:jc w:val="center"/>
        <w:textAlignment w:val="auto"/>
        <w:outlineLvl w:val="9"/>
        <w:rPr>
          <w:rFonts w:hint="default" w:ascii="Times New Roman" w:hAnsi="Times New Roman" w:eastAsia="方正小标宋简体" w:cs="Times New Roman"/>
          <w:b/>
          <w:bCs/>
          <w:color w:val="333333"/>
          <w:kern w:val="0"/>
          <w:sz w:val="44"/>
          <w:szCs w:val="44"/>
        </w:rPr>
      </w:pPr>
    </w:p>
    <w:p>
      <w:pPr>
        <w:widowControl/>
        <w:shd w:val="clear" w:color="auto" w:fill="FFFFFF"/>
        <w:spacing w:line="580" w:lineRule="exact"/>
        <w:ind w:left="0" w:leftChars="0" w:right="0"/>
        <w:jc w:val="center"/>
        <w:textAlignment w:val="auto"/>
        <w:outlineLvl w:val="9"/>
        <w:rPr>
          <w:rFonts w:hint="default" w:ascii="Times New Roman" w:hAnsi="Times New Roman" w:eastAsia="方正小标宋简体" w:cs="Times New Roman"/>
          <w:b/>
          <w:bCs/>
          <w:color w:val="333333"/>
          <w:kern w:val="0"/>
          <w:sz w:val="44"/>
          <w:szCs w:val="44"/>
        </w:rPr>
      </w:pPr>
      <w:r>
        <w:rPr>
          <w:rFonts w:hint="default" w:ascii="Times New Roman" w:hAnsi="Times New Roman" w:eastAsia="方正小标宋简体" w:cs="Times New Roman"/>
          <w:b/>
          <w:bCs/>
          <w:color w:val="333333"/>
          <w:kern w:val="0"/>
          <w:sz w:val="44"/>
          <w:szCs w:val="44"/>
        </w:rPr>
        <w:t>202</w:t>
      </w:r>
      <w:r>
        <w:rPr>
          <w:rFonts w:hint="default" w:ascii="Times New Roman" w:hAnsi="Times New Roman" w:eastAsia="方正小标宋简体" w:cs="Times New Roman"/>
          <w:b/>
          <w:bCs/>
          <w:color w:val="333333"/>
          <w:kern w:val="0"/>
          <w:sz w:val="44"/>
          <w:szCs w:val="44"/>
          <w:lang w:val="en-US" w:eastAsia="zh-CN"/>
        </w:rPr>
        <w:t>2</w:t>
      </w:r>
      <w:r>
        <w:rPr>
          <w:rFonts w:hint="default" w:ascii="Times New Roman" w:hAnsi="Times New Roman" w:eastAsia="方正小标宋简体" w:cs="Times New Roman"/>
          <w:b/>
          <w:bCs/>
          <w:color w:val="333333"/>
          <w:kern w:val="0"/>
          <w:sz w:val="44"/>
          <w:szCs w:val="44"/>
        </w:rPr>
        <w:t>年樟木头镇政府信息公开</w:t>
      </w:r>
    </w:p>
    <w:p>
      <w:pPr>
        <w:widowControl/>
        <w:shd w:val="clear" w:color="auto" w:fill="FFFFFF"/>
        <w:spacing w:line="580" w:lineRule="exact"/>
        <w:ind w:left="0" w:leftChars="0" w:right="0"/>
        <w:jc w:val="center"/>
        <w:textAlignment w:val="auto"/>
        <w:outlineLvl w:val="9"/>
        <w:rPr>
          <w:rFonts w:hint="default" w:ascii="Times New Roman" w:hAnsi="Times New Roman" w:eastAsia="方正小标宋简体" w:cs="Times New Roman"/>
          <w:color w:val="333333"/>
          <w:kern w:val="0"/>
          <w:sz w:val="44"/>
          <w:szCs w:val="44"/>
        </w:rPr>
      </w:pPr>
      <w:r>
        <w:rPr>
          <w:rFonts w:hint="default" w:ascii="Times New Roman" w:hAnsi="Times New Roman" w:eastAsia="方正小标宋简体" w:cs="Times New Roman"/>
          <w:b/>
          <w:bCs/>
          <w:color w:val="333333"/>
          <w:kern w:val="0"/>
          <w:sz w:val="44"/>
          <w:szCs w:val="44"/>
        </w:rPr>
        <w:t>工作年度报告</w:t>
      </w:r>
    </w:p>
    <w:p>
      <w:pPr>
        <w:widowControl/>
        <w:shd w:val="clear" w:color="auto" w:fill="FFFFFF"/>
        <w:spacing w:line="580" w:lineRule="exact"/>
        <w:ind w:left="0" w:leftChars="0" w:right="0" w:firstLine="480"/>
        <w:textAlignment w:val="auto"/>
        <w:outlineLvl w:val="9"/>
        <w:rPr>
          <w:rFonts w:hint="default" w:ascii="Times New Roman" w:hAnsi="Times New Roman" w:eastAsia="仿宋_GB2312" w:cs="Times New Roman"/>
          <w:color w:val="333333"/>
          <w:kern w:val="0"/>
          <w:sz w:val="32"/>
          <w:szCs w:val="32"/>
        </w:rPr>
      </w:pPr>
    </w:p>
    <w:p>
      <w:pPr>
        <w:keepNext w:val="0"/>
        <w:keepLines w:val="0"/>
        <w:pageBreakBefore w:val="0"/>
        <w:widowControl/>
        <w:shd w:val="clear" w:color="auto" w:fill="FFFFFF"/>
        <w:kinsoku/>
        <w:wordWrap/>
        <w:overflowPunct/>
        <w:topLinePunct w:val="0"/>
        <w:autoSpaceDE/>
        <w:autoSpaceDN/>
        <w:bidi w:val="0"/>
        <w:spacing w:line="580" w:lineRule="exact"/>
        <w:ind w:left="0" w:leftChars="0" w:right="0" w:firstLine="640" w:firstLineChars="200"/>
        <w:jc w:val="distribute"/>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依据《中华人民共和国政府信息公开条例》第五十条之规定及《国务院办公厅政府信息与政务公开办公室关于政府信息公开工作年度报告有关事项的通知》（国办公开办函〔2019〕60号），现公布202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樟木头</w:t>
      </w:r>
      <w:r>
        <w:rPr>
          <w:rFonts w:hint="default" w:ascii="Times New Roman" w:hAnsi="Times New Roman" w:eastAsia="仿宋_GB2312" w:cs="Times New Roman"/>
          <w:kern w:val="0"/>
          <w:sz w:val="32"/>
          <w:szCs w:val="32"/>
        </w:rPr>
        <w:t>镇政府信息公开工作年度报告。本报告内容涵盖</w:t>
      </w:r>
      <w:r>
        <w:rPr>
          <w:rFonts w:hint="default" w:ascii="Times New Roman" w:hAnsi="Times New Roman" w:eastAsia="仿宋_GB2312" w:cs="Times New Roman"/>
          <w:kern w:val="0"/>
          <w:sz w:val="32"/>
          <w:szCs w:val="32"/>
          <w:lang w:val="en-US" w:eastAsia="zh-CN"/>
        </w:rPr>
        <w:t>樟木头</w:t>
      </w:r>
      <w:r>
        <w:rPr>
          <w:rFonts w:hint="default" w:ascii="Times New Roman" w:hAnsi="Times New Roman" w:eastAsia="仿宋_GB2312" w:cs="Times New Roman"/>
          <w:kern w:val="0"/>
          <w:sz w:val="32"/>
          <w:szCs w:val="32"/>
        </w:rPr>
        <w:t>镇政府202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年1月1日至12月31日期间的政府信息公开工作情况。本报告的电子版可在“中国·东莞”政府门户网站(http://www.dg.gov.cn)或“东莞·</w:t>
      </w:r>
      <w:r>
        <w:rPr>
          <w:rFonts w:hint="default" w:ascii="Times New Roman" w:hAnsi="Times New Roman" w:eastAsia="仿宋_GB2312" w:cs="Times New Roman"/>
          <w:kern w:val="0"/>
          <w:sz w:val="32"/>
          <w:szCs w:val="32"/>
          <w:lang w:val="en-US" w:eastAsia="zh-CN"/>
        </w:rPr>
        <w:t>樟木头</w:t>
      </w:r>
      <w:r>
        <w:rPr>
          <w:rFonts w:hint="default" w:ascii="Times New Roman" w:hAnsi="Times New Roman" w:eastAsia="仿宋_GB2312" w:cs="Times New Roman"/>
          <w:kern w:val="0"/>
          <w:sz w:val="32"/>
          <w:szCs w:val="32"/>
        </w:rPr>
        <w:t>”政府网站频道(http://www.dg.gov.cn/zmt/index.html)下载。如对本报告有任何疑问，请与</w:t>
      </w:r>
      <w:r>
        <w:rPr>
          <w:rFonts w:hint="default" w:ascii="Times New Roman" w:hAnsi="Times New Roman" w:eastAsia="仿宋_GB2312" w:cs="Times New Roman"/>
          <w:kern w:val="0"/>
          <w:sz w:val="32"/>
          <w:szCs w:val="32"/>
          <w:lang w:val="en-US" w:eastAsia="zh-CN"/>
        </w:rPr>
        <w:t>樟木头</w:t>
      </w:r>
      <w:r>
        <w:rPr>
          <w:rFonts w:hint="default" w:ascii="Times New Roman" w:hAnsi="Times New Roman" w:eastAsia="仿宋_GB2312" w:cs="Times New Roman"/>
          <w:kern w:val="0"/>
          <w:sz w:val="32"/>
          <w:szCs w:val="32"/>
        </w:rPr>
        <w:t>镇党政综合办联系（地址:东莞市</w:t>
      </w:r>
      <w:r>
        <w:rPr>
          <w:rFonts w:hint="default" w:ascii="Times New Roman" w:hAnsi="Times New Roman" w:eastAsia="仿宋_GB2312" w:cs="Times New Roman"/>
          <w:kern w:val="0"/>
          <w:sz w:val="32"/>
          <w:szCs w:val="32"/>
          <w:lang w:val="en-US" w:eastAsia="zh-CN"/>
        </w:rPr>
        <w:t>樟木头</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kern w:val="0"/>
          <w:sz w:val="32"/>
          <w:szCs w:val="32"/>
          <w:lang w:val="en-US" w:eastAsia="zh-CN"/>
        </w:rPr>
        <w:t>银河北路1</w:t>
      </w:r>
      <w:r>
        <w:rPr>
          <w:rFonts w:hint="default" w:ascii="Times New Roman" w:hAnsi="Times New Roman" w:eastAsia="仿宋_GB2312" w:cs="Times New Roman"/>
          <w:kern w:val="0"/>
          <w:sz w:val="32"/>
          <w:szCs w:val="32"/>
        </w:rPr>
        <w:t>号，邮编：523</w:t>
      </w:r>
      <w:r>
        <w:rPr>
          <w:rFonts w:hint="default" w:ascii="Times New Roman" w:hAnsi="Times New Roman" w:eastAsia="仿宋_GB2312" w:cs="Times New Roman"/>
          <w:kern w:val="0"/>
          <w:sz w:val="32"/>
          <w:szCs w:val="32"/>
          <w:lang w:val="en-US" w:eastAsia="zh-CN"/>
        </w:rPr>
        <w:t>600</w:t>
      </w:r>
      <w:r>
        <w:rPr>
          <w:rFonts w:hint="default" w:ascii="Times New Roman" w:hAnsi="Times New Roman" w:eastAsia="仿宋_GB2312" w:cs="Times New Roman"/>
          <w:kern w:val="0"/>
          <w:sz w:val="32"/>
          <w:szCs w:val="32"/>
        </w:rPr>
        <w:t>，电话:0769-</w:t>
      </w:r>
      <w:r>
        <w:rPr>
          <w:rFonts w:hint="default" w:ascii="Times New Roman" w:hAnsi="Times New Roman" w:eastAsia="仿宋_GB2312" w:cs="Times New Roman"/>
          <w:kern w:val="0"/>
          <w:sz w:val="32"/>
          <w:szCs w:val="32"/>
          <w:lang w:val="en-US" w:eastAsia="zh-CN"/>
        </w:rPr>
        <w:t>87711001</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left="0" w:leftChars="0" w:right="0" w:firstLine="627" w:firstLineChars="196"/>
        <w:textAlignment w:val="auto"/>
        <w:outlineLvl w:val="9"/>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一、</w:t>
      </w:r>
      <w:r>
        <w:rPr>
          <w:rFonts w:hint="default" w:ascii="Times New Roman" w:hAnsi="Times New Roman" w:eastAsia="黑体" w:cs="Times New Roman"/>
          <w:bCs/>
          <w:color w:val="000000"/>
          <w:kern w:val="0"/>
          <w:sz w:val="32"/>
          <w:szCs w:val="32"/>
        </w:rPr>
        <w:t>总体</w:t>
      </w:r>
      <w:r>
        <w:rPr>
          <w:rFonts w:hint="default" w:ascii="Times New Roman" w:hAnsi="Times New Roman" w:eastAsia="黑体" w:cs="Times New Roman"/>
          <w:bCs/>
          <w:color w:val="333333"/>
          <w:kern w:val="0"/>
          <w:sz w:val="32"/>
          <w:szCs w:val="32"/>
        </w:rPr>
        <w:t>情况</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100" w:afterLines="0" w:afterAutospacing="1" w:line="580" w:lineRule="exact"/>
        <w:ind w:leftChars="0" w:right="0" w:rightChars="0" w:firstLine="640"/>
        <w:jc w:val="left"/>
        <w:textAlignment w:val="center"/>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2022年，我镇</w:t>
      </w:r>
      <w:r>
        <w:rPr>
          <w:rFonts w:hint="default" w:ascii="Times New Roman" w:hAnsi="Times New Roman" w:eastAsia="仿宋_GB2312" w:cs="Times New Roman"/>
          <w:sz w:val="32"/>
          <w:szCs w:val="32"/>
          <w:lang w:eastAsia="zh-CN"/>
        </w:rPr>
        <w:t>紧紧围绕国家、省、市</w:t>
      </w:r>
      <w:r>
        <w:rPr>
          <w:rFonts w:hint="default" w:ascii="Times New Roman" w:hAnsi="Times New Roman" w:eastAsia="仿宋_GB2312" w:cs="Times New Roman"/>
          <w:sz w:val="32"/>
          <w:szCs w:val="32"/>
          <w:lang w:val="en-US" w:eastAsia="zh-CN"/>
        </w:rPr>
        <w:t>对政务公开</w:t>
      </w:r>
      <w:r>
        <w:rPr>
          <w:rFonts w:hint="default" w:ascii="Times New Roman" w:hAnsi="Times New Roman" w:eastAsia="仿宋_GB2312" w:cs="Times New Roman"/>
          <w:sz w:val="32"/>
          <w:szCs w:val="32"/>
          <w:lang w:eastAsia="zh-CN"/>
        </w:rPr>
        <w:t>相关重点工作要求，</w:t>
      </w:r>
      <w:r>
        <w:rPr>
          <w:rFonts w:hint="default" w:ascii="Times New Roman" w:hAnsi="Times New Roman" w:eastAsia="仿宋_GB2312" w:cs="Times New Roman"/>
          <w:sz w:val="32"/>
          <w:szCs w:val="32"/>
          <w:lang w:val="en-US" w:eastAsia="zh-CN"/>
        </w:rPr>
        <w:t>进一步优化政务公开平台建设，深化</w:t>
      </w:r>
      <w:r>
        <w:rPr>
          <w:rFonts w:hint="default" w:ascii="Times New Roman" w:hAnsi="Times New Roman" w:eastAsia="仿宋_GB2312" w:cs="Times New Roman"/>
          <w:sz w:val="32"/>
          <w:szCs w:val="32"/>
          <w:lang w:eastAsia="zh-CN"/>
        </w:rPr>
        <w:t>重点领域信息公开，</w:t>
      </w:r>
      <w:r>
        <w:rPr>
          <w:rFonts w:hint="default" w:ascii="Times New Roman" w:hAnsi="Times New Roman" w:eastAsia="仿宋_GB2312" w:cs="Times New Roman"/>
          <w:sz w:val="32"/>
          <w:szCs w:val="32"/>
          <w:lang w:val="en-US" w:eastAsia="zh-CN"/>
        </w:rPr>
        <w:t>加强政策</w:t>
      </w:r>
      <w:r>
        <w:rPr>
          <w:rFonts w:hint="default" w:ascii="Times New Roman" w:hAnsi="Times New Roman" w:eastAsia="仿宋_GB2312" w:cs="Times New Roman"/>
          <w:sz w:val="32"/>
          <w:szCs w:val="32"/>
          <w:lang w:eastAsia="zh-CN"/>
        </w:rPr>
        <w:t>解读</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咨询服务</w:t>
      </w:r>
      <w:r>
        <w:rPr>
          <w:rFonts w:hint="default" w:ascii="Times New Roman" w:hAnsi="Times New Roman" w:eastAsia="仿宋_GB2312" w:cs="Times New Roman"/>
          <w:sz w:val="32"/>
          <w:szCs w:val="32"/>
          <w:lang w:val="en-US" w:eastAsia="zh-CN"/>
        </w:rPr>
        <w:t>力度，</w:t>
      </w:r>
      <w:r>
        <w:rPr>
          <w:rFonts w:hint="default" w:ascii="Times New Roman" w:hAnsi="Times New Roman" w:eastAsia="仿宋_GB2312" w:cs="Times New Roman"/>
          <w:sz w:val="32"/>
          <w:szCs w:val="32"/>
          <w:lang w:eastAsia="zh-CN"/>
        </w:rPr>
        <w:t>全力提升</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eastAsia="zh-CN"/>
        </w:rPr>
        <w:t xml:space="preserve">基层政务公开工作水平，有力保障了人民群众的知情权、参与权、表达权和监督权。 </w:t>
      </w:r>
    </w:p>
    <w:p>
      <w:pPr>
        <w:pStyle w:val="5"/>
        <w:widowControl/>
        <w:numPr>
          <w:ilvl w:val="0"/>
          <w:numId w:val="1"/>
        </w:numPr>
        <w:wordWrap w:val="0"/>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优化政务公开平台建设。</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优化栏目设置。</w:t>
      </w:r>
      <w:r>
        <w:rPr>
          <w:rFonts w:hint="default" w:ascii="Times New Roman" w:hAnsi="Times New Roman" w:eastAsia="仿宋_GB2312" w:cs="Times New Roman"/>
          <w:sz w:val="32"/>
          <w:szCs w:val="32"/>
          <w:lang w:val="en-US" w:eastAsia="zh-CN"/>
        </w:rPr>
        <w:t>在政府信息公开目录设立了“政策”一级专栏和“规范性文件”“政策解读”“政策图解”“其它文件”二级专栏，对规范性文件、其他文件进行分类展示，实现了规范性文件集中统一公开和动态更新调整。</w:t>
      </w:r>
      <w:r>
        <w:rPr>
          <w:rFonts w:hint="default" w:ascii="Times New Roman" w:hAnsi="Times New Roman" w:eastAsia="仿宋_GB2312" w:cs="Times New Roman"/>
          <w:b/>
          <w:bCs/>
          <w:color w:val="auto"/>
          <w:kern w:val="0"/>
          <w:sz w:val="32"/>
          <w:szCs w:val="32"/>
          <w:highlight w:val="none"/>
          <w:lang w:val="en-US" w:eastAsia="zh-CN"/>
        </w:rPr>
        <w:t>二是</w:t>
      </w:r>
      <w:r>
        <w:rPr>
          <w:rFonts w:hint="default" w:ascii="Times New Roman" w:hAnsi="Times New Roman" w:eastAsia="仿宋_GB2312" w:cs="Times New Roman"/>
          <w:b w:val="0"/>
          <w:bCs w:val="0"/>
          <w:sz w:val="32"/>
          <w:szCs w:val="32"/>
          <w:lang w:val="en-US" w:eastAsia="zh-CN"/>
        </w:rPr>
        <w:t>优化网站功能。增设</w:t>
      </w:r>
      <w:r>
        <w:rPr>
          <w:rFonts w:hint="default" w:ascii="Times New Roman" w:hAnsi="Times New Roman" w:eastAsia="仿宋_GB2312" w:cs="Times New Roman"/>
          <w:kern w:val="2"/>
          <w:sz w:val="32"/>
          <w:szCs w:val="32"/>
          <w:lang w:val="en-US" w:eastAsia="zh-CN" w:bidi="ar-SA"/>
        </w:rPr>
        <w:t>一号登录、个人主页、智能推送功能，通过在网站首页设置用户登录入口，通过对接广东省统一身份认证平台，用户可在用户主页下浏览其在本网站咨询问题、办事服务等历史信息，方便用户浏览其在本网站咨询问题、办事服务等历史信息，并对用户行为信息进行分析，向用户提供主动推送热点信息服务。</w:t>
      </w:r>
    </w:p>
    <w:p>
      <w:pPr>
        <w:keepNext w:val="0"/>
        <w:keepLines w:val="0"/>
        <w:pageBreakBefore w:val="0"/>
        <w:widowControl/>
        <w:numPr>
          <w:ilvl w:val="0"/>
          <w:numId w:val="1"/>
        </w:numPr>
        <w:kinsoku/>
        <w:wordWrap/>
        <w:overflowPunct/>
        <w:topLinePunct w:val="0"/>
        <w:autoSpaceDE/>
        <w:autoSpaceDN/>
        <w:bidi w:val="0"/>
        <w:adjustRightInd/>
        <w:snapToGrid/>
        <w:spacing w:before="0" w:afterAutospacing="0" w:line="580" w:lineRule="exact"/>
        <w:ind w:left="0" w:leftChars="0" w:right="0" w:rightChars="0" w:firstLine="640" w:firstLineChars="200"/>
        <w:jc w:val="left"/>
        <w:textAlignment w:val="center"/>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sz w:val="32"/>
          <w:szCs w:val="32"/>
          <w:lang w:val="en-US" w:eastAsia="zh-CN"/>
        </w:rPr>
        <w:t>完善政务工作机制。一是</w:t>
      </w:r>
      <w:r>
        <w:rPr>
          <w:rFonts w:hint="default" w:ascii="Times New Roman" w:hAnsi="Times New Roman" w:eastAsia="仿宋_GB2312" w:cs="Times New Roman"/>
          <w:sz w:val="32"/>
          <w:szCs w:val="32"/>
          <w:lang w:val="en-US" w:eastAsia="zh-CN"/>
        </w:rPr>
        <w:t>制定《樟木头镇贯彻落实国家、省、市2022年政务公开工作要点落实台账》，明确工作职责，确保2022年各项政务公开工作要点落实到位。</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及时更新信息公开指南、政府信息公开目录和24个基层政务公开标准目录，</w:t>
      </w:r>
      <w:r>
        <w:rPr>
          <w:rFonts w:hint="default" w:ascii="Times New Roman" w:hAnsi="Times New Roman" w:eastAsia="仿宋_GB2312" w:cs="Times New Roman"/>
          <w:color w:val="auto"/>
          <w:kern w:val="0"/>
          <w:sz w:val="32"/>
          <w:szCs w:val="32"/>
          <w:highlight w:val="none"/>
          <w:lang w:val="en-US" w:eastAsia="zh-CN"/>
        </w:rPr>
        <w:t>制定了《樟木头镇关于进一步加强推进全镇重点领域信息公开标准化规范化工作的通知》《关于加强做好樟木头镇政务公开工作的通知》《关于进一步落实政务信息发布“三审三校”制度的通知》等相关制度，规范信息公开标准，推动政府网站和政务新媒体健康有序发展。</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580" w:lineRule="exact"/>
        <w:ind w:right="0" w:rightChars="0" w:firstLine="640" w:firstLineChars="200"/>
        <w:jc w:val="left"/>
        <w:textAlignment w:val="center"/>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val="0"/>
          <w:bCs w:val="0"/>
          <w:sz w:val="32"/>
          <w:szCs w:val="32"/>
          <w:lang w:val="en-US" w:eastAsia="zh-CN"/>
        </w:rPr>
        <w:t>（三）加大</w:t>
      </w:r>
      <w:r>
        <w:rPr>
          <w:rFonts w:hint="default" w:ascii="Times New Roman" w:hAnsi="Times New Roman" w:eastAsia="楷体_GB2312" w:cs="Times New Roman"/>
          <w:b w:val="0"/>
          <w:bCs w:val="0"/>
          <w:kern w:val="0"/>
          <w:sz w:val="32"/>
          <w:szCs w:val="32"/>
        </w:rPr>
        <w:t>主动公开力度</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kern w:val="0"/>
          <w:sz w:val="32"/>
          <w:szCs w:val="32"/>
        </w:rPr>
        <w:t>通过政府门户网站、《樟木头报》政务公布版等方式发布各类主动公开信息，全方位落实主动公开各项工作。</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kern w:val="0"/>
          <w:sz w:val="32"/>
          <w:szCs w:val="32"/>
        </w:rPr>
        <w:t>加强政府网站管理。</w:t>
      </w:r>
      <w:r>
        <w:rPr>
          <w:rFonts w:hint="default" w:ascii="Times New Roman" w:hAnsi="Times New Roman" w:eastAsia="仿宋_GB2312" w:cs="Times New Roman"/>
          <w:kern w:val="0"/>
          <w:sz w:val="32"/>
          <w:szCs w:val="32"/>
          <w:lang w:eastAsia="zh-CN"/>
        </w:rPr>
        <w:t>樟木头</w:t>
      </w:r>
      <w:r>
        <w:rPr>
          <w:rFonts w:hint="default" w:ascii="Times New Roman" w:hAnsi="Times New Roman" w:eastAsia="仿宋_GB2312" w:cs="Times New Roman"/>
          <w:kern w:val="0"/>
          <w:sz w:val="32"/>
          <w:szCs w:val="32"/>
        </w:rPr>
        <w:t>镇全年</w:t>
      </w:r>
      <w:r>
        <w:rPr>
          <w:rFonts w:hint="default" w:ascii="Times New Roman" w:hAnsi="Times New Roman" w:eastAsia="仿宋_GB2312" w:cs="Times New Roman"/>
          <w:kern w:val="0"/>
          <w:sz w:val="32"/>
          <w:szCs w:val="32"/>
          <w:lang w:eastAsia="zh-CN"/>
        </w:rPr>
        <w:t>通过</w:t>
      </w:r>
      <w:r>
        <w:rPr>
          <w:rFonts w:hint="default" w:ascii="Times New Roman" w:hAnsi="Times New Roman" w:eastAsia="仿宋_GB2312" w:cs="Times New Roman"/>
          <w:kern w:val="0"/>
          <w:sz w:val="32"/>
          <w:szCs w:val="32"/>
        </w:rPr>
        <w:t>“东莞·樟木头”门户站发布信息</w:t>
      </w:r>
      <w:r>
        <w:rPr>
          <w:rFonts w:hint="default" w:ascii="Times New Roman" w:hAnsi="Times New Roman" w:eastAsia="仿宋_GB2312" w:cs="Times New Roman"/>
          <w:kern w:val="0"/>
          <w:sz w:val="32"/>
          <w:szCs w:val="32"/>
          <w:lang w:val="en-US" w:eastAsia="zh-CN"/>
        </w:rPr>
        <w:t>2719</w:t>
      </w:r>
      <w:r>
        <w:rPr>
          <w:rFonts w:hint="default" w:ascii="Times New Roman" w:hAnsi="Times New Roman" w:eastAsia="仿宋_GB2312" w:cs="Times New Roman"/>
          <w:kern w:val="0"/>
          <w:sz w:val="32"/>
          <w:szCs w:val="32"/>
        </w:rPr>
        <w:t>条，</w:t>
      </w:r>
      <w:r>
        <w:rPr>
          <w:rFonts w:hint="default"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lang w:eastAsia="zh-CN"/>
        </w:rPr>
        <w:t>通过</w:t>
      </w:r>
      <w:r>
        <w:rPr>
          <w:rFonts w:hint="default" w:ascii="Times New Roman" w:hAnsi="Times New Roman" w:eastAsia="仿宋_GB2312" w:cs="Times New Roman"/>
          <w:kern w:val="0"/>
          <w:sz w:val="32"/>
          <w:szCs w:val="32"/>
        </w:rPr>
        <w:t>政府信息公开目录发布</w:t>
      </w:r>
      <w:r>
        <w:rPr>
          <w:rFonts w:hint="default" w:ascii="Times New Roman" w:hAnsi="Times New Roman" w:eastAsia="仿宋_GB2312" w:cs="Times New Roman"/>
          <w:kern w:val="0"/>
          <w:sz w:val="32"/>
          <w:szCs w:val="32"/>
          <w:lang w:eastAsia="zh-CN"/>
        </w:rPr>
        <w:t>政务信息</w:t>
      </w:r>
      <w:r>
        <w:rPr>
          <w:rFonts w:hint="default" w:ascii="Times New Roman" w:hAnsi="Times New Roman" w:eastAsia="仿宋_GB2312" w:cs="Times New Roman"/>
          <w:kern w:val="0"/>
          <w:sz w:val="32"/>
          <w:szCs w:val="32"/>
          <w:lang w:val="en-US" w:eastAsia="zh-CN"/>
        </w:rPr>
        <w:t>1188</w:t>
      </w:r>
      <w:r>
        <w:rPr>
          <w:rFonts w:hint="default" w:ascii="Times New Roman" w:hAnsi="Times New Roman" w:eastAsia="仿宋_GB2312" w:cs="Times New Roman"/>
          <w:kern w:val="0"/>
          <w:sz w:val="32"/>
          <w:szCs w:val="32"/>
        </w:rPr>
        <w:t>条。</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kern w:val="0"/>
          <w:sz w:val="32"/>
          <w:szCs w:val="32"/>
        </w:rPr>
        <w:t>主动利用政务新媒体发声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主动发布政务信息，确保政策家喻户晓</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highlight w:val="none"/>
          <w:lang w:val="en-US" w:eastAsia="zh-CN"/>
        </w:rPr>
        <w:t>我镇“平安樟木头”公众号，关注人数45714人，截至2022年底，共发布349篇推文，阅读量68.9万次，分享次数3.1万次。</w:t>
      </w:r>
      <w:r>
        <w:rPr>
          <w:rFonts w:hint="default" w:ascii="Times New Roman" w:hAnsi="Times New Roman" w:eastAsia="仿宋_GB2312" w:cs="Times New Roman"/>
          <w:b/>
          <w:bCs/>
          <w:kern w:val="0"/>
          <w:sz w:val="32"/>
          <w:szCs w:val="32"/>
          <w:highlight w:val="none"/>
        </w:rPr>
        <w:t>三是</w:t>
      </w:r>
      <w:r>
        <w:rPr>
          <w:rFonts w:hint="default" w:ascii="Times New Roman" w:hAnsi="Times New Roman" w:eastAsia="仿宋_GB2312" w:cs="Times New Roman"/>
          <w:kern w:val="0"/>
          <w:sz w:val="32"/>
          <w:szCs w:val="32"/>
          <w:highlight w:val="none"/>
        </w:rPr>
        <w:t>在</w:t>
      </w:r>
      <w:r>
        <w:rPr>
          <w:rFonts w:hint="default" w:ascii="Times New Roman" w:hAnsi="Times New Roman" w:eastAsia="仿宋_GB2312" w:cs="Times New Roman"/>
          <w:kern w:val="0"/>
          <w:sz w:val="32"/>
          <w:szCs w:val="32"/>
        </w:rPr>
        <w:t>政府网站设立《樟木头报》专栏，并在行政办事中心、政务服务中心、图书馆等政府信息查阅场所设置《樟木头报》免费赠阅点，全年共发布《樟木头报》</w:t>
      </w:r>
      <w:r>
        <w:rPr>
          <w:rFonts w:hint="default" w:ascii="Times New Roman" w:hAnsi="Times New Roman" w:eastAsia="仿宋_GB2312" w:cs="Times New Roman"/>
          <w:kern w:val="0"/>
          <w:sz w:val="32"/>
          <w:szCs w:val="32"/>
          <w:lang w:val="en-US" w:eastAsia="zh-CN"/>
        </w:rPr>
        <w:t>49</w:t>
      </w:r>
      <w:r>
        <w:rPr>
          <w:rFonts w:hint="default" w:ascii="Times New Roman" w:hAnsi="Times New Roman" w:eastAsia="仿宋_GB2312" w:cs="Times New Roman"/>
          <w:kern w:val="0"/>
          <w:sz w:val="32"/>
          <w:szCs w:val="32"/>
        </w:rPr>
        <w:t>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方便群众及时了解樟木头信息</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b/>
          <w:bCs/>
          <w:color w:val="auto"/>
          <w:kern w:val="0"/>
          <w:sz w:val="32"/>
          <w:szCs w:val="32"/>
          <w:lang w:eastAsia="zh-CN"/>
        </w:rPr>
        <w:t>四是</w:t>
      </w:r>
      <w:r>
        <w:rPr>
          <w:rFonts w:hint="default" w:ascii="Times New Roman" w:hAnsi="Times New Roman" w:eastAsia="仿宋_GB2312" w:cs="Times New Roman"/>
          <w:color w:val="auto"/>
          <w:kern w:val="0"/>
          <w:sz w:val="32"/>
          <w:szCs w:val="32"/>
        </w:rPr>
        <w:t>完善信息公开指南，</w:t>
      </w:r>
      <w:r>
        <w:rPr>
          <w:rFonts w:hint="default" w:ascii="Times New Roman" w:hAnsi="Times New Roman" w:eastAsia="仿宋_GB2312" w:cs="Times New Roman"/>
          <w:color w:val="auto"/>
          <w:kern w:val="0"/>
          <w:sz w:val="32"/>
          <w:szCs w:val="32"/>
          <w:lang w:val="en-US" w:eastAsia="zh-CN"/>
        </w:rPr>
        <w:t>有效指引</w:t>
      </w:r>
      <w:r>
        <w:rPr>
          <w:rFonts w:hint="default" w:ascii="Times New Roman" w:hAnsi="Times New Roman" w:eastAsia="仿宋_GB2312" w:cs="Times New Roman"/>
          <w:color w:val="auto"/>
          <w:kern w:val="0"/>
          <w:sz w:val="32"/>
          <w:szCs w:val="32"/>
        </w:rPr>
        <w:t>公民、法人和其它组织</w:t>
      </w:r>
      <w:r>
        <w:rPr>
          <w:rFonts w:hint="default" w:ascii="Times New Roman" w:hAnsi="Times New Roman" w:eastAsia="仿宋_GB2312" w:cs="Times New Roman"/>
          <w:color w:val="auto"/>
          <w:kern w:val="0"/>
          <w:sz w:val="32"/>
          <w:szCs w:val="32"/>
          <w:lang w:val="en-US" w:eastAsia="zh-CN"/>
        </w:rPr>
        <w:t>了解</w:t>
      </w:r>
      <w:r>
        <w:rPr>
          <w:rFonts w:hint="default" w:ascii="Times New Roman" w:hAnsi="Times New Roman" w:eastAsia="仿宋_GB2312" w:cs="Times New Roman"/>
          <w:color w:val="auto"/>
          <w:kern w:val="0"/>
          <w:sz w:val="32"/>
          <w:szCs w:val="32"/>
        </w:rPr>
        <w:t>获得政府信息</w:t>
      </w:r>
      <w:r>
        <w:rPr>
          <w:rFonts w:hint="default" w:ascii="Times New Roman" w:hAnsi="Times New Roman" w:eastAsia="仿宋_GB2312" w:cs="Times New Roman"/>
          <w:color w:val="auto"/>
          <w:kern w:val="0"/>
          <w:sz w:val="32"/>
          <w:szCs w:val="32"/>
          <w:lang w:val="en-US" w:eastAsia="zh-CN"/>
        </w:rPr>
        <w:t>的途径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b/>
          <w:bCs/>
          <w:color w:val="auto"/>
          <w:kern w:val="0"/>
          <w:sz w:val="32"/>
          <w:szCs w:val="32"/>
          <w:highlight w:val="none"/>
          <w:lang w:val="en-US" w:eastAsia="zh-CN"/>
        </w:rPr>
        <w:t>五是</w:t>
      </w:r>
      <w:r>
        <w:rPr>
          <w:rFonts w:hint="default" w:ascii="Times New Roman" w:hAnsi="Times New Roman" w:eastAsia="仿宋_GB2312" w:cs="Times New Roman"/>
          <w:color w:val="auto"/>
          <w:kern w:val="0"/>
          <w:sz w:val="32"/>
          <w:szCs w:val="32"/>
          <w:highlight w:val="none"/>
          <w:lang w:val="en-US" w:eastAsia="zh-CN"/>
        </w:rPr>
        <w:t>扎实做好权责清单动态管理工作。根据机构职能调整及</w:t>
      </w:r>
      <w:r>
        <w:rPr>
          <w:rFonts w:hint="eastAsia" w:ascii="Times New Roman" w:hAnsi="Times New Roman" w:eastAsia="仿宋_GB2312" w:cs="Times New Roman"/>
          <w:color w:val="auto"/>
          <w:kern w:val="0"/>
          <w:sz w:val="32"/>
          <w:szCs w:val="32"/>
          <w:highlight w:val="none"/>
          <w:lang w:val="en-US" w:eastAsia="zh-CN"/>
        </w:rPr>
        <w:t>“放管服”</w:t>
      </w:r>
      <w:r>
        <w:rPr>
          <w:rFonts w:hint="default" w:ascii="Times New Roman" w:hAnsi="Times New Roman" w:eastAsia="仿宋_GB2312" w:cs="Times New Roman"/>
          <w:color w:val="auto"/>
          <w:kern w:val="0"/>
          <w:sz w:val="32"/>
          <w:szCs w:val="32"/>
          <w:highlight w:val="none"/>
          <w:lang w:val="en-US" w:eastAsia="zh-CN"/>
        </w:rPr>
        <w:t>等情况，及时梳理行政权力事项，严格按照政务事项实施清单提供办事服务，本镇共有1824项权责清单，均通过广东政务服务网对外公布。</w:t>
      </w:r>
      <w:r>
        <w:rPr>
          <w:rFonts w:hint="default" w:ascii="Times New Roman" w:hAnsi="Times New Roman" w:eastAsia="仿宋_GB2312" w:cs="Times New Roman"/>
          <w:b/>
          <w:bCs/>
          <w:color w:val="auto"/>
          <w:kern w:val="0"/>
          <w:sz w:val="32"/>
          <w:szCs w:val="32"/>
          <w:highlight w:val="none"/>
          <w:lang w:val="en-US" w:eastAsia="zh-CN"/>
        </w:rPr>
        <w:t>六是</w:t>
      </w:r>
      <w:r>
        <w:rPr>
          <w:rFonts w:hint="default" w:ascii="Times New Roman" w:hAnsi="Times New Roman" w:eastAsia="仿宋_GB2312" w:cs="Times New Roman"/>
          <w:color w:val="auto"/>
          <w:kern w:val="0"/>
          <w:sz w:val="32"/>
          <w:szCs w:val="32"/>
          <w:highlight w:val="none"/>
          <w:lang w:val="en-US" w:eastAsia="zh-CN"/>
        </w:rPr>
        <w:t>全面落实重点领域信息公开，持续做好疫情防控、营商环境、重大项目建设、稳就业保就业、公共企事业单位等重点领域信息公开，确保各项政务信息动态公开到位。</w:t>
      </w:r>
    </w:p>
    <w:p>
      <w:pPr>
        <w:pStyle w:val="5"/>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80"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楷体_GB2312" w:cs="Times New Roman"/>
          <w:color w:val="auto"/>
          <w:kern w:val="0"/>
          <w:sz w:val="32"/>
          <w:szCs w:val="32"/>
          <w:highlight w:val="none"/>
          <w:lang w:val="en-US" w:eastAsia="zh-CN" w:bidi="ar-SA"/>
        </w:rPr>
        <w:t>（四）规范办理政府信息公开申请。</w:t>
      </w:r>
      <w:r>
        <w:rPr>
          <w:rFonts w:hint="default" w:ascii="Times New Roman" w:hAnsi="Times New Roman" w:eastAsia="仿宋_GB2312" w:cs="Times New Roman"/>
          <w:color w:val="auto"/>
          <w:kern w:val="0"/>
          <w:sz w:val="32"/>
          <w:szCs w:val="32"/>
          <w:highlight w:val="none"/>
          <w:lang w:val="en-US" w:eastAsia="zh-CN" w:bidi="ar-SA"/>
        </w:rPr>
        <w:t>我镇已规范使用全省政府信息依申请公开系统，严格按照《广东省人民政府办公厅关于印发广东省政府信息公开申请办理答复规范的通知》（粤办函〔2020〕42号），规范办理依申请公开案件，最大限度地保障公民、法人或其他组织获取政府信息的权利。2022年我镇共受理政府信息公开申请6宗，其中上一年结转1宗，答复率100%，未发生政府信息公开类行政复议、行政诉讼情况。</w:t>
      </w:r>
    </w:p>
    <w:p>
      <w:pPr>
        <w:numPr>
          <w:ilvl w:val="0"/>
          <w:numId w:val="0"/>
        </w:numPr>
        <w:shd w:val="clear" w:color="auto" w:fill="FFFFFF"/>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kern w:val="0"/>
          <w:sz w:val="32"/>
          <w:szCs w:val="32"/>
          <w:highlight w:val="none"/>
          <w:lang w:val="en-US" w:eastAsia="zh-CN" w:bidi="ar-SA"/>
        </w:rPr>
        <w:t>（五）加强政策解读力度。一是</w:t>
      </w:r>
      <w:r>
        <w:rPr>
          <w:rFonts w:hint="default" w:ascii="Times New Roman" w:hAnsi="Times New Roman" w:eastAsia="仿宋_GB2312" w:cs="Times New Roman"/>
          <w:sz w:val="32"/>
          <w:szCs w:val="32"/>
          <w:lang w:val="en-US" w:eastAsia="zh-CN"/>
        </w:rPr>
        <w:t>印发《樟木头镇关于做好政府政策解读工作的通知》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健全政策解读工作机制，加强和规范我镇政府政策宣传解读工作。通过政府网站权威渠道，2022年，我镇共主动公开发布我镇政策文件4份，其他文件2份，均采用数字化、图片、图表图解、动漫、音视频等形式进行解读，并做到了政策文件与解读材料同步组织、同步审签、同步发布，对重要政策文件进行全方位、多层次的解读，进一步增强了社会公众对政府各项政策的理解。二是印发《樟木头镇关于做好数据发布解读的通知》，要求各相关部门围绕政府中心工作，做好数据发布和解读工作。</w:t>
      </w:r>
    </w:p>
    <w:p>
      <w:pPr>
        <w:numPr>
          <w:ilvl w:val="0"/>
          <w:numId w:val="0"/>
        </w:numPr>
        <w:shd w:val="clear" w:color="auto" w:fill="FFFFFF"/>
        <w:spacing w:line="580" w:lineRule="exact"/>
        <w:ind w:right="0" w:rightChars="0" w:firstLine="640" w:firstLineChars="200"/>
        <w:textAlignment w:val="auto"/>
        <w:outlineLvl w:val="9"/>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楷体_GB2312" w:cs="Times New Roman"/>
          <w:b w:val="0"/>
          <w:bCs/>
          <w:color w:val="000000"/>
          <w:kern w:val="0"/>
          <w:sz w:val="32"/>
          <w:szCs w:val="32"/>
          <w:lang w:val="en-US" w:eastAsia="zh-CN"/>
        </w:rPr>
        <w:t>（六）提升</w:t>
      </w:r>
      <w:r>
        <w:rPr>
          <w:rFonts w:hint="default" w:ascii="Times New Roman" w:hAnsi="Times New Roman" w:eastAsia="楷体_GB2312" w:cs="Times New Roman"/>
          <w:b w:val="0"/>
          <w:bCs/>
          <w:color w:val="000000"/>
          <w:kern w:val="0"/>
          <w:sz w:val="32"/>
          <w:szCs w:val="32"/>
          <w:lang w:eastAsia="zh-CN"/>
        </w:rPr>
        <w:t>互动交流</w:t>
      </w:r>
      <w:r>
        <w:rPr>
          <w:rFonts w:hint="default" w:ascii="Times New Roman" w:hAnsi="Times New Roman" w:eastAsia="楷体_GB2312" w:cs="Times New Roman"/>
          <w:b w:val="0"/>
          <w:bCs/>
          <w:color w:val="000000"/>
          <w:kern w:val="0"/>
          <w:sz w:val="32"/>
          <w:szCs w:val="32"/>
          <w:lang w:val="en-US" w:eastAsia="zh-CN"/>
        </w:rPr>
        <w:t>水平</w:t>
      </w:r>
      <w:r>
        <w:rPr>
          <w:rFonts w:hint="default" w:ascii="Times New Roman" w:hAnsi="Times New Roman" w:eastAsia="楷体_GB2312" w:cs="Times New Roman"/>
          <w:b w:val="0"/>
          <w:bCs/>
          <w:color w:val="000000"/>
          <w:kern w:val="0"/>
          <w:sz w:val="32"/>
          <w:szCs w:val="32"/>
          <w:lang w:eastAsia="zh-CN"/>
        </w:rPr>
        <w:t>。</w:t>
      </w:r>
      <w:r>
        <w:rPr>
          <w:rFonts w:hint="default" w:ascii="Times New Roman" w:hAnsi="Times New Roman" w:eastAsia="仿宋_GB2312" w:cs="Times New Roman"/>
          <w:b/>
          <w:color w:val="auto"/>
          <w:sz w:val="32"/>
          <w:szCs w:val="32"/>
          <w:highlight w:val="none"/>
          <w:lang w:val="en-US" w:eastAsia="zh-CN"/>
        </w:rPr>
        <w:t>一</w:t>
      </w:r>
      <w:r>
        <w:rPr>
          <w:rFonts w:hint="default" w:ascii="Times New Roman" w:hAnsi="Times New Roman" w:eastAsia="仿宋_GB2312" w:cs="Times New Roman"/>
          <w:b/>
          <w:color w:val="auto"/>
          <w:sz w:val="32"/>
          <w:szCs w:val="32"/>
          <w:highlight w:val="none"/>
          <w:lang w:eastAsia="zh-CN"/>
        </w:rPr>
        <w:t>是</w:t>
      </w:r>
      <w:r>
        <w:rPr>
          <w:rFonts w:hint="default" w:ascii="Times New Roman" w:hAnsi="Times New Roman" w:eastAsia="仿宋_GB2312" w:cs="Times New Roman"/>
          <w:b w:val="0"/>
          <w:bCs/>
          <w:color w:val="auto"/>
          <w:sz w:val="32"/>
          <w:szCs w:val="32"/>
          <w:highlight w:val="none"/>
          <w:lang w:eastAsia="zh-CN"/>
        </w:rPr>
        <w:t>加强12345热线办理，</w:t>
      </w:r>
      <w:r>
        <w:rPr>
          <w:rFonts w:hint="default" w:ascii="Times New Roman" w:hAnsi="Times New Roman" w:eastAsia="仿宋_GB2312" w:cs="Times New Roman"/>
          <w:b w:val="0"/>
          <w:bCs/>
          <w:kern w:val="0"/>
          <w:sz w:val="32"/>
          <w:szCs w:val="32"/>
        </w:rPr>
        <w:t>建立</w:t>
      </w:r>
      <w:r>
        <w:rPr>
          <w:rFonts w:hint="default" w:ascii="Times New Roman" w:hAnsi="Times New Roman" w:eastAsia="仿宋_GB2312" w:cs="Times New Roman"/>
          <w:kern w:val="0"/>
          <w:sz w:val="32"/>
          <w:szCs w:val="32"/>
        </w:rPr>
        <w:t>紧急诉求24小时应急处置机制，重点发挥12345热线在涉疫类急难愁盼问题、汛期抢险、群众反映集中、紧急求助等重大事件中的舆情监控和快速反应处置作用，按照“急事急办、特事特办”的原则优先处置和安排，及时接受、回应和处理群众紧急诉求，努力实现民有所呼、政有所应。</w:t>
      </w:r>
      <w:r>
        <w:rPr>
          <w:rFonts w:hint="default" w:ascii="Times New Roman" w:hAnsi="Times New Roman" w:eastAsia="仿宋_GB2312" w:cs="Times New Roman"/>
          <w:kern w:val="0"/>
          <w:sz w:val="32"/>
          <w:szCs w:val="32"/>
          <w:lang w:val="en-US" w:eastAsia="zh-CN"/>
        </w:rPr>
        <w:t>2022年，共承办热线事项13442宗，同比增长137%，及时响应率100%、及时办结率100%、办理满意率96.2%。</w:t>
      </w:r>
      <w:r>
        <w:rPr>
          <w:rFonts w:hint="default" w:ascii="Times New Roman" w:hAnsi="Times New Roman" w:eastAsia="仿宋_GB2312" w:cs="Times New Roman"/>
          <w:b/>
          <w:color w:val="auto"/>
          <w:sz w:val="32"/>
          <w:szCs w:val="32"/>
          <w:highlight w:val="none"/>
          <w:lang w:val="en-US" w:eastAsia="zh-CN"/>
        </w:rPr>
        <w:t>二</w:t>
      </w:r>
      <w:r>
        <w:rPr>
          <w:rFonts w:hint="default" w:ascii="Times New Roman" w:hAnsi="Times New Roman" w:eastAsia="仿宋_GB2312" w:cs="Times New Roman"/>
          <w:b/>
          <w:color w:val="auto"/>
          <w:sz w:val="32"/>
          <w:szCs w:val="32"/>
          <w:highlight w:val="none"/>
          <w:lang w:eastAsia="zh-CN"/>
        </w:rPr>
        <w:t>是</w:t>
      </w:r>
      <w:r>
        <w:rPr>
          <w:rFonts w:hint="default" w:ascii="Times New Roman" w:hAnsi="Times New Roman" w:eastAsia="仿宋_GB2312" w:cs="Times New Roman"/>
          <w:b w:val="0"/>
          <w:bCs/>
          <w:color w:val="auto"/>
          <w:sz w:val="32"/>
          <w:szCs w:val="32"/>
          <w:highlight w:val="none"/>
          <w:lang w:eastAsia="zh-CN"/>
        </w:rPr>
        <w:t>加强民意征集，围绕</w:t>
      </w:r>
      <w:r>
        <w:rPr>
          <w:rFonts w:hint="default" w:ascii="Times New Roman" w:hAnsi="Times New Roman" w:eastAsia="仿宋_GB2312" w:cs="Times New Roman"/>
          <w:color w:val="333333"/>
          <w:kern w:val="0"/>
          <w:sz w:val="32"/>
          <w:szCs w:val="32"/>
        </w:rPr>
        <w:t>政府重点工作和公众关注热点，通过政府门户网站意见征集、网上调查等互动交流栏目，做到问政于民、问计于民、问需于民，并将群众意见建议纳入决策参考，提高决策的科学性。通过政府门户网站开展“十件民生实事”等意见征集</w:t>
      </w:r>
      <w:r>
        <w:rPr>
          <w:rFonts w:hint="default" w:ascii="Times New Roman" w:hAnsi="Times New Roman" w:eastAsia="仿宋_GB2312" w:cs="Times New Roman"/>
          <w:color w:val="333333"/>
          <w:kern w:val="0"/>
          <w:sz w:val="32"/>
          <w:szCs w:val="32"/>
          <w:lang w:val="en-US" w:eastAsia="zh-CN"/>
        </w:rPr>
        <w:t>12</w:t>
      </w:r>
      <w:r>
        <w:rPr>
          <w:rFonts w:hint="default" w:ascii="Times New Roman" w:hAnsi="Times New Roman" w:eastAsia="仿宋_GB2312" w:cs="Times New Roman"/>
          <w:color w:val="333333"/>
          <w:kern w:val="0"/>
          <w:sz w:val="32"/>
          <w:szCs w:val="32"/>
        </w:rPr>
        <w:t>次。</w:t>
      </w:r>
      <w:r>
        <w:rPr>
          <w:rFonts w:hint="default" w:ascii="Times New Roman" w:hAnsi="Times New Roman" w:eastAsia="仿宋_GB2312" w:cs="Times New Roman"/>
          <w:b/>
          <w:color w:val="auto"/>
          <w:sz w:val="32"/>
          <w:szCs w:val="32"/>
          <w:highlight w:val="none"/>
          <w:lang w:val="en-US" w:eastAsia="zh-CN"/>
        </w:rPr>
        <w:t>三是</w:t>
      </w:r>
      <w:r>
        <w:rPr>
          <w:rFonts w:hint="default" w:ascii="Times New Roman" w:hAnsi="Times New Roman" w:eastAsia="仿宋_GB2312" w:cs="Times New Roman"/>
          <w:b w:val="0"/>
          <w:bCs/>
          <w:color w:val="auto"/>
          <w:sz w:val="32"/>
          <w:szCs w:val="32"/>
          <w:highlight w:val="none"/>
          <w:lang w:val="en-US" w:eastAsia="zh-CN"/>
        </w:rPr>
        <w:t>建立在线访谈栏目，设定</w:t>
      </w:r>
      <w:r>
        <w:rPr>
          <w:rFonts w:hint="default" w:ascii="Times New Roman" w:hAnsi="Times New Roman" w:eastAsia="仿宋_GB2312" w:cs="Times New Roman"/>
          <w:color w:val="333333"/>
          <w:kern w:val="0"/>
          <w:sz w:val="32"/>
          <w:szCs w:val="32"/>
          <w:lang w:val="en-US" w:eastAsia="zh-CN"/>
        </w:rPr>
        <w:t>访谈计划，我镇定期组织相关职能部门接受镇新闻媒体记者采访，2022年共发布访谈实录5篇，及时回应社会关切。</w:t>
      </w:r>
      <w:r>
        <w:rPr>
          <w:rFonts w:hint="default" w:ascii="Times New Roman" w:hAnsi="Times New Roman" w:eastAsia="仿宋_GB2312" w:cs="Times New Roman"/>
          <w:b/>
          <w:color w:val="auto"/>
          <w:sz w:val="32"/>
          <w:szCs w:val="32"/>
          <w:highlight w:val="none"/>
          <w:lang w:val="en-US" w:eastAsia="zh-CN"/>
        </w:rPr>
        <w:t>四是</w:t>
      </w:r>
      <w:r>
        <w:rPr>
          <w:rFonts w:hint="default" w:ascii="Times New Roman" w:hAnsi="Times New Roman" w:eastAsia="仿宋_GB2312" w:cs="Times New Roman"/>
          <w:b w:val="0"/>
          <w:bCs/>
          <w:color w:val="auto"/>
          <w:sz w:val="32"/>
          <w:szCs w:val="32"/>
          <w:highlight w:val="none"/>
          <w:lang w:val="en-US" w:eastAsia="zh-CN"/>
        </w:rPr>
        <w:t>开发智能问答功能，组织全镇各部门单位、各社区梳理群众关心的问题，结合我</w:t>
      </w:r>
      <w:r>
        <w:rPr>
          <w:rFonts w:hint="default" w:ascii="Times New Roman" w:hAnsi="Times New Roman" w:eastAsia="仿宋_GB2312" w:cs="Times New Roman"/>
          <w:color w:val="333333"/>
          <w:kern w:val="0"/>
          <w:sz w:val="32"/>
          <w:szCs w:val="32"/>
          <w:lang w:val="en-US" w:eastAsia="zh-CN"/>
        </w:rPr>
        <w:t>镇实际构建问答题库，</w:t>
      </w:r>
      <w:r>
        <w:rPr>
          <w:rFonts w:hint="default" w:ascii="Times New Roman" w:hAnsi="Times New Roman" w:eastAsia="仿宋_GB2312" w:cs="Times New Roman"/>
          <w:kern w:val="2"/>
          <w:sz w:val="32"/>
          <w:szCs w:val="32"/>
          <w:lang w:val="en-US" w:eastAsia="zh-CN" w:bidi="ar-SA"/>
        </w:rPr>
        <w:t>针对网站用户所提问题，自动回复相应内容，为用户提供在线实时互动的个性化信息答复服务</w:t>
      </w:r>
      <w:r>
        <w:rPr>
          <w:rFonts w:hint="default" w:ascii="Times New Roman" w:hAnsi="Times New Roman" w:eastAsia="仿宋_GB2312" w:cs="Times New Roman"/>
          <w:sz w:val="32"/>
          <w:szCs w:val="32"/>
          <w:lang w:val="en-US" w:eastAsia="zh-CN"/>
        </w:rPr>
        <w:t>，提高互动交流效率。</w:t>
      </w:r>
    </w:p>
    <w:p>
      <w:pPr>
        <w:shd w:val="clear" w:color="auto" w:fill="FFFFFF"/>
        <w:spacing w:line="580" w:lineRule="exact"/>
        <w:ind w:left="0" w:leftChars="0" w:right="0" w:firstLine="627" w:firstLineChars="196"/>
        <w:textAlignment w:val="auto"/>
        <w:outlineLvl w:val="9"/>
        <w:rPr>
          <w:rFonts w:hint="default" w:ascii="Times New Roman" w:hAnsi="Times New Roman" w:eastAsia="仿宋_GB2312" w:cs="Times New Roman"/>
          <w:b w:val="0"/>
          <w:bCs w:val="0"/>
          <w:color w:val="FF0000"/>
          <w:sz w:val="32"/>
          <w:szCs w:val="32"/>
          <w:highlight w:val="none"/>
          <w:lang w:eastAsia="zh-CN"/>
        </w:rPr>
      </w:pPr>
      <w:r>
        <w:rPr>
          <w:rFonts w:hint="default" w:ascii="Times New Roman" w:hAnsi="Times New Roman" w:eastAsia="楷体_GB2312" w:cs="Times New Roman"/>
          <w:b w:val="0"/>
          <w:bCs/>
          <w:color w:val="000000"/>
          <w:kern w:val="0"/>
          <w:sz w:val="32"/>
          <w:szCs w:val="32"/>
          <w:lang w:eastAsia="zh-CN"/>
        </w:rPr>
        <w:t>（</w:t>
      </w:r>
      <w:r>
        <w:rPr>
          <w:rFonts w:hint="default" w:ascii="Times New Roman" w:hAnsi="Times New Roman" w:eastAsia="楷体_GB2312" w:cs="Times New Roman"/>
          <w:b w:val="0"/>
          <w:bCs/>
          <w:color w:val="000000"/>
          <w:kern w:val="0"/>
          <w:sz w:val="32"/>
          <w:szCs w:val="32"/>
          <w:lang w:val="en-US" w:eastAsia="zh-CN"/>
        </w:rPr>
        <w:t>七</w:t>
      </w:r>
      <w:r>
        <w:rPr>
          <w:rFonts w:hint="default" w:ascii="Times New Roman" w:hAnsi="Times New Roman" w:eastAsia="楷体_GB2312" w:cs="Times New Roman"/>
          <w:b w:val="0"/>
          <w:bCs/>
          <w:color w:val="000000"/>
          <w:kern w:val="0"/>
          <w:sz w:val="32"/>
          <w:szCs w:val="32"/>
          <w:lang w:eastAsia="zh-CN"/>
        </w:rPr>
        <w:t>）舆情监察方面</w:t>
      </w:r>
      <w:r>
        <w:rPr>
          <w:rFonts w:hint="default" w:ascii="Times New Roman" w:hAnsi="Times New Roman" w:eastAsia="楷体_GB2312" w:cs="Times New Roman"/>
          <w:b w:val="0"/>
          <w:bCs/>
          <w:color w:val="000000"/>
          <w:kern w:val="0"/>
          <w:sz w:val="32"/>
          <w:szCs w:val="32"/>
        </w:rPr>
        <w:t>。</w:t>
      </w:r>
      <w:r>
        <w:rPr>
          <w:rFonts w:hint="default" w:ascii="Times New Roman" w:hAnsi="Times New Roman" w:eastAsia="仿宋_GB2312" w:cs="Times New Roman"/>
          <w:sz w:val="32"/>
          <w:szCs w:val="32"/>
        </w:rPr>
        <w:t>充分利用“互联网舆情信息监控系统”，</w:t>
      </w:r>
      <w:r>
        <w:rPr>
          <w:rFonts w:hint="default" w:ascii="Times New Roman" w:hAnsi="Times New Roman" w:eastAsia="仿宋_GB2312" w:cs="Times New Roman"/>
          <w:sz w:val="32"/>
          <w:szCs w:val="32"/>
          <w:highlight w:val="none"/>
        </w:rPr>
        <w:t>实行“每小时监察汇报制度”，主动监测收集政务舆情动态，做到及时预警、科学研判、妥善处理、有效回应。一年来共监测到涉及樟木头镇的舆情信息1</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00多条，协助处理了1</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起新闻媒体曝光及网络反映重大事件。</w:t>
      </w:r>
    </w:p>
    <w:p>
      <w:pPr>
        <w:pStyle w:val="5"/>
        <w:widowControl/>
        <w:wordWrap w:val="0"/>
        <w:spacing w:before="0" w:beforeAutospacing="0" w:after="0" w:afterAutospacing="0" w:line="580" w:lineRule="exact"/>
        <w:ind w:left="0" w:leftChars="0" w:right="0"/>
        <w:jc w:val="both"/>
        <w:textAlignment w:val="auto"/>
        <w:outlineLvl w:val="9"/>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楷体_GB2312" w:cs="Times New Roman"/>
          <w:b/>
          <w:color w:val="000000"/>
          <w:kern w:val="0"/>
          <w:sz w:val="32"/>
          <w:szCs w:val="32"/>
          <w:lang w:val="en-US" w:eastAsia="zh-CN"/>
        </w:rPr>
        <w:t xml:space="preserve">    </w:t>
      </w:r>
      <w:r>
        <w:rPr>
          <w:rFonts w:hint="default" w:ascii="Times New Roman" w:hAnsi="Times New Roman" w:eastAsia="楷体_GB2312" w:cs="Times New Roman"/>
          <w:b w:val="0"/>
          <w:bCs/>
          <w:color w:val="000000"/>
          <w:kern w:val="0"/>
          <w:sz w:val="32"/>
          <w:szCs w:val="32"/>
        </w:rPr>
        <w:t>（</w:t>
      </w:r>
      <w:r>
        <w:rPr>
          <w:rFonts w:hint="default" w:ascii="Times New Roman" w:hAnsi="Times New Roman" w:eastAsia="楷体_GB2312" w:cs="Times New Roman"/>
          <w:b w:val="0"/>
          <w:bCs/>
          <w:color w:val="000000"/>
          <w:kern w:val="0"/>
          <w:sz w:val="32"/>
          <w:szCs w:val="32"/>
          <w:lang w:val="en-US" w:eastAsia="zh-CN"/>
        </w:rPr>
        <w:t>八</w:t>
      </w:r>
      <w:r>
        <w:rPr>
          <w:rFonts w:hint="default" w:ascii="Times New Roman" w:hAnsi="Times New Roman" w:eastAsia="楷体_GB2312" w:cs="Times New Roman"/>
          <w:b w:val="0"/>
          <w:bCs/>
          <w:color w:val="000000"/>
          <w:kern w:val="0"/>
          <w:sz w:val="32"/>
          <w:szCs w:val="32"/>
        </w:rPr>
        <w:t>）监督</w:t>
      </w:r>
      <w:r>
        <w:rPr>
          <w:rFonts w:hint="default" w:ascii="Times New Roman" w:hAnsi="Times New Roman" w:eastAsia="楷体_GB2312" w:cs="Times New Roman"/>
          <w:b w:val="0"/>
          <w:bCs/>
          <w:color w:val="000000"/>
          <w:kern w:val="0"/>
          <w:sz w:val="32"/>
          <w:szCs w:val="32"/>
          <w:lang w:eastAsia="zh-CN"/>
        </w:rPr>
        <w:t>管理方面</w:t>
      </w:r>
      <w:r>
        <w:rPr>
          <w:rFonts w:hint="default" w:ascii="Times New Roman" w:hAnsi="Times New Roman" w:eastAsia="楷体_GB2312" w:cs="Times New Roman"/>
          <w:b w:val="0"/>
          <w:bCs/>
          <w:color w:val="000000"/>
          <w:kern w:val="0"/>
          <w:sz w:val="32"/>
          <w:szCs w:val="32"/>
        </w:rPr>
        <w:t>。</w:t>
      </w:r>
      <w:r>
        <w:rPr>
          <w:rFonts w:hint="default" w:ascii="Times New Roman" w:hAnsi="Times New Roman" w:eastAsia="仿宋_GB2312" w:cs="Times New Roman"/>
          <w:sz w:val="32"/>
          <w:szCs w:val="32"/>
        </w:rPr>
        <w:t>将政务</w:t>
      </w:r>
      <w:r>
        <w:rPr>
          <w:rFonts w:hint="default" w:ascii="Times New Roman" w:hAnsi="Times New Roman" w:eastAsia="仿宋_GB2312" w:cs="Times New Roman"/>
          <w:color w:val="333333"/>
          <w:sz w:val="32"/>
          <w:szCs w:val="32"/>
          <w:shd w:val="clear" w:color="auto" w:fill="FFFFFF"/>
        </w:rPr>
        <w:t>信息公开、网站管理、政务新媒体纳入政府绩效考核体系，让监督机制发挥刚性约束作用。</w:t>
      </w:r>
    </w:p>
    <w:p>
      <w:pPr>
        <w:widowControl/>
        <w:shd w:val="clear" w:color="auto" w:fill="FFFFFF"/>
        <w:adjustRightInd w:val="0"/>
        <w:snapToGrid w:val="0"/>
        <w:spacing w:line="580" w:lineRule="exact"/>
        <w:ind w:left="0" w:leftChars="0" w:right="0" w:firstLine="630" w:firstLineChars="196"/>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rPr>
        <w:t>二、主动公开政府信息情况</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6"/>
        <w:tblW w:w="8399" w:type="dxa"/>
        <w:jc w:val="center"/>
        <w:shd w:val="clear" w:color="auto" w:fill="auto"/>
        <w:tblLayout w:type="fixed"/>
        <w:tblCellMar>
          <w:top w:w="0" w:type="dxa"/>
          <w:left w:w="0" w:type="dxa"/>
          <w:bottom w:w="0" w:type="dxa"/>
          <w:right w:w="0" w:type="dxa"/>
        </w:tblCellMar>
      </w:tblPr>
      <w:tblGrid>
        <w:gridCol w:w="2032"/>
        <w:gridCol w:w="2079"/>
        <w:gridCol w:w="2153"/>
        <w:gridCol w:w="2135"/>
      </w:tblGrid>
      <w:tr>
        <w:tblPrEx>
          <w:shd w:val="clear" w:color="auto" w:fill="auto"/>
          <w:tblCellMar>
            <w:top w:w="0" w:type="dxa"/>
            <w:left w:w="0" w:type="dxa"/>
            <w:bottom w:w="0" w:type="dxa"/>
            <w:right w:w="0" w:type="dxa"/>
          </w:tblCellMar>
        </w:tblPrEx>
        <w:trPr>
          <w:trHeight w:val="340" w:hRule="atLeast"/>
          <w:jc w:val="center"/>
        </w:trPr>
        <w:tc>
          <w:tcPr>
            <w:tcW w:w="8399"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第二十条第（一）项</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信息内容</w:t>
            </w:r>
          </w:p>
        </w:tc>
        <w:tc>
          <w:tcPr>
            <w:tcW w:w="207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本年</w:t>
            </w:r>
            <w:r>
              <w:rPr>
                <w:rFonts w:hint="default" w:ascii="Times New Roman" w:hAnsi="Times New Roman" w:eastAsia="宋体" w:cs="Times New Roman"/>
                <w:kern w:val="0"/>
                <w:sz w:val="20"/>
                <w:szCs w:val="20"/>
                <w:lang w:val="en-US" w:eastAsia="zh-CN" w:bidi="ar-SA"/>
              </w:rPr>
              <w:t>制发件数</w:t>
            </w:r>
          </w:p>
        </w:tc>
        <w:tc>
          <w:tcPr>
            <w:tcW w:w="215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本年废止件数</w:t>
            </w:r>
          </w:p>
        </w:tc>
        <w:tc>
          <w:tcPr>
            <w:tcW w:w="21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现行有效件</w:t>
            </w:r>
            <w:r>
              <w:rPr>
                <w:rFonts w:hint="default" w:ascii="Times New Roman" w:hAnsi="Times New Roman" w:eastAsia="宋体" w:cs="Times New Roman"/>
                <w:kern w:val="0"/>
                <w:sz w:val="20"/>
                <w:szCs w:val="20"/>
                <w:lang w:val="en-US" w:eastAsia="zh-CN" w:bidi="ar-SA"/>
              </w:rPr>
              <w:t>数</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规章</w:t>
            </w:r>
          </w:p>
        </w:tc>
        <w:tc>
          <w:tcPr>
            <w:tcW w:w="207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color w:val="000000"/>
                <w:kern w:val="0"/>
                <w:sz w:val="20"/>
                <w:szCs w:val="20"/>
                <w:lang w:val="en-US" w:eastAsia="zh-CN" w:bidi="ar-SA"/>
              </w:rPr>
              <w:t>0</w:t>
            </w:r>
          </w:p>
        </w:tc>
        <w:tc>
          <w:tcPr>
            <w:tcW w:w="215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0</w:t>
            </w:r>
          </w:p>
        </w:tc>
        <w:tc>
          <w:tcPr>
            <w:tcW w:w="21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0</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行政规范性文件</w:t>
            </w:r>
          </w:p>
        </w:tc>
        <w:tc>
          <w:tcPr>
            <w:tcW w:w="207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color w:val="000000"/>
                <w:kern w:val="0"/>
                <w:sz w:val="20"/>
                <w:szCs w:val="20"/>
                <w:lang w:val="en-US" w:eastAsia="zh-CN" w:bidi="ar-SA"/>
              </w:rPr>
              <w:t>3</w:t>
            </w:r>
          </w:p>
        </w:tc>
        <w:tc>
          <w:tcPr>
            <w:tcW w:w="215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0</w:t>
            </w:r>
          </w:p>
        </w:tc>
        <w:tc>
          <w:tcPr>
            <w:tcW w:w="21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42</w:t>
            </w:r>
          </w:p>
        </w:tc>
      </w:tr>
      <w:tr>
        <w:tblPrEx>
          <w:shd w:val="clear" w:color="auto" w:fill="auto"/>
          <w:tblCellMar>
            <w:top w:w="0" w:type="dxa"/>
            <w:left w:w="0" w:type="dxa"/>
            <w:bottom w:w="0" w:type="dxa"/>
            <w:right w:w="0" w:type="dxa"/>
          </w:tblCellMar>
        </w:tblPrEx>
        <w:trPr>
          <w:trHeight w:val="340" w:hRule="atLeast"/>
          <w:jc w:val="center"/>
        </w:trPr>
        <w:tc>
          <w:tcPr>
            <w:tcW w:w="839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第二十条第（五）项</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信息内容</w:t>
            </w:r>
          </w:p>
        </w:tc>
        <w:tc>
          <w:tcPr>
            <w:tcW w:w="636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行政许可</w:t>
            </w:r>
          </w:p>
        </w:tc>
        <w:tc>
          <w:tcPr>
            <w:tcW w:w="636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bidi="ar-SA"/>
              </w:rPr>
              <w:t>11752</w:t>
            </w:r>
          </w:p>
        </w:tc>
      </w:tr>
      <w:tr>
        <w:tblPrEx>
          <w:shd w:val="clear" w:color="auto" w:fill="auto"/>
          <w:tblCellMar>
            <w:top w:w="0" w:type="dxa"/>
            <w:left w:w="0" w:type="dxa"/>
            <w:bottom w:w="0" w:type="dxa"/>
            <w:right w:w="0" w:type="dxa"/>
          </w:tblCellMar>
        </w:tblPrEx>
        <w:trPr>
          <w:trHeight w:val="340" w:hRule="atLeast"/>
          <w:jc w:val="center"/>
        </w:trPr>
        <w:tc>
          <w:tcPr>
            <w:tcW w:w="839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第二十条第（六）项</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信息内容</w:t>
            </w:r>
          </w:p>
        </w:tc>
        <w:tc>
          <w:tcPr>
            <w:tcW w:w="636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行政处罚</w:t>
            </w:r>
          </w:p>
        </w:tc>
        <w:tc>
          <w:tcPr>
            <w:tcW w:w="636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bidi="ar-SA"/>
              </w:rPr>
              <w:t>944</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行政强制</w:t>
            </w:r>
          </w:p>
        </w:tc>
        <w:tc>
          <w:tcPr>
            <w:tcW w:w="636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bidi="ar-SA"/>
              </w:rPr>
              <w:t>66</w:t>
            </w:r>
          </w:p>
        </w:tc>
      </w:tr>
      <w:tr>
        <w:tblPrEx>
          <w:shd w:val="clear" w:color="auto" w:fill="auto"/>
          <w:tblCellMar>
            <w:top w:w="0" w:type="dxa"/>
            <w:left w:w="0" w:type="dxa"/>
            <w:bottom w:w="0" w:type="dxa"/>
            <w:right w:w="0" w:type="dxa"/>
          </w:tblCellMar>
        </w:tblPrEx>
        <w:trPr>
          <w:trHeight w:val="340" w:hRule="atLeast"/>
          <w:jc w:val="center"/>
        </w:trPr>
        <w:tc>
          <w:tcPr>
            <w:tcW w:w="839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第二十条第（八）项</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信息内容</w:t>
            </w:r>
          </w:p>
        </w:tc>
        <w:tc>
          <w:tcPr>
            <w:tcW w:w="636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本年收费金额（单位：万元）</w:t>
            </w:r>
          </w:p>
        </w:tc>
      </w:tr>
      <w:tr>
        <w:tblPrEx>
          <w:shd w:val="clear" w:color="auto" w:fill="auto"/>
          <w:tblCellMar>
            <w:top w:w="0" w:type="dxa"/>
            <w:left w:w="0" w:type="dxa"/>
            <w:bottom w:w="0" w:type="dxa"/>
            <w:right w:w="0" w:type="dxa"/>
          </w:tblCellMar>
        </w:tblPrEx>
        <w:trPr>
          <w:trHeight w:val="340" w:hRule="atLeast"/>
          <w:jc w:val="center"/>
        </w:trPr>
        <w:tc>
          <w:tcPr>
            <w:tcW w:w="20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SA"/>
              </w:rPr>
              <w:t>行政事业性收费</w:t>
            </w:r>
          </w:p>
        </w:tc>
        <w:tc>
          <w:tcPr>
            <w:tcW w:w="636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Times New Roman" w:hAnsi="Times New Roman" w:cs="Times New Roman"/>
                <w:sz w:val="24"/>
                <w:szCs w:val="24"/>
              </w:rPr>
            </w:pPr>
            <w:r>
              <w:rPr>
                <w:rFonts w:hint="default" w:ascii="Times New Roman" w:hAnsi="Times New Roman" w:eastAsia="宋体" w:cs="Times New Roman"/>
                <w:color w:val="000000"/>
                <w:kern w:val="0"/>
                <w:sz w:val="20"/>
                <w:szCs w:val="20"/>
                <w:lang w:val="en-US" w:eastAsia="zh-CN" w:bidi="ar-SA"/>
              </w:rPr>
              <w:t>4443.19</w:t>
            </w:r>
          </w:p>
        </w:tc>
      </w:tr>
    </w:tbl>
    <w:p>
      <w:pPr>
        <w:widowControl/>
        <w:shd w:val="clear" w:color="auto" w:fill="FFFFFF"/>
        <w:adjustRightInd w:val="0"/>
        <w:snapToGrid w:val="0"/>
        <w:spacing w:line="580" w:lineRule="exact"/>
        <w:ind w:left="0" w:leftChars="0" w:right="0" w:firstLine="480"/>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lang w:val="en-US" w:eastAsia="zh-CN"/>
        </w:rPr>
        <w:t xml:space="preserve">  </w:t>
      </w:r>
      <w:r>
        <w:rPr>
          <w:rFonts w:hint="default" w:ascii="Times New Roman" w:hAnsi="Times New Roman" w:eastAsia="黑体" w:cs="Times New Roman"/>
          <w:b/>
          <w:bCs/>
          <w:color w:val="333333"/>
          <w:kern w:val="0"/>
          <w:sz w:val="32"/>
          <w:szCs w:val="32"/>
        </w:rPr>
        <w:t>三、收到和处理政府信息公开申请情况</w:t>
      </w:r>
    </w:p>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6"/>
        <w:gridCol w:w="854"/>
        <w:gridCol w:w="2084"/>
        <w:gridCol w:w="580"/>
        <w:gridCol w:w="797"/>
        <w:gridCol w:w="709"/>
        <w:gridCol w:w="849"/>
        <w:gridCol w:w="850"/>
        <w:gridCol w:w="567"/>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（本列数据的勾稽关系为：第一项加第二项之和，等于第三项加第四项之和）</w:t>
            </w:r>
          </w:p>
        </w:tc>
        <w:tc>
          <w:tcPr>
            <w:tcW w:w="4768"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4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58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自然人</w:t>
            </w:r>
          </w:p>
        </w:tc>
        <w:tc>
          <w:tcPr>
            <w:tcW w:w="377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法人或其他组织</w:t>
            </w:r>
          </w:p>
        </w:tc>
        <w:tc>
          <w:tcPr>
            <w:tcW w:w="4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4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580" w:type="dxa"/>
            <w:vMerge w:val="continue"/>
            <w:tcBorders>
              <w:top w:val="nil"/>
              <w:left w:val="nil"/>
              <w:bottom w:val="single" w:color="auto" w:sz="8" w:space="0"/>
              <w:right w:val="single" w:color="auto" w:sz="8" w:space="0"/>
            </w:tcBorders>
            <w:vAlign w:val="center"/>
          </w:tcPr>
          <w:p>
            <w:pPr>
              <w:widowControl/>
              <w:wordWrap/>
              <w:adjustRightInd/>
              <w:snapToGrid/>
              <w:spacing w:line="4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商业企业</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科研机构</w:t>
            </w:r>
          </w:p>
        </w:tc>
        <w:tc>
          <w:tcPr>
            <w:tcW w:w="8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社会公益组织</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法律服务机构</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4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w:t>
            </w:r>
          </w:p>
        </w:tc>
        <w:tc>
          <w:tcPr>
            <w:tcW w:w="416" w:type="dxa"/>
            <w:vMerge w:val="continue"/>
            <w:tcBorders>
              <w:top w:val="single" w:color="auto" w:sz="8" w:space="0"/>
              <w:left w:val="nil"/>
              <w:bottom w:val="single" w:color="auto" w:sz="8" w:space="0"/>
              <w:right w:val="single" w:color="auto" w:sz="8" w:space="0"/>
            </w:tcBorders>
            <w:vAlign w:val="center"/>
          </w:tcPr>
          <w:p>
            <w:pPr>
              <w:widowControl/>
              <w:wordWrap/>
              <w:adjustRightInd/>
              <w:snapToGrid/>
              <w:spacing w:line="4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一、本年新收政府信息公开申请数量</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3</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0"/>
                <w:szCs w:val="20"/>
                <w:lang w:val="en-US" w:eastAsia="zh-CN"/>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二、上年结转政府信息公开申请数量</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三、本年度办理结果</w:t>
            </w: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（一）予以公开</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0"/>
                <w:szCs w:val="20"/>
                <w:lang w:val="en-US" w:eastAsia="zh-CN"/>
              </w:rPr>
              <w:t>2</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（二）部分公开（区分处理的，只计这一情形，不计其他情形）</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（三）不予公开</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1.属于国家秘密</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2.其他法律行政法规禁止公开</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3.危及“三安全一稳定”</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4.保护第三方合法权益</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5.属于三类内部事务信息</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0"/>
                <w:szCs w:val="20"/>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6.属于四类过程性信息</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7.属于行政执法案卷</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8.属于行政查询事项</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（四）无法提供</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1.本机关不掌握相关政府信息</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0"/>
                <w:szCs w:val="20"/>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2.没有现成信息需要另行制作</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3.补正后申请内容仍不明确</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（五）不予处理</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1.信访举报投诉类申请</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2.重复申请</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3.要求提供公开出版物</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4.无正当理由大量反复申请</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5.要求行政机关确认或重新出具已获取信息</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（六）其他处理</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（七）总计</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3</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四、结转下年度继续办理</w:t>
            </w:r>
          </w:p>
        </w:tc>
        <w:tc>
          <w:tcPr>
            <w:tcW w:w="5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0"/>
                <w:szCs w:val="20"/>
                <w:lang w:val="en-US" w:eastAsia="zh-CN"/>
              </w:rPr>
              <w:t>1</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40" w:lineRule="exact"/>
              <w:ind w:left="0" w:leftChars="0" w:right="0" w:firstLine="0" w:firstLineChars="0"/>
              <w:jc w:val="center"/>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val="en-US" w:eastAsia="zh-CN"/>
              </w:rPr>
              <w:t>1</w:t>
            </w:r>
          </w:p>
        </w:tc>
      </w:tr>
    </w:tbl>
    <w:p>
      <w:pPr>
        <w:widowControl/>
        <w:shd w:val="clear" w:color="auto" w:fill="FFFFFF"/>
        <w:adjustRightInd w:val="0"/>
        <w:snapToGrid w:val="0"/>
        <w:spacing w:line="580" w:lineRule="exact"/>
        <w:ind w:left="0" w:leftChars="0" w:right="0" w:firstLine="480"/>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rPr>
        <w:t>四、政府信息公开行政复议、行政诉讼情况</w:t>
      </w:r>
    </w:p>
    <w:tbl>
      <w:tblPr>
        <w:tblStyle w:val="6"/>
        <w:tblW w:w="8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8"/>
        <w:gridCol w:w="604"/>
        <w:gridCol w:w="590"/>
        <w:gridCol w:w="657"/>
        <w:gridCol w:w="475"/>
        <w:gridCol w:w="648"/>
        <w:gridCol w:w="598"/>
        <w:gridCol w:w="669"/>
        <w:gridCol w:w="516"/>
        <w:gridCol w:w="581"/>
        <w:gridCol w:w="665"/>
        <w:gridCol w:w="700"/>
        <w:gridCol w:w="709"/>
        <w:gridCol w:w="516"/>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93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行政复议</w:t>
            </w:r>
          </w:p>
        </w:tc>
        <w:tc>
          <w:tcPr>
            <w:tcW w:w="601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59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其他结果</w:t>
            </w:r>
          </w:p>
        </w:tc>
        <w:tc>
          <w:tcPr>
            <w:tcW w:w="65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47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c>
          <w:tcPr>
            <w:tcW w:w="301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未经复议直接起诉</w:t>
            </w:r>
          </w:p>
        </w:tc>
        <w:tc>
          <w:tcPr>
            <w:tcW w:w="3006"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8" w:type="dxa"/>
            <w:vMerge w:val="continue"/>
            <w:tcBorders>
              <w:top w:val="nil"/>
              <w:left w:val="single" w:color="auto" w:sz="8" w:space="0"/>
              <w:bottom w:val="single" w:color="auto" w:sz="8" w:space="0"/>
              <w:right w:val="single" w:color="auto" w:sz="8" w:space="0"/>
            </w:tcBorders>
            <w:vAlign w:val="center"/>
          </w:tcPr>
          <w:p>
            <w:pPr>
              <w:widowControl/>
              <w:wordWrap/>
              <w:adjustRightInd/>
              <w:snapToGrid/>
              <w:spacing w:line="3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604" w:type="dxa"/>
            <w:vMerge w:val="continue"/>
            <w:tcBorders>
              <w:top w:val="nil"/>
              <w:left w:val="nil"/>
              <w:bottom w:val="single" w:color="auto" w:sz="8" w:space="0"/>
              <w:right w:val="single" w:color="auto" w:sz="8" w:space="0"/>
            </w:tcBorders>
            <w:vAlign w:val="center"/>
          </w:tcPr>
          <w:p>
            <w:pPr>
              <w:widowControl/>
              <w:wordWrap/>
              <w:adjustRightInd/>
              <w:snapToGrid/>
              <w:spacing w:line="3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590" w:type="dxa"/>
            <w:vMerge w:val="continue"/>
            <w:tcBorders>
              <w:top w:val="single" w:color="auto" w:sz="8" w:space="0"/>
              <w:left w:val="nil"/>
              <w:bottom w:val="single" w:color="auto" w:sz="8" w:space="0"/>
              <w:right w:val="single" w:color="auto" w:sz="8" w:space="0"/>
            </w:tcBorders>
            <w:vAlign w:val="center"/>
          </w:tcPr>
          <w:p>
            <w:pPr>
              <w:widowControl/>
              <w:wordWrap/>
              <w:adjustRightInd/>
              <w:snapToGrid/>
              <w:spacing w:line="3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657" w:type="dxa"/>
            <w:vMerge w:val="continue"/>
            <w:tcBorders>
              <w:top w:val="single" w:color="auto" w:sz="8" w:space="0"/>
              <w:left w:val="nil"/>
              <w:bottom w:val="single" w:color="auto" w:sz="8" w:space="0"/>
              <w:right w:val="single" w:color="auto" w:sz="8" w:space="0"/>
            </w:tcBorders>
            <w:vAlign w:val="center"/>
          </w:tcPr>
          <w:p>
            <w:pPr>
              <w:widowControl/>
              <w:wordWrap/>
              <w:adjustRightInd/>
              <w:snapToGrid/>
              <w:spacing w:line="3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475" w:type="dxa"/>
            <w:vMerge w:val="continue"/>
            <w:tcBorders>
              <w:top w:val="single" w:color="auto" w:sz="8" w:space="0"/>
              <w:left w:val="nil"/>
              <w:bottom w:val="single" w:color="auto" w:sz="8" w:space="0"/>
              <w:right w:val="single" w:color="auto" w:sz="8" w:space="0"/>
            </w:tcBorders>
            <w:vAlign w:val="center"/>
          </w:tcPr>
          <w:p>
            <w:pPr>
              <w:widowControl/>
              <w:wordWrap/>
              <w:adjustRightInd/>
              <w:snapToGrid/>
              <w:spacing w:line="300" w:lineRule="exact"/>
              <w:ind w:left="0" w:leftChars="0" w:right="0" w:firstLine="0" w:firstLineChars="0"/>
              <w:jc w:val="left"/>
              <w:textAlignment w:val="auto"/>
              <w:outlineLvl w:val="9"/>
              <w:rPr>
                <w:rFonts w:hint="default" w:ascii="Times New Roman" w:hAnsi="Times New Roman" w:eastAsia="宋体" w:cs="Times New Roman"/>
                <w:kern w:val="0"/>
                <w:sz w:val="24"/>
                <w:szCs w:val="24"/>
              </w:rPr>
            </w:pP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6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其他结果</w:t>
            </w: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5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c>
          <w:tcPr>
            <w:tcW w:w="6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7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其他结果</w:t>
            </w: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adjustRightInd/>
              <w:snapToGrid/>
              <w:spacing w:line="300" w:lineRule="exact"/>
              <w:ind w:left="0" w:leftChars="0" w:right="0" w:firstLine="0" w:firstLineChars="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5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6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0</w:t>
            </w:r>
          </w:p>
        </w:tc>
        <w:tc>
          <w:tcPr>
            <w:tcW w:w="4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6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5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5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 0</w:t>
            </w:r>
          </w:p>
        </w:tc>
        <w:tc>
          <w:tcPr>
            <w:tcW w:w="6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 0</w:t>
            </w:r>
          </w:p>
        </w:tc>
        <w:tc>
          <w:tcPr>
            <w:tcW w:w="5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0</w:t>
            </w:r>
          </w:p>
        </w:tc>
        <w:tc>
          <w:tcPr>
            <w:tcW w:w="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ind w:left="0" w:leftChars="0" w:right="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bl>
    <w:p>
      <w:pPr>
        <w:widowControl/>
        <w:shd w:val="clear" w:color="auto" w:fill="FFFFFF"/>
        <w:adjustRightInd w:val="0"/>
        <w:snapToGrid w:val="0"/>
        <w:spacing w:line="580" w:lineRule="exact"/>
        <w:ind w:right="0" w:firstLine="643" w:firstLineChars="200"/>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rPr>
        <w:t>五、</w:t>
      </w:r>
      <w:r>
        <w:rPr>
          <w:rFonts w:hint="default" w:ascii="Times New Roman" w:hAnsi="Times New Roman" w:eastAsia="黑体" w:cs="Times New Roman"/>
          <w:b/>
          <w:bCs/>
          <w:color w:val="333333"/>
          <w:kern w:val="0"/>
          <w:sz w:val="32"/>
          <w:szCs w:val="32"/>
          <w:lang w:val="en-US" w:eastAsia="zh-CN"/>
        </w:rPr>
        <w:t>信息处理费统计情况</w:t>
      </w:r>
    </w:p>
    <w:tbl>
      <w:tblPr>
        <w:tblStyle w:val="6"/>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4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本年度发出收费通知</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部分政府信息申请人放弃申请，实际收取信息处理费用（元）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数量（件）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金额（元）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iCs w:val="0"/>
                <w:color w:val="000000"/>
                <w:sz w:val="20"/>
                <w:szCs w:val="20"/>
                <w:u w:val="none"/>
              </w:rPr>
            </w:pPr>
            <w:r>
              <w:rPr>
                <w:rFonts w:hint="default" w:ascii="Times New Roman" w:hAnsi="Times New Roman" w:eastAsia="Arial Unicode MS" w:cs="Times New Roman"/>
                <w:i w:val="0"/>
                <w:iCs w:val="0"/>
                <w:color w:val="000000"/>
                <w:kern w:val="0"/>
                <w:sz w:val="20"/>
                <w:szCs w:val="20"/>
                <w:u w:val="none"/>
                <w:lang w:val="en-US" w:eastAsia="zh-CN" w:bidi="ar"/>
              </w:rPr>
              <w:t>0</w:t>
            </w:r>
          </w:p>
        </w:tc>
      </w:tr>
    </w:tbl>
    <w:p>
      <w:pPr>
        <w:widowControl/>
        <w:shd w:val="clear" w:color="auto" w:fill="FFFFFF"/>
        <w:adjustRightInd w:val="0"/>
        <w:snapToGrid w:val="0"/>
        <w:spacing w:line="580" w:lineRule="exact"/>
        <w:ind w:left="0" w:leftChars="0" w:right="0" w:firstLine="480"/>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lang w:val="en-US" w:eastAsia="zh-CN"/>
        </w:rPr>
        <w:t>六、</w:t>
      </w:r>
      <w:r>
        <w:rPr>
          <w:rFonts w:hint="default" w:ascii="Times New Roman" w:hAnsi="Times New Roman" w:eastAsia="黑体" w:cs="Times New Roman"/>
          <w:b/>
          <w:bCs/>
          <w:color w:val="333333"/>
          <w:kern w:val="0"/>
          <w:sz w:val="32"/>
          <w:szCs w:val="32"/>
        </w:rPr>
        <w:t>存在的主要问题及改进情况</w:t>
      </w:r>
    </w:p>
    <w:p>
      <w:pPr>
        <w:pStyle w:val="5"/>
        <w:widowControl/>
        <w:wordWrap w:val="0"/>
        <w:spacing w:before="0" w:beforeAutospacing="0" w:after="0" w:afterAutospacing="0" w:line="580" w:lineRule="exact"/>
        <w:ind w:left="0" w:leftChars="0" w:right="0" w:firstLine="640"/>
        <w:jc w:val="left"/>
        <w:textAlignment w:val="auto"/>
        <w:outlineLvl w:val="9"/>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lang w:val="en-US" w:eastAsia="zh-CN"/>
        </w:rPr>
        <w:t>2</w:t>
      </w:r>
      <w:r>
        <w:rPr>
          <w:rFonts w:hint="default" w:ascii="Times New Roman" w:hAnsi="Times New Roman" w:eastAsia="仿宋_GB2312" w:cs="Times New Roman"/>
          <w:i w:val="0"/>
          <w:iCs w:val="0"/>
          <w:caps w:val="0"/>
          <w:color w:val="333333"/>
          <w:spacing w:val="0"/>
          <w:sz w:val="32"/>
          <w:szCs w:val="32"/>
          <w:shd w:val="clear" w:fill="FFFFFF"/>
        </w:rPr>
        <w:t>年，我</w:t>
      </w:r>
      <w:r>
        <w:rPr>
          <w:rFonts w:hint="default" w:ascii="Times New Roman" w:hAnsi="Times New Roman" w:eastAsia="仿宋_GB2312" w:cs="Times New Roman"/>
          <w:i w:val="0"/>
          <w:iCs w:val="0"/>
          <w:caps w:val="0"/>
          <w:color w:val="333333"/>
          <w:spacing w:val="0"/>
          <w:sz w:val="32"/>
          <w:szCs w:val="32"/>
          <w:shd w:val="clear" w:fill="FFFFFF"/>
          <w:lang w:val="en-US" w:eastAsia="zh-CN"/>
        </w:rPr>
        <w:t>镇</w:t>
      </w:r>
      <w:r>
        <w:rPr>
          <w:rFonts w:hint="default" w:ascii="Times New Roman" w:hAnsi="Times New Roman" w:eastAsia="仿宋_GB2312" w:cs="Times New Roman"/>
          <w:i w:val="0"/>
          <w:iCs w:val="0"/>
          <w:caps w:val="0"/>
          <w:color w:val="333333"/>
          <w:spacing w:val="0"/>
          <w:sz w:val="32"/>
          <w:szCs w:val="32"/>
          <w:shd w:val="clear" w:fill="FFFFFF"/>
        </w:rPr>
        <w:t>认真贯彻落实市</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镇</w:t>
      </w:r>
      <w:r>
        <w:rPr>
          <w:rFonts w:hint="default" w:ascii="Times New Roman" w:hAnsi="Times New Roman" w:eastAsia="仿宋_GB2312" w:cs="Times New Roman"/>
          <w:i w:val="0"/>
          <w:iCs w:val="0"/>
          <w:caps w:val="0"/>
          <w:color w:val="333333"/>
          <w:spacing w:val="0"/>
          <w:sz w:val="32"/>
          <w:szCs w:val="32"/>
          <w:shd w:val="clear" w:fill="FFFFFF"/>
        </w:rPr>
        <w:t>政务公开年度工作要点，高质量完成各项工作任务，但仍存在一些薄弱环节，主要表现在：一是部分单位主动公开意识不强，业务工作人员水</w:t>
      </w:r>
      <w:r>
        <w:rPr>
          <w:rFonts w:hint="eastAsia" w:ascii="Times New Roman" w:hAnsi="Times New Roman" w:eastAsia="仿宋_GB2312" w:cs="Times New Roman"/>
          <w:i w:val="0"/>
          <w:iCs w:val="0"/>
          <w:caps w:val="0"/>
          <w:color w:val="333333"/>
          <w:spacing w:val="0"/>
          <w:sz w:val="32"/>
          <w:szCs w:val="32"/>
          <w:shd w:val="clear" w:fill="FFFFFF"/>
          <w:lang w:val="en-US" w:eastAsia="zh-CN"/>
        </w:rPr>
        <w:t>平</w:t>
      </w:r>
      <w:r>
        <w:rPr>
          <w:rFonts w:hint="default" w:ascii="Times New Roman" w:hAnsi="Times New Roman" w:eastAsia="仿宋_GB2312" w:cs="Times New Roman"/>
          <w:i w:val="0"/>
          <w:iCs w:val="0"/>
          <w:caps w:val="0"/>
          <w:color w:val="333333"/>
          <w:spacing w:val="0"/>
          <w:sz w:val="32"/>
          <w:szCs w:val="32"/>
          <w:shd w:val="clear" w:fill="FFFFFF"/>
        </w:rPr>
        <w:t>有待提高。</w:t>
      </w:r>
      <w:r>
        <w:rPr>
          <w:rFonts w:hint="default" w:ascii="Times New Roman" w:hAnsi="Times New Roman" w:eastAsia="仿宋_GB2312" w:cs="Times New Roman"/>
          <w:i w:val="0"/>
          <w:iCs w:val="0"/>
          <w:caps w:val="0"/>
          <w:color w:val="333333"/>
          <w:spacing w:val="0"/>
          <w:sz w:val="32"/>
          <w:szCs w:val="32"/>
          <w:shd w:val="clear" w:fill="FFFFFF"/>
          <w:lang w:val="en-US" w:eastAsia="zh-CN"/>
        </w:rPr>
        <w:t>二是信息发布审查力度有待加强。三是政务公开力度仍</w:t>
      </w:r>
      <w:r>
        <w:rPr>
          <w:rFonts w:hint="default" w:ascii="Times New Roman" w:hAnsi="Times New Roman" w:eastAsia="仿宋_GB2312" w:cs="Times New Roman"/>
          <w:i w:val="0"/>
          <w:iCs w:val="0"/>
          <w:caps w:val="0"/>
          <w:color w:val="333333"/>
          <w:spacing w:val="0"/>
          <w:sz w:val="32"/>
          <w:szCs w:val="32"/>
          <w:shd w:val="clear" w:fill="FFFFFF"/>
        </w:rPr>
        <w:t>需进一步</w:t>
      </w:r>
      <w:r>
        <w:rPr>
          <w:rFonts w:hint="default" w:ascii="Times New Roman" w:hAnsi="Times New Roman" w:eastAsia="仿宋_GB2312" w:cs="Times New Roman"/>
          <w:i w:val="0"/>
          <w:iCs w:val="0"/>
          <w:caps w:val="0"/>
          <w:color w:val="333333"/>
          <w:spacing w:val="0"/>
          <w:sz w:val="32"/>
          <w:szCs w:val="32"/>
          <w:shd w:val="clear" w:fill="FFFFFF"/>
          <w:lang w:val="en-US" w:eastAsia="zh-CN"/>
        </w:rPr>
        <w:t>加强</w:t>
      </w:r>
      <w:r>
        <w:rPr>
          <w:rFonts w:hint="default" w:ascii="Times New Roman" w:hAnsi="Times New Roman" w:eastAsia="仿宋_GB2312" w:cs="Times New Roman"/>
          <w:i w:val="0"/>
          <w:iCs w:val="0"/>
          <w:caps w:val="0"/>
          <w:color w:val="333333"/>
          <w:spacing w:val="0"/>
          <w:sz w:val="32"/>
          <w:szCs w:val="32"/>
          <w:shd w:val="clear" w:fill="FFFFFF"/>
        </w:rPr>
        <w:t>。下</w:t>
      </w:r>
      <w:r>
        <w:rPr>
          <w:rFonts w:hint="eastAsia" w:ascii="Times New Roman" w:hAnsi="Times New Roman" w:eastAsia="仿宋_GB2312" w:cs="Times New Roman"/>
          <w:i w:val="0"/>
          <w:iCs w:val="0"/>
          <w:caps w:val="0"/>
          <w:color w:val="333333"/>
          <w:spacing w:val="0"/>
          <w:sz w:val="32"/>
          <w:szCs w:val="32"/>
          <w:shd w:val="clear" w:fill="FFFFFF"/>
          <w:lang w:val="en-US" w:eastAsia="zh-CN"/>
        </w:rPr>
        <w:t>来</w:t>
      </w:r>
      <w:r>
        <w:rPr>
          <w:rFonts w:hint="default" w:ascii="Times New Roman" w:hAnsi="Times New Roman" w:eastAsia="仿宋_GB2312" w:cs="Times New Roman"/>
          <w:i w:val="0"/>
          <w:iCs w:val="0"/>
          <w:caps w:val="0"/>
          <w:color w:val="333333"/>
          <w:spacing w:val="0"/>
          <w:sz w:val="32"/>
          <w:szCs w:val="32"/>
          <w:shd w:val="clear" w:fill="FFFFFF"/>
        </w:rPr>
        <w:t>将采取以下措施加以改进：</w:t>
      </w:r>
    </w:p>
    <w:p>
      <w:pPr>
        <w:pStyle w:val="5"/>
        <w:widowControl/>
        <w:wordWrap w:val="0"/>
        <w:spacing w:before="0" w:beforeAutospacing="0" w:after="0" w:afterAutospacing="0" w:line="580" w:lineRule="exact"/>
        <w:ind w:left="0" w:leftChars="0" w:right="0" w:firstLine="640"/>
        <w:jc w:val="left"/>
        <w:textAlignment w:val="auto"/>
        <w:outlineLvl w:val="9"/>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一是持续加强政务公开培训。把《中华人民共和国政府信息公开条例》作为落实领导干部学法制度的重要内容，稳步提升政府领导干部的政务公开意识和水平。同时</w:t>
      </w:r>
      <w:r>
        <w:rPr>
          <w:rFonts w:hint="default" w:ascii="Times New Roman" w:hAnsi="Times New Roman" w:eastAsia="仿宋_GB2312" w:cs="Times New Roman"/>
          <w:i w:val="0"/>
          <w:iCs w:val="0"/>
          <w:caps w:val="0"/>
          <w:color w:val="333333"/>
          <w:spacing w:val="0"/>
          <w:sz w:val="32"/>
          <w:szCs w:val="32"/>
          <w:shd w:val="clear" w:fill="FFFFFF"/>
          <w:lang w:val="en-US" w:eastAsia="zh-CN"/>
        </w:rPr>
        <w:t>加大对</w:t>
      </w:r>
      <w:r>
        <w:rPr>
          <w:rFonts w:hint="default" w:ascii="Times New Roman" w:hAnsi="Times New Roman" w:eastAsia="仿宋_GB2312" w:cs="Times New Roman"/>
          <w:i w:val="0"/>
          <w:iCs w:val="0"/>
          <w:caps w:val="0"/>
          <w:color w:val="333333"/>
          <w:spacing w:val="0"/>
          <w:sz w:val="32"/>
          <w:szCs w:val="32"/>
          <w:shd w:val="clear" w:fill="FFFFFF"/>
        </w:rPr>
        <w:t>政务公开工作队伍</w:t>
      </w:r>
      <w:r>
        <w:rPr>
          <w:rFonts w:hint="default" w:ascii="Times New Roman" w:hAnsi="Times New Roman" w:eastAsia="仿宋_GB2312" w:cs="Times New Roman"/>
          <w:i w:val="0"/>
          <w:iCs w:val="0"/>
          <w:caps w:val="0"/>
          <w:color w:val="333333"/>
          <w:spacing w:val="0"/>
          <w:sz w:val="32"/>
          <w:szCs w:val="32"/>
          <w:shd w:val="clear" w:fill="FFFFFF"/>
          <w:lang w:val="en-US" w:eastAsia="zh-CN"/>
        </w:rPr>
        <w:t>的</w:t>
      </w:r>
      <w:r>
        <w:rPr>
          <w:rFonts w:hint="default" w:ascii="Times New Roman" w:hAnsi="Times New Roman" w:eastAsia="仿宋_GB2312" w:cs="Times New Roman"/>
          <w:i w:val="0"/>
          <w:iCs w:val="0"/>
          <w:caps w:val="0"/>
          <w:color w:val="333333"/>
          <w:spacing w:val="0"/>
          <w:sz w:val="32"/>
          <w:szCs w:val="32"/>
          <w:shd w:val="clear" w:fill="FFFFFF"/>
        </w:rPr>
        <w:t>培训力度，强化理论武装，不断提升全</w:t>
      </w:r>
      <w:r>
        <w:rPr>
          <w:rFonts w:hint="default" w:ascii="Times New Roman" w:hAnsi="Times New Roman" w:eastAsia="仿宋_GB2312" w:cs="Times New Roman"/>
          <w:i w:val="0"/>
          <w:iCs w:val="0"/>
          <w:caps w:val="0"/>
          <w:color w:val="333333"/>
          <w:spacing w:val="0"/>
          <w:sz w:val="32"/>
          <w:szCs w:val="32"/>
          <w:shd w:val="clear" w:fill="FFFFFF"/>
          <w:lang w:val="en-US" w:eastAsia="zh-CN"/>
        </w:rPr>
        <w:t>镇工作队伍</w:t>
      </w:r>
      <w:r>
        <w:rPr>
          <w:rFonts w:hint="default" w:ascii="Times New Roman" w:hAnsi="Times New Roman" w:eastAsia="仿宋_GB2312" w:cs="Times New Roman"/>
          <w:i w:val="0"/>
          <w:iCs w:val="0"/>
          <w:caps w:val="0"/>
          <w:color w:val="333333"/>
          <w:spacing w:val="0"/>
          <w:sz w:val="32"/>
          <w:szCs w:val="32"/>
          <w:shd w:val="clear" w:fill="FFFFFF"/>
        </w:rPr>
        <w:t>综合素养和业务能力。</w:t>
      </w:r>
    </w:p>
    <w:p>
      <w:pPr>
        <w:pStyle w:val="5"/>
        <w:widowControl/>
        <w:wordWrap w:val="0"/>
        <w:spacing w:before="0" w:beforeAutospacing="0" w:after="0" w:afterAutospacing="0" w:line="580" w:lineRule="exact"/>
        <w:ind w:left="0" w:leftChars="0" w:right="0" w:firstLine="640"/>
        <w:jc w:val="left"/>
        <w:textAlignment w:val="auto"/>
        <w:outlineLvl w:val="9"/>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二是做好督导检查保障工作。持续加大政府网站与政务新媒体常态化监管，落实专人专责，严格执行信息发布“先审后发”“三审三校”责任制，确保政府网站栏目、政务新媒体按要求更新，不出现错误表述，同时建立定期通报制度，将政务公开工作纳入各部门单位年度目标责任考核。</w:t>
      </w:r>
    </w:p>
    <w:p>
      <w:pPr>
        <w:pStyle w:val="5"/>
        <w:widowControl/>
        <w:wordWrap w:val="0"/>
        <w:spacing w:before="0" w:beforeAutospacing="0" w:after="0" w:afterAutospacing="0" w:line="580" w:lineRule="exact"/>
        <w:ind w:left="0" w:leftChars="0" w:right="0" w:firstLine="640"/>
        <w:jc w:val="left"/>
        <w:textAlignment w:val="auto"/>
        <w:outlineLvl w:val="9"/>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三是加大</w:t>
      </w:r>
      <w:r>
        <w:rPr>
          <w:rFonts w:hint="default" w:ascii="Times New Roman" w:hAnsi="Times New Roman" w:eastAsia="仿宋_GB2312" w:cs="Times New Roman"/>
          <w:i w:val="0"/>
          <w:iCs w:val="0"/>
          <w:caps w:val="0"/>
          <w:color w:val="333333"/>
          <w:spacing w:val="0"/>
          <w:sz w:val="32"/>
          <w:szCs w:val="32"/>
          <w:shd w:val="clear" w:fill="FFFFFF"/>
        </w:rPr>
        <w:t>政务公开的主动性和创造性</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客观分析新形势新任务，敏锐感知新情况新问题，持续深入学习贯彻国</w:t>
      </w:r>
      <w:r>
        <w:rPr>
          <w:rFonts w:hint="default" w:ascii="Times New Roman" w:hAnsi="Times New Roman" w:eastAsia="仿宋_GB2312" w:cs="Times New Roman"/>
          <w:i w:val="0"/>
          <w:iCs w:val="0"/>
          <w:caps w:val="0"/>
          <w:color w:val="333333"/>
          <w:spacing w:val="0"/>
          <w:sz w:val="32"/>
          <w:szCs w:val="32"/>
          <w:shd w:val="clear" w:fill="FFFFFF"/>
          <w:lang w:val="en-US" w:eastAsia="zh-CN"/>
        </w:rPr>
        <w:t>家、</w:t>
      </w:r>
      <w:r>
        <w:rPr>
          <w:rFonts w:hint="default" w:ascii="Times New Roman" w:hAnsi="Times New Roman" w:eastAsia="仿宋_GB2312" w:cs="Times New Roman"/>
          <w:i w:val="0"/>
          <w:iCs w:val="0"/>
          <w:caps w:val="0"/>
          <w:color w:val="333333"/>
          <w:spacing w:val="0"/>
          <w:sz w:val="32"/>
          <w:szCs w:val="32"/>
          <w:shd w:val="clear" w:fill="FFFFFF"/>
        </w:rPr>
        <w:t>省、市政务公开领导小组会议精神及政务公开工作重点要求</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根据每年制定的要点</w:t>
      </w:r>
      <w:r>
        <w:rPr>
          <w:rFonts w:hint="eastAsia" w:ascii="Times New Roman" w:hAnsi="Times New Roman" w:eastAsia="仿宋_GB2312" w:cs="Times New Roman"/>
          <w:i w:val="0"/>
          <w:iCs w:val="0"/>
          <w:caps w:val="0"/>
          <w:color w:val="333333"/>
          <w:spacing w:val="0"/>
          <w:sz w:val="32"/>
          <w:szCs w:val="32"/>
          <w:shd w:val="clear" w:fill="FFFFFF"/>
          <w:lang w:val="en-US" w:eastAsia="zh-CN"/>
        </w:rPr>
        <w:t>细化工作方案</w:t>
      </w:r>
      <w:r>
        <w:rPr>
          <w:rFonts w:hint="default" w:ascii="Times New Roman" w:hAnsi="Times New Roman" w:eastAsia="仿宋_GB2312" w:cs="Times New Roman"/>
          <w:i w:val="0"/>
          <w:iCs w:val="0"/>
          <w:caps w:val="0"/>
          <w:color w:val="333333"/>
          <w:spacing w:val="0"/>
          <w:sz w:val="32"/>
          <w:szCs w:val="32"/>
          <w:shd w:val="clear" w:fill="FFFFFF"/>
        </w:rPr>
        <w:t>，并明确分管负责人具体抓落实</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lang w:val="en-US" w:eastAsia="zh-CN"/>
        </w:rPr>
        <w:t>全力做好</w:t>
      </w:r>
      <w:r>
        <w:rPr>
          <w:rFonts w:hint="default" w:ascii="Times New Roman" w:hAnsi="Times New Roman" w:eastAsia="仿宋_GB2312" w:cs="Times New Roman"/>
          <w:i w:val="0"/>
          <w:iCs w:val="0"/>
          <w:caps w:val="0"/>
          <w:color w:val="333333"/>
          <w:spacing w:val="0"/>
          <w:sz w:val="32"/>
          <w:szCs w:val="32"/>
          <w:shd w:val="clear" w:fill="FFFFFF"/>
        </w:rPr>
        <w:t>政务公开</w:t>
      </w:r>
      <w:r>
        <w:rPr>
          <w:rFonts w:hint="eastAsia" w:ascii="Times New Roman" w:hAnsi="Times New Roman" w:eastAsia="仿宋_GB2312" w:cs="Times New Roman"/>
          <w:i w:val="0"/>
          <w:iCs w:val="0"/>
          <w:caps w:val="0"/>
          <w:color w:val="333333"/>
          <w:spacing w:val="0"/>
          <w:sz w:val="32"/>
          <w:szCs w:val="32"/>
          <w:shd w:val="clear" w:fill="FFFFFF"/>
          <w:lang w:val="en-US" w:eastAsia="zh-CN"/>
        </w:rPr>
        <w:t>工作</w:t>
      </w:r>
      <w:bookmarkStart w:id="0" w:name="_GoBack"/>
      <w:bookmarkEnd w:id="0"/>
      <w:r>
        <w:rPr>
          <w:rFonts w:hint="default" w:ascii="Times New Roman" w:hAnsi="Times New Roman" w:eastAsia="仿宋_GB2312" w:cs="Times New Roman"/>
          <w:i w:val="0"/>
          <w:iCs w:val="0"/>
          <w:caps w:val="0"/>
          <w:color w:val="333333"/>
          <w:spacing w:val="0"/>
          <w:sz w:val="32"/>
          <w:szCs w:val="32"/>
          <w:shd w:val="clear" w:fill="FFFFFF"/>
        </w:rPr>
        <w:t>。</w:t>
      </w:r>
    </w:p>
    <w:p>
      <w:pPr>
        <w:pStyle w:val="5"/>
        <w:widowControl/>
        <w:wordWrap w:val="0"/>
        <w:spacing w:before="0" w:beforeAutospacing="0" w:after="0" w:afterAutospacing="0" w:line="580" w:lineRule="exact"/>
        <w:ind w:left="0" w:leftChars="0" w:right="0"/>
        <w:jc w:val="left"/>
        <w:textAlignment w:val="auto"/>
        <w:outlineLvl w:val="9"/>
        <w:rPr>
          <w:rFonts w:hint="default" w:ascii="Times New Roman" w:hAnsi="Times New Roman" w:eastAsia="黑体" w:cs="Times New Roman"/>
          <w:b/>
          <w:bCs/>
          <w:color w:val="333333"/>
          <w:kern w:val="0"/>
          <w:sz w:val="32"/>
          <w:szCs w:val="32"/>
        </w:rPr>
      </w:pPr>
      <w:r>
        <w:rPr>
          <w:rFonts w:hint="default" w:ascii="Times New Roman" w:hAnsi="Times New Roman" w:eastAsia="黑体" w:cs="Times New Roman"/>
          <w:b/>
          <w:bCs/>
          <w:color w:val="333333"/>
          <w:kern w:val="0"/>
          <w:sz w:val="32"/>
          <w:szCs w:val="32"/>
          <w:lang w:val="en-US" w:eastAsia="zh-CN"/>
        </w:rPr>
        <w:t xml:space="preserve">    七</w:t>
      </w:r>
      <w:r>
        <w:rPr>
          <w:rFonts w:hint="default" w:ascii="Times New Roman" w:hAnsi="Times New Roman" w:eastAsia="黑体" w:cs="Times New Roman"/>
          <w:b/>
          <w:bCs/>
          <w:color w:val="333333"/>
          <w:kern w:val="0"/>
          <w:sz w:val="32"/>
          <w:szCs w:val="32"/>
        </w:rPr>
        <w:t>、其他需要报告的事项</w:t>
      </w:r>
    </w:p>
    <w:p>
      <w:pPr>
        <w:spacing w:line="580" w:lineRule="exact"/>
        <w:ind w:left="0" w:leftChars="0" w:right="0" w:firstLine="480" w:firstLineChars="15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无其他需要报告事项。</w:t>
      </w:r>
    </w:p>
    <w:sectPr>
      <w:pgSz w:w="11906" w:h="16838"/>
      <w:pgMar w:top="2041"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66FDC"/>
    <w:multiLevelType w:val="singleLevel"/>
    <w:tmpl w:val="6FB66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11"/>
    <w:rsid w:val="000106F0"/>
    <w:rsid w:val="00012238"/>
    <w:rsid w:val="00051B34"/>
    <w:rsid w:val="00065DD4"/>
    <w:rsid w:val="00093FF6"/>
    <w:rsid w:val="00094A4F"/>
    <w:rsid w:val="000A3BBD"/>
    <w:rsid w:val="000B7107"/>
    <w:rsid w:val="000C1EFA"/>
    <w:rsid w:val="00105587"/>
    <w:rsid w:val="00114641"/>
    <w:rsid w:val="00121688"/>
    <w:rsid w:val="00133CA3"/>
    <w:rsid w:val="00135D2D"/>
    <w:rsid w:val="00137DAB"/>
    <w:rsid w:val="00141B26"/>
    <w:rsid w:val="0018325C"/>
    <w:rsid w:val="001B19C2"/>
    <w:rsid w:val="001E114C"/>
    <w:rsid w:val="00247649"/>
    <w:rsid w:val="00253D59"/>
    <w:rsid w:val="002A747B"/>
    <w:rsid w:val="002B4D55"/>
    <w:rsid w:val="002D4B83"/>
    <w:rsid w:val="002D6DB0"/>
    <w:rsid w:val="002E2EEE"/>
    <w:rsid w:val="002E3C5F"/>
    <w:rsid w:val="00302021"/>
    <w:rsid w:val="00332BDE"/>
    <w:rsid w:val="00374899"/>
    <w:rsid w:val="00376F11"/>
    <w:rsid w:val="003A1C47"/>
    <w:rsid w:val="003A2AC5"/>
    <w:rsid w:val="003D419C"/>
    <w:rsid w:val="003D4938"/>
    <w:rsid w:val="003E0767"/>
    <w:rsid w:val="003E5E4F"/>
    <w:rsid w:val="004047C4"/>
    <w:rsid w:val="004150E1"/>
    <w:rsid w:val="00430E53"/>
    <w:rsid w:val="00434258"/>
    <w:rsid w:val="004C62B5"/>
    <w:rsid w:val="00515CB2"/>
    <w:rsid w:val="005428C8"/>
    <w:rsid w:val="00552A00"/>
    <w:rsid w:val="005647C8"/>
    <w:rsid w:val="00575F3F"/>
    <w:rsid w:val="005A2FB8"/>
    <w:rsid w:val="005A391C"/>
    <w:rsid w:val="005B2CFF"/>
    <w:rsid w:val="005B7904"/>
    <w:rsid w:val="005C1E9A"/>
    <w:rsid w:val="005D79CB"/>
    <w:rsid w:val="005E1560"/>
    <w:rsid w:val="00614A06"/>
    <w:rsid w:val="00642B49"/>
    <w:rsid w:val="00642E42"/>
    <w:rsid w:val="00643FC5"/>
    <w:rsid w:val="00644845"/>
    <w:rsid w:val="00647CD3"/>
    <w:rsid w:val="00663C7B"/>
    <w:rsid w:val="00663D17"/>
    <w:rsid w:val="00665FF0"/>
    <w:rsid w:val="00690501"/>
    <w:rsid w:val="006B45CE"/>
    <w:rsid w:val="006C0733"/>
    <w:rsid w:val="006C5937"/>
    <w:rsid w:val="006E0010"/>
    <w:rsid w:val="00731479"/>
    <w:rsid w:val="007472CD"/>
    <w:rsid w:val="00764FFC"/>
    <w:rsid w:val="00777881"/>
    <w:rsid w:val="007845C7"/>
    <w:rsid w:val="00786188"/>
    <w:rsid w:val="00792705"/>
    <w:rsid w:val="00805452"/>
    <w:rsid w:val="008173F0"/>
    <w:rsid w:val="00820E92"/>
    <w:rsid w:val="00821A79"/>
    <w:rsid w:val="00836A1F"/>
    <w:rsid w:val="00841C4E"/>
    <w:rsid w:val="0086259C"/>
    <w:rsid w:val="0087050F"/>
    <w:rsid w:val="00891303"/>
    <w:rsid w:val="00893203"/>
    <w:rsid w:val="008A4360"/>
    <w:rsid w:val="008B0635"/>
    <w:rsid w:val="008B46CC"/>
    <w:rsid w:val="008D561E"/>
    <w:rsid w:val="008E0197"/>
    <w:rsid w:val="008E161B"/>
    <w:rsid w:val="009222A2"/>
    <w:rsid w:val="00922942"/>
    <w:rsid w:val="00935C6A"/>
    <w:rsid w:val="00936D98"/>
    <w:rsid w:val="009639B9"/>
    <w:rsid w:val="00966A68"/>
    <w:rsid w:val="00973E42"/>
    <w:rsid w:val="009A758A"/>
    <w:rsid w:val="009B42BA"/>
    <w:rsid w:val="009D0E6C"/>
    <w:rsid w:val="009D4004"/>
    <w:rsid w:val="009F7ADD"/>
    <w:rsid w:val="00A35A39"/>
    <w:rsid w:val="00A85396"/>
    <w:rsid w:val="00A8725E"/>
    <w:rsid w:val="00A94D18"/>
    <w:rsid w:val="00AB0005"/>
    <w:rsid w:val="00AC469B"/>
    <w:rsid w:val="00AC7683"/>
    <w:rsid w:val="00AD4F2F"/>
    <w:rsid w:val="00B0572A"/>
    <w:rsid w:val="00B539BA"/>
    <w:rsid w:val="00B64A0E"/>
    <w:rsid w:val="00B7544E"/>
    <w:rsid w:val="00BA6555"/>
    <w:rsid w:val="00BD025B"/>
    <w:rsid w:val="00BE11C9"/>
    <w:rsid w:val="00C06937"/>
    <w:rsid w:val="00C22EDB"/>
    <w:rsid w:val="00C3595D"/>
    <w:rsid w:val="00C369AF"/>
    <w:rsid w:val="00C471B2"/>
    <w:rsid w:val="00C51EF7"/>
    <w:rsid w:val="00C83D7E"/>
    <w:rsid w:val="00C83E30"/>
    <w:rsid w:val="00C91B8E"/>
    <w:rsid w:val="00D03795"/>
    <w:rsid w:val="00D106F8"/>
    <w:rsid w:val="00D456FD"/>
    <w:rsid w:val="00D45781"/>
    <w:rsid w:val="00D55775"/>
    <w:rsid w:val="00D97CA8"/>
    <w:rsid w:val="00DA4F63"/>
    <w:rsid w:val="00DA59BB"/>
    <w:rsid w:val="00DA5FC2"/>
    <w:rsid w:val="00DB61A3"/>
    <w:rsid w:val="00DE5567"/>
    <w:rsid w:val="00E201C2"/>
    <w:rsid w:val="00E35E9A"/>
    <w:rsid w:val="00E417C2"/>
    <w:rsid w:val="00E64CD6"/>
    <w:rsid w:val="00E730C9"/>
    <w:rsid w:val="00E8310E"/>
    <w:rsid w:val="00EA30D4"/>
    <w:rsid w:val="00EB6073"/>
    <w:rsid w:val="00EE201A"/>
    <w:rsid w:val="00EF7951"/>
    <w:rsid w:val="00F00DAA"/>
    <w:rsid w:val="00F01A4C"/>
    <w:rsid w:val="00F25C6B"/>
    <w:rsid w:val="00F563D2"/>
    <w:rsid w:val="00F75AEE"/>
    <w:rsid w:val="00F83683"/>
    <w:rsid w:val="00F93BBD"/>
    <w:rsid w:val="00FD76AC"/>
    <w:rsid w:val="00FD7B6C"/>
    <w:rsid w:val="00FE6C93"/>
    <w:rsid w:val="00FF6106"/>
    <w:rsid w:val="0148395D"/>
    <w:rsid w:val="047C73B1"/>
    <w:rsid w:val="07A57415"/>
    <w:rsid w:val="09FC7A44"/>
    <w:rsid w:val="0A0D6DE5"/>
    <w:rsid w:val="0ADD41AD"/>
    <w:rsid w:val="0B2A0502"/>
    <w:rsid w:val="0B321E8D"/>
    <w:rsid w:val="0C5E0CEC"/>
    <w:rsid w:val="0E0753EC"/>
    <w:rsid w:val="0E241A4A"/>
    <w:rsid w:val="0EBA74CB"/>
    <w:rsid w:val="111D0B46"/>
    <w:rsid w:val="12054977"/>
    <w:rsid w:val="122E0151"/>
    <w:rsid w:val="12642892"/>
    <w:rsid w:val="14BC0BD3"/>
    <w:rsid w:val="14E3174C"/>
    <w:rsid w:val="16A77703"/>
    <w:rsid w:val="17650D66"/>
    <w:rsid w:val="1B147B59"/>
    <w:rsid w:val="1B3D7002"/>
    <w:rsid w:val="1CFD1302"/>
    <w:rsid w:val="21064F1C"/>
    <w:rsid w:val="217C3A26"/>
    <w:rsid w:val="23E85F9D"/>
    <w:rsid w:val="26C52468"/>
    <w:rsid w:val="29E47734"/>
    <w:rsid w:val="2AC26ECA"/>
    <w:rsid w:val="2D6A2CBC"/>
    <w:rsid w:val="2F913F63"/>
    <w:rsid w:val="345E6342"/>
    <w:rsid w:val="34687CB6"/>
    <w:rsid w:val="351E56AE"/>
    <w:rsid w:val="3BFA4C13"/>
    <w:rsid w:val="3C6A432E"/>
    <w:rsid w:val="3CCB7A67"/>
    <w:rsid w:val="3EBC7F53"/>
    <w:rsid w:val="404537FF"/>
    <w:rsid w:val="40FB0184"/>
    <w:rsid w:val="44D61FF2"/>
    <w:rsid w:val="47025B88"/>
    <w:rsid w:val="4A0108DA"/>
    <w:rsid w:val="4A1430B8"/>
    <w:rsid w:val="4AF66B16"/>
    <w:rsid w:val="4CE02018"/>
    <w:rsid w:val="4CEF6478"/>
    <w:rsid w:val="4EBE6E2D"/>
    <w:rsid w:val="4F566270"/>
    <w:rsid w:val="506C26A9"/>
    <w:rsid w:val="52F90ABB"/>
    <w:rsid w:val="539111B5"/>
    <w:rsid w:val="53DF09BC"/>
    <w:rsid w:val="5498429F"/>
    <w:rsid w:val="59493EBA"/>
    <w:rsid w:val="5A46750E"/>
    <w:rsid w:val="5A6913E7"/>
    <w:rsid w:val="5CE508F5"/>
    <w:rsid w:val="5D66168E"/>
    <w:rsid w:val="616755AD"/>
    <w:rsid w:val="616F60F3"/>
    <w:rsid w:val="65152779"/>
    <w:rsid w:val="677B1564"/>
    <w:rsid w:val="6A6F6736"/>
    <w:rsid w:val="7028546D"/>
    <w:rsid w:val="713B337A"/>
    <w:rsid w:val="736949C1"/>
    <w:rsid w:val="74C12D5B"/>
    <w:rsid w:val="74DE6AA1"/>
    <w:rsid w:val="76121EA3"/>
    <w:rsid w:val="76237D3B"/>
    <w:rsid w:val="76E10C9C"/>
    <w:rsid w:val="782100B5"/>
    <w:rsid w:val="784A259A"/>
    <w:rsid w:val="7AA64630"/>
    <w:rsid w:val="7B9F2185"/>
    <w:rsid w:val="7C1B7CDA"/>
    <w:rsid w:val="7D515F96"/>
    <w:rsid w:val="7E09187C"/>
    <w:rsid w:val="7E67256B"/>
    <w:rsid w:val="7F142C79"/>
    <w:rsid w:val="7F532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unhideWhenUsed/>
    <w:uiPriority w:val="99"/>
    <w:pPr>
      <w:ind w:right="-35" w:rightChars="-12"/>
    </w:pPr>
    <w:rPr>
      <w:rFonts w:ascii="Times New Roman" w:hAnsi="Times New Roman" w:eastAsia="仿宋_GB2312" w:cs="Times New Roman"/>
      <w:sz w:val="31"/>
      <w:lang w:val="en-US" w:eastAsia="zh-CN" w:bidi="ar-SA"/>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unhideWhenUsed/>
    <w:uiPriority w:val="99"/>
    <w:rPr>
      <w:color w:val="333333"/>
      <w:u w:val="none"/>
    </w:rPr>
  </w:style>
  <w:style w:type="character" w:styleId="10">
    <w:name w:val="Emphasis"/>
    <w:basedOn w:val="7"/>
    <w:qFormat/>
    <w:uiPriority w:val="20"/>
    <w:rPr>
      <w:color w:val="F73131"/>
    </w:rPr>
  </w:style>
  <w:style w:type="character" w:styleId="11">
    <w:name w:val="Hyperlink"/>
    <w:basedOn w:val="7"/>
    <w:unhideWhenUsed/>
    <w:uiPriority w:val="99"/>
    <w:rPr>
      <w:color w:val="333333"/>
      <w:u w:val="none"/>
    </w:rPr>
  </w:style>
  <w:style w:type="character" w:styleId="12">
    <w:name w:val="HTML Code"/>
    <w:basedOn w:val="7"/>
    <w:unhideWhenUsed/>
    <w:uiPriority w:val="99"/>
    <w:rPr>
      <w:rFonts w:ascii="Courier New" w:hAnsi="Courier New"/>
      <w:sz w:val="20"/>
    </w:rPr>
  </w:style>
  <w:style w:type="paragraph" w:customStyle="1" w:styleId="13">
    <w:name w:val="List Paragraph"/>
    <w:basedOn w:val="1"/>
    <w:qFormat/>
    <w:uiPriority w:val="34"/>
    <w:pPr>
      <w:ind w:firstLine="420" w:firstLineChars="200"/>
    </w:pPr>
  </w:style>
  <w:style w:type="paragraph" w:customStyle="1" w:styleId="14">
    <w:name w:val="pfonts"/>
    <w:basedOn w:val="1"/>
    <w:uiPriority w:val="0"/>
    <w:pPr>
      <w:jc w:val="left"/>
    </w:pPr>
    <w:rPr>
      <w:kern w:val="0"/>
      <w:lang w:val="en-US" w:eastAsia="zh-CN"/>
    </w:rPr>
  </w:style>
  <w:style w:type="character" w:customStyle="1" w:styleId="15">
    <w:name w:val="页眉 Char"/>
    <w:basedOn w:val="7"/>
    <w:link w:val="4"/>
    <w:semiHidden/>
    <w:uiPriority w:val="99"/>
    <w:rPr>
      <w:sz w:val="18"/>
      <w:szCs w:val="18"/>
    </w:rPr>
  </w:style>
  <w:style w:type="character" w:customStyle="1" w:styleId="16">
    <w:name w:val="页脚 Char"/>
    <w:basedOn w:val="7"/>
    <w:link w:val="3"/>
    <w:semiHidden/>
    <w:uiPriority w:val="99"/>
    <w:rPr>
      <w:sz w:val="18"/>
      <w:szCs w:val="18"/>
    </w:rPr>
  </w:style>
  <w:style w:type="character" w:customStyle="1" w:styleId="17">
    <w:name w:val="calendar-head__year-range"/>
    <w:basedOn w:val="7"/>
    <w:uiPriority w:val="0"/>
    <w:rPr>
      <w:vanish/>
    </w:rPr>
  </w:style>
  <w:style w:type="character" w:customStyle="1" w:styleId="18">
    <w:name w:val="calendar-head__next-year-btn"/>
    <w:basedOn w:val="7"/>
    <w:uiPriority w:val="0"/>
  </w:style>
  <w:style w:type="character" w:customStyle="1" w:styleId="19">
    <w:name w:val="calendar-head__next-month-btn"/>
    <w:basedOn w:val="7"/>
    <w:uiPriority w:val="0"/>
  </w:style>
  <w:style w:type="character" w:customStyle="1" w:styleId="20">
    <w:name w:val="active"/>
    <w:basedOn w:val="7"/>
    <w:uiPriority w:val="0"/>
    <w:rPr>
      <w:color w:val="333333"/>
    </w:rPr>
  </w:style>
  <w:style w:type="character" w:customStyle="1" w:styleId="21">
    <w:name w:val="calendar-head__next-range-btn"/>
    <w:basedOn w:val="7"/>
    <w:uiPriority w:val="0"/>
    <w:rPr>
      <w:vanish/>
    </w:rPr>
  </w:style>
  <w:style w:type="character" w:customStyle="1" w:styleId="22">
    <w:name w:val="hover"/>
    <w:basedOn w:val="7"/>
    <w:uiPriority w:val="0"/>
    <w:rPr>
      <w:color w:val="2F6EA2"/>
    </w:rPr>
  </w:style>
  <w:style w:type="character" w:customStyle="1" w:styleId="23">
    <w:name w:val="calendar-head__prev-range-btn"/>
    <w:basedOn w:val="7"/>
    <w:uiPriority w:val="0"/>
    <w:rPr>
      <w:vanish/>
    </w:rPr>
  </w:style>
  <w:style w:type="character" w:customStyle="1" w:styleId="24">
    <w:name w:val="calendar-head__text-display"/>
    <w:basedOn w:val="7"/>
    <w:uiPriority w:val="0"/>
    <w:rPr>
      <w:vanish/>
    </w:rPr>
  </w:style>
  <w:style w:type="character" w:customStyle="1" w:styleId="25">
    <w:name w:val="font11"/>
    <w:basedOn w:val="7"/>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584</Words>
  <Characters>3333</Characters>
  <Lines>27</Lines>
  <Paragraphs>7</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2021-02-01T01:18:00Z</dcterms:created>
  <dc:creator>Chinese User</dc:creator>
  <cp:lastModifiedBy>admin</cp:lastModifiedBy>
  <cp:lastPrinted>2023-01-20T02:03:00Z</cp:lastPrinted>
  <dcterms:modified xsi:type="dcterms:W3CDTF">2023-01-20T04:18:59Z</dcterms:modified>
  <dc:title>樟木头镇人民政府2021年政府信息公开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