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441900030-2025-00952</w:t>
      </w:r>
    </w:p>
    <w:p>
      <w:pPr>
        <w:pStyle w:val="null3"/>
        <w:jc w:val="center"/>
        <w:outlineLvl w:val="3"/>
      </w:pPr>
      <w:r>
        <w:rPr>
          <w:sz w:val="24"/>
          <w:b/>
        </w:rPr>
        <w:t>采购项目编号：</w:t>
      </w:r>
      <w:r>
        <w:rPr>
          <w:sz w:val="24"/>
          <w:b/>
        </w:rPr>
        <w:t>441900030-2025-00952</w:t>
      </w:r>
    </w:p>
    <w:p>
      <w:pPr>
        <w:pStyle w:val="null3"/>
        <w:jc w:val="center"/>
        <w:outlineLvl w:val="3"/>
      </w:pPr>
      <w:r>
        <w:rPr>
          <w:sz w:val="24"/>
          <w:b/>
        </w:rPr>
        <w:t>项目名称：</w:t>
      </w:r>
      <w:r>
        <w:rPr>
          <w:sz w:val="24"/>
          <w:b/>
        </w:rPr>
        <w:t>2026年东莞市公安局沙田分局交管大队电子警察运维项目</w:t>
      </w:r>
    </w:p>
    <w:p>
      <w:pPr>
        <w:pStyle w:val="null3"/>
        <w:jc w:val="center"/>
        <w:outlineLvl w:val="3"/>
      </w:pPr>
      <w:r>
        <w:rPr>
          <w:sz w:val="24"/>
          <w:b/>
        </w:rPr>
        <w:t>采购人：</w:t>
      </w:r>
      <w:r>
        <w:rPr>
          <w:sz w:val="24"/>
          <w:b/>
        </w:rPr>
        <w:t>东莞市公安局沙田分局</w:t>
      </w:r>
    </w:p>
    <w:p>
      <w:pPr>
        <w:pStyle w:val="null3"/>
        <w:jc w:val="center"/>
        <w:outlineLvl w:val="3"/>
      </w:pPr>
      <w:r>
        <w:rPr>
          <w:sz w:val="24"/>
          <w:b/>
        </w:rPr>
        <w:t>采购代理机构：</w:t>
      </w:r>
      <w:r>
        <w:rPr>
          <w:sz w:val="24"/>
          <w:b/>
        </w:rPr>
        <w:t>广东金业工程管理有限公司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广东金业工程管理有限公司</w:t>
      </w:r>
      <w:r>
        <w:rPr/>
        <w:t>受</w:t>
      </w:r>
      <w:r>
        <w:rPr/>
        <w:t>东莞市公安局沙田分局</w:t>
      </w:r>
      <w:r>
        <w:rPr/>
        <w:t>的委托，采用</w:t>
      </w:r>
      <w:r>
        <w:rPr/>
        <w:t>公开招标</w:t>
      </w:r>
      <w:r>
        <w:rPr/>
        <w:t>方式组织采购</w:t>
      </w:r>
      <w:r>
        <w:rPr/>
        <w:t>2026年东莞市公安局沙田分局交管大队电子警察运维项目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2026年东莞市公安局沙田分局交管大队电子警察运维项目</w:t>
      </w:r>
    </w:p>
    <w:p>
      <w:pPr>
        <w:pStyle w:val="null3"/>
        <w:ind w:firstLine="480"/>
      </w:pPr>
      <w:r>
        <w:rPr/>
        <w:t>采购计划编号：</w:t>
      </w:r>
      <w:r>
        <w:rPr/>
        <w:t>441900030-2025-00952</w:t>
      </w:r>
    </w:p>
    <w:p>
      <w:pPr>
        <w:pStyle w:val="null3"/>
        <w:ind w:firstLine="480"/>
      </w:pPr>
      <w:r>
        <w:rPr/>
        <w:t>采购项目编号：</w:t>
      </w:r>
      <w:r>
        <w:rPr/>
        <w:t>441900030-2025-00952</w:t>
      </w:r>
    </w:p>
    <w:p>
      <w:pPr>
        <w:pStyle w:val="null3"/>
        <w:ind w:firstLine="480"/>
      </w:pPr>
      <w:r>
        <w:rPr/>
        <w:t>采购方式：</w:t>
      </w:r>
      <w:r>
        <w:rPr/>
        <w:t>公开招标</w:t>
      </w:r>
    </w:p>
    <w:p>
      <w:pPr>
        <w:pStyle w:val="null3"/>
        <w:ind w:firstLine="480"/>
      </w:pPr>
      <w:r>
        <w:rPr/>
        <w:t>预算金额：</w:t>
      </w:r>
      <w:r>
        <w:rPr/>
        <w:t>1,147,611.04</w:t>
      </w:r>
      <w:r>
        <w:rPr/>
        <w:t>元</w:t>
      </w:r>
    </w:p>
    <w:p>
      <w:pPr>
        <w:pStyle w:val="null3"/>
        <w:outlineLvl w:val="3"/>
      </w:pPr>
      <w:r>
        <w:rPr>
          <w:sz w:val="24"/>
          <w:b/>
        </w:rPr>
        <w:t>2.项目内容及需求情况（采购项目技术规格、参数及要求）</w:t>
      </w:r>
    </w:p>
    <w:p>
      <w:pPr>
        <w:pStyle w:val="null3"/>
      </w:pPr>
      <w:r>
        <w:rPr/>
        <w:t>采购包1(2026年东莞市公安局沙田分局交管大队电子警察运维项目):</w:t>
      </w:r>
    </w:p>
    <w:p>
      <w:pPr>
        <w:pStyle w:val="null3"/>
      </w:pPr>
      <w:r>
        <w:rPr/>
        <w:t>采购包预算金额：1,147,611.04元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其他运行维护服务</w:t>
            </w:r>
          </w:p>
        </w:tc>
        <w:tc>
          <w:tcPr>
            <w:tcW w:type="dxa" w:w="2052"/>
          </w:tcPr>
          <w:p>
            <w:pPr>
              <w:pStyle w:val="null3"/>
            </w:pPr>
            <w:r>
              <w:rPr/>
              <w:t>2026年东莞市公安局沙田分局交管大队电子警察运维项目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1,147,611.04</w:t>
            </w:r>
          </w:p>
        </w:tc>
        <w:tc>
          <w:tcPr>
            <w:tcW w:type="dxa" w:w="977"/>
          </w:tcPr>
          <w:p>
            <w:pPr>
              <w:pStyle w:val="null3"/>
            </w:pPr>
            <w:r>
              <w:rPr/>
              <w:t>否</w:t>
            </w:r>
          </w:p>
        </w:tc>
      </w:tr>
    </w:tbl>
    <w:p>
      <w:pPr>
        <w:pStyle w:val="null3"/>
      </w:pPr>
      <w:r>
        <w:rPr/>
        <w:t>本采购包接受联合体投标</w:t>
      </w:r>
    </w:p>
    <w:p>
      <w:pPr>
        <w:pStyle w:val="null3"/>
      </w:pPr>
      <w:r>
        <w:rPr/>
        <w:t>合同分包：不允许合同分包</w:t>
      </w:r>
    </w:p>
    <w:p>
      <w:pPr>
        <w:pStyle w:val="null3"/>
      </w:pPr>
      <w:r>
        <w:rPr/>
        <w:t>合同履行期限：自合同签订之日起1年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或提供《资格条件承诺函》。如依法免税或不需要缴纳社会保障资金的，提供相应证明材料。</w:t>
      </w:r>
    </w:p>
    <w:p>
      <w:pPr>
        <w:pStyle w:val="null3"/>
      </w:pPr>
      <w:r>
        <w:rPr/>
        <w:t>3）具有良好的商业信誉和健全的财务会计制度：供应商必须具有良好的商业信誉和健全的财务会计制度（提供2023年或2024年度财务状况报告或基本开户行出具的资信证明）或提供《资格条件承诺函》。（2025年注册或注册未满一年的供应商提供投标截止日前6个月内任意1个月的财务状况报告或者基本户开户银行出具的资信证明）。</w:t>
      </w:r>
    </w:p>
    <w:p>
      <w:pPr>
        <w:pStyle w:val="null3"/>
      </w:pPr>
      <w:r>
        <w:rPr/>
        <w:t>4）履行合同所必需的设备和专业技术能力：按投标（响应）文件格式填报设备及专业技术能力情况或提供《资格条件承诺函》。</w:t>
      </w:r>
    </w:p>
    <w:p>
      <w:pPr>
        <w:pStyle w:val="null3"/>
      </w:pPr>
      <w:r>
        <w:rPr/>
        <w:t>5）参加采购活动前3年内，在经营活动中没有重大违法记录：参照投标（报价）函相关承诺格式内容或提供《资格条件承诺函》。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采购包1（2026年东莞市公安局沙田分局交管大队电子警察运维项目）：</w:t>
      </w:r>
      <w:r>
        <w:rPr/>
        <w:t>本采购包不属于专门面向中小企业采购。</w:t>
      </w:r>
    </w:p>
    <w:p>
      <w:pPr>
        <w:pStyle w:val="null3"/>
        <w:outlineLvl w:val="3"/>
      </w:pPr>
      <w:r>
        <w:rPr>
          <w:sz w:val="24"/>
          <w:b/>
        </w:rPr>
        <w:t>3.本项目特定的资格要求：</w:t>
      </w:r>
    </w:p>
    <w:p>
      <w:pPr>
        <w:pStyle w:val="null3"/>
      </w:pPr>
      <w:r>
        <w:rPr/>
        <w:t>采购包1（2026年东莞市公安局沙田分局交管大队电子警察运维项目）：</w:t>
      </w:r>
    </w:p>
    <w:p>
      <w:pPr>
        <w:pStyle w:val="null3"/>
      </w:pPr>
      <w:r>
        <w:rPr/>
        <w:t>1)供应商未被列入“信用中国”网站(www.creditchina.gov.cn)“录失信被执行人或重大税收违法失信主体或严重失信主体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null3"/>
      </w:pPr>
      <w:r>
        <w:rPr/>
        <w:t>3)本项目接受联合体投标，以联合体形式参加投标的，联合体成员（含牵头方）数量不超过2家。投标时提交联合体共同投标协议书。联合体各方不得再以自己名义单独投标或加入其他联合体投标，如有违反，其投标和与此有关的联合体的投标将被拒绝。</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中国东莞沙田频道网站（http://www.dg.gov.cn/shatian/）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东莞市公安局沙田分局</w:t>
      </w:r>
    </w:p>
    <w:p>
      <w:pPr>
        <w:pStyle w:val="null3"/>
        <w:ind w:firstLine="480"/>
      </w:pPr>
      <w:r>
        <w:rPr/>
        <w:t xml:space="preserve"> 地址：</w:t>
      </w:r>
      <w:r>
        <w:rPr/>
        <w:t>沙田镇站前路6号</w:t>
      </w:r>
    </w:p>
    <w:p>
      <w:pPr>
        <w:pStyle w:val="null3"/>
        <w:ind w:firstLine="480"/>
      </w:pPr>
      <w:r>
        <w:rPr/>
        <w:t xml:space="preserve"> 联系方式：</w:t>
      </w:r>
      <w:r>
        <w:rPr/>
        <w:t>0769-81698223</w:t>
      </w:r>
    </w:p>
    <w:p>
      <w:pPr>
        <w:pStyle w:val="null3"/>
        <w:outlineLvl w:val="3"/>
      </w:pPr>
      <w:r>
        <w:rPr>
          <w:sz w:val="24"/>
          <w:b/>
        </w:rPr>
        <w:t xml:space="preserve"> 2.采购代理机构信息</w:t>
      </w:r>
    </w:p>
    <w:p>
      <w:pPr>
        <w:pStyle w:val="null3"/>
        <w:ind w:firstLine="480"/>
      </w:pPr>
      <w:r>
        <w:rPr/>
        <w:t xml:space="preserve"> 名称：</w:t>
      </w:r>
      <w:r>
        <w:rPr/>
        <w:t>广东金业工程管理有限公司</w:t>
      </w:r>
    </w:p>
    <w:p>
      <w:pPr>
        <w:pStyle w:val="null3"/>
        <w:ind w:firstLine="480"/>
      </w:pPr>
      <w:r>
        <w:rPr/>
        <w:t xml:space="preserve"> 地址：</w:t>
      </w:r>
      <w:r>
        <w:rPr/>
        <w:t>东莞市南城街道莞太路南城段466号嘉盛广场荣寓楼 1栋909室</w:t>
      </w:r>
    </w:p>
    <w:p>
      <w:pPr>
        <w:pStyle w:val="null3"/>
        <w:ind w:firstLine="480"/>
      </w:pPr>
      <w:r>
        <w:rPr/>
        <w:t xml:space="preserve"> 联系方式：</w:t>
      </w:r>
      <w:r>
        <w:rPr/>
        <w:t>0662-2999828</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0662-2999828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广东金业工程管理有限公司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一、项目概述</w:t>
      </w:r>
    </w:p>
    <w:p>
      <w:pPr>
        <w:pStyle w:val="null3"/>
        <w:ind w:firstLine="420"/>
        <w:jc w:val="both"/>
      </w:pPr>
      <w:r>
        <w:rPr>
          <w:sz w:val="21"/>
        </w:rPr>
        <w:t>近几年来，由于东莞</w:t>
      </w:r>
      <w:r>
        <w:rPr>
          <w:sz w:val="21"/>
        </w:rPr>
        <w:t>沙田镇</w:t>
      </w:r>
      <w:r>
        <w:rPr>
          <w:sz w:val="21"/>
        </w:rPr>
        <w:t>经济的快速发展和信息技术的不断发展，</w:t>
      </w:r>
      <w:r>
        <w:rPr>
          <w:sz w:val="21"/>
        </w:rPr>
        <w:t>东莞市公安局交通管理支队沙田大队</w:t>
      </w:r>
      <w:r>
        <w:rPr>
          <w:sz w:val="21"/>
        </w:rPr>
        <w:t>在</w:t>
      </w:r>
      <w:r>
        <w:rPr>
          <w:sz w:val="21"/>
        </w:rPr>
        <w:t>沙田镇</w:t>
      </w:r>
      <w:r>
        <w:rPr>
          <w:sz w:val="21"/>
        </w:rPr>
        <w:t>内的电子警察及各项交通业务系统的建设上进行了不断的投入与升级，现已建成了较为完善的交通管理业务系统，为</w:t>
      </w:r>
      <w:r>
        <w:rPr>
          <w:sz w:val="21"/>
        </w:rPr>
        <w:t>东莞市公安局交通管理支队沙田大队</w:t>
      </w:r>
      <w:r>
        <w:rPr>
          <w:sz w:val="21"/>
        </w:rPr>
        <w:t>各项业务的开展提供了高效的技术保障。</w:t>
      </w:r>
    </w:p>
    <w:p>
      <w:pPr>
        <w:pStyle w:val="null3"/>
        <w:ind w:firstLine="420"/>
        <w:jc w:val="both"/>
      </w:pPr>
      <w:r>
        <w:rPr>
          <w:sz w:val="21"/>
        </w:rPr>
        <w:t>但随着时间推移，</w:t>
      </w:r>
      <w:r>
        <w:rPr>
          <w:sz w:val="21"/>
        </w:rPr>
        <w:t>电子警察系统老化</w:t>
      </w:r>
      <w:r>
        <w:rPr>
          <w:sz w:val="21"/>
        </w:rPr>
        <w:t>，机房网络及相关系统软硬件设备超过质保期，为保证道路交通的安全与畅通，需对东莞市</w:t>
      </w:r>
      <w:r>
        <w:rPr>
          <w:sz w:val="21"/>
        </w:rPr>
        <w:t>沙田镇的</w:t>
      </w:r>
      <w:r>
        <w:rPr>
          <w:sz w:val="21"/>
        </w:rPr>
        <w:t>电子警察</w:t>
      </w:r>
      <w:r>
        <w:rPr>
          <w:sz w:val="21"/>
        </w:rPr>
        <w:t>和</w:t>
      </w:r>
      <w:r>
        <w:rPr>
          <w:sz w:val="21"/>
        </w:rPr>
        <w:t>机房及网络设备等进行统一运维，以确保相关设备的完好可用，保证道路交通的安全与畅通，为文明</w:t>
      </w:r>
      <w:r>
        <w:rPr>
          <w:sz w:val="21"/>
        </w:rPr>
        <w:t>沙田</w:t>
      </w:r>
      <w:r>
        <w:rPr>
          <w:sz w:val="21"/>
        </w:rPr>
        <w:t>创造良好的社会形象。</w:t>
      </w:r>
    </w:p>
    <w:p>
      <w:pPr>
        <w:pStyle w:val="null3"/>
        <w:ind w:firstLine="480"/>
        <w:jc w:val="both"/>
      </w:pPr>
      <w:r>
        <w:rPr>
          <w:sz w:val="21"/>
          <w:b/>
        </w:rPr>
        <w:t>二、相关规范要求</w:t>
      </w:r>
    </w:p>
    <w:p>
      <w:pPr>
        <w:pStyle w:val="null3"/>
        <w:ind w:firstLine="480"/>
        <w:jc w:val="both"/>
      </w:pPr>
      <w:r>
        <w:rPr>
          <w:sz w:val="21"/>
        </w:rPr>
        <w:t>运维需满足以下规范要求：</w:t>
      </w:r>
    </w:p>
    <w:p>
      <w:pPr>
        <w:pStyle w:val="null3"/>
        <w:ind w:firstLine="480"/>
        <w:jc w:val="both"/>
      </w:pPr>
      <w:r>
        <w:rPr>
          <w:sz w:val="21"/>
        </w:rPr>
        <w:t>1</w:t>
      </w:r>
      <w:r>
        <w:rPr>
          <w:sz w:val="21"/>
        </w:rPr>
        <w:t>、《中华人民共和国道路交通安全法》</w:t>
      </w:r>
    </w:p>
    <w:p>
      <w:pPr>
        <w:pStyle w:val="null3"/>
        <w:ind w:firstLine="480"/>
        <w:jc w:val="both"/>
      </w:pPr>
      <w:r>
        <w:rPr>
          <w:sz w:val="21"/>
        </w:rPr>
        <w:t>2</w:t>
      </w:r>
      <w:r>
        <w:rPr>
          <w:sz w:val="21"/>
        </w:rPr>
        <w:t>、《中华人民共和国道路交通安全法实施条例》</w:t>
      </w:r>
    </w:p>
    <w:p>
      <w:pPr>
        <w:pStyle w:val="null3"/>
        <w:ind w:firstLine="480"/>
        <w:jc w:val="both"/>
      </w:pPr>
      <w:r>
        <w:rPr>
          <w:sz w:val="21"/>
        </w:rPr>
        <w:t>3</w:t>
      </w:r>
      <w:r>
        <w:rPr>
          <w:sz w:val="21"/>
        </w:rPr>
        <w:t>、《闯红灯自动记录系统通用技术条件》（</w:t>
      </w:r>
      <w:r>
        <w:rPr>
          <w:sz w:val="21"/>
        </w:rPr>
        <w:t>GA/T 496-2014</w:t>
      </w:r>
      <w:r>
        <w:rPr>
          <w:sz w:val="21"/>
        </w:rPr>
        <w:t>）</w:t>
      </w:r>
    </w:p>
    <w:p>
      <w:pPr>
        <w:pStyle w:val="null3"/>
        <w:ind w:firstLine="480"/>
        <w:jc w:val="both"/>
      </w:pPr>
      <w:r>
        <w:rPr>
          <w:sz w:val="21"/>
        </w:rPr>
        <w:t>4</w:t>
      </w:r>
      <w:r>
        <w:rPr>
          <w:sz w:val="21"/>
        </w:rPr>
        <w:t>、《道路交通安全违法行为图像取证技术规范》（</w:t>
      </w:r>
      <w:r>
        <w:rPr>
          <w:sz w:val="21"/>
        </w:rPr>
        <w:t>GA/T 832-2014</w:t>
      </w:r>
      <w:r>
        <w:rPr>
          <w:sz w:val="21"/>
        </w:rPr>
        <w:t>）</w:t>
      </w:r>
    </w:p>
    <w:p>
      <w:pPr>
        <w:pStyle w:val="null3"/>
        <w:ind w:firstLine="480"/>
        <w:jc w:val="both"/>
      </w:pPr>
      <w:r>
        <w:rPr>
          <w:sz w:val="21"/>
        </w:rPr>
        <w:t>5</w:t>
      </w:r>
      <w:r>
        <w:rPr>
          <w:sz w:val="21"/>
        </w:rPr>
        <w:t xml:space="preserve">、《交通技术监控成像补光装置通用技术条件》 </w:t>
      </w:r>
      <w:r>
        <w:rPr>
          <w:sz w:val="21"/>
        </w:rPr>
        <w:t>GA/T 1202-2022</w:t>
      </w:r>
    </w:p>
    <w:p>
      <w:pPr>
        <w:pStyle w:val="null3"/>
        <w:ind w:firstLine="480"/>
        <w:jc w:val="both"/>
      </w:pPr>
      <w:r>
        <w:rPr>
          <w:sz w:val="21"/>
        </w:rPr>
        <w:t>6</w:t>
      </w:r>
      <w:r>
        <w:rPr>
          <w:sz w:val="21"/>
        </w:rPr>
        <w:t xml:space="preserve">、《机动车号牌图像自动识别技术规范》 </w:t>
      </w:r>
      <w:r>
        <w:rPr>
          <w:sz w:val="21"/>
        </w:rPr>
        <w:t>GA/T 833-2016</w:t>
      </w:r>
    </w:p>
    <w:p>
      <w:pPr>
        <w:pStyle w:val="null3"/>
        <w:ind w:firstLine="480"/>
        <w:jc w:val="both"/>
      </w:pPr>
      <w:r>
        <w:rPr>
          <w:sz w:val="21"/>
        </w:rPr>
        <w:t>7</w:t>
      </w:r>
      <w:r>
        <w:rPr>
          <w:sz w:val="21"/>
        </w:rPr>
        <w:t xml:space="preserve">、《公安交通管理外场设备基础设施施工通用要求》 </w:t>
      </w:r>
      <w:r>
        <w:rPr>
          <w:sz w:val="21"/>
        </w:rPr>
        <w:t>GA/T 652-2017</w:t>
      </w:r>
    </w:p>
    <w:p>
      <w:pPr>
        <w:pStyle w:val="null3"/>
        <w:ind w:firstLine="480"/>
        <w:jc w:val="both"/>
      </w:pPr>
      <w:r>
        <w:rPr>
          <w:sz w:val="21"/>
        </w:rPr>
        <w:t>8</w:t>
      </w:r>
      <w:r>
        <w:rPr>
          <w:sz w:val="21"/>
        </w:rPr>
        <w:t>、《安全防范系统雷电浪涌防护技术要求》（</w:t>
      </w:r>
      <w:r>
        <w:rPr>
          <w:sz w:val="21"/>
        </w:rPr>
        <w:t>GA/T 670-2006</w:t>
      </w:r>
      <w:r>
        <w:rPr>
          <w:sz w:val="21"/>
        </w:rPr>
        <w:t>）</w:t>
      </w:r>
    </w:p>
    <w:p>
      <w:pPr>
        <w:pStyle w:val="null3"/>
        <w:ind w:firstLine="480"/>
        <w:jc w:val="both"/>
      </w:pPr>
      <w:r>
        <w:rPr>
          <w:sz w:val="21"/>
        </w:rPr>
        <w:t>9</w:t>
      </w:r>
      <w:r>
        <w:rPr>
          <w:sz w:val="21"/>
        </w:rPr>
        <w:t>、《安全防范系统验收规则》（</w:t>
      </w:r>
      <w:r>
        <w:rPr>
          <w:sz w:val="21"/>
        </w:rPr>
        <w:t>GA 308-2001</w:t>
      </w:r>
      <w:r>
        <w:rPr>
          <w:sz w:val="21"/>
        </w:rPr>
        <w:t>）</w:t>
      </w:r>
    </w:p>
    <w:p>
      <w:pPr>
        <w:pStyle w:val="null3"/>
        <w:ind w:firstLine="480"/>
        <w:jc w:val="both"/>
      </w:pPr>
      <w:r>
        <w:rPr>
          <w:sz w:val="21"/>
        </w:rPr>
        <w:t>10</w:t>
      </w:r>
      <w:r>
        <w:rPr>
          <w:sz w:val="21"/>
        </w:rPr>
        <w:t>、</w:t>
      </w:r>
      <w:r>
        <w:rPr>
          <w:sz w:val="21"/>
        </w:rPr>
        <w:t xml:space="preserve">ISO 27001 </w:t>
      </w:r>
      <w:r>
        <w:rPr>
          <w:sz w:val="21"/>
        </w:rPr>
        <w:t>（信息安全管理标准）</w:t>
      </w:r>
    </w:p>
    <w:p>
      <w:pPr>
        <w:pStyle w:val="null3"/>
        <w:ind w:firstLine="480"/>
        <w:jc w:val="both"/>
      </w:pPr>
      <w:r>
        <w:rPr>
          <w:sz w:val="21"/>
        </w:rPr>
        <w:t>11</w:t>
      </w:r>
      <w:r>
        <w:rPr>
          <w:sz w:val="21"/>
        </w:rPr>
        <w:t>、</w:t>
      </w:r>
      <w:r>
        <w:rPr>
          <w:sz w:val="21"/>
        </w:rPr>
        <w:t xml:space="preserve">ISO 20000 </w:t>
      </w:r>
      <w:r>
        <w:rPr>
          <w:sz w:val="21"/>
        </w:rPr>
        <w:t>（信息技术服务管理体系标准）</w:t>
      </w:r>
    </w:p>
    <w:p>
      <w:pPr>
        <w:pStyle w:val="null3"/>
        <w:ind w:firstLine="480"/>
        <w:jc w:val="both"/>
      </w:pPr>
      <w:r>
        <w:rPr>
          <w:sz w:val="21"/>
        </w:rPr>
        <w:t>12</w:t>
      </w:r>
      <w:r>
        <w:rPr>
          <w:sz w:val="21"/>
        </w:rPr>
        <w:t xml:space="preserve">、《道路交通安全违法行为视频取证设备技术规范》 </w:t>
      </w:r>
      <w:r>
        <w:rPr>
          <w:sz w:val="21"/>
        </w:rPr>
        <w:t>GA/T 995-2020</w:t>
      </w:r>
    </w:p>
    <w:p>
      <w:pPr>
        <w:pStyle w:val="null3"/>
        <w:ind w:firstLine="480"/>
        <w:jc w:val="both"/>
      </w:pPr>
      <w:r>
        <w:rPr>
          <w:sz w:val="21"/>
        </w:rPr>
        <w:t>13</w:t>
      </w:r>
      <w:r>
        <w:rPr>
          <w:sz w:val="21"/>
        </w:rPr>
        <w:t>、《电子信息系统机房设计规范》</w:t>
      </w:r>
    </w:p>
    <w:p>
      <w:pPr>
        <w:pStyle w:val="null3"/>
        <w:ind w:firstLine="480"/>
        <w:jc w:val="both"/>
      </w:pPr>
      <w:r>
        <w:rPr>
          <w:sz w:val="21"/>
        </w:rPr>
        <w:t>14</w:t>
      </w:r>
      <w:r>
        <w:rPr>
          <w:sz w:val="21"/>
        </w:rPr>
        <w:t>、《电子计算机场地通用规范》</w:t>
      </w:r>
    </w:p>
    <w:p>
      <w:pPr>
        <w:pStyle w:val="null3"/>
        <w:ind w:firstLine="480"/>
        <w:jc w:val="both"/>
      </w:pPr>
      <w:r>
        <w:rPr>
          <w:sz w:val="21"/>
        </w:rPr>
        <w:t>15</w:t>
      </w:r>
      <w:r>
        <w:rPr>
          <w:sz w:val="21"/>
        </w:rPr>
        <w:t>、《电子计算机机房施工及验收规范》</w:t>
      </w:r>
    </w:p>
    <w:p>
      <w:pPr>
        <w:pStyle w:val="null3"/>
        <w:ind w:firstLine="480"/>
        <w:jc w:val="both"/>
      </w:pPr>
      <w:r>
        <w:rPr>
          <w:sz w:val="21"/>
        </w:rPr>
        <w:t>16</w:t>
      </w:r>
      <w:r>
        <w:rPr>
          <w:sz w:val="21"/>
        </w:rPr>
        <w:t>、其他相关国家和地方最新标准规范</w:t>
      </w:r>
    </w:p>
    <w:p>
      <w:pPr>
        <w:pStyle w:val="null3"/>
        <w:ind w:firstLine="422"/>
        <w:jc w:val="both"/>
      </w:pPr>
      <w:r>
        <w:rPr>
          <w:sz w:val="21"/>
          <w:b/>
        </w:rPr>
        <w:t>注：以上规范、标准如有更新以最新版为准。</w:t>
      </w:r>
    </w:p>
    <w:p>
      <w:pPr>
        <w:pStyle w:val="null3"/>
        <w:ind w:firstLine="480"/>
        <w:jc w:val="both"/>
      </w:pPr>
      <w:r>
        <w:rPr>
          <w:sz w:val="21"/>
          <w:b/>
        </w:rPr>
        <w:t>三、详细运维需求</w:t>
      </w:r>
    </w:p>
    <w:p>
      <w:pPr>
        <w:pStyle w:val="null3"/>
        <w:ind w:firstLine="480"/>
        <w:jc w:val="both"/>
      </w:pPr>
      <w:r>
        <w:rPr>
          <w:sz w:val="21"/>
          <w:b/>
        </w:rPr>
        <w:t>（一）外场设备运维需求</w:t>
      </w:r>
    </w:p>
    <w:p>
      <w:pPr>
        <w:pStyle w:val="null3"/>
        <w:ind w:firstLine="480"/>
        <w:jc w:val="both"/>
      </w:pPr>
      <w:r>
        <w:rPr>
          <w:sz w:val="21"/>
        </w:rPr>
        <w:t>1</w:t>
      </w:r>
      <w:r>
        <w:rPr>
          <w:sz w:val="21"/>
        </w:rPr>
        <w:t>、</w:t>
      </w:r>
      <w:r>
        <w:rPr>
          <w:sz w:val="21"/>
        </w:rPr>
        <w:t>东莞市公安局交通管理支队沙田大队</w:t>
      </w:r>
      <w:r>
        <w:rPr>
          <w:sz w:val="21"/>
        </w:rPr>
        <w:t>电子警察硬件维护项目：对</w:t>
      </w:r>
      <w:r>
        <w:rPr>
          <w:sz w:val="21"/>
        </w:rPr>
        <w:t>前端</w:t>
      </w:r>
      <w:r>
        <w:rPr>
          <w:sz w:val="21"/>
        </w:rPr>
        <w:t>43</w:t>
      </w:r>
      <w:r>
        <w:rPr>
          <w:sz w:val="21"/>
        </w:rPr>
        <w:t>个电子警察系统路口（</w:t>
      </w:r>
      <w:r>
        <w:rPr>
          <w:sz w:val="21"/>
        </w:rPr>
        <w:t>30</w:t>
      </w:r>
      <w:r>
        <w:rPr>
          <w:sz w:val="21"/>
        </w:rPr>
        <w:t>个闯红灯、</w:t>
      </w:r>
      <w:r>
        <w:rPr>
          <w:sz w:val="21"/>
        </w:rPr>
        <w:t>13</w:t>
      </w:r>
      <w:r>
        <w:rPr>
          <w:sz w:val="21"/>
        </w:rPr>
        <w:t>个卡口</w:t>
      </w:r>
      <w:r>
        <w:rPr>
          <w:sz w:val="21"/>
        </w:rPr>
        <w:t>）</w:t>
      </w:r>
      <w:r>
        <w:rPr>
          <w:sz w:val="21"/>
        </w:rPr>
        <w:t>的</w:t>
      </w:r>
      <w:r>
        <w:rPr>
          <w:sz w:val="21"/>
        </w:rPr>
        <w:t>前端系统设备、配套设施常规维护抢修保养巡检（含设备自然损坏、人为损坏、交通事故、偷盗破坏、道路施工等造成损坏的维护）。前端设备每</w:t>
      </w:r>
      <w:r>
        <w:rPr>
          <w:sz w:val="21"/>
        </w:rPr>
        <w:t>1</w:t>
      </w:r>
      <w:r>
        <w:rPr>
          <w:sz w:val="21"/>
        </w:rPr>
        <w:t>个月开展</w:t>
      </w:r>
      <w:r>
        <w:rPr>
          <w:sz w:val="21"/>
        </w:rPr>
        <w:t>1</w:t>
      </w:r>
      <w:r>
        <w:rPr>
          <w:sz w:val="21"/>
        </w:rPr>
        <w:t>次巡检，每</w:t>
      </w:r>
      <w:r>
        <w:rPr>
          <w:sz w:val="21"/>
        </w:rPr>
        <w:t>6</w:t>
      </w:r>
      <w:r>
        <w:rPr>
          <w:sz w:val="21"/>
        </w:rPr>
        <w:t>个月对地标线开展</w:t>
      </w:r>
      <w:r>
        <w:rPr>
          <w:sz w:val="21"/>
        </w:rPr>
        <w:t>1</w:t>
      </w:r>
      <w:r>
        <w:rPr>
          <w:sz w:val="21"/>
        </w:rPr>
        <w:t>次巡检，工作日通过市局的视综平台进行视频在线率检查，对电子警察无违法数据的设备巡查为每周</w:t>
      </w:r>
      <w:r>
        <w:rPr>
          <w:sz w:val="21"/>
        </w:rPr>
        <w:t>1</w:t>
      </w:r>
      <w:r>
        <w:rPr>
          <w:sz w:val="21"/>
        </w:rPr>
        <w:t>次。</w:t>
      </w:r>
    </w:p>
    <w:p>
      <w:pPr>
        <w:pStyle w:val="null3"/>
        <w:ind w:firstLine="480"/>
        <w:jc w:val="both"/>
      </w:pPr>
      <w:r>
        <w:rPr>
          <w:sz w:val="21"/>
        </w:rPr>
        <w:t>故障响应要求：要求提供固定报障电话，提供</w:t>
      </w:r>
      <w:r>
        <w:rPr>
          <w:sz w:val="21"/>
        </w:rPr>
        <w:t>7*24</w:t>
      </w:r>
      <w:r>
        <w:rPr>
          <w:sz w:val="21"/>
        </w:rPr>
        <w:t>小时任何故障响应服务，收到报障必须要</w:t>
      </w:r>
      <w:r>
        <w:rPr>
          <w:sz w:val="21"/>
        </w:rPr>
        <w:t>30</w:t>
      </w:r>
      <w:r>
        <w:rPr>
          <w:sz w:val="21"/>
        </w:rPr>
        <w:t>分钟内响应，</w:t>
      </w:r>
      <w:r>
        <w:rPr>
          <w:sz w:val="21"/>
        </w:rPr>
        <w:t>1</w:t>
      </w:r>
      <w:r>
        <w:rPr>
          <w:sz w:val="21"/>
        </w:rPr>
        <w:t>小时内赶到现场，到达现场后需拍照取证。如遇不可抗拒的原因无法按时到达现场的，需提供书面详细情况说明原因。</w:t>
      </w:r>
    </w:p>
    <w:p>
      <w:pPr>
        <w:pStyle w:val="null3"/>
        <w:ind w:firstLine="480"/>
        <w:jc w:val="both"/>
      </w:pPr>
      <w:r>
        <w:rPr>
          <w:sz w:val="21"/>
        </w:rPr>
        <w:t>故障修复时间要求：采用更换零配件的方式维修后可保证现场设备正常运行的，</w:t>
      </w:r>
      <w:r>
        <w:rPr>
          <w:sz w:val="21"/>
        </w:rPr>
        <w:t>24</w:t>
      </w:r>
      <w:r>
        <w:rPr>
          <w:sz w:val="21"/>
        </w:rPr>
        <w:t>小时内修复现场故障（涉及到补光灯调试的故障，修复时间为</w:t>
      </w:r>
      <w:r>
        <w:rPr>
          <w:sz w:val="21"/>
        </w:rPr>
        <w:t>48</w:t>
      </w:r>
      <w:r>
        <w:rPr>
          <w:sz w:val="21"/>
        </w:rPr>
        <w:t>小时），涉及到设备返厂维修的故障，返厂维修期间需提供同等档次备机更换并在更换后确保设备保持正常运行状态，直到故障设备维修好后送返现场（返厂维修时限需在双方约定时间期限内完成）；无法维修的设备，中标人需提供同等性能的设备进行替换；运营商光纤线路故障，经抢修人员电话或邮件与报障人员确认后，由中标人与运营商沟通修复时限。由中标人负责与光纤运营商报障并跟进故障修复进度，直到故障修复完成后才算完成结单。非运营商光纤线路故障（机箱</w:t>
      </w:r>
      <w:r>
        <w:rPr>
          <w:sz w:val="21"/>
        </w:rPr>
        <w:t>ONU</w:t>
      </w:r>
      <w:r>
        <w:rPr>
          <w:sz w:val="21"/>
        </w:rPr>
        <w:t>到前端设备的尾纤或网线以及电警杆上连接设备的网线），故障解决时限为</w:t>
      </w:r>
      <w:r>
        <w:rPr>
          <w:sz w:val="21"/>
        </w:rPr>
        <w:t>72</w:t>
      </w:r>
      <w:r>
        <w:rPr>
          <w:sz w:val="21"/>
        </w:rPr>
        <w:t>小时内修复。若报给运营商光纤故障修复进度缓慢，中标人需及时报告采购人，并把该故障单申请挂单；当遇到客观困难情况（例如：道路严重堵车、交通事故、恶劣天气、车流高峰期、第三方维护的机房环境或各种不可抗力情况），对故障修复时效造成影响的，中标人须在</w:t>
      </w:r>
      <w:r>
        <w:rPr>
          <w:sz w:val="21"/>
        </w:rPr>
        <w:t>24</w:t>
      </w:r>
      <w:r>
        <w:rPr>
          <w:sz w:val="21"/>
        </w:rPr>
        <w:t>小时内以书面方式向采购人提出故障修复时效延期或挂单。中标人工程作业车通行证、年检过期不属于客观困难，故不能申请延期或挂单。中标人不能以工程作业车数量不足无法修复故障为由，申请故障延期或挂单；</w:t>
      </w:r>
    </w:p>
    <w:p>
      <w:pPr>
        <w:pStyle w:val="null3"/>
        <w:ind w:firstLine="480"/>
        <w:jc w:val="both"/>
      </w:pPr>
      <w:r>
        <w:rPr>
          <w:sz w:val="21"/>
        </w:rPr>
        <w:t>维护性能指标要求：捕获率</w:t>
      </w:r>
      <w:r>
        <w:rPr>
          <w:sz w:val="21"/>
        </w:rPr>
        <w:t>:</w:t>
      </w:r>
      <w:r>
        <w:rPr>
          <w:sz w:val="21"/>
        </w:rPr>
        <w:t>≥</w:t>
      </w:r>
      <w:r>
        <w:rPr>
          <w:sz w:val="21"/>
        </w:rPr>
        <w:t>95%</w:t>
      </w:r>
      <w:r>
        <w:rPr>
          <w:sz w:val="21"/>
        </w:rPr>
        <w:t>，检测率</w:t>
      </w:r>
      <w:r>
        <w:rPr>
          <w:sz w:val="21"/>
        </w:rPr>
        <w:t>:</w:t>
      </w:r>
      <w:r>
        <w:rPr>
          <w:sz w:val="21"/>
        </w:rPr>
        <w:t>≥</w:t>
      </w:r>
      <w:r>
        <w:rPr>
          <w:sz w:val="21"/>
        </w:rPr>
        <w:t>90%</w:t>
      </w:r>
      <w:r>
        <w:rPr>
          <w:sz w:val="21"/>
        </w:rPr>
        <w:t>；不按导向车道行车标准环境捕获率</w:t>
      </w:r>
      <w:r>
        <w:rPr>
          <w:sz w:val="21"/>
        </w:rPr>
        <w:t>:</w:t>
      </w:r>
      <w:r>
        <w:rPr>
          <w:sz w:val="21"/>
        </w:rPr>
        <w:t>≥</w:t>
      </w:r>
      <w:r>
        <w:rPr>
          <w:sz w:val="21"/>
        </w:rPr>
        <w:t>95%</w:t>
      </w:r>
      <w:r>
        <w:rPr>
          <w:sz w:val="21"/>
        </w:rPr>
        <w:t>，检测率</w:t>
      </w:r>
      <w:r>
        <w:rPr>
          <w:sz w:val="21"/>
        </w:rPr>
        <w:t>:</w:t>
      </w:r>
      <w:r>
        <w:rPr>
          <w:sz w:val="21"/>
        </w:rPr>
        <w:t>≥</w:t>
      </w:r>
      <w:r>
        <w:rPr>
          <w:sz w:val="21"/>
        </w:rPr>
        <w:t xml:space="preserve">90% </w:t>
      </w:r>
      <w:r>
        <w:rPr>
          <w:sz w:val="21"/>
        </w:rPr>
        <w:t>；违法变线、压线，捕获率</w:t>
      </w:r>
      <w:r>
        <w:rPr>
          <w:sz w:val="21"/>
        </w:rPr>
        <w:t>:</w:t>
      </w:r>
      <w:r>
        <w:rPr>
          <w:sz w:val="21"/>
        </w:rPr>
        <w:t>≥</w:t>
      </w:r>
      <w:r>
        <w:rPr>
          <w:sz w:val="21"/>
        </w:rPr>
        <w:t>95%</w:t>
      </w:r>
      <w:r>
        <w:rPr>
          <w:sz w:val="21"/>
        </w:rPr>
        <w:t>，检测率</w:t>
      </w:r>
      <w:r>
        <w:rPr>
          <w:sz w:val="21"/>
        </w:rPr>
        <w:t>:</w:t>
      </w:r>
      <w:r>
        <w:rPr>
          <w:sz w:val="21"/>
        </w:rPr>
        <w:t>≥</w:t>
      </w:r>
      <w:r>
        <w:rPr>
          <w:sz w:val="21"/>
        </w:rPr>
        <w:t>90%</w:t>
      </w:r>
      <w:r>
        <w:rPr>
          <w:sz w:val="21"/>
        </w:rPr>
        <w:t>；逆行、不按规定倒车标准环境，捕获率</w:t>
      </w:r>
      <w:r>
        <w:rPr>
          <w:sz w:val="21"/>
        </w:rPr>
        <w:t>:</w:t>
      </w:r>
      <w:r>
        <w:rPr>
          <w:sz w:val="21"/>
        </w:rPr>
        <w:t>≥</w:t>
      </w:r>
      <w:r>
        <w:rPr>
          <w:sz w:val="21"/>
        </w:rPr>
        <w:t>95%</w:t>
      </w:r>
      <w:r>
        <w:rPr>
          <w:sz w:val="21"/>
        </w:rPr>
        <w:t>，检测率</w:t>
      </w:r>
      <w:r>
        <w:rPr>
          <w:sz w:val="21"/>
        </w:rPr>
        <w:t>:</w:t>
      </w:r>
      <w:r>
        <w:rPr>
          <w:sz w:val="21"/>
        </w:rPr>
        <w:t>≥</w:t>
      </w:r>
      <w:r>
        <w:rPr>
          <w:sz w:val="21"/>
        </w:rPr>
        <w:t>90%</w:t>
      </w:r>
      <w:r>
        <w:rPr>
          <w:sz w:val="21"/>
        </w:rPr>
        <w:t>；违法占用专用车道标准环境捕获率</w:t>
      </w:r>
      <w:r>
        <w:rPr>
          <w:sz w:val="21"/>
        </w:rPr>
        <w:t>:</w:t>
      </w:r>
      <w:r>
        <w:rPr>
          <w:sz w:val="21"/>
        </w:rPr>
        <w:t>≥</w:t>
      </w:r>
      <w:r>
        <w:rPr>
          <w:sz w:val="21"/>
        </w:rPr>
        <w:t>95%</w:t>
      </w:r>
      <w:r>
        <w:rPr>
          <w:sz w:val="21"/>
        </w:rPr>
        <w:t>，检测率</w:t>
      </w:r>
      <w:r>
        <w:rPr>
          <w:sz w:val="21"/>
        </w:rPr>
        <w:t>:</w:t>
      </w:r>
      <w:r>
        <w:rPr>
          <w:sz w:val="21"/>
        </w:rPr>
        <w:t>≥</w:t>
      </w:r>
      <w:r>
        <w:rPr>
          <w:sz w:val="21"/>
        </w:rPr>
        <w:t xml:space="preserve">90% </w:t>
      </w:r>
      <w:r>
        <w:rPr>
          <w:sz w:val="21"/>
        </w:rPr>
        <w:t>；违法调头标准环境捕获率</w:t>
      </w:r>
      <w:r>
        <w:rPr>
          <w:sz w:val="21"/>
        </w:rPr>
        <w:t>:</w:t>
      </w:r>
      <w:r>
        <w:rPr>
          <w:sz w:val="21"/>
        </w:rPr>
        <w:t>≥</w:t>
      </w:r>
      <w:r>
        <w:rPr>
          <w:sz w:val="21"/>
        </w:rPr>
        <w:t>95%</w:t>
      </w:r>
      <w:r>
        <w:rPr>
          <w:sz w:val="21"/>
        </w:rPr>
        <w:t>，检测率</w:t>
      </w:r>
      <w:r>
        <w:rPr>
          <w:sz w:val="21"/>
        </w:rPr>
        <w:t>:</w:t>
      </w:r>
      <w:r>
        <w:rPr>
          <w:sz w:val="21"/>
        </w:rPr>
        <w:t>≥</w:t>
      </w:r>
      <w:r>
        <w:rPr>
          <w:sz w:val="21"/>
        </w:rPr>
        <w:t xml:space="preserve">90% </w:t>
      </w:r>
      <w:r>
        <w:rPr>
          <w:sz w:val="21"/>
        </w:rPr>
        <w:t>；违法停车标准环境捕获率</w:t>
      </w:r>
      <w:r>
        <w:rPr>
          <w:sz w:val="21"/>
        </w:rPr>
        <w:t>:</w:t>
      </w:r>
      <w:r>
        <w:rPr>
          <w:sz w:val="21"/>
        </w:rPr>
        <w:t>≥</w:t>
      </w:r>
      <w:r>
        <w:rPr>
          <w:sz w:val="21"/>
        </w:rPr>
        <w:t>95%</w:t>
      </w:r>
      <w:r>
        <w:rPr>
          <w:sz w:val="21"/>
        </w:rPr>
        <w:t>，检测率</w:t>
      </w:r>
      <w:r>
        <w:rPr>
          <w:sz w:val="21"/>
        </w:rPr>
        <w:t>:</w:t>
      </w:r>
      <w:r>
        <w:rPr>
          <w:sz w:val="21"/>
        </w:rPr>
        <w:t>≥</w:t>
      </w:r>
      <w:r>
        <w:rPr>
          <w:sz w:val="21"/>
        </w:rPr>
        <w:t xml:space="preserve">90% </w:t>
      </w:r>
      <w:r>
        <w:rPr>
          <w:sz w:val="21"/>
        </w:rPr>
        <w:t>；卡口抓拍标准环境车辆捕获率</w:t>
      </w:r>
      <w:r>
        <w:rPr>
          <w:sz w:val="21"/>
        </w:rPr>
        <w:t>:</w:t>
      </w:r>
      <w:r>
        <w:rPr>
          <w:sz w:val="21"/>
        </w:rPr>
        <w:t>≥</w:t>
      </w:r>
      <w:r>
        <w:rPr>
          <w:sz w:val="21"/>
        </w:rPr>
        <w:t xml:space="preserve">99% </w:t>
      </w:r>
      <w:r>
        <w:rPr>
          <w:sz w:val="21"/>
        </w:rPr>
        <w:t>；号牌识别正确率</w:t>
      </w:r>
      <w:r>
        <w:rPr>
          <w:sz w:val="21"/>
        </w:rPr>
        <w:t>:</w:t>
      </w:r>
      <w:r>
        <w:rPr>
          <w:sz w:val="21"/>
        </w:rPr>
        <w:t>≥</w:t>
      </w:r>
      <w:r>
        <w:rPr>
          <w:sz w:val="21"/>
        </w:rPr>
        <w:t>95%</w:t>
      </w:r>
      <w:r>
        <w:rPr>
          <w:sz w:val="21"/>
        </w:rPr>
        <w:t>；车牌识别，白天车辆号牌识别率不小于</w:t>
      </w:r>
      <w:r>
        <w:rPr>
          <w:sz w:val="21"/>
        </w:rPr>
        <w:t>95%</w:t>
      </w:r>
      <w:r>
        <w:rPr>
          <w:sz w:val="21"/>
        </w:rPr>
        <w:t>，号牌识别准确率不小于</w:t>
      </w:r>
      <w:r>
        <w:rPr>
          <w:sz w:val="21"/>
        </w:rPr>
        <w:t>92%;</w:t>
      </w:r>
      <w:r>
        <w:rPr>
          <w:sz w:val="21"/>
        </w:rPr>
        <w:t>夜间车辆号牌识别准确率不小于</w:t>
      </w:r>
      <w:r>
        <w:rPr>
          <w:sz w:val="21"/>
        </w:rPr>
        <w:t>85%</w:t>
      </w:r>
      <w:r>
        <w:rPr>
          <w:sz w:val="21"/>
        </w:rPr>
        <w:t>。</w:t>
      </w:r>
    </w:p>
    <w:p>
      <w:pPr>
        <w:pStyle w:val="null3"/>
        <w:ind w:firstLine="480"/>
        <w:jc w:val="both"/>
      </w:pPr>
      <w:r>
        <w:rPr>
          <w:sz w:val="21"/>
        </w:rPr>
        <w:t>对</w:t>
      </w:r>
      <w:r>
        <w:rPr>
          <w:sz w:val="21"/>
        </w:rPr>
        <w:t>沙田大队</w:t>
      </w:r>
      <w:r>
        <w:rPr>
          <w:sz w:val="21"/>
        </w:rPr>
        <w:t>维护设备的整体要求：号牌整体识别率</w:t>
      </w:r>
      <w:r>
        <w:rPr>
          <w:sz w:val="21"/>
        </w:rPr>
        <w:t>:</w:t>
      </w:r>
      <w:r>
        <w:rPr>
          <w:sz w:val="21"/>
        </w:rPr>
        <w:t>≥</w:t>
      </w:r>
      <w:r>
        <w:rPr>
          <w:sz w:val="21"/>
        </w:rPr>
        <w:t>92%</w:t>
      </w:r>
      <w:r>
        <w:rPr>
          <w:sz w:val="21"/>
        </w:rPr>
        <w:t>；时钟准确率</w:t>
      </w:r>
      <w:r>
        <w:rPr>
          <w:sz w:val="21"/>
        </w:rPr>
        <w:t>100%</w:t>
      </w:r>
      <w:r>
        <w:rPr>
          <w:sz w:val="21"/>
        </w:rPr>
        <w:t>，视频在线率≥</w:t>
      </w:r>
      <w:r>
        <w:rPr>
          <w:sz w:val="21"/>
        </w:rPr>
        <w:t>95%</w:t>
      </w:r>
      <w:r>
        <w:rPr>
          <w:sz w:val="21"/>
        </w:rPr>
        <w:t>，视频联网率</w:t>
      </w:r>
      <w:r>
        <w:rPr>
          <w:sz w:val="21"/>
        </w:rPr>
        <w:t>100%</w:t>
      </w:r>
      <w:r>
        <w:rPr>
          <w:sz w:val="21"/>
        </w:rPr>
        <w:t>。数据上传及时率≥</w:t>
      </w:r>
      <w:r>
        <w:rPr>
          <w:sz w:val="21"/>
        </w:rPr>
        <w:t>95%</w:t>
      </w:r>
      <w:r>
        <w:rPr>
          <w:sz w:val="21"/>
        </w:rPr>
        <w:t>。对该项指标纳入运维考核（以市局的视综平台每月考核数据为准）。</w:t>
      </w:r>
    </w:p>
    <w:p>
      <w:pPr>
        <w:pStyle w:val="null3"/>
        <w:ind w:firstLine="480"/>
        <w:jc w:val="both"/>
      </w:pPr>
      <w:r>
        <w:rPr>
          <w:sz w:val="21"/>
        </w:rPr>
        <w:t>按照</w:t>
      </w:r>
      <w:r>
        <w:rPr>
          <w:sz w:val="21"/>
        </w:rPr>
        <w:t>GAT 1400</w:t>
      </w:r>
      <w:r>
        <w:rPr>
          <w:sz w:val="21"/>
        </w:rPr>
        <w:t>标准，把能够识别的车辆品牌、车辆类型、车身颜色等的特征，卡口需要按实际识别结果上传数据，不能统一传为“其它”，同时摄像机需要把车辆大图中的车辆目标坐标上传到视图库。</w:t>
      </w:r>
    </w:p>
    <w:p>
      <w:pPr>
        <w:pStyle w:val="null3"/>
        <w:ind w:firstLine="480"/>
        <w:jc w:val="both"/>
      </w:pPr>
      <w:r>
        <w:rPr>
          <w:sz w:val="21"/>
          <w:b/>
        </w:rPr>
        <w:t>本项需要安排</w:t>
      </w:r>
      <w:r>
        <w:rPr>
          <w:sz w:val="21"/>
          <w:b/>
        </w:rPr>
        <w:t>2</w:t>
      </w:r>
      <w:r>
        <w:rPr>
          <w:sz w:val="21"/>
          <w:b/>
        </w:rPr>
        <w:t>名技术人员运维服务；人员具有大专或以上学历（计算机、网络、软件工程、电子、通信、机电等相关专业），熟悉电子警察运行原理，具有相关维护经验。</w:t>
      </w:r>
      <w:r>
        <w:rPr>
          <w:sz w:val="21"/>
          <w:b/>
        </w:rPr>
        <w:t>需要配置至少</w:t>
      </w:r>
      <w:r>
        <w:rPr>
          <w:sz w:val="21"/>
          <w:b/>
        </w:rPr>
        <w:t>1</w:t>
      </w:r>
      <w:r>
        <w:rPr>
          <w:sz w:val="21"/>
          <w:b/>
        </w:rPr>
        <w:t>辆吊臂车（或升降台）和</w:t>
      </w:r>
      <w:r>
        <w:rPr>
          <w:sz w:val="21"/>
          <w:b/>
        </w:rPr>
        <w:t>1</w:t>
      </w:r>
      <w:r>
        <w:rPr>
          <w:sz w:val="21"/>
          <w:b/>
        </w:rPr>
        <w:t>辆货车，吊臂车须配备专职司机。</w:t>
      </w:r>
    </w:p>
    <w:p>
      <w:pPr>
        <w:pStyle w:val="null3"/>
        <w:ind w:firstLine="480"/>
        <w:jc w:val="both"/>
      </w:pPr>
      <w:r>
        <w:rPr>
          <w:sz w:val="21"/>
        </w:rPr>
        <w:t>2</w:t>
      </w:r>
      <w:r>
        <w:rPr>
          <w:sz w:val="21"/>
        </w:rPr>
        <w:t>、测速标定及校时：运维期间对</w:t>
      </w:r>
      <w:r>
        <w:rPr>
          <w:sz w:val="21"/>
        </w:rPr>
        <w:t>沙田大队</w:t>
      </w:r>
      <w:r>
        <w:rPr>
          <w:sz w:val="21"/>
        </w:rPr>
        <w:t>管养的所有电子警察测速设备中处于标定或校时到期设备进行一次标定或校时。</w:t>
      </w:r>
    </w:p>
    <w:p>
      <w:pPr>
        <w:pStyle w:val="null3"/>
        <w:ind w:firstLine="480"/>
        <w:jc w:val="both"/>
      </w:pPr>
      <w:r>
        <w:rPr>
          <w:sz w:val="21"/>
        </w:rPr>
        <w:t>3</w:t>
      </w:r>
      <w:r>
        <w:rPr>
          <w:sz w:val="21"/>
        </w:rPr>
        <w:t>、</w:t>
      </w:r>
      <w:r>
        <w:rPr>
          <w:sz w:val="21"/>
        </w:rPr>
        <w:t>运维期间，本项目免费包含</w:t>
      </w:r>
      <w:r>
        <w:rPr>
          <w:sz w:val="21"/>
        </w:rPr>
        <w:t>1</w:t>
      </w:r>
      <w:r>
        <w:rPr>
          <w:sz w:val="21"/>
        </w:rPr>
        <w:t>个路口设备的迁移服务</w:t>
      </w:r>
      <w:r>
        <w:rPr>
          <w:sz w:val="21"/>
        </w:rPr>
        <w:t>。</w:t>
      </w:r>
    </w:p>
    <w:p>
      <w:pPr>
        <w:pStyle w:val="null3"/>
        <w:ind w:firstLine="480"/>
        <w:jc w:val="both"/>
      </w:pPr>
      <w:r>
        <w:rPr>
          <w:sz w:val="21"/>
        </w:rPr>
        <w:t>4</w:t>
      </w:r>
      <w:r>
        <w:rPr>
          <w:sz w:val="21"/>
        </w:rPr>
        <w:t>、</w:t>
      </w:r>
      <w:r>
        <w:rPr>
          <w:sz w:val="21"/>
        </w:rPr>
        <w:t>基础设施非人力</w:t>
      </w:r>
      <w:r>
        <w:rPr>
          <w:sz w:val="21"/>
        </w:rPr>
        <w:t>备品备件：</w:t>
      </w:r>
    </w:p>
    <w:p>
      <w:pPr>
        <w:pStyle w:val="null3"/>
        <w:ind w:firstLine="480"/>
        <w:jc w:val="both"/>
      </w:pPr>
      <w:r>
        <w:rPr>
          <w:sz w:val="21"/>
        </w:rPr>
        <w:t>本项目运维过程中需更换的零配件，如果不在备品配件清单中，由中标人包干免费提供。</w:t>
      </w:r>
    </w:p>
    <w:p>
      <w:pPr>
        <w:pStyle w:val="null3"/>
        <w:ind w:firstLine="480"/>
        <w:jc w:val="both"/>
      </w:pPr>
      <w:r>
        <w:rPr>
          <w:sz w:val="21"/>
        </w:rPr>
        <w:t>运维中的抢修备品备件的配置不低于拟更换的配件配置，经采购方同意后方可采购，结算单价需得到采购人</w:t>
      </w:r>
      <w:r>
        <w:rPr>
          <w:sz w:val="21"/>
        </w:rPr>
        <w:t>及监理单位</w:t>
      </w:r>
      <w:r>
        <w:rPr>
          <w:sz w:val="21"/>
        </w:rPr>
        <w:t>认可，按照实际使用量结算，最终结算金额不得超过</w:t>
      </w:r>
      <w:r>
        <w:rPr>
          <w:sz w:val="21"/>
        </w:rPr>
        <w:t>662,511.04</w:t>
      </w:r>
      <w:r>
        <w:rPr>
          <w:sz w:val="21"/>
        </w:rPr>
        <w:t>元。备品配件规格如下：</w:t>
      </w:r>
    </w:p>
    <w:tbl>
      <w:tblPr>
        <w:tblW w:w="0" w:type="auto"/>
        <w:tblBorders>
          <w:top w:val="none" w:color="000000" w:sz="4"/>
          <w:left w:val="none" w:color="000000" w:sz="4"/>
          <w:bottom w:val="none" w:color="000000" w:sz="4"/>
          <w:right w:val="none" w:color="000000" w:sz="4"/>
          <w:insideH w:val="none"/>
          <w:insideV w:val="none"/>
        </w:tblBorders>
      </w:tblPr>
      <w:tblGrid>
        <w:gridCol w:w="400"/>
        <w:gridCol w:w="769"/>
        <w:gridCol w:w="6119"/>
        <w:gridCol w:w="518"/>
        <w:gridCol w:w="495"/>
      </w:tblGrid>
      <w:tr>
        <w:tc>
          <w:tcPr>
            <w:tcW w:type="dxa" w:w="40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序号</w:t>
            </w:r>
          </w:p>
        </w:tc>
        <w:tc>
          <w:tcPr>
            <w:tcW w:type="dxa" w:w="769"/>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项目名称</w:t>
            </w:r>
          </w:p>
        </w:tc>
        <w:tc>
          <w:tcPr>
            <w:tcW w:type="dxa" w:w="6119"/>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项目特征描述</w:t>
            </w:r>
          </w:p>
        </w:tc>
        <w:tc>
          <w:tcPr>
            <w:tcW w:type="dxa" w:w="518"/>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计量单位</w:t>
            </w:r>
          </w:p>
        </w:tc>
        <w:tc>
          <w:tcPr>
            <w:tcW w:type="dxa" w:w="49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单价限价（元）</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电警抓拍单元（一）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传感器类型</w:t>
            </w:r>
            <w:r>
              <w:rPr>
                <w:sz w:val="21"/>
              </w:rPr>
              <w:t>:1.1英寸GS-CMOS;电子快门:1/50s～1/100000s(可手动或自动调节);图像分辨率:4096×2336(不包含OSD黑边);视频分辨率:4096×2336/3392×2008/UXGA(1600×1200)/1080P(1920×1080)/720P(1280×720)/D1(704× 576)/CIF(352×288);视频帧率:最大支持50fps,默认主码流(4096×2336@25fps),辅码流(1600×1200@25fps);视频码率:H.264:32kbps~32767kbpsH.265:32kbps~32767kbpsMJPEG:512kbps~32767kbps;视频压缩标准:H.265;H.264;MJPEG;图片编码格式:JPEG;图片合成:支持1/2/3/4张图片合成;国密功能:支持国密GB 35114-A级功能;镜头接口:C;光圈控制接口:1个,P-IRIS自动光圈;外置灯接口:7个,光耦开关量信号输出(可配置为闪光灯、多合一灯、LED频闪灯同步输出接口,频率可设置);网络接口:2个独立MAC、物理隔离的RJ-45以太网口,支持10/100/1000M网络数据传输;USB接口:2个,USB 3.0接口;GPS接口:1个,北斗接口;存储接口:1个,最大支持256GB TF卡本地存储;RS-485接口:2个,可用于连接信号检器、红绿灯信号检测器、外接灯;RS-232接口:4个,其中RTG用于串口调试;R1T1G、R2T2G、R3T3G连接雷达;I/O接口:4个,用于I/O触发抓拍信号输入,与报警输入复用;报警输入:4路,与I/O接口复用;报警输出:2路开关量信号,AO1为继电器,AO2为光耦;电源返送:DC12V±10%电压输出,≤1.5A电流输出;供电方式:100–240VAC(50Hz);功耗:≤15W;工作温度:-40℃～+65℃;工作湿度:10%～90%RH(无凝结);产品尺寸:540.0mm×204.2mm×143.2mm(长×宽×高);毛重:7.2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6990.73</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电警抓拍单元（二）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生态电警抓拍单元生态电警抓拍单元由防护罩组件及高清智能摄像机组成</w:t>
            </w:r>
            <w:r>
              <w:rPr>
                <w:sz w:val="21"/>
              </w:rPr>
              <w:t>,抓拍单元防护罩前面板具有防尘、防水功能,要求达到IP65或以上标准;单元内置LED暖光灯,单元支持网络防雷、防浪涌,宽温宽压等。内置摄像机采用1英寸高帧率全局曝光CMOS传感器,分辨率可达4096 × 2160,帧率高达25帧,具有清晰度高、照度低、帧率高、色彩还原度好等特点。视频采用H.265、H.264或MJPEG编码,低延时,低码率,压缩比高,处理灵活。支持LED频闪灯同步补光,防护罩内置LED车牌补光灯。支持机动车辆、非机动车、行人抓拍。支持车牌、车型、车身颜色（环境光有要求）、车标、子品牌等信息识别功能,支持压线、逆行、闯红灯、不按导向行驶等违法检测功能;红绿灯信号检测方式支持:IO信号,红绿灯检测器,视频检测。支持远程数据上传,GB/T 28181-2022视频联网标准、GA/T 1400视图库标准、FTP协议,可将抓拍的图片上传给终端服务器、FTP服务器或者后端平台。可支持TF插卡本地存储,可支持至256G,抓拍图片可断网续传。支持中国香港、中国澳门和大陆车牌识别。传感器类型:1” Global shutter CMOS图像控制:曝光速度、AGC控制、白平衡方式控制等视频压缩标准:H.264, H.265, MJPEG视频分辨率:4096(H) × 2160(V)压缩输出码率:32 Kbps~16 Mbps帧率:25fps多码流:支持3码流:主码流:4096×2160（默认）;子码流:1920×1080（默认）;三码流:1920×1080（默认）抓拍图片格式:JPEG抓拍图片分辨率:4096(H) × 2160(V)存储功能:TF, USB支持协议:ISAPI,GB/T 28181-2022视频联网标准,GA/T 1400视图库标准,FTP协议等镜头规格:16 mm光圈类型:手动光圈 通讯接口:3个RS-485接口,1个RS-232接口;2个RJ45 10M/100M/1000M自适应以太网口触发输入:1个触发/报警输入触发输出:7路F+/F-输出接口,可作为补光灯同步输出控制同步输入:SYNC信号灯电源同步输入 违章检测:压线、逆行、闯红灯、不按导向行驶、违法变道、路口停车、绿灯停车、违章掉头、左转不让直行、右转不让左转、掉头不让直行、大弯小转、机占非、闯禁令（禁左、禁右、禁止大车、禁摩托车）、不礼让行人、闯绿灯、加塞、未戴头盔、占用机动车道等违法行为机动车:车牌识别:支持识别符合GA 36《中华人民共和国机动车号牌》标准的车牌类型;车身颜色识别:白、灰、黄、红、紫、绿、蓝、棕、黑;车型识别:大客车、中型客车、大货车、小货车、面包车、皮卡、轿车、SUV/MPV、二轮车、三轮车;车辆品牌,子品牌识别 整体组成:防尘、防水面板,内置LED补光灯,摄像机,IP65单元防护罩,电源适配器（AC220转DC12）尺寸:180.2 mm (W) × 155 mm (H) × 640 mm (D)工作温度:-30℃~70℃工作湿度:5%~95%@40℃,无凝结电源:100 VAC～240 VAC;频率:48 Hz～52 Hz功耗:Max. 32 W重量:5.2 ± 0.5 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8466.84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电警抓拍单元（三）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传感器类型</w:t>
            </w:r>
            <w:r>
              <w:rPr>
                <w:sz w:val="21"/>
              </w:rPr>
              <w:t>:1” Global shutter CMOS;图像控制:曝光速度、AGC控制、白平衡方式控制等;视频压缩标准:H.264, H.265, MJPEG;视频分辨率:4096(H) × 2160(V);压缩输出码率:32 Kbps~16 Mbps;帧率:25fps;多码流:支持3码流:;主码流:4096×2160（默认）;子码流:1920×1080（默认）;三码流:1920×1080（默认）;抓拍图片格式:JPEG;抓拍图片分辨率:4096(H) × 2160(V);存储功能:TF, USB;支持协议:ISAPI,GB/T 28181视频联网标准,GA/T 1400视图库标准,SDK,FTP协议等;镜头规格:25mm;光圈类型:手动光圈;通讯接口:3个RS-485接口,1个RS-232接口;2个RJ45 10M/100M/1000M自适应以太网口;触发输入:1个触发/报警输入;触发输出:7路F+/F-输出接口,可作为补光灯同步输出控制;同步输入:SYNC信号灯电源同步输入;违章检测:超速、压车道线、违章变道、未系安全带、未戴头盔、非机动车载人、不礼让行人、逆行、低速、机动车闯禁令、打电话、占用机动车道、摩托车闯禁令、加塞等违法行为;机动车:车牌识别:支持识别符合GA 36《中华人民共和国机动车号牌》标准的车牌类型;车身颜色识别:白、灰、黄、红、紫、绿、蓝、棕、黑;车型识别:大客车、中型客车、大货车、小货车、面包车、皮卡、轿车、SUV/MPV、二轮车、三轮车;车辆品牌,子品牌识别;非机动车:车型识别、特征识别;行人:人体识别、特征识别; 整体组成:防尘、防水面板,内置LED补光灯,摄像机,单元防护罩,电源适配器（AC220转DC12）;尺寸:180.2mm (W) × 155mm (H) × 640 mm (D);工作温度:-30℃~70℃;工作湿度:5%~95%@40℃,无凝结;电源:100 VAC～240 VAC;频率:48 Hz～52 Hz;功耗:Max. 32 W;重量:5.2 ± 0.5 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7189.85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高清卡口抓拍单元（一）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无光污染</w:t>
            </w:r>
            <w:r>
              <w:rPr>
                <w:sz w:val="21"/>
              </w:rPr>
              <w:t>:采用先进的图像融合技术,夜间无需使用白光爆闪灯或无需外加频闪灯即可输出高质量全彩图像,有效解决夜间光污染、避免“麻雀杆”现象;传感器类型:1.1英寸GS-CMOS;电子快门:1/50s～1/100000s(可手动或自动调节);图像分辨率:4096×2336(不包含OSD黑边);视频分辨率:4096×2336/3392×2008/UXGA(1600×1200)/1080P(1920×1080)/720P(1280×720)/D1(704× 576)/CIF(352×288);视频帧率:最大支持50fps,默认主码流(4096×2336@25fps),辅码流(1600×1200@25fps);视频码率:H.264:32kbps~32767kbpsH.265:32kbps~32767kbpsMJPEG:512kbps~32767kbps;视频压缩标准:H.265;H.264;MJPEG;图片编码格式:JPEG;图片合成:支持1/2/3/4张图片合成;国密功能:支持国密GB 35114-A级功能;镜头接口:C;光圈控制接口:1个,P-IRIS自动光圈;外置灯接口:7个,光耦开关量信号输出(可配置为闪光灯、多合一灯、LED频闪灯同步输出接口,频率可设置);网络接口:2个独立MAC、物理隔离的RJ-45以太网口,支持10/100/1000M网络数据传输;USB接口:2个,USB 3.0接口;GPS接口:1个,北斗接口;存储接口:1个,最大支持256GB TF卡本地存储;RS-485接口:2个,可用于连接信号检器、红绿灯信号检测器、外接灯;RS-232接口:4个,其中RTG用于串口调试;R1T1G、R2T2G、R3T3G连接雷达;I/O接口:4个,用于I/O触发抓拍信号输入,与报警输入复用;报警输入:4路,与I/O接口复用;报警输出:2路开关量信号,AO1为继电器,AO2为光耦;音频输入:1路(3.5mmJACK头);音频输出:1路(3.5mmJACK头);电源返送:DC12V±10%电压输出,≤1.5A电流输出;供电方式:100–240VAC(50Hz);功耗:≤15W;工作温度:-40℃～+65℃;工作湿度:10%～90%RH(无凝结);产品尺寸:540.0mm×204.2mm×143.2mm(长×宽×高);毛重:6.0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6990.73</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高清卡口抓拍单元（二）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生态电警抓拍单元生态电警抓拍单元由防护罩组件及高清智能摄像机组成</w:t>
            </w:r>
            <w:r>
              <w:rPr>
                <w:sz w:val="21"/>
              </w:rPr>
              <w:t>,抓拍单元防护罩前面板具有防尘、防水功能,要求达到IP65或以上标准;单元内置LED暖光灯,单元支持网络防雷、防浪涌,宽温宽压等。内置摄像机采用1英寸高帧率全局曝光CMOS传感器,分辨率可达4096 × 2160,帧率高达25帧,具有清晰度高、照度低、帧率高、色彩还原度好等特点。视频采用H.265、H.264或MJPEG编码,低延时,低码率,压缩比高,处理灵活。支持LED频闪灯同步补光,防护罩内置LED车牌补光灯。支持机动车辆、非机动车、行人抓拍。支持车牌、车型、车身颜色（环境光有要求）、车标、子品牌等信息识别功能,支持压线、逆行、闯红灯、不按导向行驶等违法检测功能;红绿灯信号检测方式支持:IO信号,红绿灯检测器,视频检测。支持远程数据上传,GB/T 28181-2022视频联网标准、GA/T 1400视图库标准、FTP协议,可将抓拍的图片上传给终端服务器、FTP服务器或者后端平台。可支持TF插卡本地存储,可支持至256G,抓拍图片可断网续传。支持中国香港、中国澳门和大陆车牌识别。传感器类型:1” Global shutter CMOS图像控制:曝光速度、AGC控制、白平衡方式控制等视频压缩标准:H.264, H.265, MJPEG视频分辨率:4096(H) × 2160(V)压缩输出码率:32 Kbps~16 Mbps帧率:25fps多码流:支持3码流:主码流:4096×2160（默认）;子码流:1920×1080（默认）;三码流:1920×1080（默认）抓拍图片格式:JPEG抓拍图片分辨率:4096(H) × 2160(V)存储功能:TF, USB支持协议:ISAPI,GB/T 28181-2022视频联网标准,GA/T 1400视图库标准,FTP协议等镜头规格:16 mm光圈类型:手动光圈 通讯接口:3个RS-485接口,1个RS-232接口;2个RJ45 10M/100M/1000M自适应以太网口触发输入:1个触发/报警输入触发输出:7路F+/F-输出接口,可作为补光灯同步输出控制同步输入:SYNC信号灯电源同步输入 违章检测:压线、逆行、闯红灯、不按导向行驶、违法变道、路口停车、绿灯停车、违章掉头、左转不让直行、右转不让左转、掉头不让直行、大弯小转、机占非、闯禁令（禁左、禁右、禁止大车、禁摩托车）、不礼让行人、闯绿灯、加塞、未戴头盔、占用机动车道等违法行为机动车:车牌识别:支持识别符合GA 36《中华人民共和国机动车号牌》标准的车牌类型;车身颜色识别:白、灰、黄、红、紫、绿、蓝、棕、黑;车型识别:大客车、中型客车、大货车、小货车、面包车、皮卡、轿车、SUV/MPV、二轮车、三轮车;车辆品牌,子品牌识别 整体组成:防尘、防水面板,内置LED补光灯,摄像机,IP65单元防护罩,电源适配器（AC220转DC12）尺寸:180.2 mm (W) × 155 mm (H) × 640 mm (D)工作温度:-30℃~70℃工作湿度:5%~95%@40℃,无凝结电源:100 VAC～240 VAC;频率:48 Hz～52 Hz功耗:Max. 32 W重量:5.2 ± 0.5 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8466.84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高清卡口抓拍单元（三）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传感器类型</w:t>
            </w:r>
            <w:r>
              <w:rPr>
                <w:sz w:val="21"/>
              </w:rPr>
              <w:t>:1” Global shutter CMOS;图像控制:曝光速度、AGC控制、白平衡方式控制等;视频压缩标准:H.264, H.265, MJPEG;视频分辨率:4096(H) × 2160(V);压缩输出码率:32 Kbps~16 Mbps;帧率:25fps;多码流:支持3码流:;主码流:4096×2160（默认）;子码流:1920×1080（默认）;三码流:1920×1080（默认）;抓拍图片格式:JPEG;抓拍图片分辨率:4096(H) × 2160(V);存储功能:TF, USB;支持协议:ISAPI,GB/T 28181视频联网标准,GA/T 1400视图库标准,SDK,FTP协议等;镜头规格:25mm;光圈类型:手动光圈;通讯接口:3个RS-485接口,1个RS-232接口;2个RJ45 10M/100M/1000M自适应以太网口;触发输入:1个触发/报警输入;触发输出:7路F+/F-输出接口,可作为补光灯同步输出控制;同步输入:SYNC信号灯电源同步输入;违章检测:超速、压车道线、违章变道、未系安全带、未戴头盔、非机动车载人、不礼让行人、逆行、低速、机动车闯禁令、打电话、占用机动车道、摩托车闯禁令、加塞等违法行为;机动车:车牌识别:支持识别符合GA 36《中华人民共和国机动车号牌》标准的车牌类型;车身颜色识别:白、灰、黄、红、紫、绿、蓝、棕、黑;车型识别:大客车、中型客车、大货车、小货车、面包车、皮卡、轿车、SUV/MPV、二轮车、三轮车;车辆品牌,子品牌识别;非机动车:车型识别、特征识别;行人:人体识别、特征识别; 整体组成:防尘、防水面板,内置LED补光灯,摄像机,单元防护罩,电源适配器（AC220转DC12）;尺寸:180.2mm (W) × 155mm (H) × 640 mm (D);工作温度:-30℃~70℃;工作湿度:5%~95%@40℃,无凝结;电源:100 VAC～240 VAC;频率:48 Hz～52 Hz;功耗:Max. 32 W;重量:5.2 ± 0.5 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7189.85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50mm高清镜头</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像面尺寸</w:t>
            </w:r>
            <w:r>
              <w:rPr>
                <w:sz w:val="21"/>
              </w:rPr>
              <w:t>:1.1英寸;镜头焦距:50mm;镜头像素:1200W;光圈孔径:F1.2;光学总长:95.45mm±0.5mm(in air);机械后焦:12.79-13.19mm±0.2mm(in air);视场角:1.1英寸:20.7°×17.6°×10.7°(@17.96×15.34×9.33mm);接口类型:C;</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1029.64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12mm高清镜头</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像面尺寸</w:t>
            </w:r>
            <w:r>
              <w:rPr>
                <w:sz w:val="21"/>
              </w:rPr>
              <w:t>:1.1英寸;镜头焦距:12mm;镜头像素:1200W;光圈孔径:F1.4;红外功能:支持;光学总长:80 ± 0.5mm(in air);机械后焦:13.53 ± 0.2mm(in air);视场角:1.1英寸:75.7°×64°×44.8°(@17.56mm×14.47mm×9.94mm)1英寸:69.9°×62.5°×34.1°(@16.1mm×14.13mm×7.45mm);接口类型:C;</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852.65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50mm定焦镜头</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50M-8MPC接口、电警摄像机1英寸50mm镜头,定焦镜头</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1029.64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30-55mm高清镜头</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焦距</w:t>
            </w:r>
            <w:r>
              <w:rPr>
                <w:sz w:val="21"/>
              </w:rPr>
              <w:t>:30-55mm  接口:C接口;镜头光圈:F1.8-C ;像面尺寸:Φ22.7mm（4/3"） ;</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852.65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防护罩</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18寸室外防护罩,内置接线端子套装</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148.26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三维万向节支架</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设备安装支架</w:t>
            </w:r>
            <w:r>
              <w:rPr>
                <w:sz w:val="21"/>
              </w:rPr>
              <w:t>,可调节方向角度</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225.28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LED频闪补光灯（一）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灯型</w:t>
            </w:r>
            <w:r>
              <w:rPr>
                <w:sz w:val="21"/>
              </w:rPr>
              <w:t>:LED灯;光源:可见光(波长350nm～780nm);色温:3500K;中心光照度:≤5lx(20m平均光照度),≤20lx(20m有效光照度);触发方式:开关量;光斑覆盖范围:1车道;补光距离:16m～26m;频率:100Hz;灯珠数量:16颗;光通量:800lm;远程故障显示:支持在摄像机WEB上远程显示补光灯故障、正常状态(仅针对大华交通摄像机);亮度调节:1～20级亮度可调;供电方式:AC100–240V;功耗:＜40W;净重:2.0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1218.74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LED频闪补光灯（二）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与摄像机配套</w:t>
            </w:r>
            <w:r>
              <w:rPr>
                <w:sz w:val="21"/>
              </w:rPr>
              <w:t>,每车道配1台,用于录像及视频检测时补光,符合公安部 《 交通技术监控成像补光装置通用技术条件 》 (GA/T1202 2022) 标准</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1218.74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LED频闪补光灯（三）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光源类型</w:t>
            </w:r>
            <w:r>
              <w:rPr>
                <w:sz w:val="21"/>
              </w:rPr>
              <w:t>:16颗优质大功率LED;发光角度10°;覆盖范围:单车道环境补光灯;最佳补光范围16米～25米;触发方式: 4V~6V电平量触发（高电平有效）（可选配开关量触发）;触发信号:频率15~250HZ，占空比1%~39%，响应时间小于20US;外壳材质金属铝;一般规范;工作温度:温度-30℃~70℃;电源:220VAC±10%;工作湿度:湿度5%~95%@40℃，无凝结;功耗:35W MAX;防护等级:IP66;重量:2.74KG;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1179.81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多合一生态补光灯（一）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灯型</w:t>
            </w:r>
            <w:r>
              <w:rPr>
                <w:sz w:val="21"/>
              </w:rPr>
              <w:t>:多功能一体型:支持暖光LED频闪、暖光LED爆闪、白光氙气爆闪、红外氙气爆闪四种模式;光源:可见光(波长350nm～780nm);色温:氙气:5800K±200K,LED:3500K;中心光照度:LED:≤5lx(20m平均光照度),≤20lx(20m有效光照度),≤80lx(20m频爆光照度);氙气:≤4000lx;触发方式:开关量;光斑覆盖范围:1车道;补光距离:16m～26m;回电时间:≤70ms;闪光持续时间:180μs～500μs;爆闪计数:支持统计爆闪次数和触发次数;闪光灯寿命:≥1000万次;频率:100Hz;灯珠数量:24颗(高亮LED);光通量:1000lm;频闪时间统计:支持统计频闪持续时间;红外白光切换:支持;远程故障显示:支持在摄像机WEB上远程显示补光灯故障、正常状态(仅针对大华交通摄像机);亮度调节:氙气:1～16级亮度可调;LED:1～20级亮度可调;供电方式:AC220V±20%,50Hz±2Hz;功耗:≤65J;净重:5.3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2280.69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多合一生态补光灯（二）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与摄像机配套</w:t>
            </w:r>
            <w:r>
              <w:rPr>
                <w:sz w:val="21"/>
              </w:rPr>
              <w:t>,每车道部署一台;带光栅能有效降低光污染,符合公安部 《 交通技术监控成像补光装置通用技术条件 》 (GA/T1202 2022) 标准</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2280.69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多合一生态补光灯（三）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工作电压</w:t>
            </w:r>
            <w:r>
              <w:rPr>
                <w:sz w:val="21"/>
              </w:rPr>
              <w:t>220VAC±10%;工作温度 -40℃~70℃;工作湿度 10%～90%;LED颗数 24颗;光源类型 原装大功率暖光LED、大尺寸高功率氙气灯管两种光源;LED灯珠数量 24颗;色温 暖光;发光角度 10°;气体单次闪光能量 200J;气体闪光次数 ＞2000万次@间隔2秒1次;覆盖范围 单车道;最佳补光距离 16米～30米;触发方式 电平量触发 （可选配开关量触发）;触发信号电平 4V~6V（高电平有效）;触发频率 0Hz~250 Hz;触发占空比 1%~39%,当占空比大于等于40%时进入自保护状态;响应时间 ≤20us;触发接口 1路频闪触发输入,2路爆闪输入;设计寿命 ≥50000小时;外壳材质 压铸铝;电源 AC220V±10%,47Hz~63Hz1;工作环境 工作温度-40℃～+70℃,工作湿度10%～90%;防护等级 IP66;安装方式 正装（支架旋转角度-90°~+90°）;</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2280.69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测速雷达（一）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测速范围</w:t>
            </w:r>
            <w:r>
              <w:rPr>
                <w:sz w:val="21"/>
              </w:rPr>
              <w:t>:(10~250) Km/h;测速精度:(-4～0) Km/h;监控车道数:单车道;探测范围:18m～28m,安装高度6m;距离精度:± 1 米;供电方式:DC12V;功耗:2W;工作温度:-40℃～+70℃;产品尺寸:雷达:209.9mm×210.0mm×35.0mm;支架:163.4mm×100mm×155mm;净重:1kg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4613.66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测速雷达（二）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测速范围</w:t>
            </w:r>
            <w:r>
              <w:rPr>
                <w:sz w:val="21"/>
              </w:rPr>
              <w:t>:(10~250) Km/h;监控车道数:单车道;功耗:2W;工作温度:-40℃～70℃;产品尺寸:雷达:209.9mm×210.0mm×35.0mm;支架:163.4mm×100mm×155mm;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4436.67</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测速雷达（三）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单车道测速雷达，频率</w:t>
            </w:r>
            <w:r>
              <w:rPr>
                <w:sz w:val="21"/>
              </w:rPr>
              <w:t>24.15G;采用24GHz MMIC技术;高增益、低副瓣微带天线设计技术，有效避免邻道目标干扰;可对多目标进行精确测距测速，精确定位;抓拍率达到39%以上</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4171.18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12路智能终端管理盒</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操作系统</w:t>
            </w:r>
            <w:r>
              <w:rPr>
                <w:sz w:val="21"/>
              </w:rPr>
              <w:t>:Linux;操作界面:WEB方式;网络协议:TCP/IP、HTTP、HTTPS、SFTP、FTP、DNS、RTP、RTSP、RTC、NTP、DHCP、IEEE802.1X;图片编码格式:JPEG;存储功能:硬盘;FTP;SFTP;;定位功能:支持北斗;图片合成:支持1/2/3/4/5/6张原始图片普通合成和关联合成;支持两通道、三通道、多通道关联匹配并将图片合成或编组;支持ID匹配、车牌匹配、先ID后车牌匹配方式;支持以车型、车道、车牌颜色、车身颜色进行模糊匹配;支持合成顺序和特写图序号选择;断网续传:支持平台断网续传、FTP断网续传;支持手动上传;硬盘接口:4个,SATA接口;RS-232接口:3个(其中1个用于调试串口数据);RS-485接口:4个;USB接口:2个,USB 3.0接口;网络接口:18个,2个10M/100M/1000M自适应以太网口(RJ-45),16个10M/100M自适应以太网口(RJ-45);视频输入:视频接入模式支持16路网络压缩高清视频输入;卡口合成模式支持12路网络压缩高清视频输入;报警输入:4路;报警输出:4路(光耦输出);供电方式:DC12V;功耗:＜40W;工作温度:–30℃～+65℃;工作湿度:10%～90%RH(无凝结);产品尺寸:355.0mm×265.0mm×118.5mm(长×宽×高);净重:5.5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6468.6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4路智能终端管理盒</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操作系统</w:t>
            </w:r>
            <w:r>
              <w:rPr>
                <w:sz w:val="21"/>
              </w:rPr>
              <w:t>:Linux;操作界面:WEB方式;网络协议:TCP/IP、HTTP、HTTPS、SFTP、FTP、DNS、RTP、RTSP、RTC、NTP、DHCP、IEEE802.1X;图片编码格式:JPEG;存储功能:硬盘（标配1个2T硬盘）;FTP;SFTP;定位功能:支持北斗（天线需单独下单）;图片合成:支持单通道1/2/3/4/5/6张图片合成;支持合成顺序和特写图序号选择;断网续传:支持平台断网续传、FTP断网续传;支持手动上传;硬盘接口:1个,SATA接口;RS-232接口:1个（用于调试串口数据）;RS-485接口:2个;USB接口:1个,USB 3.0接口;网络接口:10个,8个10M/100M自适应以太网口（RJ-45）,2个1000M接口（RJ-45）;视频输入:视频接入模式支持12路网络压缩高清视频输入,卡口合成模式支持4路网络压缩高清视频输入;报警输入:3路;报警输出:3路（光耦输出）;供电方式:DC12V,标配适配器;功耗:＜20W;工作温度:–30℃～+65℃;工作湿度:10%～90%RH（无凝结）;产品尺寸:210.0mm×174.8mm×57.0mm（长×宽×高）;</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5141.16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16路智能交通终端管理设备</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软件功能支持</w:t>
            </w:r>
            <w:r>
              <w:rPr>
                <w:sz w:val="21"/>
              </w:rPr>
              <w:t>16路H.265、H.264编码混合自适应接入;支持SDK、RTSP、ONVIF和GB28181添加相机通道;支持图片存储展示,包括车辆卡口、违法、目标、人体以及其他事件结构化图片数据;支持视频预览、录像和回放,可配置录像计划,录像和图片存储空间可配置;支持本地浏览器查询数据,可设置多种筛选条件;查询结果可关联对应事件短录像;支持新国标电警应用,有反向卡口需要图片六合一时,最大支持8个电警相机六合一;支持区间测速、区间限停和区间变道功能;支持多个相机抓拍数据匹配合成,三种匹配策略可选;支持多种字符叠加、图片合成模式;支持车牌黑白名单布防比对,黑白名单是否上传平台可配;支持双网隔离应用,可向两个隔离网络分别上传图片和视频数据;支持LED屏（默认交通诱导屏和出入口LED显示屏）,音柱对接发布,发布条件和内容可自定义;硬件规格网络接口:2个10/100/1000M自适应以太网接口,双网卡,物理隔离;具备16个1000M以太网接口;具备2个光口（SFP）;硬盘接口:4个SATA接口音频接口:1个音频输入接口、1个音频输出接口;IO报警接口:2路报警输入接口、2路报警输出接口;指示灯:电源/报警/硬盘/就绪,共4个状态指示灯;其他接口:2个RS-232接口、2个RS-485接口、1个USB3.0接口;尺寸:370mm（宽）×273mm（深）×102.5mm（高）,自带挂耳,可机架式安装;重量(不含硬盘）:≤5.1kg;运行功耗:≤50W;工作温度-40℃～70℃、工作湿度10%～90%,无风扇设计,适合多种场景下应用;</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6893.38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综合管控一体机</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ALL IN ONE综合管控一体机，含信号灯检测板、智能电源板、光端传输板、模拟板、主控板，支持16路相机接入做通道匹配合成等功能，内置1块2T硬盘;电源:AC220V;</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6468.6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信号灯检测器（一）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指示灯</w:t>
            </w:r>
            <w:r>
              <w:rPr>
                <w:sz w:val="21"/>
              </w:rPr>
              <w:t>:1个RUN指示灯,1个LAN指示灯,20个输入状态指示灯;参数配置:支持(20路相机参数和通道参数);状态检测:支持(相机及红/绿灯状态检测);检测模式切换:支持(红/绿灯检测模式切换);输入异常检测:支持(红/绿灯输入信号异常检测,判断时长1~300秒范围可设)校时功能:支持,NTP校时/同步PC;网络状态监测:支持;日志记录:支持记录1700条日志;升级功能:支持(网络升级);信号输入:20路,AC220V红/绿灯信号;RS-485接口:1个(调试串口);网络接口:1个RJ-45以太网口,支持100M网络数据传输;硬件复位:支持;供电方式:DC12V,标配适配器;功耗:＜3W;工作温度:-40℃～+65℃;工作湿度:10%～95%RH(无凝结);产品尺寸:190mm×150mm×42mm(长×宽×高);净重:1kg</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1144.53</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信号灯检测器（二）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RS485接口：不少于4路独立RS485</w:t>
            </w:r>
          </w:p>
          <w:p>
            <w:pPr>
              <w:pStyle w:val="null3"/>
              <w:jc w:val="left"/>
            </w:pPr>
            <w:r>
              <w:rPr>
                <w:sz w:val="21"/>
              </w:rPr>
              <w:t>波特率：</w:t>
            </w:r>
            <w:r>
              <w:rPr>
                <w:sz w:val="21"/>
              </w:rPr>
              <w:t>9600</w:t>
            </w:r>
          </w:p>
          <w:p>
            <w:pPr>
              <w:pStyle w:val="null3"/>
              <w:jc w:val="left"/>
            </w:pPr>
            <w:r>
              <w:rPr>
                <w:sz w:val="21"/>
              </w:rPr>
              <w:t>校验位：</w:t>
            </w:r>
            <w:r>
              <w:rPr>
                <w:sz w:val="21"/>
              </w:rPr>
              <w:t>NONE</w:t>
            </w:r>
          </w:p>
          <w:p>
            <w:pPr>
              <w:pStyle w:val="null3"/>
              <w:jc w:val="left"/>
            </w:pPr>
            <w:r>
              <w:rPr>
                <w:sz w:val="21"/>
              </w:rPr>
              <w:t>数据位：</w:t>
            </w:r>
            <w:r>
              <w:rPr>
                <w:sz w:val="21"/>
              </w:rPr>
              <w:t>8</w:t>
            </w:r>
          </w:p>
          <w:p>
            <w:pPr>
              <w:pStyle w:val="null3"/>
              <w:jc w:val="left"/>
            </w:pPr>
            <w:r>
              <w:rPr>
                <w:sz w:val="21"/>
              </w:rPr>
              <w:t>停止位：</w:t>
            </w:r>
            <w:r>
              <w:rPr>
                <w:sz w:val="21"/>
              </w:rPr>
              <w:t>1</w:t>
            </w:r>
          </w:p>
          <w:p>
            <w:pPr>
              <w:pStyle w:val="null3"/>
              <w:jc w:val="left"/>
            </w:pPr>
            <w:r>
              <w:rPr>
                <w:sz w:val="21"/>
              </w:rPr>
              <w:t>信号输入：</w:t>
            </w:r>
            <w:r>
              <w:rPr>
                <w:sz w:val="21"/>
              </w:rPr>
              <w:t>220V红灯信号输入：16路，110V以上为有红灯信号，60V以下为无红灯信号</w:t>
            </w:r>
          </w:p>
          <w:p>
            <w:pPr>
              <w:pStyle w:val="null3"/>
              <w:jc w:val="left"/>
            </w:pPr>
            <w:r>
              <w:rPr>
                <w:sz w:val="21"/>
              </w:rPr>
              <w:t>供电电源：</w:t>
            </w:r>
            <w:r>
              <w:rPr>
                <w:sz w:val="21"/>
              </w:rPr>
              <w:t>AC175-240V，50HZ</w:t>
            </w:r>
          </w:p>
          <w:p>
            <w:pPr>
              <w:pStyle w:val="null3"/>
              <w:jc w:val="left"/>
            </w:pPr>
            <w:r>
              <w:rPr>
                <w:sz w:val="21"/>
              </w:rPr>
              <w:t>最大功率：</w:t>
            </w:r>
            <w:r>
              <w:rPr>
                <w:sz w:val="21"/>
              </w:rPr>
              <w:t>&lt;3瓦</w:t>
            </w:r>
          </w:p>
          <w:p>
            <w:pPr>
              <w:pStyle w:val="null3"/>
              <w:jc w:val="left"/>
            </w:pPr>
            <w:r>
              <w:rPr>
                <w:sz w:val="21"/>
              </w:rPr>
              <w:t>电源指示灯：</w:t>
            </w:r>
            <w:r>
              <w:rPr>
                <w:sz w:val="21"/>
              </w:rPr>
              <w:t>1个</w:t>
            </w:r>
          </w:p>
          <w:p>
            <w:pPr>
              <w:pStyle w:val="null3"/>
              <w:jc w:val="left"/>
            </w:pPr>
            <w:r>
              <w:rPr>
                <w:sz w:val="21"/>
              </w:rPr>
              <w:t>运行指示：</w:t>
            </w:r>
            <w:r>
              <w:rPr>
                <w:sz w:val="21"/>
              </w:rPr>
              <w:t>1个</w:t>
            </w:r>
          </w:p>
          <w:p>
            <w:pPr>
              <w:pStyle w:val="null3"/>
              <w:jc w:val="left"/>
            </w:pPr>
            <w:r>
              <w:rPr>
                <w:sz w:val="21"/>
              </w:rPr>
              <w:t>工作温度：</w:t>
            </w:r>
            <w:r>
              <w:rPr>
                <w:sz w:val="21"/>
              </w:rPr>
              <w:t>-40℃~+85℃</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1229.03</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监控球机（一）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传感器类型</w:t>
            </w:r>
            <w:r>
              <w:rPr>
                <w:sz w:val="21"/>
              </w:rPr>
              <w:t>:1/1.8英寸CMOS;像素:400万;最大分辨率:2560×1440;最低照度:彩色:0.001Lux@F1.4 黑白:0.0001Lux@F1.4 0Lux(红外灯开启);最大补光距离:250m(红外);补光类型:红外;雨刷功能:雨刷;镜头焦距:5.5mm～220mm;镜头光圈:F1.4~F4.5;视场角:水平:62.3°~2.1°(近焦到远焦)垂直:36.9~1.16°对角线:70.1°~2.4°;光学变倍:40倍;定时任务:预置点;巡迹;巡航;线扫;可视域功能:支持;智能分类:融智能;违法停车:抓拍距离半径:165m(多场景)、70m(单场景)支持A\B\C\D类违法停车抓拍;支持可自适应的多场景巡航检测;支持车辆类型、车身颜色、车标、车系、车牌、车牌颜色等多种机动车属性识别;卡口抓拍:支持覆盖2车道范围支持以下多种行为检测抓拍:车卡口、压白线、压黄线、逆行、违法变道、车辆加塞、有车占道、黄牌占道、不按车道行驶、超速、欠速、不系安全带、交通拥堵;支持以下车辆特征识别:车牌、车牌颜色、车身颜色、车辆类型、车标、车系、车速、年检标志、纸巾盒、香水盒、挂件、安全带状态、遮阳板状态、人脸抠图、主驾驶抽烟状态、主驾驶打电话状态;电子警察:支持覆盖2车道范围支持以下多种行为检测抓拍:车卡口、压白线、压黄线、逆行、违法变道、车辆加塞、有车占道、黄牌占道、不按车道行驶、超速、违法掉头、违法倒车、未礼让行人、不按导向箭头行驶支持以下车辆特征识别:车牌、车牌颜色、车身颜色、车辆类型、车标、车系;智能说明:违停抓拍、卡口抓拍、电子警察,这三个智能互斥,支持智能多场景巡航进行分时复用;防抖功能:电子防抖;透雾功能:光学透雾;网络接口:1个(RJ-45网口,支持10M/100M网络数据);音频输入:1路(LINE IN;裸线);音频输出:1路(LINE OUT;裸线);报警接口:7进2出;语音对讲:支持;报警输入:7 路开关量输入(0～5V DC);报警输出:2路;供电方式:AC24V/3A±25%(标配);Hi-PoE(选配);防护等级:IP67;球机尺寸:8寸</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5149.44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监控球机（二）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设备参数</w:t>
            </w:r>
            <w:r>
              <w:rPr>
                <w:sz w:val="21"/>
              </w:rPr>
              <w:t>:1.</w:t>
            </w:r>
            <w:r>
              <w:rPr>
                <w:sz w:val="21"/>
              </w:rPr>
              <w:t>内置补光灯，全景相机柔光补光距离不低于</w:t>
            </w:r>
            <w:r>
              <w:rPr>
                <w:sz w:val="21"/>
              </w:rPr>
              <w:t>50m</w:t>
            </w:r>
            <w:r>
              <w:rPr>
                <w:sz w:val="21"/>
              </w:rPr>
              <w:t>，细节相机红外补光距离不低于</w:t>
            </w:r>
            <w:r>
              <w:rPr>
                <w:sz w:val="21"/>
              </w:rPr>
              <w:t>200m</w:t>
            </w:r>
            <w:r>
              <w:rPr>
                <w:sz w:val="21"/>
              </w:rPr>
              <w:t>；</w:t>
            </w:r>
          </w:p>
          <w:p>
            <w:pPr>
              <w:pStyle w:val="null3"/>
              <w:jc w:val="left"/>
            </w:pPr>
            <w:r>
              <w:rPr>
                <w:sz w:val="21"/>
              </w:rPr>
              <w:t>2.</w:t>
            </w:r>
            <w:r>
              <w:rPr>
                <w:sz w:val="21"/>
              </w:rPr>
              <w:t>支持识别至少</w:t>
            </w:r>
            <w:r>
              <w:rPr>
                <w:sz w:val="21"/>
              </w:rPr>
              <w:t>5</w:t>
            </w:r>
            <w:r>
              <w:rPr>
                <w:sz w:val="21"/>
              </w:rPr>
              <w:t>种车牌颜色、</w:t>
            </w:r>
            <w:r>
              <w:rPr>
                <w:sz w:val="21"/>
              </w:rPr>
              <w:t>14</w:t>
            </w:r>
            <w:r>
              <w:rPr>
                <w:sz w:val="21"/>
              </w:rPr>
              <w:t>种车牌类型、</w:t>
            </w:r>
            <w:r>
              <w:rPr>
                <w:sz w:val="21"/>
              </w:rPr>
              <w:t>5600</w:t>
            </w:r>
            <w:r>
              <w:rPr>
                <w:sz w:val="21"/>
              </w:rPr>
              <w:t>种车辆的品牌、二级子品牌、年款和车辆类型等信息，支持识别</w:t>
            </w:r>
            <w:r>
              <w:rPr>
                <w:sz w:val="21"/>
              </w:rPr>
              <w:t>12</w:t>
            </w:r>
            <w:r>
              <w:rPr>
                <w:sz w:val="21"/>
              </w:rPr>
              <w:t>种车身颜色，支持至少</w:t>
            </w:r>
            <w:r>
              <w:rPr>
                <w:sz w:val="21"/>
              </w:rPr>
              <w:t>24</w:t>
            </w:r>
            <w:r>
              <w:rPr>
                <w:sz w:val="21"/>
              </w:rPr>
              <w:t>车型检测、支持</w:t>
            </w:r>
            <w:r>
              <w:rPr>
                <w:sz w:val="21"/>
              </w:rPr>
              <w:t>250</w:t>
            </w:r>
            <w:r>
              <w:rPr>
                <w:sz w:val="21"/>
              </w:rPr>
              <w:t>种车标识别；</w:t>
            </w:r>
          </w:p>
          <w:p>
            <w:pPr>
              <w:pStyle w:val="null3"/>
              <w:jc w:val="left"/>
            </w:pPr>
            <w:r>
              <w:rPr>
                <w:sz w:val="21"/>
              </w:rPr>
              <w:t>3.</w:t>
            </w:r>
            <w:r>
              <w:rPr>
                <w:sz w:val="21"/>
              </w:rPr>
              <w:t>应具有手动</w:t>
            </w:r>
            <w:r>
              <w:rPr>
                <w:sz w:val="21"/>
              </w:rPr>
              <w:t>/</w:t>
            </w:r>
            <w:r>
              <w:rPr>
                <w:sz w:val="21"/>
              </w:rPr>
              <w:t>自动跟踪、全景跟踪、事件跟踪功能；全景画面和细节画面支持手动标定和自动标定；可同时检测</w:t>
            </w:r>
            <w:r>
              <w:rPr>
                <w:sz w:val="21"/>
              </w:rPr>
              <w:t>50</w:t>
            </w:r>
            <w:r>
              <w:rPr>
                <w:sz w:val="21"/>
              </w:rPr>
              <w:t>个目标；支持点击联动功能，通过在客户端点击或者框选全景摄像机画面任意位置，细节跟踪摄像机可自动通过云台调整与变焦，将该区域置于画面中心；支持多目标自动切换跟踪，目标切换时间时间≤</w:t>
            </w:r>
            <w:r>
              <w:rPr>
                <w:sz w:val="21"/>
              </w:rPr>
              <w:t>1</w:t>
            </w:r>
            <w:r>
              <w:rPr>
                <w:sz w:val="21"/>
              </w:rPr>
              <w:t>秒；支持全景摄像机对设定区域内的机非人目标进行检测，细节跟踪摄像机可自动通过云台调整与变焦，将该目标置于画面中心，进行检测抓拍并提取结构化属性；</w:t>
            </w:r>
          </w:p>
          <w:p>
            <w:pPr>
              <w:pStyle w:val="null3"/>
              <w:jc w:val="left"/>
            </w:pPr>
            <w:r>
              <w:rPr>
                <w:sz w:val="21"/>
              </w:rPr>
              <w:t>4.</w:t>
            </w:r>
            <w:r>
              <w:rPr>
                <w:sz w:val="21"/>
              </w:rPr>
              <w:t>支持快速集成智能算法或应用</w:t>
            </w:r>
            <w:r>
              <w:rPr>
                <w:sz w:val="21"/>
              </w:rPr>
              <w:t>APP</w:t>
            </w:r>
            <w:r>
              <w:rPr>
                <w:sz w:val="21"/>
              </w:rPr>
              <w:t>，智能算法或</w:t>
            </w:r>
            <w:r>
              <w:rPr>
                <w:sz w:val="21"/>
              </w:rPr>
              <w:t>APP</w:t>
            </w:r>
            <w:r>
              <w:rPr>
                <w:sz w:val="21"/>
              </w:rPr>
              <w:t>可以独立升级；支持智能算法模块动态加载，加载过程中，视频业务不中断；</w:t>
            </w:r>
          </w:p>
          <w:p>
            <w:pPr>
              <w:pStyle w:val="null3"/>
              <w:jc w:val="left"/>
            </w:pPr>
            <w:r>
              <w:rPr>
                <w:sz w:val="21"/>
              </w:rPr>
              <w:t>5.</w:t>
            </w:r>
            <w:r>
              <w:rPr>
                <w:sz w:val="21"/>
              </w:rPr>
              <w:t>具有不少于以下接口：</w:t>
            </w:r>
            <w:r>
              <w:rPr>
                <w:sz w:val="21"/>
              </w:rPr>
              <w:t>2</w:t>
            </w:r>
            <w:r>
              <w:rPr>
                <w:sz w:val="21"/>
              </w:rPr>
              <w:t>个</w:t>
            </w:r>
            <w:r>
              <w:rPr>
                <w:sz w:val="21"/>
              </w:rPr>
              <w:t>RJ45</w:t>
            </w:r>
            <w:r>
              <w:rPr>
                <w:sz w:val="21"/>
              </w:rPr>
              <w:t>自适应以太网口、</w:t>
            </w:r>
            <w:r>
              <w:rPr>
                <w:sz w:val="21"/>
              </w:rPr>
              <w:t>1</w:t>
            </w:r>
            <w:r>
              <w:rPr>
                <w:sz w:val="21"/>
              </w:rPr>
              <w:t>个</w:t>
            </w:r>
            <w:r>
              <w:rPr>
                <w:sz w:val="21"/>
              </w:rPr>
              <w:t>RS485</w:t>
            </w:r>
            <w:r>
              <w:rPr>
                <w:sz w:val="21"/>
              </w:rPr>
              <w:t>接口、</w:t>
            </w:r>
            <w:r>
              <w:rPr>
                <w:sz w:val="21"/>
              </w:rPr>
              <w:t>4</w:t>
            </w:r>
            <w:r>
              <w:rPr>
                <w:sz w:val="21"/>
              </w:rPr>
              <w:t>路报警输入，</w:t>
            </w:r>
            <w:r>
              <w:rPr>
                <w:sz w:val="21"/>
              </w:rPr>
              <w:t>2</w:t>
            </w:r>
            <w:r>
              <w:rPr>
                <w:sz w:val="21"/>
              </w:rPr>
              <w:t>路报警输出、</w:t>
            </w:r>
            <w:r>
              <w:rPr>
                <w:sz w:val="21"/>
              </w:rPr>
              <w:t>1</w:t>
            </w:r>
            <w:r>
              <w:rPr>
                <w:sz w:val="21"/>
              </w:rPr>
              <w:t>路音频输入，</w:t>
            </w:r>
            <w:r>
              <w:rPr>
                <w:sz w:val="21"/>
              </w:rPr>
              <w:t>1</w:t>
            </w:r>
            <w:r>
              <w:rPr>
                <w:sz w:val="21"/>
              </w:rPr>
              <w:t>路音频输出、</w:t>
            </w:r>
            <w:r>
              <w:rPr>
                <w:sz w:val="21"/>
              </w:rPr>
              <w:t>1</w:t>
            </w:r>
            <w:r>
              <w:rPr>
                <w:sz w:val="21"/>
              </w:rPr>
              <w:t>个</w:t>
            </w:r>
            <w:r>
              <w:rPr>
                <w:sz w:val="21"/>
              </w:rPr>
              <w:t>MicroSD</w:t>
            </w:r>
            <w:r>
              <w:rPr>
                <w:sz w:val="21"/>
              </w:rPr>
              <w:t>卡插槽、</w:t>
            </w:r>
            <w:r>
              <w:rPr>
                <w:sz w:val="21"/>
              </w:rPr>
              <w:t>1</w:t>
            </w:r>
            <w:r>
              <w:rPr>
                <w:sz w:val="21"/>
              </w:rPr>
              <w:t>个复位键；</w:t>
            </w:r>
          </w:p>
          <w:p>
            <w:pPr>
              <w:pStyle w:val="null3"/>
              <w:jc w:val="left"/>
            </w:pPr>
            <w:r>
              <w:rPr>
                <w:sz w:val="21"/>
              </w:rPr>
              <w:t>6.</w:t>
            </w:r>
            <w:r>
              <w:rPr>
                <w:sz w:val="21"/>
              </w:rPr>
              <w:t>供电方式：</w:t>
            </w:r>
            <w:r>
              <w:rPr>
                <w:sz w:val="21"/>
              </w:rPr>
              <w:t>AC24V</w:t>
            </w:r>
          </w:p>
          <w:p>
            <w:pPr>
              <w:pStyle w:val="null3"/>
              <w:jc w:val="left"/>
            </w:pPr>
            <w:r>
              <w:rPr>
                <w:sz w:val="21"/>
              </w:rPr>
              <w:t>7.</w:t>
            </w:r>
            <w:r>
              <w:rPr>
                <w:sz w:val="21"/>
              </w:rPr>
              <w:t>防护等级不低于</w:t>
            </w:r>
            <w:r>
              <w:rPr>
                <w:sz w:val="21"/>
              </w:rPr>
              <w:t>IP67</w:t>
            </w:r>
            <w:r>
              <w:rPr>
                <w:sz w:val="21"/>
              </w:rPr>
              <w:t>。</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6034.39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监控球机（三）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传感器类型</w:t>
            </w:r>
            <w:r>
              <w:rPr>
                <w:sz w:val="21"/>
              </w:rPr>
              <w:t>:【全景】1/1.8＂ progressive scan CMOS,【细节】1/1.8＂ progressive scan CMOS;最低照度:【全景】彩色 0.0005Lux @ (F1.0，AGC ON)，黑白0.0001Lux @(F1.0，AGC ON)， 0Lux with Lght;【细节】彩色 0.0005Lux @ (F1.3，AGC ON)，黑白0.0001Lux @(F1.3，AGC ON)， 0Lux with IR; ;焦距:【全景】4mm;【细节】6~240 mm，40倍光学变倍;视场角:【全景】90°;【细节】59°-2.0° ;补光灯距离:【全景】暖白光30米;【细节】暖白光50米，红外250米;防补光过曝:支持 ;水平范围:【全景】不支持;【细节】0-360°;垂直范围:【全景】7-17°;【细节】-20-90°;水平速度:【全景】不支持;【细节】水平键控速度:0.1°-160°/s,速度可设;水平预置点速度:240°/s ;垂直速度:【全景】垂直键控速度可设;【细节】垂直键控速度:0.1°-120°/s,速度可设;垂直预置点速度:200°/s ;主码流帧率分辨率:50 Hz:25 fps（2688*1520，.2560 × 1440，1920 × 1080，1280×960，1280×720）;60 Hz:30 fps（2688*1520,2560 × 1440，1920 × 1080，1280 × 960，1280 × 720）;高帧率:50Hz:50 fps（2688 × 1520 ,  2560 × 1440，1920 × 1080，1280 × 960，1280 × 720）;60 Hz:60 fps（2688 × 1520 , 2560 × 1440，1920 × 1080，1280 × 960，1280 × 720）;常规帧率:50 Hz:25 fps（2688 × 1520 ,  2560 × 1440，1920 × 1080，1280 × 960，1280 × 720）;60 Hz:30 fps（2688 × 1520 , 2560 × 1440，1920 × 1080，1280 × 960，1280 × 720）;视频压缩标准:H.265,H.264,MJPEG ;宽动态:支持120dB超宽动态 ;陀螺仪:支持 ;网络接口:支持100M网络数据,RJ45网口,自适应网络数据;SD卡扩展:内置Micro SD卡插槽,支持Micro SD/Micro SDHC/Micro SDXC卡,最大支持512 GB;报警:7路报警输入;2路报警输出;</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5149.44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网络交换机</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8口10/100M网络交换机</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459.75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光纤收发器</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100M单模收发器</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对</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439.95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服务器（一）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尺寸</w:t>
            </w:r>
            <w:r>
              <w:rPr>
                <w:sz w:val="21"/>
              </w:rPr>
              <w:t>:2U机架式服务器机箱;处理器:2颗鲲鹏920 3211R,24Core,主频2.5GHz;内存:配置2×DIMM16G内存.最多支持16根DDR4内存条;支持的单根DIMM容量:8GB、16GB和32GB、64GB;硬盘:2块4TB3.5吋硬盘;RAID卡:SAS3408;网口:4个千兆网口;接口:4个USB接口(前面板2个,后面板2个),1个VGA接口(后面板);认证:CCC;电源:1+1冗余热插拔电源模块,具体电源:2×白金900W交流电源;风扇:4个热插拔;整机功耗:≤550W;工作海拔:≤5000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28193.29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服务器（二）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1个12*3.5英寸硬盘直通机箱2个处理器,每个处理器规格不低于32Core@2.6GHz,8DIMM2个服务器900W交流电源4块通用内存-DDR4 RDIMM-32GB-288pin-0.625ns-3200000KHz6块通用硬盘-4000GB-SATA 6Gb/s-7.2K rpm-128MB及以上-3.5英寸(3.5英寸托架)1个16X SLOT (PCIE X16) +16X SLOT (PCIE X8)-RISER1&amp;2 模组1个SAS/SATA RAID 16口标卡,RAID0,1,5,6,10,50,60,2GB Cache,支持超级电容和边带管理1个CC RAID卡超级电容1个4*GE 接口卡1个板载灵活网卡-25GE/10GE光口-2端口-SFP28(不含光模块)2个光模块-SFP+-10G-多模模块(850nm,0.3km,LC)</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59874.71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服务器（三）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4114(10核2.2GHz)×1/32G DDR4/1TB 7.2K  SATA×2/SAS_HBA/1GbE×2/Win Svr 2016 简中标版/550W(1+1)/2U/16DIMM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32423.38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存储设备（一）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视频</w:t>
            </w:r>
            <w:r>
              <w:rPr>
                <w:sz w:val="21"/>
              </w:rPr>
              <w:t>/图片存储服务一体机;默认4个10/100/1000Mbps自适应以太网电口,1个10/100/1000Mbps自适应管理网口,可选配2张PCIE标卡(标卡需客户自行购买,如SAS卡、网卡);可适配CMR&amp;SMR硬盘,支持SATA硬盘,CMR单盘最大支持24TB硬盘,SMR单盘最大支持25TB;最大支持768路(1536Mbps)前端接入、存储、转发,32路(64 Mbps)网络回放;可通过ONVIF、GB28181、RTSP、视图库、主动注册等协议管理不同厂家前端摄像头,实现视频存储;存储RAID支持JBOD、RAID 0/1/5/6/10/50/60、SRAID 支持全局热备和局部热备;支持存储配额管理,支持基于通道的维度进行存储周期管理;仅CMR硬盘支持通过IPSAN、NAS(Samba、FTP、NFS)、视频直存模式访问存储资源;支持关键录像加锁,确保不被循环覆盖;支持N+M集群模式,可实现单台或多台设备故障时,故障设备业务自动迁移到其它健康设备上,保障业务不中断;可配合智能前端摄像头,实现结构化告警、周界告警、入户电梯告警、高空抛物告警等多种报警事件、图片透传平台;支持一键诊断功能:支持硬盘状态、单盘性能、RAID状态、raid配置、硬盘盘组、网络状态、录像状态的健康状态诊断,诊断用户配置合规性,协助用户更好的使用设备;整机硬件设计,性能高、稳定、可控,安全性高.</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21113.64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存储设备（二）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整机硬件设计、基于</w:t>
            </w:r>
            <w:r>
              <w:rPr>
                <w:sz w:val="21"/>
              </w:rPr>
              <w:t>(OpenEuler)操作系统;主处理器:64位高性能多核处理器;控制器:单控制器;高速缓存:标配16GB,可扩展至128GB;电源冗余:1+1冗余电源;网络接口:1个千兆管理电口,4个千兆数据电口;硬盘个数:支持24块企业级硬盘;硬盘兼容性:1TB、2TB、3TB、4TB、5TB、6TB、8TB、10TB、12TB、14TB、16TB,支持SATA盘混插支持SSD硬盘支持2.5、3.5英寸硬盘.1.最大支持250路（图片大小550KB）前端接入、存储、转发,32路（图片大小550KB ） 网络回放;2.可通过ONVIF、GB28181、RTSP、视图库、主动注册等协议管理不同厂家前端摄像头,实现视频存储;3.存储RAID支持JBOD、RAID 0/1/5/6/10/50/60、SRAID 支持全局热备和局部热备;4.支持存储配额管理,支持基于通道的维度进行存储周期管理;5.支持通过IPSAN、NAS（Samba、FTP、NFS）、视频直存模式访问存储资源;6.支持持关键录像加锁,确保不被循环覆盖;7.支持N+M集群模式,可实现单台或多台设备故障时,故障设备业务自动迁移到其它健康设备上,保障业务不中断;8.可配合智能前端摄像头,实现结构化告警、周界告警、入户电梯告警、高空抛物告警等多种报警事件、图片透传平台;9.支持一键诊断功能:支持硬盘状态、单盘性能、RAID状态、raid配置、硬盘盘组、网络状态、录像状态的健康状态诊断,诊断用户配置合规性,协助用户更好的使用设备;10.异常报警:支持网络断开;无可用硬盘;硬盘健康异常;存储错误;存储容量不足;存储池异常;RAID异常;配额异常;录像丢帧;IP冲突;MAC冲突;系统盘健康异常;账户锁定;安全异常;风扇转速异常;电源报警;共享服务异常;设备温度报警</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82534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存储设备（三）</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"机架式/4U24盘位/2048Mbps接入带宽/SATA硬盘/可接SAS扩展柜/双64位多核处理器，8GB高速缓存（可扩展到128GB）,4个千兆网口（可扩8个千兆 或 4个万兆以太网口）/冗余电源/</w:t>
            </w:r>
            <w:r>
              <w:br/>
            </w:r>
            <w:r>
              <w:rPr>
                <w:sz w:val="21"/>
              </w:rPr>
              <w:t>支持流媒体</w:t>
            </w:r>
            <w:r>
              <w:rPr>
                <w:sz w:val="21"/>
              </w:rPr>
              <w:t>1:1:1接入存储转发/视频流、图片、SMART、视频文件混合直写/智能事件检索、精确定位、浓缩播放/RAID 0、1、3、5、6、10、50，60/</w:t>
            </w:r>
            <w:r>
              <w:br/>
            </w:r>
            <w:r>
              <w:rPr>
                <w:sz w:val="21"/>
              </w:rPr>
              <w:t>网络协议</w:t>
            </w:r>
            <w:r>
              <w:rPr>
                <w:sz w:val="21"/>
              </w:rPr>
              <w:t>:RTSP/ONVIF/PSIA/SIP（GB/T28181）/iSCSI/NFS/CIFS/FTP/HTTP/AFP"</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23503.02</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工作站</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处理器</w:t>
            </w:r>
            <w:r>
              <w:rPr>
                <w:sz w:val="21"/>
              </w:rPr>
              <w:t>:飞腾D2000;内存支持16GBDDR4;存储支持512GBNVMEM.2SSD+1TB机械硬盘;显卡独立显卡，支持2G显存;BIOS 昆仑固件，冗余BIOS;系统支持统信U0S、银河麒麟V10;配套27英寸B221显示器;</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台</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5644.45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企业级硬盘</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6000G 7200RPM;256M;SATA</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1144.35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企业级硬盘</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8000G 7200RPM;256M;SATA</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1626.35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超五类千兆网线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超五类千兆网线</w:t>
            </w:r>
            <w:r>
              <w:rPr>
                <w:sz w:val="21"/>
              </w:rPr>
              <w:t>工程级无氧铜</w:t>
            </w:r>
            <w:r>
              <w:rPr>
                <w:sz w:val="21"/>
              </w:rPr>
              <w:t>,户外专用网线</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4.01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超五类网络跳线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超五类</w:t>
            </w:r>
            <w:r>
              <w:rPr>
                <w:sz w:val="21"/>
              </w:rPr>
              <w:t>1.5米无氧铜网络跳线</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条</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12.99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,交通工程专用,耐高温,耐拉扯,耐折弯,ZR-YJV3×10mm2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33.12</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,交通工程专用,耐高温,耐拉扯,耐折弯,ZR-YJV3×6mm2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21.26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,交通工程专用,耐高温,耐拉扯,耐折弯,ZR-YJV3×4mm2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15.81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,交通工程专用,耐高温,耐拉扯,耐折弯,RVV4×1.5mm2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,交通工程专用,耐高温,耐拉扯,耐折弯,RVV3×2.5mm2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9.95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电源线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,交通工程专用,耐高温,耐拉扯,耐折弯,RVV3×1.5mm2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6.84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各类信号控制线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多股铜芯软线</w:t>
            </w:r>
            <w:r>
              <w:rPr>
                <w:sz w:val="21"/>
              </w:rPr>
              <w:t>,交通工程专用,耐高温,耐拉扯,耐折弯,RVV3×1.0mm2</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5.28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光缆</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室外重铠光缆</w:t>
            </w:r>
            <w:r>
              <w:rPr>
                <w:sz w:val="21"/>
              </w:rPr>
              <w:t>4芯单模</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6.66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光纤熔接</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光纤连接</w:t>
            </w:r>
            <w:r>
              <w:rPr>
                <w:sz w:val="21"/>
              </w:rPr>
              <w:t>熔接法</w:t>
            </w:r>
            <w:r>
              <w:rPr>
                <w:sz w:val="21"/>
              </w:rPr>
              <w:t>单模</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芯</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91.47</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光纤跳线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光纤跳线单模</w:t>
            </w:r>
            <w:r>
              <w:rPr>
                <w:sz w:val="21"/>
              </w:rPr>
              <w:t>,20cm,FC接口</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条</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42.98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光纤盒</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金属光纤盒</w:t>
            </w:r>
            <w:r>
              <w:rPr>
                <w:sz w:val="21"/>
              </w:rPr>
              <w:t>,8口,含法兰盘,定线盒等配件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125.79</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人行道开挖及恢复</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1.名称:人行道开挖及恢复</w:t>
            </w:r>
            <w:r>
              <w:br/>
            </w:r>
            <w:r>
              <w:rPr>
                <w:sz w:val="21"/>
              </w:rPr>
              <w:t>2.规格参数:人行道砖拆除及恢复,土方开挖及回填,深度60cm,宽度40cm;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96.67</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沥青路面开挖及恢复</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1.名称:沥青路面开挖及恢复</w:t>
            </w:r>
            <w:r>
              <w:br/>
            </w:r>
            <w:r>
              <w:rPr>
                <w:sz w:val="21"/>
              </w:rPr>
              <w:t>2.规格参数:沥青路面开挖及恢复,路面破除切割及恢复,深度60cm,宽度40cm;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178.8</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PVC管</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Φ75PVC保护管,壁厚2.3mm;硬度强度高,不易变形</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22.92</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接线井</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400×400×600mm,净空尺寸,砖砌,水泥抹面</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座</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378.4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手井盖</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球墨铸铁市政设施专用井盖</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236.32</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电子警察抱杆箱</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1.名称:电子警察抱杆箱</w:t>
            </w:r>
            <w:r>
              <w:br/>
            </w:r>
            <w:r>
              <w:rPr>
                <w:sz w:val="21"/>
              </w:rPr>
              <w:t>2.规格:600x450x350(mm),IP54防护等级</w:t>
            </w:r>
            <w:r>
              <w:br/>
            </w:r>
            <w:r>
              <w:rPr>
                <w:sz w:val="21"/>
              </w:rPr>
              <w:t>3.性能参数:采用热镀锌处理,防水、防尘、防剪线、防破坏;空开,1*2P/16A,5*1P/10A,四位排插</w:t>
            </w:r>
            <w:r>
              <w:br/>
            </w:r>
            <w:r>
              <w:rPr>
                <w:sz w:val="21"/>
              </w:rPr>
              <w:t>4.其他:配置自动重合闸漏电开关,二合一电源防雷器等</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793.71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前端机柜</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1.类型:室外机柜设备安装基于 19 英寸标准结构设计,有17U 安装空间,具有良好的安装通用性,内置双路电源防雷1个,25A双路空开1个,8路单路10A空开,1个三芯维修插座,1个散热风扇和维修照明,门锁采用户外机柜防水锁,为机柜提供可靠的安全保护,使用三复合的三元乙丙优质密封条;</w:t>
            </w:r>
            <w:r>
              <w:br/>
            </w:r>
            <w:r>
              <w:rPr>
                <w:sz w:val="21"/>
              </w:rPr>
              <w:t>2.尺寸:≥1100(高)×700(宽)×510(深)(含帽檐基座)、800(高)×600(宽)×450(深)(不含帽檐基座);</w:t>
            </w:r>
            <w:r>
              <w:br/>
            </w:r>
            <w:r>
              <w:rPr>
                <w:sz w:val="21"/>
              </w:rPr>
              <w:t>3.机柜采用落地安装方式,防护等级IP55,机柜采用主体焊接、部分拼装的结构;</w:t>
            </w:r>
            <w:r>
              <w:br/>
            </w:r>
            <w:r>
              <w:rPr>
                <w:sz w:val="21"/>
              </w:rPr>
              <w:t>4.基础规格:≥600×500×830mm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3116.51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55寸超窄边LED</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55寸超窄边LED</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6725.32</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解码卡</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6路HDMI增强型解码卡</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4485.44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UPS电池</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12V120AH铅酸电池</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998.4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65</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前端设备电源</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12/24V直流电源</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个</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44.25</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66</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交通违法抓拍标志牌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1.类型:交通违法抓拍标志牌</w:t>
            </w:r>
            <w:r>
              <w:br/>
            </w:r>
            <w:r>
              <w:rPr>
                <w:sz w:val="21"/>
              </w:rPr>
              <w:t>2.材质、规格尺寸:800×1200mm,面贴超强级反光膜,含背槽,抱箍等配件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785.86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67</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车道方向标志牌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1.类型:车道方向标志牌</w:t>
            </w:r>
            <w:r>
              <w:br/>
            </w:r>
            <w:r>
              <w:rPr>
                <w:sz w:val="21"/>
              </w:rPr>
              <w:t>2.材质、规格尺寸:900×400mm,面贴超强级反光膜,含背槽,抱箍等配件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456.66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68</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车道方向标志牌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1.类型:车道方向标志牌</w:t>
            </w:r>
            <w:r>
              <w:br/>
            </w:r>
            <w:r>
              <w:rPr>
                <w:sz w:val="21"/>
              </w:rPr>
              <w:t>2.材质、规格尺寸:800×400mm,面贴超强级反光膜,含背槽,抱箍等配件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434.71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69</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前方测速提示标志牌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1.类型:前方测速提示标志牌</w:t>
            </w:r>
            <w:r>
              <w:br/>
            </w:r>
            <w:r>
              <w:rPr>
                <w:sz w:val="21"/>
              </w:rPr>
              <w:t>2.材质、规格尺寸:800×1200mm,面贴超强级反光膜,含背槽,抱箍等配件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785.86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70</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交通违法抓拍的标志牌</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1.类型:交通违法抓拍的标志牌</w:t>
            </w:r>
            <w:r>
              <w:br/>
            </w:r>
            <w:r>
              <w:rPr>
                <w:sz w:val="21"/>
              </w:rPr>
              <w:t>2.材质、规格尺寸:800×400mm,面贴超强级反光膜,含背槽,抱箍等配件</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块</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434.71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71</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禁停标线</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1.材料品种:热熔标线</w:t>
            </w:r>
            <w:r>
              <w:br/>
            </w:r>
            <w:r>
              <w:rPr>
                <w:sz w:val="21"/>
              </w:rPr>
              <w:t>2.类型:标线</w:t>
            </w:r>
            <w:r>
              <w:br/>
            </w:r>
            <w:r>
              <w:rPr>
                <w:sz w:val="21"/>
              </w:rPr>
              <w:t>3.厚度:2.5mm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m2</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42.54</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72</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“60”文字标识</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1.材料品种:热熔标线</w:t>
            </w:r>
            <w:r>
              <w:br/>
            </w:r>
            <w:r>
              <w:rPr>
                <w:sz w:val="21"/>
              </w:rPr>
              <w:t>2.类型:文字标识</w:t>
            </w:r>
            <w:r>
              <w:br/>
            </w:r>
            <w:r>
              <w:rPr>
                <w:sz w:val="21"/>
              </w:rPr>
              <w:t>3.厚度:2.5mm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组</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652.61</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73</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标杆</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1.类型:单立杆</w:t>
            </w:r>
            <w:r>
              <w:br/>
            </w:r>
            <w:r>
              <w:rPr>
                <w:sz w:val="21"/>
              </w:rPr>
              <w:t>2.材质:镀锌钢管</w:t>
            </w:r>
            <w:r>
              <w:br/>
            </w:r>
            <w:r>
              <w:rPr>
                <w:sz w:val="21"/>
              </w:rPr>
              <w:t>3.规格尺寸:D89×4×4500mm</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根</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531.06</w:t>
            </w:r>
          </w:p>
        </w:tc>
      </w:tr>
      <w:tr>
        <w:tc>
          <w:tcPr>
            <w:tcW w:type="dxa" w:w="400"/>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74</w:t>
            </w:r>
          </w:p>
        </w:tc>
        <w:tc>
          <w:tcPr>
            <w:tcW w:type="dxa" w:w="76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标杆基础</w:t>
            </w:r>
          </w:p>
        </w:tc>
        <w:tc>
          <w:tcPr>
            <w:tcW w:type="dxa" w:w="611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1.基础、垫层:材料品种、厚度:C30砼基础,500×500×700mm</w:t>
            </w:r>
            <w:r>
              <w:br/>
            </w:r>
            <w:r>
              <w:rPr>
                <w:sz w:val="21"/>
              </w:rPr>
              <w:t>2.钢筋:放置钢筋笼,基础板筋和插筋</w:t>
            </w:r>
            <w:r>
              <w:br/>
            </w:r>
            <w:r>
              <w:rPr>
                <w:sz w:val="21"/>
              </w:rPr>
              <w:t>3.做法:包括挖土方,回填方,弃土外运等相关工程</w:t>
            </w:r>
          </w:p>
        </w:tc>
        <w:tc>
          <w:tcPr>
            <w:tcW w:type="dxa" w:w="51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座</w:t>
            </w:r>
          </w:p>
        </w:tc>
        <w:tc>
          <w:tcPr>
            <w:tcW w:type="dxa" w:w="4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818.84</w:t>
            </w:r>
          </w:p>
        </w:tc>
      </w:tr>
      <w:tr>
        <w:tc>
          <w:tcPr>
            <w:tcW w:type="dxa" w:w="8301"/>
            <w:gridSpan w:val="5"/>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ind w:right="105"/>
            </w:pPr>
          </w:p>
        </w:tc>
      </w:tr>
    </w:tbl>
    <w:p>
      <w:pPr>
        <w:pStyle w:val="null3"/>
        <w:jc w:val="both"/>
      </w:pPr>
      <w:r>
        <w:rPr>
          <w:sz w:val="21"/>
          <w:b/>
        </w:rPr>
        <w:t>5.主要备品备件设备参数</w:t>
      </w:r>
    </w:p>
    <w:p>
      <w:pPr>
        <w:pStyle w:val="null3"/>
        <w:jc w:val="both"/>
      </w:pPr>
      <w:r>
        <w:rPr>
          <w:sz w:val="21"/>
          <w:b/>
        </w:rPr>
        <w:t>电警抓拍单元（一）</w:t>
      </w:r>
    </w:p>
    <w:p>
      <w:pPr>
        <w:pStyle w:val="null3"/>
        <w:ind w:firstLine="420"/>
        <w:jc w:val="both"/>
      </w:pPr>
      <w:r>
        <w:rPr>
          <w:sz w:val="21"/>
        </w:rPr>
        <w:t>1、</w:t>
      </w:r>
      <w:r>
        <w:rPr>
          <w:sz w:val="21"/>
        </w:rPr>
        <w:t>卡口模式：黄牌占道、超速、欠速、压白线、逆行、有车占道、违法变道、压黄线、占用公交车道、主驾驶员不系安全带、副驾驶员不系安全带、驾驶员抽烟、驾驶员打电话、车辆排队加塞、禁货、禁摩、违法停车、车牌污损。</w:t>
      </w:r>
    </w:p>
    <w:p>
      <w:pPr>
        <w:pStyle w:val="null3"/>
        <w:ind w:firstLine="420"/>
        <w:jc w:val="both"/>
      </w:pPr>
      <w:r>
        <w:rPr>
          <w:sz w:val="21"/>
        </w:rPr>
        <w:t>2、</w:t>
      </w:r>
      <w:r>
        <w:rPr>
          <w:sz w:val="21"/>
        </w:rPr>
        <w:t>▲支持雷达测速速度修正。</w:t>
      </w:r>
      <w:r>
        <w:rPr>
          <w:sz w:val="21"/>
        </w:rPr>
        <w:t>（提供公安部或第三方机构检验报告复印件并加盖投标人公章）</w:t>
      </w:r>
    </w:p>
    <w:p>
      <w:pPr>
        <w:pStyle w:val="null3"/>
        <w:ind w:firstLine="420"/>
        <w:jc w:val="both"/>
      </w:pPr>
      <w:r>
        <w:rPr>
          <w:sz w:val="21"/>
        </w:rPr>
        <w:t>3、</w:t>
      </w:r>
      <w:r>
        <w:rPr>
          <w:sz w:val="21"/>
        </w:rPr>
        <w:t>▲支持按照车型配置主/副驾驶不系安全带行为抓拍，包括无牌机动车和黄牌货车。</w:t>
      </w:r>
      <w:r>
        <w:rPr>
          <w:sz w:val="21"/>
        </w:rPr>
        <w:t>（提供公安部或第三方机构检验报告复印件并加盖投标人公章）</w:t>
      </w:r>
    </w:p>
    <w:p>
      <w:pPr>
        <w:pStyle w:val="null3"/>
        <w:ind w:firstLine="420"/>
        <w:jc w:val="both"/>
      </w:pPr>
      <w:r>
        <w:rPr>
          <w:sz w:val="21"/>
        </w:rPr>
        <w:t>4、</w:t>
      </w:r>
      <w:r>
        <w:rPr>
          <w:sz w:val="21"/>
        </w:rPr>
        <w:t>电警模式：闯红灯、压白线、逆行、超速、黄牌占道、违法停车、不按导向箭头行驶、违法变道、压黄线、有车占道、占用公交车道、违法左转、违法右转、违法掉头、压停止线、左转不礼让直行、大弯小转、车辆排队加塞、右转不礼让横向直行、右转不礼让直行行人、禁货、禁摩、黄网格违法停车、不按规定使用转向灯、不礼让横向行人</w:t>
      </w:r>
    </w:p>
    <w:p>
      <w:pPr>
        <w:pStyle w:val="null3"/>
        <w:ind w:firstLine="420"/>
        <w:jc w:val="both"/>
      </w:pPr>
      <w:r>
        <w:rPr>
          <w:sz w:val="21"/>
        </w:rPr>
        <w:t>5、</w:t>
      </w:r>
      <w:r>
        <w:rPr>
          <w:sz w:val="21"/>
        </w:rPr>
        <w:t>礼让行人模式：未礼让行人、主驾驶员不系安全带、副驾驶员不系安全带、驾驶员打电话、驾驶员抽烟、行人卡口</w:t>
      </w:r>
    </w:p>
    <w:p>
      <w:pPr>
        <w:pStyle w:val="null3"/>
        <w:ind w:firstLine="420"/>
        <w:jc w:val="both"/>
      </w:pPr>
      <w:r>
        <w:rPr>
          <w:sz w:val="21"/>
        </w:rPr>
        <w:t>6、</w:t>
      </w:r>
      <w:r>
        <w:rPr>
          <w:sz w:val="21"/>
        </w:rPr>
        <w:t>▲支持通过485接口连接补光灯，并在相机界面反馈补光灯型号信息、端口信息、版本信息。</w:t>
      </w:r>
      <w:r>
        <w:rPr>
          <w:sz w:val="21"/>
        </w:rPr>
        <w:t>（提供公安部或第三方机构检验报告复印件并加盖投标人公章）</w:t>
      </w:r>
    </w:p>
    <w:p>
      <w:pPr>
        <w:pStyle w:val="null3"/>
        <w:jc w:val="both"/>
      </w:pPr>
      <w:r>
        <w:rPr>
          <w:sz w:val="21"/>
          <w:b/>
        </w:rPr>
        <w:t>电警抓拍单元（二）</w:t>
      </w:r>
    </w:p>
    <w:p>
      <w:pPr>
        <w:pStyle w:val="null3"/>
        <w:ind w:firstLine="420"/>
        <w:jc w:val="both"/>
      </w:pPr>
      <w:r>
        <w:rPr>
          <w:sz w:val="21"/>
        </w:rPr>
        <w:t>1、</w:t>
      </w:r>
      <w:r>
        <w:rPr>
          <w:sz w:val="21"/>
        </w:rPr>
        <w:t>支持多种合成方式和设置，合成图片要求至少应包含：时间（精确到</w:t>
      </w:r>
      <w:r>
        <w:rPr>
          <w:sz w:val="21"/>
        </w:rPr>
        <w:t>0.1S）、地点、车道号、方向和车辆特征值等信息。支持两台设备的抓拍图片进行六合一图片合成，可以任意选择任一设备为主设备或者从设备，主设备可以对接四台从设备；抓拍的图片记录需符合GA/T496-2014,GA/T832-2014</w:t>
      </w:r>
    </w:p>
    <w:p>
      <w:pPr>
        <w:pStyle w:val="null3"/>
        <w:ind w:firstLine="420"/>
        <w:jc w:val="both"/>
      </w:pPr>
      <w:r>
        <w:rPr>
          <w:sz w:val="21"/>
        </w:rPr>
        <w:t>2、</w:t>
      </w:r>
      <w:r>
        <w:rPr>
          <w:sz w:val="21"/>
        </w:rPr>
        <w:t>▲支持AI车牌增强功能，开启后可防止车牌过曝，支持蓝牌、黄牌、白牌、黑牌、绿牌、黄绿双拼牌；支持AI车窗增强功能，开启后可去除白天车窗反光和彩条纹。（提供公安部或第三方机构检验报告复印件并加盖投标人公章）</w:t>
      </w:r>
    </w:p>
    <w:p>
      <w:pPr>
        <w:pStyle w:val="null3"/>
        <w:ind w:firstLine="420"/>
        <w:jc w:val="both"/>
      </w:pPr>
      <w:r>
        <w:rPr>
          <w:sz w:val="21"/>
        </w:rPr>
        <w:t>3、</w:t>
      </w:r>
      <w:r>
        <w:rPr>
          <w:sz w:val="21"/>
        </w:rPr>
        <w:t>▲夜晚补光有效光照度不高于20lux，晚间车牌、车身颜色、车内人脸及衣着清晰可见，色彩无偏色，主驾驶人脸抓拍率≥99%，副驾驶人脸抓拍率大于等于99%（提供公安部或第三方机构检验报告复印件并加盖投标人公章）</w:t>
      </w:r>
    </w:p>
    <w:p>
      <w:pPr>
        <w:pStyle w:val="null3"/>
        <w:ind w:firstLine="420"/>
        <w:jc w:val="both"/>
      </w:pPr>
      <w:r>
        <w:rPr>
          <w:sz w:val="21"/>
        </w:rPr>
        <w:t>4、</w:t>
      </w:r>
      <w:r>
        <w:rPr>
          <w:sz w:val="21"/>
        </w:rPr>
        <w:t>▲支持非机动车闯红灯、逆行、占用机动车道、越线停车、闯禁令、超载、装载伞具、不戴头盔等违法抓拍，识别准确率≥99%（提供公安部或第三方机构检验报告复印件并加盖投标人公章）</w:t>
      </w:r>
    </w:p>
    <w:p>
      <w:pPr>
        <w:pStyle w:val="null3"/>
        <w:jc w:val="both"/>
      </w:pPr>
      <w:r>
        <w:rPr>
          <w:sz w:val="21"/>
          <w:b/>
        </w:rPr>
        <w:t>电警抓拍单元（三）</w:t>
      </w:r>
    </w:p>
    <w:p>
      <w:pPr>
        <w:pStyle w:val="null3"/>
        <w:ind w:firstLine="399"/>
        <w:jc w:val="both"/>
      </w:pPr>
      <w:r>
        <w:rPr>
          <w:sz w:val="21"/>
        </w:rPr>
        <w:t>1、</w:t>
      </w:r>
      <w:r>
        <w:rPr>
          <w:sz w:val="21"/>
        </w:rPr>
        <w:t>▲车牌识别功能检查 ：支持对25×10 像素～1100×3000 像素的机动车车牌进行抓拍并识别号码；支持抓拍并识别垂直倾斜角度≤45°、水平倾斜角度≤35°、俯仰角度≤40°的机动车车牌号码。</w:t>
      </w:r>
      <w:r>
        <w:rPr>
          <w:sz w:val="21"/>
        </w:rPr>
        <w:t>（提供公安部或第三方机构检验报告复印件并加盖投标人公章）</w:t>
      </w:r>
    </w:p>
    <w:p>
      <w:pPr>
        <w:pStyle w:val="null3"/>
        <w:ind w:firstLine="399"/>
        <w:jc w:val="both"/>
      </w:pPr>
      <w:r>
        <w:rPr>
          <w:sz w:val="21"/>
        </w:rPr>
        <w:t>2、</w:t>
      </w:r>
      <w:r>
        <w:rPr>
          <w:sz w:val="21"/>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w:t>
      </w:r>
      <w:r>
        <w:rPr>
          <w:sz w:val="21"/>
        </w:rPr>
        <w:t>（提供公安部或第三方机构检验报告复印件并加盖投标人公章）</w:t>
      </w:r>
    </w:p>
    <w:p>
      <w:pPr>
        <w:pStyle w:val="null3"/>
        <w:ind w:firstLine="399"/>
        <w:jc w:val="both"/>
      </w:pPr>
      <w:r>
        <w:rPr>
          <w:sz w:val="21"/>
        </w:rPr>
        <w:t>3、</w:t>
      </w:r>
      <w:r>
        <w:rPr>
          <w:sz w:val="21"/>
        </w:rPr>
        <w:t>车辆子品牌识别功能检查：支持车辆子品牌识别，对车头图片进行分析抓拍，可分析输出</w:t>
      </w:r>
      <w:r>
        <w:rPr>
          <w:sz w:val="21"/>
        </w:rPr>
        <w:t>OSD叠加7200种车辆子品牌并显示相应的年款，对车尾图片进行分析抓拍，可分析输出 OSD 叠加3900 种车辆子品牌并显示相应的年款。</w:t>
      </w:r>
    </w:p>
    <w:p>
      <w:pPr>
        <w:pStyle w:val="null3"/>
        <w:ind w:firstLine="399"/>
        <w:jc w:val="both"/>
      </w:pPr>
      <w:r>
        <w:rPr>
          <w:sz w:val="21"/>
        </w:rPr>
        <w:t>4、</w:t>
      </w:r>
      <w:r>
        <w:rPr>
          <w:sz w:val="21"/>
        </w:rPr>
        <w:t>▲闯红灯违章支持叠加红灯已亮时间，可按照抓拍索引配置叠加红灯已亮时间</w:t>
      </w:r>
      <w:r>
        <w:rPr>
          <w:sz w:val="21"/>
        </w:rPr>
        <w:t>（提供公安部或第三方机构检验报告复印件并加盖投标人公章）</w:t>
      </w:r>
    </w:p>
    <w:p>
      <w:pPr>
        <w:pStyle w:val="null3"/>
        <w:ind w:firstLine="399"/>
        <w:jc w:val="both"/>
      </w:pPr>
      <w:r>
        <w:rPr>
          <w:sz w:val="21"/>
        </w:rPr>
        <w:t>5、</w:t>
      </w:r>
      <w:r>
        <w:rPr>
          <w:sz w:val="21"/>
        </w:rPr>
        <w:t>支持逆行和变道违章触发抓拍，逆行识别类型包括</w:t>
      </w:r>
      <w:r>
        <w:rPr>
          <w:sz w:val="21"/>
        </w:rPr>
        <w:t>:高速公路逆行、单行道逆向行驶;变道违章检测类型包括:实线变道(含双黄线)、导流区变道、连续变道(&gt;3条车道)</w:t>
      </w:r>
    </w:p>
    <w:p>
      <w:pPr>
        <w:pStyle w:val="null3"/>
        <w:jc w:val="both"/>
      </w:pPr>
      <w:r>
        <w:rPr>
          <w:sz w:val="21"/>
          <w:b/>
        </w:rPr>
        <w:t>存储设备（一）</w:t>
      </w:r>
    </w:p>
    <w:p>
      <w:pPr>
        <w:pStyle w:val="null3"/>
        <w:ind w:firstLine="420"/>
        <w:jc w:val="both"/>
      </w:pPr>
      <w:r>
        <w:rPr>
          <w:sz w:val="21"/>
        </w:rPr>
        <w:t>1、</w:t>
      </w:r>
      <w:r>
        <w:rPr>
          <w:sz w:val="21"/>
        </w:rPr>
        <w:t>支持扩展</w:t>
      </w:r>
      <w:r>
        <w:rPr>
          <w:sz w:val="21"/>
        </w:rPr>
        <w:t>MiniSAS HD 接口，支持通过电口 SAS 线或光口 SAS 线进行互联， 能够通过 SAS 线进行上行和下行的数据通信</w:t>
      </w:r>
    </w:p>
    <w:p>
      <w:pPr>
        <w:pStyle w:val="null3"/>
        <w:ind w:firstLine="420"/>
        <w:jc w:val="both"/>
      </w:pPr>
      <w:r>
        <w:rPr>
          <w:sz w:val="21"/>
        </w:rPr>
        <w:t>2、</w:t>
      </w:r>
      <w:r>
        <w:rPr>
          <w:sz w:val="21"/>
        </w:rPr>
        <w:t>▲支持任意 N 台设备（N≥2） 通过 SAS数据线组成环状结构集群， 设备集群之间数据能够通过环状结构进行传递和通信， 其中任意 1 台设备都可以访问其下游设备中的数据 （提供公安部或第三方机构检验报告复印件并加盖投标人公章）</w:t>
      </w:r>
    </w:p>
    <w:p>
      <w:pPr>
        <w:pStyle w:val="null3"/>
        <w:ind w:firstLine="420"/>
        <w:jc w:val="both"/>
      </w:pPr>
      <w:r>
        <w:rPr>
          <w:sz w:val="21"/>
        </w:rPr>
        <w:t>3、</w:t>
      </w:r>
      <w:r>
        <w:rPr>
          <w:sz w:val="21"/>
        </w:rPr>
        <w:t>▲支持多台设备组成 SAS 数据环集群，当环状结构上的任意 1 个节点出现故障（包括主控盒硬件故障、 软件故障或者网络故障等）， 该节点设备上的硬盘通过 SAS 链路被上游设备接管， 该节点设备的上业务也会迁移到上游设备继续执行， 从而实现业务不中断、录像不丢失， 同时该故障设备的硬盘中数据可以被上游设备读取 （提供公安部或第三方机构检验报告复印件并加盖投标人公章）</w:t>
      </w:r>
    </w:p>
    <w:p>
      <w:pPr>
        <w:pStyle w:val="null3"/>
        <w:jc w:val="both"/>
      </w:pPr>
      <w:r>
        <w:rPr>
          <w:sz w:val="21"/>
          <w:b/>
        </w:rPr>
        <w:t>存储设备（二）</w:t>
      </w:r>
    </w:p>
    <w:p>
      <w:pPr>
        <w:pStyle w:val="null3"/>
        <w:ind w:firstLine="420"/>
        <w:jc w:val="both"/>
      </w:pPr>
      <w:r>
        <w:rPr>
          <w:sz w:val="21"/>
        </w:rPr>
        <w:t>▲管理服务和业务处理服务分离，管理服务故障更换不影响业务处理(视频流保持不断)，业务处理故障不影响管理服务（提供公安部或第三方机构检验报告复印件并加盖投标人公章）</w:t>
      </w:r>
    </w:p>
    <w:p>
      <w:pPr>
        <w:pStyle w:val="null3"/>
        <w:ind w:firstLine="420"/>
        <w:jc w:val="both"/>
      </w:pPr>
      <w:r>
        <w:rPr>
          <w:sz w:val="21"/>
        </w:rPr>
        <w:t>▲服务状态异常情况下守护进程在30s 内可拉起服务;系统掉电恢复后，系统自动重启，业务自动恢复，不需要人工干预;支持管理服务数据备份故障恢复(数据保险箱功能)，每天备份1次，支持最近2天的有效数据备份:支持历史数据自动清理的能力，数据清理不影响业务运行（提供公安部或第三方机构检验报告复印件并加盖投标人公章）</w:t>
      </w:r>
    </w:p>
    <w:p>
      <w:pPr>
        <w:pStyle w:val="null3"/>
        <w:ind w:firstLine="420"/>
        <w:jc w:val="both"/>
      </w:pPr>
      <w:r>
        <w:rPr>
          <w:sz w:val="21"/>
        </w:rPr>
        <w:t>支持</w:t>
      </w:r>
      <w:r>
        <w:rPr>
          <w:sz w:val="21"/>
        </w:rPr>
        <w:t>RAID 组间的故障业务迁移;RAID组内在线扩容:支持新增加的硬盘直接加入RAID组，扩大存储容量，不影响原有录像，扩容过程中业务不中断</w:t>
      </w:r>
    </w:p>
    <w:p>
      <w:pPr>
        <w:pStyle w:val="null3"/>
        <w:ind w:firstLine="420"/>
        <w:jc w:val="both"/>
      </w:pPr>
      <w:r>
        <w:rPr>
          <w:sz w:val="21"/>
        </w:rPr>
        <w:t>支持</w:t>
      </w:r>
      <w:r>
        <w:rPr>
          <w:sz w:val="21"/>
        </w:rPr>
        <w:t>N+0集群(N&gt;3)，单集群内云节点不需要独立的集群管理服务器，当任意一个容器节点故障时，支持将故障容器节点上的业务负载分担到其他容器节点，可在 30s 之内完成</w:t>
      </w:r>
    </w:p>
    <w:p>
      <w:pPr>
        <w:pStyle w:val="null3"/>
        <w:jc w:val="both"/>
      </w:pPr>
      <w:r>
        <w:rPr>
          <w:sz w:val="21"/>
          <w:b/>
        </w:rPr>
        <w:t>存储设备（三）</w:t>
      </w:r>
    </w:p>
    <w:p>
      <w:pPr>
        <w:pStyle w:val="null3"/>
        <w:ind w:firstLine="420"/>
        <w:jc w:val="both"/>
      </w:pPr>
      <w:r>
        <w:rPr>
          <w:sz w:val="21"/>
        </w:rPr>
        <w:t>1、</w:t>
      </w:r>
      <w:r>
        <w:rPr>
          <w:sz w:val="21"/>
        </w:rPr>
        <w:t>设备配置：</w:t>
      </w:r>
      <w:r>
        <w:rPr>
          <w:sz w:val="21"/>
        </w:rPr>
        <w:t>≥1颗64位多核处理器，≥8GB内存，内存支持扩展到≥256GB，内置SSD固态硬盘（可以扩展到4个SSD作为缓存盘），配置≥4个风扇，风扇支持热插拔并可冗余温控调速；支持热插拔1+1AC220V电源或1+1直流冗余电源供电</w:t>
      </w:r>
    </w:p>
    <w:p>
      <w:pPr>
        <w:pStyle w:val="null3"/>
        <w:ind w:firstLine="420"/>
        <w:jc w:val="both"/>
      </w:pPr>
      <w:r>
        <w:rPr>
          <w:sz w:val="21"/>
        </w:rPr>
        <w:t>2、</w:t>
      </w:r>
      <w:r>
        <w:rPr>
          <w:sz w:val="21"/>
        </w:rPr>
        <w:t>▲设备标配：≥4个2.5Gb网口，支持2个前置 USB2.0接口、2个后置USB3.0接口，支持1个前置VGA接口、1个后置HDMI接口，支持1个RS-232串口，支持4个PCI-E扩展槽（提供公安部或第三方机构检验报告复印件并加盖投标人公章）</w:t>
      </w:r>
    </w:p>
    <w:p>
      <w:pPr>
        <w:pStyle w:val="null3"/>
        <w:ind w:firstLine="420"/>
        <w:jc w:val="both"/>
      </w:pPr>
      <w:r>
        <w:rPr>
          <w:sz w:val="21"/>
        </w:rPr>
        <w:t>3、</w:t>
      </w:r>
      <w:r>
        <w:rPr>
          <w:sz w:val="21"/>
        </w:rPr>
        <w:t>具有</w:t>
      </w:r>
      <w:r>
        <w:rPr>
          <w:sz w:val="21"/>
        </w:rPr>
        <w:t>24个硬盘热插拔插槽；支持硬盘热插拔设备在读写数据时，热插拔设备内的任意块硬盘，设备正常运行不宕机，硬盘不损坏，数据不丢失，业务不中断</w:t>
      </w:r>
    </w:p>
    <w:p>
      <w:pPr>
        <w:pStyle w:val="null3"/>
        <w:ind w:firstLine="420"/>
        <w:jc w:val="both"/>
      </w:pPr>
      <w:r>
        <w:rPr>
          <w:sz w:val="21"/>
        </w:rPr>
        <w:t>4、</w:t>
      </w:r>
      <w:r>
        <w:rPr>
          <w:sz w:val="21"/>
        </w:rPr>
        <w:t>▲设备具备1个定位灯、1个电源灯、1个设备报警灯、1个就绪灯、1个网络状态灯、1个系统盘状态灯、1个硬盘状态灯，机箱具备防尘滤网，采用双立柱防震设计。设备左右侧面各2个抬手，具备前面板抽拉标签卡（提供公安部或第三方机构检验报告复印件并加盖投标人公章）</w:t>
      </w:r>
    </w:p>
    <w:p>
      <w:pPr>
        <w:pStyle w:val="null3"/>
        <w:ind w:firstLine="420"/>
        <w:jc w:val="both"/>
      </w:pPr>
      <w:r>
        <w:rPr>
          <w:sz w:val="21"/>
          <w:b/>
        </w:rPr>
        <w:t>前段</w:t>
      </w:r>
      <w:r>
        <w:rPr>
          <w:sz w:val="21"/>
          <w:b/>
        </w:rPr>
        <w:t>电子警察分布情况</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615"/>
        <w:gridCol w:w="3270"/>
        <w:gridCol w:w="2265"/>
        <w:gridCol w:w="675"/>
        <w:gridCol w:w="735"/>
        <w:gridCol w:w="600"/>
      </w:tblGrid>
      <w:tr>
        <w:tc>
          <w:tcPr>
            <w:tcW w:type="dxa" w:w="6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路口或系统</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类型</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方向数</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车道数</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8160"/>
            <w:gridSpan w:val="6"/>
            <w:tcBorders>
              <w:top w:val="none" w:color="000000" w:sz="4"/>
              <w:left w:val="single" w:color="000000" w:sz="4"/>
              <w:bottom w:val="single" w:color="000000" w:sz="4"/>
              <w:right w:val="single" w:color="000000" w:sz="4"/>
            </w:tcBorders>
            <w:shd w:fill="E7E6E6"/>
            <w:tcMar>
              <w:top w:type="dxa" w:w="0"/>
              <w:left w:type="dxa" w:w="105"/>
              <w:bottom w:type="dxa" w:w="0"/>
              <w:right w:type="dxa" w:w="105"/>
            </w:tcMar>
            <w:vAlign w:val="top"/>
          </w:tcPr>
          <w:p>
            <w:pPr>
              <w:pStyle w:val="null3"/>
              <w:jc w:val="left"/>
            </w:pPr>
            <w:r>
              <w:rPr>
                <w:sz w:val="21"/>
                <w:b/>
              </w:rPr>
              <w:t>一、沙田镇虎门港高清闯红灯电子警察系统工程</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港口大道与中心一路交叉路口</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港口大道与进港中路交叉路口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港口大道保税物流中心路口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港口大道与进港南路交叉路口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160"/>
            <w:gridSpan w:val="6"/>
            <w:tcBorders>
              <w:top w:val="none" w:color="000000" w:sz="4"/>
              <w:left w:val="single" w:color="000000" w:sz="4"/>
              <w:bottom w:val="single" w:color="000000" w:sz="4"/>
              <w:right w:val="single" w:color="000000" w:sz="4"/>
            </w:tcBorders>
            <w:shd w:fill="E7E6E6"/>
            <w:tcMar>
              <w:top w:type="dxa" w:w="0"/>
              <w:left w:type="dxa" w:w="105"/>
              <w:bottom w:type="dxa" w:w="0"/>
              <w:right w:type="dxa" w:w="105"/>
            </w:tcMar>
            <w:vAlign w:val="top"/>
          </w:tcPr>
          <w:p>
            <w:pPr>
              <w:pStyle w:val="null3"/>
              <w:jc w:val="left"/>
            </w:pPr>
            <w:r>
              <w:rPr>
                <w:sz w:val="21"/>
                <w:b/>
              </w:rPr>
              <w:t>二、沙田大道电信局路口</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沙田大道电信局路口</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160"/>
            <w:gridSpan w:val="6"/>
            <w:tcBorders>
              <w:top w:val="none" w:color="000000" w:sz="4"/>
              <w:left w:val="single" w:color="000000" w:sz="4"/>
              <w:bottom w:val="single" w:color="000000" w:sz="4"/>
              <w:right w:val="single" w:color="000000" w:sz="4"/>
            </w:tcBorders>
            <w:shd w:fill="E7E6E6"/>
            <w:tcMar>
              <w:top w:type="dxa" w:w="0"/>
              <w:left w:type="dxa" w:w="105"/>
              <w:bottom w:type="dxa" w:w="0"/>
              <w:right w:type="dxa" w:w="105"/>
            </w:tcMar>
            <w:vAlign w:val="top"/>
          </w:tcPr>
          <w:p>
            <w:pPr>
              <w:pStyle w:val="null3"/>
              <w:jc w:val="left"/>
            </w:pPr>
            <w:r>
              <w:rPr>
                <w:sz w:val="21"/>
                <w:b/>
              </w:rPr>
              <w:t>三、沙田镇虎门港高清环保限行电子警察系统工程</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港口大道青苹果路段</w:t>
            </w:r>
            <w:r>
              <w:rPr>
                <w:sz w:val="21"/>
              </w:rPr>
              <w:t>(往沙田镇中心方向)</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新沙派出所路段</w:t>
            </w:r>
            <w:r>
              <w:br/>
            </w:r>
            <w:r>
              <w:rPr>
                <w:sz w:val="21"/>
              </w:rPr>
              <w:t>(虎门港往沙田镇中心方向)</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沙田大道与进港中路相交处</w:t>
            </w:r>
            <w:r>
              <w:br/>
            </w:r>
            <w:r>
              <w:rPr>
                <w:sz w:val="21"/>
              </w:rPr>
              <w:t>(往沙田镇中心方向)</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滨江路与港口大道相交处</w:t>
            </w:r>
            <w:r>
              <w:rPr>
                <w:sz w:val="21"/>
              </w:rPr>
              <w:t>(往</w:t>
            </w:r>
            <w:r>
              <w:br/>
            </w:r>
            <w:r>
              <w:rPr>
                <w:sz w:val="21"/>
              </w:rPr>
              <w:t>沙田镇中心方向</w:t>
            </w:r>
            <w:r>
              <w:rPr>
                <w:sz w:val="21"/>
              </w:rPr>
              <w:t>)</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进港北路广深沿江高速公路路</w:t>
            </w:r>
            <w:r>
              <w:br/>
            </w:r>
            <w:r>
              <w:rPr>
                <w:sz w:val="21"/>
              </w:rPr>
              <w:t>段</w:t>
            </w:r>
            <w:r>
              <w:rPr>
                <w:sz w:val="21"/>
              </w:rPr>
              <w:t>(往港口大道方向)</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明珠路明珠学校路段</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望沙路及立沙大道交叉口</w:t>
            </w:r>
            <w:r>
              <w:rPr>
                <w:sz w:val="21"/>
              </w:rPr>
              <w:t>(往</w:t>
            </w:r>
            <w:r>
              <w:br/>
            </w:r>
            <w:r>
              <w:rPr>
                <w:sz w:val="21"/>
              </w:rPr>
              <w:t>立沙岛方向</w:t>
            </w:r>
            <w:r>
              <w:rPr>
                <w:sz w:val="21"/>
              </w:rPr>
              <w:t>)</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立沙大道高速路口</w:t>
            </w:r>
            <w:r>
              <w:rPr>
                <w:sz w:val="21"/>
              </w:rPr>
              <w:t>(往立沙岛方向)</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高清卡口抓拍系统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160"/>
            <w:gridSpan w:val="6"/>
            <w:tcBorders>
              <w:top w:val="none" w:color="000000" w:sz="4"/>
              <w:left w:val="single" w:color="000000" w:sz="4"/>
              <w:bottom w:val="single" w:color="000000" w:sz="4"/>
              <w:right w:val="single" w:color="000000" w:sz="4"/>
            </w:tcBorders>
            <w:shd w:fill="E7E6E6"/>
            <w:tcMar>
              <w:top w:type="dxa" w:w="0"/>
              <w:left w:type="dxa" w:w="105"/>
              <w:bottom w:type="dxa" w:w="0"/>
              <w:right w:type="dxa" w:w="105"/>
            </w:tcMar>
            <w:vAlign w:val="top"/>
          </w:tcPr>
          <w:p>
            <w:pPr>
              <w:pStyle w:val="null3"/>
              <w:jc w:val="left"/>
            </w:pPr>
            <w:r>
              <w:rPr>
                <w:sz w:val="21"/>
                <w:b/>
              </w:rPr>
              <w:t>四、沙田交警大队指挥中心及电子警察系统项目</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联网监控平台及大屏显示</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3x5大屏幕及控制系统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电警中心平台</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联网平台及相关软硬件系统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机房系统</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包括机房装修、门禁、</w:t>
            </w:r>
            <w:r>
              <w:rPr>
                <w:sz w:val="21"/>
              </w:rPr>
              <w:t>UPS、配电、空调等</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港口大道进港北路路口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进港北路沿江高速深圳入口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160"/>
            <w:gridSpan w:val="6"/>
            <w:tcBorders>
              <w:top w:val="none" w:color="000000" w:sz="4"/>
              <w:left w:val="single" w:color="000000" w:sz="4"/>
              <w:bottom w:val="single" w:color="000000" w:sz="4"/>
              <w:right w:val="single" w:color="000000" w:sz="4"/>
            </w:tcBorders>
            <w:shd w:fill="E7E6E6"/>
            <w:tcMar>
              <w:top w:type="dxa" w:w="0"/>
              <w:left w:type="dxa" w:w="105"/>
              <w:bottom w:type="dxa" w:w="0"/>
              <w:right w:type="dxa" w:w="105"/>
            </w:tcMar>
            <w:vAlign w:val="top"/>
          </w:tcPr>
          <w:p>
            <w:pPr>
              <w:pStyle w:val="null3"/>
              <w:jc w:val="left"/>
            </w:pPr>
            <w:r>
              <w:rPr>
                <w:sz w:val="21"/>
                <w:b/>
              </w:rPr>
              <w:t>五、东莞市沙田镇镇高清电子警察项目</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系统平台中心设备及软件</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包括平台软硬件系统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港口大道家具大道路口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港口大道银通路口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港口大道新沙所路口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港口大道福海东路路口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港口大道总部大厦路口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沙田大道车站路口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沙田大道民田路口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沙田大道进港北路路口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沙田大道明珠路口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沙田大道进港中路路口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沙田大道临海北路路口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沙田大道进港南路</w:t>
            </w:r>
            <w:r>
              <w:br/>
            </w:r>
            <w:r>
              <w:rPr>
                <w:sz w:val="21"/>
              </w:rPr>
              <w:t>(沙田大道穗丰年路口)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沙田大道临海南路</w:t>
            </w:r>
            <w:r>
              <w:br/>
            </w:r>
            <w:r>
              <w:rPr>
                <w:sz w:val="21"/>
              </w:rPr>
              <w:t>(沙田大道环保城路口)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沿河路民田大街路口</w:t>
            </w:r>
            <w:r>
              <w:br/>
            </w:r>
            <w:r>
              <w:rPr>
                <w:sz w:val="21"/>
              </w:rPr>
              <w:t>（南环桥路口）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沿河路进港北路路口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沿河路进港中路路口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港口大道与沿河路路口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环保路明珠路路口</w:t>
            </w:r>
            <w:r>
              <w:br/>
            </w:r>
            <w:r>
              <w:rPr>
                <w:sz w:val="21"/>
              </w:rPr>
              <w:t>（泥头岗路口环保大道）</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环保路环保中路口</w:t>
            </w:r>
            <w:r>
              <w:br/>
            </w:r>
            <w:r>
              <w:rPr>
                <w:sz w:val="21"/>
              </w:rPr>
              <w:t>(义沙路口环保大道)</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沿河路银通路路口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沿河路中心小学路口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327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港口大道青苹果路段</w:t>
            </w:r>
            <w:r>
              <w:br/>
            </w:r>
            <w:r>
              <w:rPr>
                <w:sz w:val="21"/>
              </w:rPr>
              <w:t>（单向沙田往厚街方向）</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高清测速抓拍系统</w:t>
            </w:r>
          </w:p>
        </w:tc>
        <w:tc>
          <w:tcPr>
            <w:tcW w:type="dxa" w:w="67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w:t>
            </w:r>
          </w:p>
        </w:tc>
        <w:tc>
          <w:tcPr>
            <w:tcW w:type="dxa" w:w="73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环保路六和路路段</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高清测速抓拍系统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滨江路洲尾路口</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滨江路先锋海鲜市场路段</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高清测速抓拍系统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32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滨江路洲尾路口</w:t>
            </w:r>
            <w:r>
              <w:rPr>
                <w:sz w:val="21"/>
              </w:rPr>
              <w:t>(交通信号灯部分)</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交通信号系统</w:t>
            </w: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16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六、沙田镇进港南路西大坦新区路口高清多功能闯红灯监测系统项目</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进港南路西大坦新区路口</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高清闯红灯电子警察</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16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总计</w:t>
            </w:r>
            <w:r>
              <w:rPr>
                <w:sz w:val="21"/>
                <w:b/>
              </w:rPr>
              <w:t>43个路口（30个闯红灯、13个测速卡口）</w:t>
            </w:r>
          </w:p>
        </w:tc>
      </w:tr>
    </w:tbl>
    <w:p>
      <w:pPr>
        <w:pStyle w:val="null3"/>
        <w:ind w:firstLine="422"/>
        <w:jc w:val="both"/>
      </w:pPr>
      <w:r>
        <w:rPr>
          <w:sz w:val="21"/>
          <w:b/>
        </w:rPr>
        <w:t>（二）内场运维需求</w:t>
      </w:r>
    </w:p>
    <w:p>
      <w:pPr>
        <w:pStyle w:val="null3"/>
        <w:ind w:firstLine="480"/>
        <w:jc w:val="both"/>
      </w:pPr>
      <w:r>
        <w:rPr>
          <w:sz w:val="21"/>
        </w:rPr>
        <w:t>由中标人每天对指挥中心大屏和机房环境、设备巡检，工作日每日两次，非工作日每日一次；</w:t>
      </w:r>
      <w:r>
        <w:rPr>
          <w:sz w:val="21"/>
        </w:rPr>
        <w:t>视综平台电子警察</w:t>
      </w:r>
      <w:r>
        <w:rPr>
          <w:sz w:val="21"/>
        </w:rPr>
        <w:t>在线率巡检，每日巡检一次；确保所有业务系统的安全稳定的运行，包括：漏洞处理，服务升级等；确保机房设备和机房环境设备的正常运行，包括：主干网络优化，安全访问设置，保障大队</w:t>
      </w:r>
      <w:r>
        <w:rPr>
          <w:sz w:val="21"/>
        </w:rPr>
        <w:t>指挥中心及机房</w:t>
      </w:r>
      <w:r>
        <w:rPr>
          <w:sz w:val="21"/>
        </w:rPr>
        <w:t>等信息化设备维护巡检。</w:t>
      </w:r>
    </w:p>
    <w:p>
      <w:pPr>
        <w:pStyle w:val="null3"/>
        <w:ind w:firstLine="480"/>
        <w:jc w:val="both"/>
      </w:pPr>
      <w:r>
        <w:rPr>
          <w:sz w:val="21"/>
          <w:b/>
        </w:rPr>
        <w:t>本项需安排</w:t>
      </w:r>
      <w:r>
        <w:rPr>
          <w:sz w:val="21"/>
          <w:b/>
        </w:rPr>
        <w:t>2</w:t>
      </w:r>
      <w:r>
        <w:rPr>
          <w:sz w:val="21"/>
          <w:b/>
        </w:rPr>
        <w:t>名技术人员驻场运维服务，人员具有大专或以上学历（计算机、网络、软件工程、电子、通信、机电等相关专业），熟悉机房硬件运维，包括网络、服务器、网络设备、存储、安防监控等硬件维护。</w:t>
      </w:r>
    </w:p>
    <w:p>
      <w:pPr>
        <w:pStyle w:val="null3"/>
        <w:ind w:firstLine="480"/>
        <w:jc w:val="both"/>
      </w:pPr>
      <w:r>
        <w:rPr>
          <w:sz w:val="21"/>
        </w:rPr>
        <w:t>巡检报告：每个月的最后一周提供巡检报告，包括并不限于软件系统运行情况分析，存在问题的原因剖析</w:t>
      </w:r>
      <w:r>
        <w:rPr>
          <w:sz w:val="21"/>
        </w:rPr>
        <w:t>(</w:t>
      </w:r>
      <w:r>
        <w:rPr>
          <w:sz w:val="21"/>
        </w:rPr>
        <w:t>例如性能瓶颈可能是缺乏内存或</w:t>
      </w:r>
      <w:r>
        <w:rPr>
          <w:sz w:val="21"/>
        </w:rPr>
        <w:t>CPU</w:t>
      </w:r>
      <w:r>
        <w:rPr>
          <w:sz w:val="21"/>
        </w:rPr>
        <w:t>资源</w:t>
      </w:r>
      <w:r>
        <w:rPr>
          <w:sz w:val="21"/>
        </w:rPr>
        <w:t>)</w:t>
      </w:r>
      <w:r>
        <w:rPr>
          <w:sz w:val="21"/>
        </w:rPr>
        <w:t>，系统的运行状态等。</w:t>
      </w:r>
    </w:p>
    <w:p>
      <w:pPr>
        <w:pStyle w:val="null3"/>
        <w:ind w:firstLine="480"/>
        <w:jc w:val="both"/>
      </w:pPr>
      <w:r>
        <w:rPr>
          <w:sz w:val="21"/>
        </w:rPr>
        <w:t>维护期内上述业务系统遇到省厅、市府、市局等上级网信部门发出的安全漏洞通报，中标人应根据通报问题协助整改修复，并将处理情况形成书面报告回复采购人。中标人需按上级网信部门下发的漏洞修复任务在规定时效内完成修复工作，逾期修复等同超时，按超时违约处理。</w:t>
      </w:r>
    </w:p>
    <w:p>
      <w:pPr>
        <w:pStyle w:val="null3"/>
        <w:ind w:firstLine="480"/>
        <w:jc w:val="both"/>
      </w:pPr>
      <w:r>
        <w:rPr>
          <w:sz w:val="21"/>
        </w:rPr>
        <w:t>故障修复要求：要求提供</w:t>
      </w:r>
      <w:r>
        <w:rPr>
          <w:sz w:val="21"/>
        </w:rPr>
        <w:t>7X24</w:t>
      </w:r>
      <w:r>
        <w:rPr>
          <w:sz w:val="21"/>
        </w:rPr>
        <w:t>小时系统任何故障响应服务，各种故障类型按如下时限修复要求完成修复：</w:t>
      </w:r>
    </w:p>
    <w:p>
      <w:pPr>
        <w:pStyle w:val="null3"/>
        <w:ind w:firstLine="480"/>
        <w:jc w:val="both"/>
      </w:pPr>
      <w:r>
        <w:rPr>
          <w:sz w:val="21"/>
        </w:rPr>
        <w:t>1</w:t>
      </w:r>
      <w:r>
        <w:rPr>
          <w:sz w:val="21"/>
        </w:rPr>
        <w:t>）系统无响应故障</w:t>
      </w:r>
      <w:r>
        <w:rPr>
          <w:sz w:val="21"/>
        </w:rPr>
        <w:t>:</w:t>
      </w:r>
      <w:r>
        <w:rPr>
          <w:sz w:val="21"/>
        </w:rPr>
        <w:t>软件故障，</w:t>
      </w:r>
      <w:r>
        <w:rPr>
          <w:sz w:val="21"/>
        </w:rPr>
        <w:t>12</w:t>
      </w:r>
      <w:r>
        <w:rPr>
          <w:sz w:val="21"/>
        </w:rPr>
        <w:t>小时内解决；</w:t>
      </w:r>
    </w:p>
    <w:p>
      <w:pPr>
        <w:pStyle w:val="null3"/>
        <w:ind w:firstLine="480"/>
        <w:jc w:val="both"/>
      </w:pPr>
      <w:r>
        <w:rPr>
          <w:sz w:val="21"/>
        </w:rPr>
        <w:t>2</w:t>
      </w:r>
      <w:r>
        <w:rPr>
          <w:sz w:val="21"/>
        </w:rPr>
        <w:t>）非本地应用故障，需</w:t>
      </w:r>
      <w:r>
        <w:rPr>
          <w:sz w:val="21"/>
        </w:rPr>
        <w:t>12</w:t>
      </w:r>
      <w:r>
        <w:rPr>
          <w:sz w:val="21"/>
        </w:rPr>
        <w:t>小时内解决；</w:t>
      </w:r>
    </w:p>
    <w:p>
      <w:pPr>
        <w:pStyle w:val="null3"/>
        <w:ind w:firstLine="480"/>
        <w:jc w:val="both"/>
      </w:pPr>
      <w:r>
        <w:rPr>
          <w:sz w:val="21"/>
        </w:rPr>
        <w:t>3</w:t>
      </w:r>
      <w:r>
        <w:rPr>
          <w:sz w:val="21"/>
        </w:rPr>
        <w:t>）非原厂服务故障和原厂服务故障</w:t>
      </w:r>
      <w:r>
        <w:rPr>
          <w:sz w:val="21"/>
        </w:rPr>
        <w:t>:</w:t>
      </w:r>
      <w:r>
        <w:rPr>
          <w:sz w:val="21"/>
        </w:rPr>
        <w:t>非原厂服务系统故障，需</w:t>
      </w:r>
      <w:r>
        <w:rPr>
          <w:sz w:val="21"/>
        </w:rPr>
        <w:t>12</w:t>
      </w:r>
      <w:r>
        <w:rPr>
          <w:sz w:val="21"/>
        </w:rPr>
        <w:t>小时完成；原厂服务系统故障，需</w:t>
      </w:r>
      <w:r>
        <w:rPr>
          <w:sz w:val="21"/>
        </w:rPr>
        <w:t>12</w:t>
      </w:r>
      <w:r>
        <w:rPr>
          <w:sz w:val="21"/>
        </w:rPr>
        <w:t>小时完成；</w:t>
      </w:r>
    </w:p>
    <w:p>
      <w:pPr>
        <w:pStyle w:val="null3"/>
        <w:ind w:firstLine="480"/>
        <w:jc w:val="both"/>
      </w:pPr>
      <w:r>
        <w:rPr>
          <w:sz w:val="21"/>
        </w:rPr>
        <w:t>4</w:t>
      </w:r>
      <w:r>
        <w:rPr>
          <w:sz w:val="21"/>
        </w:rPr>
        <w:t>）数据库故障</w:t>
      </w:r>
      <w:r>
        <w:rPr>
          <w:sz w:val="21"/>
        </w:rPr>
        <w:t>:</w:t>
      </w:r>
      <w:r>
        <w:rPr>
          <w:sz w:val="21"/>
        </w:rPr>
        <w:t>软件故障，需</w:t>
      </w:r>
      <w:r>
        <w:rPr>
          <w:sz w:val="21"/>
        </w:rPr>
        <w:t>12</w:t>
      </w:r>
      <w:r>
        <w:rPr>
          <w:sz w:val="21"/>
        </w:rPr>
        <w:t>小时处理；</w:t>
      </w:r>
    </w:p>
    <w:p>
      <w:pPr>
        <w:pStyle w:val="null3"/>
        <w:ind w:firstLine="480"/>
        <w:jc w:val="both"/>
      </w:pPr>
      <w:r>
        <w:rPr>
          <w:sz w:val="21"/>
        </w:rPr>
        <w:t>5</w:t>
      </w:r>
      <w:r>
        <w:rPr>
          <w:sz w:val="21"/>
        </w:rPr>
        <w:t>）服务器故障类</w:t>
      </w:r>
      <w:r>
        <w:rPr>
          <w:sz w:val="21"/>
        </w:rPr>
        <w:t>:</w:t>
      </w:r>
    </w:p>
    <w:p>
      <w:pPr>
        <w:pStyle w:val="null3"/>
        <w:ind w:firstLine="480"/>
        <w:jc w:val="both"/>
      </w:pPr>
      <w:r>
        <w:rPr>
          <w:sz w:val="21"/>
        </w:rPr>
        <w:t>系统故障类</w:t>
      </w:r>
      <w:r>
        <w:rPr>
          <w:sz w:val="21"/>
        </w:rPr>
        <w:t>:</w:t>
      </w:r>
      <w:r>
        <w:rPr>
          <w:sz w:val="21"/>
        </w:rPr>
        <w:t>检测为操作系统损坏，系统宕机，涉及业务较多，需要重装系统需要</w:t>
      </w:r>
      <w:r>
        <w:rPr>
          <w:sz w:val="21"/>
        </w:rPr>
        <w:t>12</w:t>
      </w:r>
      <w:r>
        <w:rPr>
          <w:sz w:val="21"/>
        </w:rPr>
        <w:t>小时解决</w:t>
      </w:r>
      <w:r>
        <w:rPr>
          <w:sz w:val="21"/>
        </w:rPr>
        <w:t>;</w:t>
      </w:r>
      <w:r>
        <w:rPr>
          <w:sz w:val="21"/>
        </w:rPr>
        <w:t>检测为系统资源不足、应用服务启动不了，</w:t>
      </w:r>
      <w:r>
        <w:rPr>
          <w:sz w:val="21"/>
        </w:rPr>
        <w:t>12</w:t>
      </w:r>
      <w:r>
        <w:rPr>
          <w:sz w:val="21"/>
        </w:rPr>
        <w:t>小时解决；</w:t>
      </w:r>
    </w:p>
    <w:p>
      <w:pPr>
        <w:pStyle w:val="null3"/>
        <w:ind w:firstLine="480"/>
        <w:jc w:val="both"/>
      </w:pPr>
      <w:r>
        <w:rPr>
          <w:sz w:val="21"/>
        </w:rPr>
        <w:t>硬件故障类</w:t>
      </w:r>
      <w:r>
        <w:rPr>
          <w:sz w:val="21"/>
        </w:rPr>
        <w:t>:</w:t>
      </w:r>
      <w:r>
        <w:rPr>
          <w:sz w:val="21"/>
        </w:rPr>
        <w:t>检测为服务器硬件（</w:t>
      </w:r>
      <w:r>
        <w:rPr>
          <w:sz w:val="21"/>
        </w:rPr>
        <w:t>cpu</w:t>
      </w:r>
      <w:r>
        <w:rPr>
          <w:sz w:val="21"/>
        </w:rPr>
        <w:t>、内存、硬盘、风扇、电源、主板）故障，需要返厂，需申请挂单处理，需</w:t>
      </w:r>
      <w:r>
        <w:rPr>
          <w:sz w:val="21"/>
        </w:rPr>
        <w:t>48</w:t>
      </w:r>
      <w:r>
        <w:rPr>
          <w:sz w:val="21"/>
        </w:rPr>
        <w:t>小时解决</w:t>
      </w:r>
      <w:r>
        <w:rPr>
          <w:sz w:val="21"/>
        </w:rPr>
        <w:t>;</w:t>
      </w:r>
      <w:r>
        <w:rPr>
          <w:sz w:val="21"/>
        </w:rPr>
        <w:t>软件故障类</w:t>
      </w:r>
      <w:r>
        <w:rPr>
          <w:sz w:val="21"/>
        </w:rPr>
        <w:t>:</w:t>
      </w:r>
      <w:r>
        <w:rPr>
          <w:sz w:val="21"/>
        </w:rPr>
        <w:t>检测为软件故障，需要重装软件</w:t>
      </w:r>
      <w:r>
        <w:rPr>
          <w:sz w:val="21"/>
        </w:rPr>
        <w:t>24</w:t>
      </w:r>
      <w:r>
        <w:rPr>
          <w:sz w:val="21"/>
        </w:rPr>
        <w:t>小时解决</w:t>
      </w:r>
      <w:r>
        <w:rPr>
          <w:sz w:val="21"/>
        </w:rPr>
        <w:t>;</w:t>
      </w:r>
      <w:r>
        <w:rPr>
          <w:sz w:val="21"/>
        </w:rPr>
        <w:t>检测为软件配置故障</w:t>
      </w:r>
      <w:r>
        <w:rPr>
          <w:sz w:val="21"/>
        </w:rPr>
        <w:t>24</w:t>
      </w:r>
      <w:r>
        <w:rPr>
          <w:sz w:val="21"/>
        </w:rPr>
        <w:t>小时解决；</w:t>
      </w:r>
    </w:p>
    <w:p>
      <w:pPr>
        <w:pStyle w:val="null3"/>
        <w:ind w:firstLine="480"/>
        <w:jc w:val="both"/>
      </w:pPr>
      <w:r>
        <w:rPr>
          <w:sz w:val="21"/>
        </w:rPr>
        <w:t>6</w:t>
      </w:r>
      <w:r>
        <w:rPr>
          <w:sz w:val="21"/>
        </w:rPr>
        <w:t>）链路故障</w:t>
      </w:r>
      <w:r>
        <w:rPr>
          <w:sz w:val="21"/>
        </w:rPr>
        <w:t>:</w:t>
      </w:r>
    </w:p>
    <w:p>
      <w:pPr>
        <w:pStyle w:val="null3"/>
        <w:ind w:firstLine="480"/>
        <w:jc w:val="both"/>
      </w:pPr>
      <w:r>
        <w:rPr>
          <w:sz w:val="21"/>
        </w:rPr>
        <w:t>诊断为本端公安网交换机端口模块故障、端口配置、交换机配置故障导致，</w:t>
      </w:r>
      <w:r>
        <w:rPr>
          <w:sz w:val="21"/>
        </w:rPr>
        <w:t>4</w:t>
      </w:r>
      <w:r>
        <w:rPr>
          <w:sz w:val="21"/>
        </w:rPr>
        <w:t>小时内解决；</w:t>
      </w:r>
    </w:p>
    <w:p>
      <w:pPr>
        <w:pStyle w:val="null3"/>
        <w:ind w:firstLine="480"/>
        <w:jc w:val="both"/>
      </w:pPr>
      <w:r>
        <w:rPr>
          <w:sz w:val="21"/>
        </w:rPr>
        <w:t>诊断为运营商光纤链路、尾纤故障，则挂单交由运营商处理，直到运营商处理完故障后，验证在</w:t>
      </w:r>
      <w:r>
        <w:rPr>
          <w:sz w:val="21"/>
        </w:rPr>
        <w:t>2</w:t>
      </w:r>
      <w:r>
        <w:rPr>
          <w:sz w:val="21"/>
        </w:rPr>
        <w:t>小时内完成；</w:t>
      </w:r>
    </w:p>
    <w:p>
      <w:pPr>
        <w:pStyle w:val="null3"/>
        <w:ind w:firstLine="480"/>
        <w:jc w:val="both"/>
      </w:pPr>
      <w:r>
        <w:rPr>
          <w:sz w:val="21"/>
        </w:rPr>
        <w:t>诊断为对端交换机、端口模块、配置故障导致，则挂单转给对方单位进行处理，直到对方故障解决后，验证在</w:t>
      </w:r>
      <w:r>
        <w:rPr>
          <w:sz w:val="21"/>
        </w:rPr>
        <w:t>2</w:t>
      </w:r>
      <w:r>
        <w:rPr>
          <w:sz w:val="21"/>
        </w:rPr>
        <w:t>小时内完成；</w:t>
      </w:r>
    </w:p>
    <w:p>
      <w:pPr>
        <w:pStyle w:val="null3"/>
        <w:ind w:firstLine="480"/>
        <w:jc w:val="both"/>
      </w:pPr>
      <w:r>
        <w:rPr>
          <w:sz w:val="21"/>
        </w:rPr>
        <w:t>7</w:t>
      </w:r>
      <w:r>
        <w:rPr>
          <w:sz w:val="21"/>
        </w:rPr>
        <w:t>）配置故障</w:t>
      </w:r>
      <w:r>
        <w:rPr>
          <w:sz w:val="21"/>
        </w:rPr>
        <w:t>:</w:t>
      </w:r>
    </w:p>
    <w:p>
      <w:pPr>
        <w:pStyle w:val="null3"/>
        <w:ind w:firstLine="480"/>
        <w:jc w:val="both"/>
      </w:pPr>
      <w:r>
        <w:rPr>
          <w:sz w:val="21"/>
        </w:rPr>
        <w:t>配置新增链路、</w:t>
      </w:r>
      <w:r>
        <w:rPr>
          <w:sz w:val="21"/>
        </w:rPr>
        <w:t>Vlan</w:t>
      </w:r>
      <w:r>
        <w:rPr>
          <w:sz w:val="21"/>
        </w:rPr>
        <w:t>、子网、端口等</w:t>
      </w:r>
      <w:r>
        <w:rPr>
          <w:sz w:val="21"/>
        </w:rPr>
        <w:t>4</w:t>
      </w:r>
      <w:r>
        <w:rPr>
          <w:sz w:val="21"/>
        </w:rPr>
        <w:t>小时内解决；</w:t>
      </w:r>
    </w:p>
    <w:p>
      <w:pPr>
        <w:pStyle w:val="null3"/>
        <w:ind w:firstLine="480"/>
        <w:jc w:val="both"/>
      </w:pPr>
      <w:r>
        <w:rPr>
          <w:sz w:val="21"/>
        </w:rPr>
        <w:t>接入层交换机新机配置，</w:t>
      </w:r>
      <w:r>
        <w:rPr>
          <w:sz w:val="21"/>
        </w:rPr>
        <w:t>4</w:t>
      </w:r>
      <w:r>
        <w:rPr>
          <w:sz w:val="21"/>
        </w:rPr>
        <w:t>小时内解决；</w:t>
      </w:r>
    </w:p>
    <w:p>
      <w:pPr>
        <w:pStyle w:val="null3"/>
        <w:ind w:firstLine="480"/>
        <w:jc w:val="both"/>
      </w:pPr>
      <w:r>
        <w:rPr>
          <w:sz w:val="21"/>
        </w:rPr>
        <w:t>汇聚层、核心层新机配置，</w:t>
      </w:r>
      <w:r>
        <w:rPr>
          <w:sz w:val="21"/>
        </w:rPr>
        <w:t>6</w:t>
      </w:r>
      <w:r>
        <w:rPr>
          <w:sz w:val="21"/>
        </w:rPr>
        <w:t>小时内解决；</w:t>
      </w:r>
    </w:p>
    <w:p>
      <w:pPr>
        <w:pStyle w:val="null3"/>
        <w:ind w:firstLine="480"/>
        <w:jc w:val="both"/>
      </w:pPr>
      <w:r>
        <w:rPr>
          <w:sz w:val="21"/>
        </w:rPr>
        <w:t>防火墙新机配置，</w:t>
      </w:r>
      <w:r>
        <w:rPr>
          <w:sz w:val="21"/>
        </w:rPr>
        <w:t>12</w:t>
      </w:r>
      <w:r>
        <w:rPr>
          <w:sz w:val="21"/>
        </w:rPr>
        <w:t>小时内解决；</w:t>
      </w:r>
    </w:p>
    <w:p>
      <w:pPr>
        <w:pStyle w:val="null3"/>
        <w:ind w:firstLine="480"/>
        <w:jc w:val="both"/>
      </w:pPr>
      <w:r>
        <w:rPr>
          <w:sz w:val="21"/>
        </w:rPr>
        <w:t>8</w:t>
      </w:r>
      <w:r>
        <w:rPr>
          <w:sz w:val="21"/>
        </w:rPr>
        <w:t>）硬件故障</w:t>
      </w:r>
      <w:r>
        <w:rPr>
          <w:sz w:val="21"/>
        </w:rPr>
        <w:t>:</w:t>
      </w:r>
    </w:p>
    <w:p>
      <w:pPr>
        <w:pStyle w:val="null3"/>
        <w:ind w:firstLine="480"/>
        <w:jc w:val="both"/>
      </w:pPr>
      <w:r>
        <w:rPr>
          <w:sz w:val="21"/>
        </w:rPr>
        <w:t>机房或楼层配线间接入层交换机端口、端口模块、端口配置、网线光纤链路、交换机配置或交换机硬件损坏导致网络中断故障，</w:t>
      </w:r>
      <w:r>
        <w:rPr>
          <w:sz w:val="21"/>
        </w:rPr>
        <w:t>24</w:t>
      </w:r>
      <w:r>
        <w:rPr>
          <w:sz w:val="21"/>
        </w:rPr>
        <w:t>小时内解决；</w:t>
      </w:r>
    </w:p>
    <w:p>
      <w:pPr>
        <w:pStyle w:val="null3"/>
        <w:ind w:firstLine="480"/>
        <w:jc w:val="both"/>
      </w:pPr>
      <w:r>
        <w:rPr>
          <w:sz w:val="21"/>
        </w:rPr>
        <w:t>核心层或汇聚层交换机端口、端口配置、端口模块、链路故障导致网络中断，</w:t>
      </w:r>
      <w:r>
        <w:rPr>
          <w:sz w:val="21"/>
        </w:rPr>
        <w:t>24</w:t>
      </w:r>
      <w:r>
        <w:rPr>
          <w:sz w:val="21"/>
        </w:rPr>
        <w:t>小时内解决；</w:t>
      </w:r>
    </w:p>
    <w:p>
      <w:pPr>
        <w:pStyle w:val="null3"/>
        <w:ind w:firstLine="480"/>
        <w:jc w:val="both"/>
      </w:pPr>
      <w:r>
        <w:rPr>
          <w:sz w:val="21"/>
        </w:rPr>
        <w:t>网络核心层交换机、汇聚层交换机设备或硬件板卡损坏，根据实际零部件采购所需时间申请相应延时，在申请时效内解决故障；如建筑物电源故障导致网络设备断电网络不通，则挂单转给物业单位处理，直到物业解决电源故障后，验证在</w:t>
      </w:r>
      <w:r>
        <w:rPr>
          <w:sz w:val="21"/>
        </w:rPr>
        <w:t>2</w:t>
      </w:r>
      <w:r>
        <w:rPr>
          <w:sz w:val="21"/>
        </w:rPr>
        <w:t>小时内完成；</w:t>
      </w:r>
    </w:p>
    <w:p>
      <w:pPr>
        <w:pStyle w:val="null3"/>
        <w:ind w:firstLine="480"/>
        <w:jc w:val="both"/>
      </w:pPr>
      <w:r>
        <w:rPr>
          <w:sz w:val="21"/>
        </w:rPr>
        <w:t>9</w:t>
      </w:r>
      <w:r>
        <w:rPr>
          <w:sz w:val="21"/>
        </w:rPr>
        <w:t>）软件故障</w:t>
      </w:r>
      <w:r>
        <w:rPr>
          <w:sz w:val="21"/>
        </w:rPr>
        <w:t>:</w:t>
      </w:r>
      <w:r>
        <w:rPr>
          <w:sz w:val="21"/>
        </w:rPr>
        <w:t>交换机、路由器系统假死导致设备无响应，</w:t>
      </w:r>
      <w:r>
        <w:rPr>
          <w:sz w:val="21"/>
        </w:rPr>
        <w:t>4</w:t>
      </w:r>
      <w:r>
        <w:rPr>
          <w:sz w:val="21"/>
        </w:rPr>
        <w:t>小时内解决；系统、版本等其它软件故障</w:t>
      </w:r>
      <w:r>
        <w:rPr>
          <w:sz w:val="21"/>
        </w:rPr>
        <w:t>24</w:t>
      </w:r>
      <w:r>
        <w:rPr>
          <w:sz w:val="21"/>
        </w:rPr>
        <w:t>小时内解决；</w:t>
      </w:r>
    </w:p>
    <w:p>
      <w:pPr>
        <w:pStyle w:val="null3"/>
        <w:ind w:firstLine="480"/>
        <w:jc w:val="both"/>
      </w:pPr>
      <w:r>
        <w:rPr>
          <w:sz w:val="21"/>
        </w:rPr>
        <w:t>10</w:t>
      </w:r>
      <w:r>
        <w:rPr>
          <w:sz w:val="21"/>
        </w:rPr>
        <w:t>）设备调整</w:t>
      </w:r>
      <w:r>
        <w:rPr>
          <w:sz w:val="21"/>
        </w:rPr>
        <w:t>:</w:t>
      </w:r>
      <w:r>
        <w:rPr>
          <w:sz w:val="21"/>
        </w:rPr>
        <w:t>新增设备分配</w:t>
      </w:r>
      <w:r>
        <w:rPr>
          <w:sz w:val="21"/>
        </w:rPr>
        <w:t>VLAN ID</w:t>
      </w:r>
      <w:r>
        <w:rPr>
          <w:sz w:val="21"/>
        </w:rPr>
        <w:t>号、子网，</w:t>
      </w:r>
      <w:r>
        <w:rPr>
          <w:sz w:val="21"/>
        </w:rPr>
        <w:t>4</w:t>
      </w:r>
      <w:r>
        <w:rPr>
          <w:sz w:val="21"/>
        </w:rPr>
        <w:t>小时内解决；机房上架</w:t>
      </w:r>
      <w:r>
        <w:rPr>
          <w:sz w:val="21"/>
        </w:rPr>
        <w:t>5</w:t>
      </w:r>
      <w:r>
        <w:rPr>
          <w:sz w:val="21"/>
        </w:rPr>
        <w:t>台以下设备（服务器、防火墙、网闸、交换机等），分配</w:t>
      </w:r>
      <w:r>
        <w:rPr>
          <w:sz w:val="21"/>
        </w:rPr>
        <w:t>IP</w:t>
      </w:r>
      <w:r>
        <w:rPr>
          <w:sz w:val="21"/>
        </w:rPr>
        <w:t>地址及确定机柜位置，</w:t>
      </w:r>
      <w:r>
        <w:rPr>
          <w:sz w:val="21"/>
        </w:rPr>
        <w:t>6</w:t>
      </w:r>
      <w:r>
        <w:rPr>
          <w:sz w:val="21"/>
        </w:rPr>
        <w:t>小时内解决；机房上架</w:t>
      </w:r>
      <w:r>
        <w:rPr>
          <w:sz w:val="21"/>
        </w:rPr>
        <w:t>5</w:t>
      </w:r>
      <w:r>
        <w:rPr>
          <w:sz w:val="21"/>
        </w:rPr>
        <w:t>台以上设备（服务器、防火墙、网闸、交换机等），分配</w:t>
      </w:r>
      <w:r>
        <w:rPr>
          <w:sz w:val="21"/>
        </w:rPr>
        <w:t>IP</w:t>
      </w:r>
      <w:r>
        <w:rPr>
          <w:sz w:val="21"/>
        </w:rPr>
        <w:t>地址及确定机柜位置，</w:t>
      </w:r>
      <w:r>
        <w:rPr>
          <w:sz w:val="21"/>
        </w:rPr>
        <w:t>12</w:t>
      </w:r>
      <w:r>
        <w:rPr>
          <w:sz w:val="21"/>
        </w:rPr>
        <w:t>小时内解决；</w:t>
      </w:r>
    </w:p>
    <w:p>
      <w:pPr>
        <w:pStyle w:val="null3"/>
        <w:ind w:firstLine="480"/>
        <w:jc w:val="both"/>
      </w:pPr>
      <w:r>
        <w:rPr>
          <w:sz w:val="21"/>
        </w:rPr>
        <w:t>11</w:t>
      </w:r>
      <w:r>
        <w:rPr>
          <w:sz w:val="21"/>
        </w:rPr>
        <w:t>）网络故障</w:t>
      </w:r>
      <w:r>
        <w:rPr>
          <w:sz w:val="21"/>
        </w:rPr>
        <w:t>:PC</w:t>
      </w:r>
      <w:r>
        <w:rPr>
          <w:sz w:val="21"/>
        </w:rPr>
        <w:t>主机网络不通，网卡、</w:t>
      </w:r>
      <w:r>
        <w:rPr>
          <w:sz w:val="21"/>
        </w:rPr>
        <w:t>IP</w:t>
      </w:r>
      <w:r>
        <w:rPr>
          <w:sz w:val="21"/>
        </w:rPr>
        <w:t>地址、网关配置错误或冲突导致，</w:t>
      </w:r>
      <w:r>
        <w:rPr>
          <w:sz w:val="21"/>
        </w:rPr>
        <w:t>6</w:t>
      </w:r>
      <w:r>
        <w:rPr>
          <w:sz w:val="21"/>
        </w:rPr>
        <w:t>小时内解决</w:t>
      </w:r>
      <w:r>
        <w:rPr>
          <w:sz w:val="21"/>
        </w:rPr>
        <w:t>;PC</w:t>
      </w:r>
      <w:r>
        <w:rPr>
          <w:sz w:val="21"/>
        </w:rPr>
        <w:t>主机网络不通，网线或水晶头接触不良故障导致，</w:t>
      </w:r>
      <w:r>
        <w:rPr>
          <w:sz w:val="21"/>
        </w:rPr>
        <w:t>2</w:t>
      </w:r>
      <w:r>
        <w:rPr>
          <w:sz w:val="21"/>
        </w:rPr>
        <w:t>小时内解决；</w:t>
      </w:r>
      <w:r>
        <w:rPr>
          <w:sz w:val="21"/>
        </w:rPr>
        <w:t>PC</w:t>
      </w:r>
      <w:r>
        <w:rPr>
          <w:sz w:val="21"/>
        </w:rPr>
        <w:t>主机网络不通，路线所连接的面板故障导致，</w:t>
      </w:r>
      <w:r>
        <w:rPr>
          <w:sz w:val="21"/>
        </w:rPr>
        <w:t>2</w:t>
      </w:r>
      <w:r>
        <w:rPr>
          <w:sz w:val="21"/>
        </w:rPr>
        <w:t>小时解决；接入层交换机配置、端口、端口配置、端口模块导致，</w:t>
      </w:r>
      <w:r>
        <w:rPr>
          <w:sz w:val="21"/>
        </w:rPr>
        <w:t>6</w:t>
      </w:r>
      <w:r>
        <w:rPr>
          <w:sz w:val="21"/>
        </w:rPr>
        <w:t>小时内解决；如建筑物电源故障导致网络设备断电网络不通，则挂单转给物业单位处理，直到物业解决电源故障后，验证在</w:t>
      </w:r>
      <w:r>
        <w:rPr>
          <w:sz w:val="21"/>
        </w:rPr>
        <w:t>2</w:t>
      </w:r>
      <w:r>
        <w:rPr>
          <w:sz w:val="21"/>
        </w:rPr>
        <w:t>小时内完成。</w:t>
      </w:r>
    </w:p>
    <w:p>
      <w:pPr>
        <w:pStyle w:val="null3"/>
        <w:ind w:firstLine="480"/>
        <w:jc w:val="both"/>
      </w:pPr>
      <w:r>
        <w:rPr>
          <w:sz w:val="21"/>
        </w:rPr>
        <w:t>挂单</w:t>
      </w:r>
      <w:r>
        <w:rPr>
          <w:sz w:val="21"/>
        </w:rPr>
        <w:t>:</w:t>
      </w:r>
    </w:p>
    <w:p>
      <w:pPr>
        <w:pStyle w:val="null3"/>
        <w:ind w:firstLine="480"/>
        <w:jc w:val="both"/>
      </w:pPr>
      <w:r>
        <w:rPr>
          <w:sz w:val="21"/>
        </w:rPr>
        <w:t>（</w:t>
      </w:r>
      <w:r>
        <w:rPr>
          <w:sz w:val="21"/>
        </w:rPr>
        <w:t>1</w:t>
      </w:r>
      <w:r>
        <w:rPr>
          <w:sz w:val="21"/>
        </w:rPr>
        <w:t>）诊断为第三方负责管理范围故障，把诊断情况反馈给第三方负责人；</w:t>
      </w:r>
    </w:p>
    <w:p>
      <w:pPr>
        <w:pStyle w:val="null3"/>
        <w:ind w:firstLine="480"/>
        <w:jc w:val="both"/>
      </w:pPr>
      <w:r>
        <w:rPr>
          <w:sz w:val="21"/>
        </w:rPr>
        <w:t>（</w:t>
      </w:r>
      <w:r>
        <w:rPr>
          <w:sz w:val="21"/>
        </w:rPr>
        <w:t>2</w:t>
      </w:r>
      <w:r>
        <w:rPr>
          <w:sz w:val="21"/>
        </w:rPr>
        <w:t>）硬件设备（核心设备）需要返厂维修，需采购核心设备，根据厂家维修预估完成时间，进行时效申请，待厂家维修好设备，在申请时效内处理好；</w:t>
      </w:r>
    </w:p>
    <w:p>
      <w:pPr>
        <w:pStyle w:val="null3"/>
        <w:ind w:firstLine="480"/>
        <w:jc w:val="both"/>
      </w:pPr>
      <w:r>
        <w:rPr>
          <w:sz w:val="21"/>
        </w:rPr>
        <w:t>（</w:t>
      </w:r>
      <w:r>
        <w:rPr>
          <w:sz w:val="21"/>
        </w:rPr>
        <w:t>3</w:t>
      </w:r>
      <w:r>
        <w:rPr>
          <w:sz w:val="21"/>
        </w:rPr>
        <w:t>）非原厂服务（上级系统）需评估修复故障时间。</w:t>
      </w:r>
    </w:p>
    <w:p>
      <w:pPr>
        <w:pStyle w:val="null3"/>
        <w:ind w:firstLine="480"/>
        <w:jc w:val="both"/>
      </w:pPr>
      <w:r>
        <w:rPr>
          <w:sz w:val="21"/>
        </w:rPr>
        <w:t>申请延时</w:t>
      </w:r>
      <w:r>
        <w:rPr>
          <w:sz w:val="21"/>
        </w:rPr>
        <w:t>:</w:t>
      </w:r>
    </w:p>
    <w:p>
      <w:pPr>
        <w:pStyle w:val="null3"/>
        <w:ind w:firstLine="480"/>
        <w:jc w:val="both"/>
      </w:pPr>
      <w:r>
        <w:rPr>
          <w:sz w:val="21"/>
        </w:rPr>
        <w:t>（</w:t>
      </w:r>
      <w:r>
        <w:rPr>
          <w:sz w:val="21"/>
        </w:rPr>
        <w:t>1</w:t>
      </w:r>
      <w:r>
        <w:rPr>
          <w:sz w:val="21"/>
        </w:rPr>
        <w:t>）申请购买设备、零部件，需申请延时处理；</w:t>
      </w:r>
    </w:p>
    <w:p>
      <w:pPr>
        <w:pStyle w:val="null3"/>
        <w:ind w:firstLine="480"/>
        <w:jc w:val="both"/>
      </w:pPr>
      <w:r>
        <w:rPr>
          <w:sz w:val="21"/>
        </w:rPr>
        <w:t>机房</w:t>
      </w:r>
      <w:r>
        <w:rPr>
          <w:sz w:val="21"/>
        </w:rPr>
        <w:t>UPS</w:t>
      </w:r>
      <w:r>
        <w:rPr>
          <w:sz w:val="21"/>
        </w:rPr>
        <w:t>及机房精密空调运维需求</w:t>
      </w:r>
      <w:r>
        <w:rPr>
          <w:sz w:val="21"/>
        </w:rPr>
        <w:t>:</w:t>
      </w:r>
      <w:r>
        <w:rPr>
          <w:sz w:val="21"/>
        </w:rPr>
        <w:t>精密空调运维包括巡查、维修、坏件更换、加雪种、清洗，</w:t>
      </w:r>
      <w:r>
        <w:rPr>
          <w:sz w:val="21"/>
        </w:rPr>
        <w:t>UPS</w:t>
      </w:r>
      <w:r>
        <w:rPr>
          <w:sz w:val="21"/>
        </w:rPr>
        <w:t>运维包括主机及电池组巡查、维修、坏件更换，对故障及老化电池进行更换，每季度对电池健康状况进行检测；每天要对</w:t>
      </w:r>
      <w:r>
        <w:rPr>
          <w:sz w:val="21"/>
        </w:rPr>
        <w:t>UPS</w:t>
      </w:r>
      <w:r>
        <w:rPr>
          <w:sz w:val="21"/>
        </w:rPr>
        <w:t>和空调巡查</w:t>
      </w:r>
      <w:r>
        <w:rPr>
          <w:sz w:val="21"/>
        </w:rPr>
        <w:t>1</w:t>
      </w:r>
      <w:r>
        <w:rPr>
          <w:sz w:val="21"/>
        </w:rPr>
        <w:t>次。</w:t>
      </w:r>
    </w:p>
    <w:p>
      <w:pPr>
        <w:pStyle w:val="null3"/>
        <w:ind w:firstLine="480"/>
        <w:jc w:val="both"/>
      </w:pPr>
      <w:r>
        <w:rPr>
          <w:sz w:val="21"/>
        </w:rPr>
        <w:t>当运维服务范围中的硬件设备发生故障、策略需求变更等，运维人员需根据故障等级响应时长要求到达用户指定的现场进行故障检测、维修、巡检、配置等工作。如设备故障在短时间内难以修复的，需提供相同型号设备或与原设备具有相同功能的不低于同类型的设备替换临时使用，直至损坏设备修复。故障的维修或更换所产生的费用，由中标人承担。</w:t>
      </w:r>
    </w:p>
    <w:p>
      <w:pPr>
        <w:pStyle w:val="null3"/>
        <w:ind w:firstLine="480"/>
        <w:jc w:val="both"/>
      </w:pPr>
      <w:r>
        <w:rPr>
          <w:sz w:val="21"/>
        </w:rPr>
        <w:t>一级故障（紧急）：主要指设备在运行中出现瘫痪或服务中断，导致设备的基本功能不能实现或全面退化的故障；在正常工作时间内，应在</w:t>
      </w:r>
      <w:r>
        <w:rPr>
          <w:sz w:val="21"/>
        </w:rPr>
        <w:t>15</w:t>
      </w:r>
      <w:r>
        <w:rPr>
          <w:sz w:val="21"/>
        </w:rPr>
        <w:t>分钟内电话响应，如必须提供现场抢修服务，应在</w:t>
      </w:r>
      <w:r>
        <w:rPr>
          <w:sz w:val="21"/>
        </w:rPr>
        <w:t>30</w:t>
      </w:r>
      <w:r>
        <w:rPr>
          <w:sz w:val="21"/>
        </w:rPr>
        <w:t>分钟内到达现场；非正常工作时间内，应在</w:t>
      </w:r>
      <w:r>
        <w:rPr>
          <w:sz w:val="21"/>
        </w:rPr>
        <w:t>30</w:t>
      </w:r>
      <w:r>
        <w:rPr>
          <w:sz w:val="21"/>
        </w:rPr>
        <w:t>分钟内电话响应，如必须提供现场抢修服务，应在</w:t>
      </w:r>
      <w:r>
        <w:rPr>
          <w:sz w:val="21"/>
        </w:rPr>
        <w:t>3</w:t>
      </w:r>
      <w:r>
        <w:rPr>
          <w:sz w:val="21"/>
        </w:rPr>
        <w:t>小时内到达现场；到达现场后</w:t>
      </w:r>
      <w:r>
        <w:rPr>
          <w:sz w:val="21"/>
        </w:rPr>
        <w:t>4</w:t>
      </w:r>
      <w:r>
        <w:rPr>
          <w:sz w:val="21"/>
        </w:rPr>
        <w:t>小时内排除故障。短时间内难以修复的，提供相同型号设备或与原设备具有相同功能的不低于同类型的设备替换临时使用，直至损坏设备修复完成为止。</w:t>
      </w:r>
    </w:p>
    <w:p>
      <w:pPr>
        <w:pStyle w:val="null3"/>
        <w:ind w:firstLine="480"/>
        <w:jc w:val="both"/>
      </w:pPr>
      <w:r>
        <w:rPr>
          <w:sz w:val="21"/>
        </w:rPr>
        <w:t>二级故障（较重要）：主要指设备在运行中出现的故障具有潜在的系统瘫痪或服务中断的危险，并可能导致系统的基本功能不能实现或全面退化；在正常工作时间内，应在</w:t>
      </w:r>
      <w:r>
        <w:rPr>
          <w:sz w:val="21"/>
        </w:rPr>
        <w:t>15</w:t>
      </w:r>
      <w:r>
        <w:rPr>
          <w:sz w:val="21"/>
        </w:rPr>
        <w:t>分钟内电话响应，如必须提供现场抢修服务，应在</w:t>
      </w:r>
      <w:r>
        <w:rPr>
          <w:sz w:val="21"/>
        </w:rPr>
        <w:t>1</w:t>
      </w:r>
      <w:r>
        <w:rPr>
          <w:sz w:val="21"/>
        </w:rPr>
        <w:t>小时内到达现场；非正常工作时间内，应在</w:t>
      </w:r>
      <w:r>
        <w:rPr>
          <w:sz w:val="21"/>
        </w:rPr>
        <w:t>30</w:t>
      </w:r>
      <w:r>
        <w:rPr>
          <w:sz w:val="21"/>
        </w:rPr>
        <w:t>分钟内电话响应，如必须提供现场抢修服务，在</w:t>
      </w:r>
      <w:r>
        <w:rPr>
          <w:sz w:val="21"/>
        </w:rPr>
        <w:t>3</w:t>
      </w:r>
      <w:r>
        <w:rPr>
          <w:sz w:val="21"/>
        </w:rPr>
        <w:t>小时内到达现场；到达现场后</w:t>
      </w:r>
      <w:r>
        <w:rPr>
          <w:sz w:val="21"/>
        </w:rPr>
        <w:t>4</w:t>
      </w:r>
      <w:r>
        <w:rPr>
          <w:sz w:val="21"/>
        </w:rPr>
        <w:t>小时内排除故障。如发现潜在的隐患问题，需要在</w:t>
      </w:r>
      <w:r>
        <w:rPr>
          <w:sz w:val="21"/>
        </w:rPr>
        <w:t>1</w:t>
      </w:r>
      <w:r>
        <w:rPr>
          <w:sz w:val="21"/>
        </w:rPr>
        <w:t>个工作日时间内提出隐患解决方案，不涉及硬件更换的要求于方案提出后一个工作日内解决。</w:t>
      </w:r>
    </w:p>
    <w:p>
      <w:pPr>
        <w:pStyle w:val="null3"/>
        <w:ind w:firstLine="480"/>
        <w:jc w:val="both"/>
      </w:pPr>
      <w:r>
        <w:rPr>
          <w:sz w:val="21"/>
        </w:rPr>
        <w:t>三级故障（普通）：主要指系统设备在运行中出现的直接导致系统性能或功能部分退化的故障；正常工作时间内，应在</w:t>
      </w:r>
      <w:r>
        <w:rPr>
          <w:sz w:val="21"/>
        </w:rPr>
        <w:t>15</w:t>
      </w:r>
      <w:r>
        <w:rPr>
          <w:sz w:val="21"/>
        </w:rPr>
        <w:t>分钟内电话响应；根据要求实现现场处理或远程抢修，如必须提供现场抢修服务，应在</w:t>
      </w:r>
      <w:r>
        <w:rPr>
          <w:sz w:val="21"/>
        </w:rPr>
        <w:t>1.5</w:t>
      </w:r>
      <w:r>
        <w:rPr>
          <w:sz w:val="21"/>
        </w:rPr>
        <w:t>小时内到达现场；非正常工作时间内，应在</w:t>
      </w:r>
      <w:r>
        <w:rPr>
          <w:sz w:val="21"/>
        </w:rPr>
        <w:t>30</w:t>
      </w:r>
      <w:r>
        <w:rPr>
          <w:sz w:val="21"/>
        </w:rPr>
        <w:t>分钟内电话响应，根据要求实现现场处理或远程抢修，如必须提供现场抢修服务，应在</w:t>
      </w:r>
      <w:r>
        <w:rPr>
          <w:sz w:val="21"/>
        </w:rPr>
        <w:t>6</w:t>
      </w:r>
      <w:r>
        <w:rPr>
          <w:sz w:val="21"/>
        </w:rPr>
        <w:t>小时内到达现场；到达现场后</w:t>
      </w:r>
      <w:r>
        <w:rPr>
          <w:sz w:val="21"/>
        </w:rPr>
        <w:t>8</w:t>
      </w:r>
      <w:r>
        <w:rPr>
          <w:sz w:val="21"/>
        </w:rPr>
        <w:t>小时内排除故障。</w:t>
      </w:r>
    </w:p>
    <w:p>
      <w:pPr>
        <w:pStyle w:val="null3"/>
        <w:ind w:firstLine="480"/>
        <w:jc w:val="both"/>
      </w:pPr>
      <w:r>
        <w:rPr>
          <w:sz w:val="21"/>
          <w:b/>
        </w:rPr>
        <w:t>四、考核要求</w:t>
      </w:r>
    </w:p>
    <w:p>
      <w:pPr>
        <w:pStyle w:val="null3"/>
        <w:ind w:firstLine="480"/>
        <w:jc w:val="both"/>
      </w:pPr>
      <w:r>
        <w:rPr>
          <w:sz w:val="21"/>
        </w:rPr>
        <w:t>服务评价内容包括但不限于服务绩效、服务人员素质及问题解决质量、服务管理规范化程度等，运维管理、考核及处理条款（除需满足各运维子项具体要求外，各运维子项若有提到对故障响应时长等提出明确要求的，以相关要求为准；若未提出相关要求，实际运维服务不低于本招标文件</w:t>
      </w:r>
      <w:r>
        <w:rPr>
          <w:sz w:val="21"/>
        </w:rPr>
        <w:t>“考核要求”的相关要求），具体评价标准如下：</w:t>
      </w:r>
    </w:p>
    <w:p>
      <w:pPr>
        <w:pStyle w:val="null3"/>
        <w:ind w:firstLine="480"/>
        <w:jc w:val="both"/>
      </w:pPr>
      <w:r>
        <w:rPr>
          <w:sz w:val="21"/>
        </w:rPr>
        <w:t>A.</w:t>
      </w:r>
      <w:r>
        <w:rPr>
          <w:sz w:val="21"/>
        </w:rPr>
        <w:t>月考核要求</w:t>
      </w:r>
      <w:r>
        <w:rPr>
          <w:sz w:val="21"/>
        </w:rPr>
        <w:t>——减分项</w:t>
      </w:r>
    </w:p>
    <w:p>
      <w:pPr>
        <w:pStyle w:val="null3"/>
        <w:jc w:val="both"/>
      </w:pPr>
      <w: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076"/>
        <w:gridCol w:w="2076"/>
        <w:gridCol w:w="2076"/>
        <w:gridCol w:w="2076"/>
      </w:tblGrid>
      <w:tr>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4152"/>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考核指标</w:t>
            </w:r>
          </w:p>
        </w:tc>
        <w:tc>
          <w:tcPr>
            <w:tcW w:type="dxa" w:w="20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考核方式</w:t>
            </w:r>
          </w:p>
        </w:tc>
      </w:tr>
      <w:tr>
        <w:tc>
          <w:tcPr>
            <w:tcW w:type="dxa" w:w="20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运维质量</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日巡查工作执行</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未按运维服务要求开展每日巡查工作，错、漏检一项每次扣</w:t>
            </w:r>
            <w:r>
              <w:rPr>
                <w:sz w:val="21"/>
              </w:rPr>
              <w:t>1</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通过运维管理系统和相关巡检日志检查</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文书质量</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因文书质量被采购人驳回，被驳回</w:t>
            </w:r>
            <w:r>
              <w:rPr>
                <w:sz w:val="21"/>
              </w:rPr>
              <w:t>3</w:t>
            </w:r>
            <w:r>
              <w:rPr>
                <w:sz w:val="21"/>
              </w:rPr>
              <w:t>次及以上，每发生一次扣</w:t>
            </w:r>
            <w:r>
              <w:rPr>
                <w:sz w:val="21"/>
              </w:rPr>
              <w:t>1</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根据提交的相关报告，由采购人检查。</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运维月工作情况</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每月</w:t>
            </w:r>
            <w:r>
              <w:rPr>
                <w:sz w:val="21"/>
              </w:rPr>
              <w:t>10</w:t>
            </w:r>
            <w:r>
              <w:rPr>
                <w:sz w:val="21"/>
              </w:rPr>
              <w:t>日前未按时完成上月维护工作报告最终稿电子档，每次扣</w:t>
            </w:r>
            <w:r>
              <w:rPr>
                <w:sz w:val="21"/>
              </w:rPr>
              <w:t>5</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由采购人根据每月工作情况打分。</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事件预防</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问题或故障在事后被确认为可预防的，运维人员未进行风险预警的，每次扣</w:t>
            </w:r>
            <w:r>
              <w:rPr>
                <w:sz w:val="21"/>
              </w:rPr>
              <w:t>1</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发生事件后，通过采购人讨论形成意见。</w:t>
            </w:r>
          </w:p>
        </w:tc>
      </w:tr>
      <w:tr>
        <w:tc>
          <w:tcPr>
            <w:tcW w:type="dxa" w:w="20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运维服务</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运维事件响应</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每出现</w:t>
            </w:r>
            <w:r>
              <w:rPr>
                <w:sz w:val="21"/>
              </w:rPr>
              <w:t>1</w:t>
            </w:r>
            <w:r>
              <w:rPr>
                <w:sz w:val="21"/>
              </w:rPr>
              <w:t>宗超时违约情况（超时违约是指中标人接收到采购人故障报障时间起算，未按合同要求响应超时、到场超时、修复超时均计为超时违约）的，每次扣</w:t>
            </w:r>
            <w:r>
              <w:rPr>
                <w:sz w:val="21"/>
              </w:rPr>
              <w:t>1.5</w:t>
            </w:r>
            <w:r>
              <w:rPr>
                <w:sz w:val="21"/>
              </w:rPr>
              <w:t>分；当月同一原因故障重复出现</w:t>
            </w:r>
            <w:r>
              <w:rPr>
                <w:sz w:val="21"/>
              </w:rPr>
              <w:t>3</w:t>
            </w:r>
            <w:r>
              <w:rPr>
                <w:sz w:val="21"/>
              </w:rPr>
              <w:t>次或以上（含</w:t>
            </w:r>
            <w:r>
              <w:rPr>
                <w:sz w:val="21"/>
              </w:rPr>
              <w:t>3</w:t>
            </w:r>
            <w:r>
              <w:rPr>
                <w:sz w:val="21"/>
              </w:rPr>
              <w:t>次），每次扣</w:t>
            </w:r>
            <w:r>
              <w:rPr>
                <w:sz w:val="21"/>
              </w:rPr>
              <w:t>2</w:t>
            </w:r>
            <w:r>
              <w:rPr>
                <w:sz w:val="21"/>
              </w:rPr>
              <w:t>分；出现申请故障及服务延时</w:t>
            </w:r>
            <w:r>
              <w:rPr>
                <w:sz w:val="21"/>
              </w:rPr>
              <w:t>20</w:t>
            </w:r>
            <w:r>
              <w:rPr>
                <w:sz w:val="21"/>
              </w:rPr>
              <w:t>单以内不扣分，超过</w:t>
            </w:r>
            <w:r>
              <w:rPr>
                <w:sz w:val="21"/>
              </w:rPr>
              <w:t>20</w:t>
            </w:r>
            <w:r>
              <w:rPr>
                <w:sz w:val="21"/>
              </w:rPr>
              <w:t>单后，每增加一单扣</w:t>
            </w:r>
            <w:r>
              <w:rPr>
                <w:sz w:val="21"/>
              </w:rPr>
              <w:t>0.3</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检查处理工单及有关电话记录。</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驻场工程师考勤</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驻场人员在工作日出现迟到早退（与采购人上班时间一致），每出现一次上述情况，每人每次扣</w:t>
            </w:r>
            <w:r>
              <w:rPr>
                <w:sz w:val="21"/>
              </w:rPr>
              <w:t>1</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由采购人根据考勤记录打分。</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核心设备及重要系统运维保障</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当本项目主要设备（包括网络、服务器及存储硬件、安全等设备）出现整机崩溃、宕机、电子警察设备出现大面积瘫痪等紧急故障时，需要按规定时间内修复，超时未完成修复的，每出现一次超时扣</w:t>
            </w:r>
            <w:r>
              <w:rPr>
                <w:sz w:val="21"/>
              </w:rPr>
              <w:t>5</w:t>
            </w:r>
            <w:r>
              <w:rPr>
                <w:sz w:val="21"/>
              </w:rPr>
              <w:t>分；对电警卡口号牌整体识别率、时钟准确率、视频在线率、视频联网率、数据上传及时率不达标的每次每项扣</w:t>
            </w:r>
            <w:r>
              <w:rPr>
                <w:sz w:val="21"/>
              </w:rPr>
              <w:t>2</w:t>
            </w:r>
            <w:r>
              <w:rPr>
                <w:sz w:val="21"/>
              </w:rPr>
              <w:t>分（以市局视综平台每月考核数据为准）。如果判定在短时间内无法修复，根据业务的需要，形成书面报告，报送采购人并给出解决方案，未报告的扣</w:t>
            </w:r>
            <w:r>
              <w:rPr>
                <w:sz w:val="21"/>
              </w:rPr>
              <w:t>1</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发生事件后，通过采购人讨论形成意见。</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服务态度</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维护人员、人工运维服务台值班人员的服务态度恶劣，消极怠工，影响有关工作开展的，每次扣</w:t>
            </w:r>
            <w:r>
              <w:rPr>
                <w:sz w:val="21"/>
              </w:rPr>
              <w:t>5</w:t>
            </w:r>
            <w:r>
              <w:rPr>
                <w:sz w:val="21"/>
              </w:rPr>
              <w:t>分，连续两次以上，除扣分外，可要求中标人更换维护人员、人工运维服务台值班人员。</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以投诉的事实为考核依据。</w:t>
            </w:r>
          </w:p>
        </w:tc>
      </w:tr>
      <w:tr>
        <w:tc>
          <w:tcPr>
            <w:tcW w:type="dxa" w:w="20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运维管理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人为失误</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由于维护人员操作失误，导致系统无法正常运行影响运维服务的，每次扣</w:t>
            </w:r>
            <w:r>
              <w:rPr>
                <w:sz w:val="21"/>
              </w:rPr>
              <w:t>2-5</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由采购人提出，经</w:t>
            </w:r>
            <w:r>
              <w:rPr>
                <w:sz w:val="21"/>
              </w:rPr>
              <w:t>大队</w:t>
            </w:r>
            <w:r>
              <w:rPr>
                <w:sz w:val="21"/>
              </w:rPr>
              <w:t>讨论决定。</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人员保障</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驻场运维人员在全部项目交接合同期内，中标人总人数不得少于</w:t>
            </w:r>
            <w:r>
              <w:rPr>
                <w:sz w:val="21"/>
              </w:rPr>
              <w:t>2</w:t>
            </w:r>
            <w:r>
              <w:rPr>
                <w:sz w:val="21"/>
              </w:rPr>
              <w:t>人，每少</w:t>
            </w:r>
            <w:r>
              <w:rPr>
                <w:sz w:val="21"/>
              </w:rPr>
              <w:t>1</w:t>
            </w:r>
            <w:r>
              <w:rPr>
                <w:sz w:val="21"/>
              </w:rPr>
              <w:t>人扣</w:t>
            </w:r>
            <w:r>
              <w:rPr>
                <w:sz w:val="21"/>
              </w:rPr>
              <w:t>2</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由采购人查验、决定。</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信息安全保密工作</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项目人员未按规定签保密协议的，每人扣</w:t>
            </w:r>
            <w:r>
              <w:rPr>
                <w:sz w:val="21"/>
              </w:rPr>
              <w:t>1</w:t>
            </w:r>
            <w:r>
              <w:rPr>
                <w:sz w:val="21"/>
              </w:rPr>
              <w:t>分。项目维护人员未及时清理</w:t>
            </w:r>
            <w:r>
              <w:rPr>
                <w:sz w:val="21"/>
              </w:rPr>
              <w:t>U</w:t>
            </w:r>
            <w:r>
              <w:rPr>
                <w:sz w:val="21"/>
              </w:rPr>
              <w:t>盘或互联网电脑中可能会泄密的资料和数据的，每次扣</w:t>
            </w:r>
            <w:r>
              <w:rPr>
                <w:sz w:val="21"/>
              </w:rPr>
              <w:t>2</w:t>
            </w:r>
            <w:r>
              <w:rPr>
                <w:sz w:val="21"/>
              </w:rPr>
              <w:t>分。因运维人员工作失误造成采购人被上级部门通报，此项得</w:t>
            </w:r>
            <w:r>
              <w:rPr>
                <w:sz w:val="21"/>
              </w:rPr>
              <w:t>0</w:t>
            </w:r>
            <w:r>
              <w:rPr>
                <w:sz w:val="21"/>
              </w:rPr>
              <w:t>分。</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由采购人查验、决定。</w:t>
            </w:r>
          </w:p>
        </w:tc>
      </w:tr>
    </w:tbl>
    <w:p>
      <w:pPr>
        <w:pStyle w:val="null3"/>
        <w:jc w:val="both"/>
      </w:pPr>
      <w:r>
        <w:rPr>
          <w:sz w:val="21"/>
        </w:rPr>
        <w:t>B.</w:t>
      </w:r>
      <w:r>
        <w:rPr>
          <w:sz w:val="21"/>
        </w:rPr>
        <w:t>月考核评价――加分项设定</w:t>
      </w:r>
    </w:p>
    <w:tbl>
      <w:tblPr>
        <w:tblW w:w="0" w:type="auto"/>
        <w:tblBorders>
          <w:top w:val="none" w:color="000000" w:sz="4"/>
          <w:left w:val="none" w:color="000000" w:sz="4"/>
          <w:bottom w:val="none" w:color="000000" w:sz="4"/>
          <w:right w:val="none" w:color="000000" w:sz="4"/>
          <w:insideH w:val="none"/>
          <w:insideV w:val="none"/>
        </w:tblBorders>
      </w:tblPr>
      <w:tblGrid>
        <w:gridCol w:w="2768"/>
        <w:gridCol w:w="2768"/>
        <w:gridCol w:w="2768"/>
      </w:tblGrid>
      <w:tr>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27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60"/>
              <w:jc w:val="center"/>
            </w:pPr>
            <w:r>
              <w:rPr>
                <w:sz w:val="21"/>
                <w:b/>
              </w:rPr>
              <w:t>考核内容</w:t>
            </w:r>
          </w:p>
        </w:tc>
        <w:tc>
          <w:tcPr>
            <w:tcW w:type="dxa" w:w="27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考核方法</w:t>
            </w:r>
          </w:p>
        </w:tc>
      </w:tr>
      <w:tr>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日常运维及重大安保期间表现</w:t>
            </w:r>
          </w:p>
        </w:tc>
        <w:tc>
          <w:tcPr>
            <w:tcW w:type="dxa" w:w="2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在日常运维及重大安保运维期间，维护中标人驻场人员及时主动发现隐患，提出合理整改措施，并且及时排除隐患，或能够按照采购人要求，积极协调前后端资源解决并最终及时处理故障的，最高加</w:t>
            </w:r>
            <w:r>
              <w:rPr>
                <w:sz w:val="21"/>
              </w:rPr>
              <w:t>5</w:t>
            </w:r>
            <w:r>
              <w:rPr>
                <w:sz w:val="21"/>
              </w:rPr>
              <w:t>分。</w:t>
            </w:r>
          </w:p>
        </w:tc>
        <w:tc>
          <w:tcPr>
            <w:tcW w:type="dxa" w:w="2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由采购人根据维护方表现程度酌情加分。</w:t>
            </w:r>
          </w:p>
        </w:tc>
      </w:tr>
      <w:tr>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月度故障修复</w:t>
            </w:r>
          </w:p>
        </w:tc>
        <w:tc>
          <w:tcPr>
            <w:tcW w:type="dxa" w:w="2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在当月维护中，中标人没有发生一次超时事项，加</w:t>
            </w:r>
            <w:r>
              <w:rPr>
                <w:sz w:val="21"/>
              </w:rPr>
              <w:t>5</w:t>
            </w:r>
            <w:r>
              <w:rPr>
                <w:sz w:val="21"/>
              </w:rPr>
              <w:t>分。</w:t>
            </w:r>
          </w:p>
        </w:tc>
        <w:tc>
          <w:tcPr>
            <w:tcW w:type="dxa" w:w="2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60"/>
              <w:jc w:val="center"/>
            </w:pPr>
          </w:p>
        </w:tc>
      </w:tr>
    </w:tbl>
    <w:p>
      <w:pPr>
        <w:pStyle w:val="null3"/>
        <w:jc w:val="both"/>
      </w:pPr>
      <w:r>
        <w:rPr>
          <w:sz w:val="21"/>
        </w:rPr>
        <w:t>服务考核评分使用：每个月结束，采购人根据本月中标人的实际服务情况，结合项目监理报告作出本月的服务考核评价得分（所有扣分项不设上限），送达中标人。每个支付周期的服务考核评价分由各月服务评价组成，当月分值高于或者等于</w:t>
      </w:r>
      <w:r>
        <w:rPr>
          <w:sz w:val="21"/>
        </w:rPr>
        <w:t>90</w:t>
      </w:r>
      <w:r>
        <w:rPr>
          <w:sz w:val="21"/>
        </w:rPr>
        <w:t>分为合格，不扣减违约金。</w:t>
      </w:r>
    </w:p>
    <w:p>
      <w:pPr>
        <w:pStyle w:val="null3"/>
        <w:ind w:firstLine="420"/>
        <w:jc w:val="both"/>
      </w:pPr>
      <w:r>
        <w:rPr>
          <w:sz w:val="21"/>
        </w:rPr>
        <w:t>每个月以合同总额的</w:t>
      </w:r>
      <w:r>
        <w:rPr>
          <w:sz w:val="21"/>
        </w:rPr>
        <w:t>5%</w:t>
      </w:r>
      <w:r>
        <w:rPr>
          <w:sz w:val="21"/>
        </w:rPr>
        <w:t>作为违约金和服务考核扣款之和的上限（即本合同每月的违约金和每月服务考核扣款金额总和上限为合同总额的</w:t>
      </w:r>
      <w:r>
        <w:rPr>
          <w:sz w:val="21"/>
        </w:rPr>
        <w:t>5%</w:t>
      </w:r>
      <w:r>
        <w:rPr>
          <w:sz w:val="21"/>
        </w:rPr>
        <w:t>），服务考核评价成绩低于</w:t>
      </w:r>
      <w:r>
        <w:rPr>
          <w:sz w:val="21"/>
        </w:rPr>
        <w:t>90</w:t>
      </w:r>
      <w:r>
        <w:rPr>
          <w:sz w:val="21"/>
        </w:rPr>
        <w:t>分以下的每扣一分，扣除合同总额的万分之五作为服务考核扣款。</w:t>
      </w:r>
    </w:p>
    <w:p>
      <w:pPr>
        <w:pStyle w:val="null3"/>
      </w:pPr>
      <w:r>
        <w:rPr/>
        <w:t>采购包1（2026年东莞市公安局沙田分局交管大队电子警察运维项目）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自合同签订之日起1年</w:t>
            </w:r>
          </w:p>
        </w:tc>
      </w:tr>
      <w:tr>
        <w:tc>
          <w:tcPr>
            <w:tcW w:type="dxa" w:w="4153"/>
          </w:tcPr>
          <w:p>
            <w:pPr>
              <w:pStyle w:val="null3"/>
            </w:pPr>
            <w:r>
              <w:rPr/>
              <w:t>标的提供的地点</w:t>
            </w:r>
          </w:p>
        </w:tc>
        <w:tc>
          <w:tcPr>
            <w:tcW w:type="dxa" w:w="4153"/>
          </w:tcPr>
          <w:p>
            <w:pPr>
              <w:pStyle w:val="null3"/>
            </w:pPr>
            <w:r>
              <w:rPr/>
              <w:t>采购人指定的地点及招标范围要求的地点。</w:t>
            </w:r>
          </w:p>
        </w:tc>
      </w:tr>
      <w:tr>
        <w:tc>
          <w:tcPr>
            <w:tcW w:type="dxa" w:w="4153"/>
          </w:tcPr>
          <w:p>
            <w:pPr>
              <w:pStyle w:val="null3"/>
            </w:pPr>
            <w:r>
              <w:rPr/>
              <w:t>付款方式</w:t>
            </w:r>
          </w:p>
        </w:tc>
        <w:tc>
          <w:tcPr>
            <w:tcW w:type="dxa" w:w="4153"/>
          </w:tcPr>
          <w:p>
            <w:pPr>
              <w:pStyle w:val="null3"/>
            </w:pPr>
            <w:r>
              <w:rPr/>
              <w:t>1期：支付比例100%,按季度支付：当季的维护保养费（维护保养费合同价÷4）+ 当季的备品备件费用（按备品备件合同单价*实际数量） 注：1. 中标人需开具正规的发票，采购人在收到发票15个工作日内支付发票金额。</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1期：①服务期届满，达到验收条件，中标人向采购人提出验收申请，验收工作由采购人（或采购人指定的单位）和中标人共同进行； ②在验收时，中标人应向采购人提供服务的相关资料，按采购人提出的方式验收； ③由采购人对服务的质量和数量及其他进行检验。对验收不合格的部分，采购人应书面通知中标人，中标人应在采购人指定时间内及时整改完善直至合格。 ④履约验收工作按照《财政部关于进一步加强政府采购需求和履约验收管理的指导意见》（财库〔2016〕205号）及《东莞市财政局关于规范政府采购项目履约验收工作的通知》（东财〔2023〕123号）等相关规定进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报价要求，投标报价以下浮率报价，其中维护保养费最高限价为：485100.00元，合同价为：485100.00元*（1-投标下浮率），每个备品配件的单价不能高于采购需求的对应单价限价，备品配件的合同价为：每个备品配件的单价限价*（1-投标下浮率）。报价应包含满足采购人所有维护需求所需要的材料、工具、人员、交通、税费等为完成合同约定责任和义务、达到合同目的的一切费用。</w:t>
            </w:r>
          </w:p>
          <w:p>
            <w:pPr>
              <w:pStyle w:val="null3"/>
            </w:pPr>
            <w:r>
              <w:rPr/>
              <w:t>售后服务，服务期满后，中标人应当配合采购人将维护工作移交至下一周期的维护项目中标人，1周内完成交接工作。</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其他要求1</w:t>
            </w:r>
          </w:p>
        </w:tc>
        <w:tc>
          <w:tcPr>
            <w:tcW w:type="dxa" w:w="2076"/>
          </w:tcPr>
          <w:p>
            <w:pPr>
              <w:pStyle w:val="null3"/>
              <w:jc w:val="left"/>
            </w:pPr>
            <w:r>
              <w:rPr/>
              <w:t>★1、保密要求，本项目过程中至项目完成后任何时间段，中标人必须采取有效措施对获悉和取得的数据、资料保密。因中标人原因导致上述数据、资料为第三人知晓的，中标人除承担一切责任外，还须向采购人支付与合同价款等额的赔偿金。</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其他要求2</w:t>
            </w:r>
          </w:p>
        </w:tc>
        <w:tc>
          <w:tcPr>
            <w:tcW w:type="dxa" w:w="2076"/>
          </w:tcPr>
          <w:p>
            <w:pPr>
              <w:pStyle w:val="null3"/>
              <w:jc w:val="left"/>
            </w:pPr>
            <w:r>
              <w:rPr/>
              <w:t>★2、结算方式： (1)按实际备品备件费用结算费用，即在没有其他变更的情况下，项目结算金额=维护保养费+合同备品备件价。 (2)本项目运维过程中需更换的零配件，如果不在备品配件清单中，由中标人包干免费提供。 (3)运维中的抢修备品备件的配置不低于拟更换的配件配置，经采购人同意后方可采购，结算单价需得到采购人认可，备品备件以实际使用量结算，最终结算金额不得超过662511.04元。</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其他要求3</w:t>
            </w:r>
          </w:p>
        </w:tc>
        <w:tc>
          <w:tcPr>
            <w:tcW w:type="dxa" w:w="2076"/>
          </w:tcPr>
          <w:p>
            <w:pPr>
              <w:pStyle w:val="null3"/>
              <w:jc w:val="left"/>
            </w:pPr>
            <w:r>
              <w:rPr/>
              <w:t>★3、运维服务期间中标人需无条件满足公安部、省厅、市局关于信息化开发运维安全管控的有关要求，并不得要求增加任何费用。</w:t>
            </w:r>
          </w:p>
        </w:tc>
      </w:tr>
      <w:tr>
        <w:tc>
          <w:tcPr>
            <w:tcW w:type="dxa" w:w="2076"/>
          </w:tcPr>
          <w:p>
            <w:pPr>
              <w:pStyle w:val="null3"/>
              <w:jc w:val="center"/>
            </w:pPr>
            <w:r>
              <w:rPr/>
              <w:t>★</w:t>
            </w:r>
          </w:p>
        </w:tc>
        <w:tc>
          <w:tcPr>
            <w:tcW w:type="dxa" w:w="2076"/>
          </w:tcPr>
          <w:p>
            <w:pPr>
              <w:pStyle w:val="null3"/>
              <w:jc w:val="center"/>
            </w:pPr>
            <w:r>
              <w:rPr/>
              <w:t>4</w:t>
            </w:r>
          </w:p>
        </w:tc>
        <w:tc>
          <w:tcPr>
            <w:tcW w:type="dxa" w:w="2076"/>
          </w:tcPr>
          <w:p>
            <w:pPr>
              <w:pStyle w:val="null3"/>
              <w:jc w:val="left"/>
            </w:pPr>
            <w:r>
              <w:rPr/>
              <w:t>其他要求4</w:t>
            </w:r>
          </w:p>
        </w:tc>
        <w:tc>
          <w:tcPr>
            <w:tcW w:type="dxa" w:w="2076"/>
          </w:tcPr>
          <w:p>
            <w:pPr>
              <w:pStyle w:val="null3"/>
              <w:jc w:val="left"/>
            </w:pPr>
            <w:r>
              <w:rPr/>
              <w:t>★4、备件备品质保期为：验收合格之日起一年。</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其他运行维护服务</w:t>
            </w:r>
          </w:p>
        </w:tc>
        <w:tc>
          <w:tcPr>
            <w:tcW w:type="dxa" w:w="831"/>
          </w:tcPr>
          <w:p>
            <w:pPr>
              <w:pStyle w:val="null3"/>
              <w:jc w:val="left"/>
            </w:pPr>
            <w:r>
              <w:rPr/>
              <w:t>2026年东莞市公安局沙田分局交管大队电子警察运维项目</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1,147,611.04</w:t>
            </w:r>
          </w:p>
        </w:tc>
        <w:tc>
          <w:tcPr>
            <w:tcW w:type="dxa" w:w="831"/>
          </w:tcPr>
          <w:p>
            <w:pPr>
              <w:pStyle w:val="null3"/>
              <w:jc w:val="right"/>
            </w:pPr>
            <w:r>
              <w:rPr/>
              <w:t>1,147,611.04</w:t>
            </w:r>
          </w:p>
        </w:tc>
        <w:tc>
          <w:tcPr>
            <w:tcW w:type="dxa" w:w="831"/>
          </w:tcPr>
          <w:p>
            <w:pPr>
              <w:pStyle w:val="null3"/>
            </w:pPr>
            <w:r>
              <w:rPr/>
              <w:t>100.0</w:t>
            </w:r>
          </w:p>
        </w:tc>
        <w:tc>
          <w:tcPr>
            <w:tcW w:type="dxa" w:w="831"/>
          </w:tcPr>
          <w:p>
            <w:pPr>
              <w:pStyle w:val="null3"/>
            </w:pPr>
            <w:r>
              <w:rPr/>
              <w:t>软件和信息技术服务业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2026年东莞市公安局沙田分局交管大队电子警察运维项目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1.采购代理机构：本项目是指广东金业工程管理有限公司，负责整个采购活动的组织，依法负责编制和发布招标文件，对招标文件拥有最终的解释权，不以任何身份出任评标委员会成员。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东莞市公安局沙田分局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采购包1：下浮率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采购机构代理服务收费标准：参照国家计委[计价格[2002]1980号]文和国家发改委[发改价格[2011]534号]文及相关规定向中标单位收取，按差额定率累进法计算，以采购预算金额*（1-下浮率）作为中标金额计费基数。</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广东金业工程管理有限公司</w:t>
      </w:r>
      <w:r>
        <w:rPr/>
        <w:t>代收。具体操作要求详见</w:t>
      </w:r>
      <w:r>
        <w:rPr/>
        <w:t>广东金业工程管理有限公司</w:t>
      </w:r>
      <w:r>
        <w:rPr/>
        <w:t>有关指引，递交事宜请自行咨询</w:t>
      </w:r>
      <w:r>
        <w:rPr/>
        <w:t>广东金业工程管理有限公司</w:t>
      </w:r>
      <w:r>
        <w:rPr/>
        <w:t>；请各投标人在投标文件递交截止时间前按须知前附表规定的金额递交至</w:t>
      </w:r>
      <w:r>
        <w:rPr/>
        <w:t>广东金业工程管理有限公司</w:t>
      </w:r>
      <w:r>
        <w:rPr/>
        <w:t>，到账情况以开标时</w:t>
      </w:r>
      <w:r>
        <w:rPr/>
        <w:t>广东金业工程管理有限公司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中国东莞沙田频道网站（http://www.dg.gov.cn/shatian/）</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中国东莞沙田频道网站（http://www.dg.gov.cn/shatian/）</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刘小姐</w:t>
      </w:r>
    </w:p>
    <w:p>
      <w:pPr>
        <w:pStyle w:val="null3"/>
        <w:ind w:firstLine="480"/>
      </w:pPr>
      <w:r>
        <w:rPr/>
        <w:t>电话：</w:t>
      </w:r>
      <w:r>
        <w:rPr/>
        <w:t>0662-2999828</w:t>
      </w:r>
    </w:p>
    <w:p>
      <w:pPr>
        <w:pStyle w:val="null3"/>
        <w:ind w:firstLine="480"/>
      </w:pPr>
      <w:r>
        <w:rPr/>
        <w:t>传真：</w:t>
      </w:r>
      <w:r>
        <w:rPr/>
        <w:t>/</w:t>
      </w:r>
    </w:p>
    <w:p>
      <w:pPr>
        <w:pStyle w:val="null3"/>
        <w:ind w:firstLine="480"/>
      </w:pPr>
      <w:r>
        <w:rPr/>
        <w:t>邮箱：</w:t>
      </w:r>
      <w:r>
        <w:rPr/>
        <w:t>623683283@qq.com</w:t>
      </w:r>
    </w:p>
    <w:p>
      <w:pPr>
        <w:pStyle w:val="null3"/>
        <w:ind w:firstLine="480"/>
      </w:pPr>
      <w:r>
        <w:rPr/>
        <w:t>地址：</w:t>
      </w:r>
      <w:r>
        <w:rPr/>
        <w:t>东莞市南城街道莞太路南城段466号嘉盛广场荣寓楼 1栋909室</w:t>
      </w:r>
    </w:p>
    <w:p>
      <w:pPr>
        <w:pStyle w:val="null3"/>
        <w:ind w:firstLine="480"/>
      </w:pPr>
      <w:r>
        <w:rPr/>
        <w:t>邮编：</w:t>
      </w:r>
      <w:r>
        <w:rPr/>
        <w:t>523000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(2026年东莞市公安局沙田分局交管大队电子警察运维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广东金业工程管理有限公司</w:t>
      </w:r>
      <w:r>
        <w:rPr/>
        <w:t>统一对外发布。</w:t>
      </w:r>
    </w:p>
    <w:p>
      <w:pPr>
        <w:pStyle w:val="null3"/>
        <w:ind w:firstLine="480"/>
      </w:pPr>
      <w:r>
        <w:rPr/>
        <w:t>（2）对</w:t>
      </w:r>
      <w:r>
        <w:rPr/>
        <w:t>广东金业工程管理有限公司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采购包1（2026年东莞市公安局沙田分局交管大队电子警察运维项目）：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20%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小型、微型企业，监狱企业，残疾人福利性单位</w:t>
            </w:r>
          </w:p>
        </w:tc>
        <w:tc>
          <w:tcPr>
            <w:tcW w:type="dxa" w:w="2160"/>
          </w:tcPr>
          <w:p>
            <w:pPr>
              <w:pStyle w:val="null3"/>
            </w:pPr>
            <w:r>
              <w:rPr/>
              <w:t>投标（响应）供应商为大中型企业与小微企业组成联合体或者大中型企业向一家或者多家小微企业分包的，对于联合体协议或者分包意向协议约定小微企业的合同份额占到合同总金额30%以上</w:t>
            </w:r>
          </w:p>
        </w:tc>
        <w:tc>
          <w:tcPr>
            <w:tcW w:type="dxa" w:w="1246"/>
          </w:tcPr>
          <w:p>
            <w:pPr>
              <w:pStyle w:val="null3"/>
            </w:pPr>
            <w:r>
              <w:rPr/>
              <w:t>6%</w:t>
            </w:r>
          </w:p>
        </w:tc>
        <w:tc>
          <w:tcPr>
            <w:tcW w:type="dxa" w:w="2160"/>
          </w:tcPr>
          <w:p>
            <w:pPr>
              <w:pStyle w:val="null3"/>
              <w:jc w:val="left"/>
            </w:pPr>
            <w:r>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30%以上的，报价给予价格扣除C1，即：评标价=1-(1-投标报价)×（1-C1）;监狱企业与残疾人福利性单位视同小型、微型企业，享受同等价格扣除，当企业属性重复时，不重复价格扣除。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采购包1（2026年东莞市公安局沙田分局交管大队电子警察运维项目）：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提供投标截止日前6个月内任意1个月依法缴纳税收和社会保障资金的相关材料或提供《资格条件承诺函》。如依法免税或不需要缴纳社会保障资金的，提供相应证明材料。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或2024年度财务状况报告或基本开户行出具的资信证明）或提供《资格条件承诺函》。（2025年注册或注册未满一年的供应商提供投标截止日前6个月内任意1个月的财务状况报告或者基本户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按投标（响应）文件格式填报设备及专业技术能力情况或提供《资格条件承诺函》。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录失信被执行人或重大税收违法失信主体或严重失信主体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联合体资格要求</w:t>
            </w:r>
          </w:p>
        </w:tc>
        <w:tc>
          <w:tcPr>
            <w:tcW w:type="dxa" w:w="4238"/>
          </w:tcPr>
          <w:p>
            <w:pPr>
              <w:pStyle w:val="null3"/>
            </w:pPr>
            <w:r>
              <w:rPr/>
              <w:t>本项目接受联合体投标，以联合体形式参加投标的，联合体成员（含牵头方）数量不超过2家。投标时提交联合体共同投标协议书。联合体各方不得再以自己名义单独投标或加入其他联合体投标，如有违反，其投标和与此有关的联合体的投标将被拒绝。</w:t>
            </w:r>
          </w:p>
        </w:tc>
      </w:tr>
      <w:tr>
        <w:tc>
          <w:tcPr>
            <w:tcW w:type="dxa" w:w="890"/>
          </w:tcPr>
          <w:p>
            <w:pPr>
              <w:pStyle w:val="null3"/>
            </w:pPr>
            <w:r>
              <w:rPr/>
              <w:t>9</w:t>
            </w:r>
          </w:p>
        </w:tc>
        <w:tc>
          <w:tcPr>
            <w:tcW w:type="dxa" w:w="3178"/>
          </w:tcPr>
          <w:p>
            <w:pPr>
              <w:pStyle w:val="null3"/>
            </w:pPr>
            <w:r>
              <w:rPr/>
              <w:t>是否属于专门面向中小企业采购</w:t>
            </w:r>
          </w:p>
        </w:tc>
        <w:tc>
          <w:tcPr>
            <w:tcW w:type="dxa" w:w="4238"/>
          </w:tcPr>
          <w:p>
            <w:pPr>
              <w:pStyle w:val="null3"/>
            </w:pPr>
            <w:r>
              <w:rPr/>
              <w:t>本采购包不属于专门面向中小企业采购。</w:t>
            </w:r>
          </w:p>
        </w:tc>
      </w:tr>
    </w:tbl>
    <w:p>
      <w:pPr>
        <w:pStyle w:val="null3"/>
        <w:ind w:firstLine="480"/>
      </w:pPr>
      <w:r>
        <w:rPr/>
        <w:t>表二符合性审查表：</w:t>
      </w:r>
    </w:p>
    <w:p>
      <w:pPr>
        <w:pStyle w:val="null3"/>
      </w:pPr>
      <w:r>
        <w:rPr/>
        <w:t>采购包1（2026年东莞市公安局沙田分局交管大队电子警察运维项目）：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编制、签署、盖章</w:t>
            </w:r>
          </w:p>
        </w:tc>
        <w:tc>
          <w:tcPr>
            <w:tcW w:type="dxa" w:w="4238"/>
          </w:tcPr>
          <w:p>
            <w:pPr>
              <w:pStyle w:val="null3"/>
            </w:pPr>
            <w:r>
              <w:rPr/>
              <w:t>按招标文件要求编制、签署、盖章。</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满足招标文件的报价要求。</w:t>
            </w:r>
          </w:p>
        </w:tc>
      </w:tr>
      <w:tr>
        <w:tc>
          <w:tcPr>
            <w:tcW w:type="dxa" w:w="890"/>
          </w:tcPr>
          <w:p>
            <w:pPr>
              <w:pStyle w:val="null3"/>
            </w:pPr>
            <w:r>
              <w:rPr/>
              <w:t>3</w:t>
            </w:r>
          </w:p>
        </w:tc>
        <w:tc>
          <w:tcPr>
            <w:tcW w:type="dxa" w:w="3178"/>
          </w:tcPr>
          <w:p>
            <w:pPr>
              <w:pStyle w:val="null3"/>
            </w:pPr>
            <w:r>
              <w:rPr/>
              <w:t>附加条件</w:t>
            </w:r>
          </w:p>
        </w:tc>
        <w:tc>
          <w:tcPr>
            <w:tcW w:type="dxa" w:w="4238"/>
          </w:tcPr>
          <w:p>
            <w:pPr>
              <w:pStyle w:val="null3"/>
            </w:pPr>
            <w:r>
              <w:rPr/>
              <w:t>投标文件未含有采购人不可接受的附加条件。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投标有效期为投标截止日起不少于90天。</w:t>
            </w:r>
          </w:p>
        </w:tc>
      </w:tr>
      <w:tr>
        <w:tc>
          <w:tcPr>
            <w:tcW w:type="dxa" w:w="890"/>
          </w:tcPr>
          <w:p>
            <w:pPr>
              <w:pStyle w:val="null3"/>
            </w:pPr>
            <w:r>
              <w:rPr/>
              <w:t>5</w:t>
            </w:r>
          </w:p>
        </w:tc>
        <w:tc>
          <w:tcPr>
            <w:tcW w:type="dxa" w:w="3178"/>
          </w:tcPr>
          <w:p>
            <w:pPr>
              <w:pStyle w:val="null3"/>
            </w:pPr>
            <w:r>
              <w:rPr/>
              <w:t>其他无效情形</w:t>
            </w:r>
          </w:p>
        </w:tc>
        <w:tc>
          <w:tcPr>
            <w:tcW w:type="dxa" w:w="4238"/>
          </w:tcPr>
          <w:p>
            <w:pPr>
              <w:pStyle w:val="null3"/>
            </w:pPr>
            <w:r>
              <w:rPr/>
              <w:t>不属于法律、法规及招标文件规定的其他无效情形。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采购包1(2026年东莞市公安局沙田分局交管大队电子警察运维项目):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技术部分65.0分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“▲”号技术指标响应情况 (15.0分)</w:t>
            </w:r>
          </w:p>
        </w:tc>
        <w:tc>
          <w:tcPr>
            <w:tcW w:type="dxa" w:w="5076"/>
          </w:tcPr>
          <w:p>
            <w:pPr>
              <w:pStyle w:val="null3"/>
              <w:jc w:val="left"/>
            </w:pPr>
            <w:r>
              <w:rPr/>
              <w:t>根据各投标人对采购需求中重要技术参数（带“▲”条款）响应情况进行评价，重要技术参数全部满足或优于得15分，重要技术参数每有一项负偏离或未响应的扣1分，本项最低得0分。 （采购需求要求提供证明资料的，则投标文件中须提供对应产品参数的证明材料。不提供证明材料或证明材料不符合要求均视为未响应。)</w:t>
            </w:r>
          </w:p>
        </w:tc>
      </w:tr>
      <w:tr>
        <w:tc>
          <w:tcPr>
            <w:tcW w:type="dxa" w:w="922"/>
            <w:gridSpan w:val="2"/>
            <w:vMerge/>
          </w:tcPr>
          <w:p/>
        </w:tc>
        <w:tc>
          <w:tcPr>
            <w:tcW w:type="dxa" w:w="2307"/>
          </w:tcPr>
          <w:p>
            <w:pPr>
              <w:pStyle w:val="null3"/>
              <w:jc w:val="left"/>
            </w:pPr>
            <w:r>
              <w:rPr/>
              <w:t>拟投入本项目人员情况 (8.0分)</w:t>
            </w:r>
          </w:p>
        </w:tc>
        <w:tc>
          <w:tcPr>
            <w:tcW w:type="dxa" w:w="5076"/>
          </w:tcPr>
          <w:p>
            <w:pPr>
              <w:pStyle w:val="null3"/>
              <w:jc w:val="left"/>
            </w:pPr>
            <w:r>
              <w:rPr/>
              <w:t>一、拟投入的项目经理（仅一人）具有： （1）具有由人力资源和社会保障相关部门（含原人事部门）或工业和信息化相关部门颁发的通信类高级职称证书； （2）具有由人力资源和社会保障相关部门（含原人事部门）或工业和信息化相关部门颁发的信息系统项目管理师证书； （3）具有由人力资源和社会保障相关部门（含原人事部门）或工业和信息化相关部门颁发的系统规划与管理师证书； （4）具有由人力资源和社会保障相关部门（含原人事部门）或工业和信息化相关部门颁发的信息安全工程师证书； （5）具有由人力资源和社会保障相关部门（含原人事部门）或工业和信息化相关部门颁发的电子类工程师证书； （6）具有由人力资源和社会保障相关部门（含原人事部门）或工业和信息化相关部门颁发的网络工程师证书； 以上证书每提供1个得0.5分，最高得3分。 二、拟投入的技术负责人（仅一人、项目经理除外）具有： （1）具有由人力资源和社会保障相关部门（含原人事部门）或工业和信息化相关部门颁发的信息系统项目管理师证书； （2）具有由人力资源和社会保障相关部门（含原人事部门）或工业和信息化相关部门颁发的系统规划与管理师证书； （3）具有由人力资源和社会保障相关部门（含原人事部门）或工业和信息化相关部门颁发的通信类工程师证书； （4）具有由人力资源和社会保障相关部门（含原人事部门）或工业和信息化相关部门颁发的网络安全技术（高级）证书； （5）具有由中国信息安全测评中心颁发的注册信息安全工程师（CISE）证书； （6）具有由中国网络安全审查认证和市场监管大数据中心颁发的信息安全保障人员认证证书（CISAW）； 以上证书每提供1个得0.5分，最高得3分。 三、拟投入的服务人员（项目经理、技术负责人除外）具有： 具有由人力资源和社会保障相关部门（含原人事部门）或工业和信息化相关部门颁发的通信类或网络类或电子类工程师证书的，1个得0.5分，最高得2分，同一人多个证书不重复得分。 注：分支机构参与投标的，其总公司人员可计入得分。须提供以上人员的有效证书及投标人（含其总公司或分支机构）为其缴纳的最近6个月任意1个月的社保证明复印件加盖公章。以联合体投标的，联合体任意一方的证书均予以认可。</w:t>
            </w:r>
          </w:p>
        </w:tc>
      </w:tr>
      <w:tr>
        <w:tc>
          <w:tcPr>
            <w:tcW w:type="dxa" w:w="922"/>
            <w:gridSpan w:val="2"/>
            <w:vMerge/>
          </w:tcPr>
          <w:p/>
        </w:tc>
        <w:tc>
          <w:tcPr>
            <w:tcW w:type="dxa" w:w="2307"/>
          </w:tcPr>
          <w:p>
            <w:pPr>
              <w:pStyle w:val="null3"/>
              <w:jc w:val="left"/>
            </w:pPr>
            <w:r>
              <w:rPr/>
              <w:t>对本项目的理解 (12.0分)</w:t>
            </w:r>
          </w:p>
        </w:tc>
        <w:tc>
          <w:tcPr>
            <w:tcW w:type="dxa" w:w="5076"/>
          </w:tcPr>
          <w:p>
            <w:pPr>
              <w:pStyle w:val="null3"/>
              <w:jc w:val="left"/>
            </w:pPr>
            <w:r>
              <w:rPr/>
              <w:t>根据投标人对本项目的理解及需求的熟悉程度进行综合评价： 1.对本项目和用户需求的理解透彻，有利于项目实施，得12分； 2.对本项目和用户需求的理解较透彻，较有利于项目实施，得8分； 3.对本项目和用户需求的理解基本清晰，基本符合项目要求，得4分； 4.对本项目和用户需求理解较薄弱，较难顺利完成本项目要求，得1分； 5.未提供项目理解，得0分。</w:t>
            </w:r>
          </w:p>
        </w:tc>
      </w:tr>
      <w:tr>
        <w:tc>
          <w:tcPr>
            <w:tcW w:type="dxa" w:w="922"/>
            <w:gridSpan w:val="2"/>
            <w:vMerge/>
          </w:tcPr>
          <w:p/>
        </w:tc>
        <w:tc>
          <w:tcPr>
            <w:tcW w:type="dxa" w:w="2307"/>
          </w:tcPr>
          <w:p>
            <w:pPr>
              <w:pStyle w:val="null3"/>
              <w:jc w:val="left"/>
            </w:pPr>
            <w:r>
              <w:rPr/>
              <w:t>对本项目的方案详细性、合理性、针对性 (15.0分)</w:t>
            </w:r>
          </w:p>
        </w:tc>
        <w:tc>
          <w:tcPr>
            <w:tcW w:type="dxa" w:w="5076"/>
          </w:tcPr>
          <w:p>
            <w:pPr>
              <w:pStyle w:val="null3"/>
              <w:jc w:val="left"/>
            </w:pPr>
            <w:r>
              <w:rPr/>
              <w:t>根据投标人所提供方案的详细性、合理性、针对性等进行综合评价： 1.方案详细完整合理，方案针对性高，切合本项目需求的，得15分； 2.方案较详细完整合理，方案针对性较高，较切合本项目需求的，11分； 3.方案较详细，方案针对性和合理性较高，较为满足本项目需求的，7分； 4.方案存在缺漏，方案针对性和合理性一般，基本满足本项目需求的，得3分； 5.方案简单，方案针对性和合理性差，不能满足本项目需求或者未提供对应方案的，得0分。</w:t>
            </w:r>
          </w:p>
        </w:tc>
      </w:tr>
      <w:tr>
        <w:tc>
          <w:tcPr>
            <w:tcW w:type="dxa" w:w="922"/>
            <w:gridSpan w:val="2"/>
            <w:vMerge/>
          </w:tcPr>
          <w:p/>
        </w:tc>
        <w:tc>
          <w:tcPr>
            <w:tcW w:type="dxa" w:w="2307"/>
          </w:tcPr>
          <w:p>
            <w:pPr>
              <w:pStyle w:val="null3"/>
              <w:jc w:val="left"/>
            </w:pPr>
            <w:r>
              <w:rPr/>
              <w:t>对本项目管理方案 (8.0分)</w:t>
            </w:r>
          </w:p>
        </w:tc>
        <w:tc>
          <w:tcPr>
            <w:tcW w:type="dxa" w:w="5076"/>
          </w:tcPr>
          <w:p>
            <w:pPr>
              <w:pStyle w:val="null3"/>
              <w:jc w:val="left"/>
            </w:pPr>
            <w:r>
              <w:rPr/>
              <w:t>根据投标人项目管理制度、进度安排、供货期等进行综合评价： 1.方案科学完整、先进、合理，能非常顺利完成项目的得8分； 2.方案基本完整、一般，基本能完成项目的得5分； 3.方案不完整、不合理，不能保证完成项目的得2分， 4.没提供方案或方案较差得0分。</w:t>
            </w:r>
          </w:p>
        </w:tc>
      </w:tr>
      <w:tr>
        <w:tc>
          <w:tcPr>
            <w:tcW w:type="dxa" w:w="922"/>
            <w:gridSpan w:val="2"/>
            <w:vMerge/>
          </w:tcPr>
          <w:p/>
        </w:tc>
        <w:tc>
          <w:tcPr>
            <w:tcW w:type="dxa" w:w="2307"/>
          </w:tcPr>
          <w:p>
            <w:pPr>
              <w:pStyle w:val="null3"/>
              <w:jc w:val="left"/>
            </w:pPr>
            <w:r>
              <w:rPr/>
              <w:t>制定质量保证、应急等方案 (7.0分)</w:t>
            </w:r>
          </w:p>
        </w:tc>
        <w:tc>
          <w:tcPr>
            <w:tcW w:type="dxa" w:w="5076"/>
          </w:tcPr>
          <w:p>
            <w:pPr>
              <w:pStyle w:val="null3"/>
              <w:jc w:val="left"/>
            </w:pPr>
            <w:r>
              <w:rPr/>
              <w:t>据投标人制定的质量保证、应急等进行评审：1.提出了完善的质量保证、应急方案，措施得力针对性强，实施方法可行，提供的方案科学到位且完全满足项目要求，得7分；2.提出了较完善的质量保证、应急方案，措施得力针对性较强，实施方法较可行，提供的方案较科学到位且满足项目要求，得5分；3.提出了质量保证、应急，有基本的保证措施，实施方法基本可行，提供的方案基本满足项目要求但较简单，得3分；4.提出了简单的质量保证、应急，保证措施较差，实施方法不可行，提供的方案不满足项目要求，得1分； 5.未提供对应内容不得分。</w:t>
            </w:r>
          </w:p>
        </w:tc>
      </w:tr>
      <w:tr>
        <w:tc>
          <w:tcPr>
            <w:tcW w:type="dxa" w:w="922"/>
            <w:gridSpan w:val="2"/>
            <w:vMerge w:val="restart"/>
          </w:tcPr>
          <w:p>
            <w:pPr>
              <w:pStyle w:val="null3"/>
              <w:jc w:val="center"/>
            </w:pPr>
            <w:r>
              <w:rPr/>
              <w:t>商务部分</w:t>
            </w:r>
          </w:p>
        </w:tc>
        <w:tc>
          <w:tcPr>
            <w:tcW w:type="dxa" w:w="2307"/>
          </w:tcPr>
          <w:p>
            <w:pPr>
              <w:pStyle w:val="null3"/>
              <w:jc w:val="left"/>
            </w:pPr>
            <w:r>
              <w:rPr/>
              <w:t>投标人实力 (12.0分)</w:t>
            </w:r>
          </w:p>
        </w:tc>
        <w:tc>
          <w:tcPr>
            <w:tcW w:type="dxa" w:w="5076"/>
          </w:tcPr>
          <w:p>
            <w:pPr>
              <w:pStyle w:val="null3"/>
              <w:jc w:val="left"/>
            </w:pPr>
            <w:r>
              <w:rPr/>
              <w:t>投标人具有国家认证认可监督管理部门批准设立的认证机构颁发的质量管理体系认证证书、环境管理体系认证证书、职业健康安全管理体系认证证书、网络空间安全管理体系认证证书、数据存储安全能力成熟度等级证书、关键信息基础设施安全保护认证证书每个得2分，最高得12分。 注：以上须提供有效证书复印件及中国国家认证认可监督管理委员会官方网站（http://www.cnca.gov.cn/）查询的信息截图，加盖投标人公章。分支机构参与投标的，其总公司的证书可计入得分。以联合体投标的，联合体任意一方的证书均予以认可。</w:t>
            </w:r>
          </w:p>
        </w:tc>
      </w:tr>
      <w:tr>
        <w:tc>
          <w:tcPr>
            <w:tcW w:type="dxa" w:w="922"/>
            <w:gridSpan w:val="2"/>
            <w:vMerge/>
          </w:tcPr>
          <w:p/>
        </w:tc>
        <w:tc>
          <w:tcPr>
            <w:tcW w:type="dxa" w:w="2307"/>
          </w:tcPr>
          <w:p>
            <w:pPr>
              <w:pStyle w:val="null3"/>
              <w:jc w:val="left"/>
            </w:pPr>
            <w:r>
              <w:rPr/>
              <w:t>业绩 (3.0分)</w:t>
            </w:r>
          </w:p>
        </w:tc>
        <w:tc>
          <w:tcPr>
            <w:tcW w:type="dxa" w:w="5076"/>
          </w:tcPr>
          <w:p>
            <w:pPr>
              <w:pStyle w:val="null3"/>
              <w:jc w:val="left"/>
            </w:pPr>
            <w:r>
              <w:rPr/>
              <w:t>投标人2020年1月1日以来（以合同签订时间为准）承接的电子警察类项目业绩，每个得1分，最高3分。注：须提供合同复印件关键页并加盖投标人公章。分支机构参与投标的，其总公司的业绩可计入得分。以联合体投标的，联合体任意一方的业绩均予以认可。</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广东省政府采购</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48"/>
          <w:b/>
          <w:color w:val="222222"/>
        </w:rPr>
        <w:t>合　同　书</w:t>
      </w:r>
    </w:p>
    <w:p>
      <w:pPr>
        <w:pStyle w:val="null3"/>
        <w:shd w:fill="FFFFFF"/>
        <w:spacing w:before="0" w:after="0"/>
        <w:ind w:left="0" w:right="0"/>
        <w:jc w:val="center"/>
      </w:pPr>
      <w:r>
        <w:br/>
      </w:r>
      <w:r>
        <w:br/>
      </w:r>
      <w:r>
        <w:br/>
      </w:r>
      <w:r>
        <w:br/>
      </w:r>
      <w:r>
        <w:br/>
      </w:r>
      <w:r>
        <w:br/>
      </w:r>
      <w:r>
        <w:br/>
      </w:r>
      <w:r>
        <w:br/>
      </w: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采购计划编号：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项目名称：</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jc w:val="both"/>
      </w:pPr>
      <w:r>
        <w:br/>
      </w: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甲方：</w:t>
      </w:r>
      <w:r>
        <w:rPr>
          <w:rFonts w:ascii="宋体" w:hAnsi="宋体" w:cs="宋体" w:eastAsia="宋体"/>
          <w:sz w:val="27"/>
          <w:b/>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color w:val="222222"/>
        </w:rPr>
        <w:t>电话：</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传真</w:t>
      </w:r>
      <w:r>
        <w:rPr>
          <w:rFonts w:ascii="宋体" w:hAnsi="宋体" w:cs="宋体" w:eastAsia="宋体"/>
          <w:sz w:val="27"/>
          <w:color w:val="222222"/>
        </w:rPr>
        <w:t xml:space="preserve"> </w:t>
      </w:r>
      <w:r>
        <w:rPr>
          <w:rFonts w:ascii="宋体" w:hAnsi="宋体" w:cs="宋体" w:eastAsia="宋体"/>
          <w:sz w:val="27"/>
          <w:color w:val="222222"/>
        </w:rPr>
        <w:t>：</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地址：</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b/>
          <w:color w:val="222222"/>
        </w:rPr>
        <w:t>乙方：</w:t>
      </w:r>
      <w:r>
        <w:rPr>
          <w:rFonts w:ascii="宋体" w:hAnsi="宋体" w:cs="宋体" w:eastAsia="宋体"/>
          <w:sz w:val="27"/>
          <w:b/>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color w:val="222222"/>
        </w:rPr>
        <w:t>电话：</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传真：</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地址：</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color w:val="222222"/>
        </w:rPr>
        <w:t xml:space="preserve"> </w:t>
      </w:r>
      <w:r>
        <w:rPr>
          <w:rFonts w:ascii="宋体" w:hAnsi="宋体" w:cs="宋体" w:eastAsia="宋体"/>
          <w:sz w:val="27"/>
          <w:color w:val="222222"/>
        </w:rPr>
        <w:t xml:space="preserve"> </w:t>
      </w:r>
      <w:r>
        <w:rPr>
          <w:rFonts w:ascii="宋体" w:hAnsi="宋体" w:cs="宋体" w:eastAsia="宋体"/>
          <w:sz w:val="27"/>
          <w:color w:val="222222"/>
        </w:rPr>
        <w:t>根据</w:t>
      </w:r>
      <w:r>
        <w:rPr>
          <w:rFonts w:ascii="宋体" w:hAnsi="宋体" w:cs="宋体" w:eastAsia="宋体"/>
          <w:sz w:val="27"/>
          <w:color w:val="222222"/>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项目</w:t>
      </w:r>
      <w:r>
        <w:rPr>
          <w:rFonts w:ascii="宋体" w:hAnsi="宋体" w:cs="宋体" w:eastAsia="宋体"/>
          <w:sz w:val="27"/>
          <w:color w:val="222222"/>
          <w:u w:val="single"/>
        </w:rPr>
        <w:t xml:space="preserve"> </w:t>
      </w:r>
      <w:r>
        <w:rPr>
          <w:rFonts w:ascii="宋体" w:hAnsi="宋体" w:cs="宋体" w:eastAsia="宋体"/>
          <w:sz w:val="27"/>
          <w:color w:val="222222"/>
        </w:rPr>
        <w:t>的采购结果，按照《中华人民共和国政府采购法》，《</w:t>
      </w:r>
      <w:r>
        <w:rPr>
          <w:rFonts w:ascii="宋体" w:hAnsi="宋体" w:cs="宋体" w:eastAsia="宋体"/>
          <w:sz w:val="27"/>
          <w:color w:val="222222"/>
        </w:rPr>
        <w:t>中华人民共和国民法典(合同编)</w:t>
      </w:r>
      <w:r>
        <w:rPr>
          <w:rFonts w:ascii="宋体" w:hAnsi="宋体" w:cs="宋体" w:eastAsia="宋体"/>
          <w:sz w:val="27"/>
          <w:color w:val="222222"/>
        </w:rPr>
        <w:t>》的规定，经双方协商，本着平等互利和诚实信用的原则，一致同意遵守本合同如下。</w:t>
      </w:r>
    </w:p>
    <w:p>
      <w:pPr>
        <w:pStyle w:val="null3"/>
        <w:shd w:fill="FFFFFF"/>
        <w:spacing w:before="0" w:after="0"/>
        <w:ind w:left="0" w:right="0"/>
        <w:jc w:val="both"/>
      </w:pPr>
      <w:r>
        <w:rPr>
          <w:rFonts w:ascii="宋体" w:hAnsi="宋体" w:cs="宋体" w:eastAsia="宋体"/>
          <w:sz w:val="27"/>
          <w:b/>
          <w:color w:val="222222"/>
        </w:rPr>
        <w:t>一、合同金额</w:t>
      </w:r>
    </w:p>
    <w:p>
      <w:pPr>
        <w:pStyle w:val="null3"/>
        <w:shd w:fill="FFFFFF"/>
        <w:spacing w:before="0" w:after="0"/>
        <w:ind w:left="0" w:right="0"/>
        <w:jc w:val="both"/>
      </w:pPr>
      <w:r>
        <w:rPr>
          <w:rFonts w:ascii="宋体" w:hAnsi="宋体" w:cs="宋体" w:eastAsia="宋体"/>
          <w:sz w:val="27"/>
          <w:color w:val="222222"/>
        </w:rPr>
        <w:t>　　合同金额为（大写）：_____________元（￥_________元）人民币。</w:t>
      </w:r>
    </w:p>
    <w:p>
      <w:pPr>
        <w:pStyle w:val="null3"/>
        <w:shd w:fill="FFFFFF"/>
        <w:spacing w:before="0" w:after="0"/>
        <w:ind w:left="0" w:right="0"/>
        <w:jc w:val="both"/>
      </w:pPr>
      <w:r>
        <w:rPr>
          <w:rFonts w:ascii="宋体" w:hAnsi="宋体" w:cs="宋体" w:eastAsia="宋体"/>
          <w:sz w:val="27"/>
          <w:b/>
          <w:color w:val="222222"/>
        </w:rPr>
        <w:t>二、服务范围</w:t>
      </w:r>
    </w:p>
    <w:p>
      <w:pPr>
        <w:pStyle w:val="null3"/>
        <w:shd w:fill="FFFFFF"/>
        <w:spacing w:before="0" w:after="0"/>
        <w:ind w:left="0" w:right="0"/>
        <w:jc w:val="both"/>
      </w:pPr>
      <w:r>
        <w:rPr>
          <w:rFonts w:ascii="宋体" w:hAnsi="宋体" w:cs="宋体" w:eastAsia="宋体"/>
          <w:sz w:val="27"/>
          <w:color w:val="222222"/>
        </w:rPr>
        <w:t>　　甲方聘请乙方提供以下服务：</w:t>
      </w:r>
    </w:p>
    <w:p>
      <w:pPr>
        <w:pStyle w:val="null3"/>
        <w:shd w:fill="FFFFFF"/>
        <w:spacing w:before="0" w:after="0"/>
        <w:ind w:left="0" w:right="0"/>
        <w:jc w:val="both"/>
      </w:pPr>
      <w:r>
        <w:rPr>
          <w:rFonts w:ascii="宋体" w:hAnsi="宋体" w:cs="宋体" w:eastAsia="宋体"/>
          <w:sz w:val="27"/>
          <w:color w:val="222222"/>
        </w:rPr>
        <w:t>　　1．</w:t>
      </w:r>
      <w:r>
        <w:rPr>
          <w:rFonts w:ascii="宋体" w:hAnsi="宋体" w:cs="宋体" w:eastAsia="宋体"/>
          <w:sz w:val="27"/>
          <w:color w:val="222222"/>
          <w:u w:val="single"/>
        </w:rPr>
        <w:t>　　　　　　　　　　　</w:t>
      </w:r>
      <w:r>
        <w:rPr>
          <w:rFonts w:ascii="宋体" w:hAnsi="宋体" w:cs="宋体" w:eastAsia="宋体"/>
          <w:sz w:val="27"/>
          <w:color w:val="222222"/>
        </w:rPr>
        <w:t>。</w:t>
      </w:r>
    </w:p>
    <w:p>
      <w:pPr>
        <w:pStyle w:val="null3"/>
        <w:shd w:fill="FFFFFF"/>
        <w:spacing w:before="0" w:after="0"/>
        <w:ind w:left="0" w:right="0"/>
        <w:jc w:val="both"/>
      </w:pPr>
      <w:r>
        <w:rPr>
          <w:rFonts w:ascii="宋体" w:hAnsi="宋体" w:cs="宋体" w:eastAsia="宋体"/>
          <w:sz w:val="27"/>
          <w:color w:val="222222"/>
        </w:rPr>
        <w:t>　　2．</w:t>
      </w:r>
      <w:r>
        <w:rPr>
          <w:rFonts w:ascii="宋体" w:hAnsi="宋体" w:cs="宋体" w:eastAsia="宋体"/>
          <w:sz w:val="27"/>
          <w:color w:val="222222"/>
          <w:u w:val="single"/>
        </w:rPr>
        <w:t>　　　　　　　　　　　</w:t>
      </w:r>
    </w:p>
    <w:p>
      <w:pPr>
        <w:pStyle w:val="null3"/>
        <w:shd w:fill="FFFFFF"/>
        <w:spacing w:before="0" w:after="0"/>
        <w:ind w:left="0" w:right="0"/>
        <w:jc w:val="both"/>
      </w:pPr>
      <w:r>
        <w:rPr>
          <w:rFonts w:ascii="宋体" w:hAnsi="宋体" w:cs="宋体" w:eastAsia="宋体"/>
          <w:sz w:val="27"/>
          <w:color w:val="222222"/>
        </w:rPr>
        <w:t>……</w:t>
      </w:r>
    </w:p>
    <w:p>
      <w:pPr>
        <w:pStyle w:val="null3"/>
        <w:shd w:fill="FFFFFF"/>
        <w:spacing w:before="0" w:after="0"/>
        <w:ind w:left="0" w:right="0"/>
        <w:jc w:val="both"/>
      </w:pPr>
      <w:r>
        <w:rPr>
          <w:rFonts w:ascii="宋体" w:hAnsi="宋体" w:cs="宋体" w:eastAsia="宋体"/>
          <w:sz w:val="27"/>
          <w:b/>
          <w:color w:val="222222"/>
        </w:rPr>
        <w:t>三、甲方乙方的权利和义务</w:t>
      </w:r>
    </w:p>
    <w:p>
      <w:pPr>
        <w:pStyle w:val="null3"/>
        <w:shd w:fill="FFFFFF"/>
        <w:spacing w:before="0" w:after="0"/>
        <w:ind w:left="0" w:right="0"/>
        <w:jc w:val="both"/>
      </w:pPr>
      <w:r>
        <w:rPr>
          <w:rFonts w:ascii="宋体" w:hAnsi="宋体" w:cs="宋体" w:eastAsia="宋体"/>
          <w:sz w:val="27"/>
          <w:color w:val="222222"/>
        </w:rPr>
        <w:t>　　1.甲方的权利和义务</w:t>
      </w:r>
    </w:p>
    <w:p>
      <w:pPr>
        <w:pStyle w:val="null3"/>
        <w:shd w:fill="FFFFFF"/>
        <w:spacing w:before="0" w:after="0"/>
        <w:ind w:left="0" w:right="0"/>
        <w:jc w:val="both"/>
      </w:pPr>
      <w:r>
        <w:rPr>
          <w:rFonts w:ascii="宋体" w:hAnsi="宋体" w:cs="宋体" w:eastAsia="宋体"/>
          <w:sz w:val="27"/>
          <w:color w:val="222222"/>
        </w:rPr>
        <w:t>　　2.乙方的权利和义务</w:t>
      </w:r>
    </w:p>
    <w:p>
      <w:pPr>
        <w:pStyle w:val="null3"/>
        <w:shd w:fill="FFFFFF"/>
        <w:spacing w:before="0" w:after="0"/>
        <w:ind w:left="0" w:right="0"/>
        <w:jc w:val="both"/>
      </w:pPr>
      <w:r>
        <w:rPr>
          <w:rFonts w:ascii="宋体" w:hAnsi="宋体" w:cs="宋体" w:eastAsia="宋体"/>
          <w:sz w:val="27"/>
          <w:b/>
          <w:color w:val="222222"/>
        </w:rPr>
        <w:t>四、服务期间（项目完成期限）</w:t>
      </w:r>
    </w:p>
    <w:p>
      <w:pPr>
        <w:pStyle w:val="null3"/>
        <w:shd w:fill="FFFFFF"/>
        <w:spacing w:before="0" w:after="0"/>
        <w:ind w:left="0" w:right="0"/>
        <w:jc w:val="both"/>
      </w:pPr>
      <w:r>
        <w:rPr>
          <w:rFonts w:ascii="宋体" w:hAnsi="宋体" w:cs="宋体" w:eastAsia="宋体"/>
          <w:sz w:val="27"/>
          <w:color w:val="222222"/>
        </w:rPr>
        <w:t>　　1.委托服务期间自______年______月至______年______月止。</w:t>
      </w:r>
    </w:p>
    <w:p>
      <w:pPr>
        <w:pStyle w:val="null3"/>
        <w:shd w:fill="FFFFFF"/>
        <w:spacing w:before="0" w:after="0"/>
        <w:ind w:left="0" w:right="0"/>
        <w:jc w:val="both"/>
      </w:pPr>
      <w:r>
        <w:rPr>
          <w:rFonts w:ascii="宋体" w:hAnsi="宋体" w:cs="宋体" w:eastAsia="宋体"/>
          <w:sz w:val="27"/>
          <w:b/>
          <w:color w:val="222222"/>
        </w:rPr>
        <w:t>五、付款方式</w:t>
      </w:r>
    </w:p>
    <w:p>
      <w:pPr>
        <w:pStyle w:val="null3"/>
        <w:shd w:fill="FFFFFF"/>
        <w:spacing w:before="0" w:after="0"/>
        <w:ind w:left="0" w:right="0"/>
        <w:jc w:val="both"/>
      </w:pPr>
      <w:r>
        <w:rPr>
          <w:rFonts w:ascii="宋体" w:hAnsi="宋体" w:cs="宋体" w:eastAsia="宋体"/>
          <w:sz w:val="27"/>
          <w:color w:val="222222"/>
        </w:rPr>
        <w:t>　　由甲方按下列程序在</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rPr>
        <w:t xml:space="preserve"> </w:t>
      </w:r>
      <w:r>
        <w:rPr>
          <w:rFonts w:ascii="宋体" w:hAnsi="宋体" w:cs="宋体" w:eastAsia="宋体"/>
          <w:sz w:val="27"/>
          <w:color w:val="222222"/>
        </w:rPr>
        <w:t>内付款：</w:t>
      </w:r>
    </w:p>
    <w:p>
      <w:pPr>
        <w:pStyle w:val="null3"/>
        <w:shd w:fill="FFFFFF"/>
        <w:spacing w:before="0" w:after="0"/>
        <w:ind w:left="0" w:right="0"/>
        <w:jc w:val="both"/>
      </w:pPr>
      <w:r>
        <w:rPr>
          <w:rFonts w:ascii="宋体" w:hAnsi="宋体" w:cs="宋体" w:eastAsia="宋体"/>
          <w:sz w:val="27"/>
          <w:color w:val="222222"/>
        </w:rPr>
        <w:t>　　1.在合同实施及服务人员到达服务地后__天内，甲方应将第一次付　　款总服务费的__(-%)付给乙方。</w:t>
      </w:r>
    </w:p>
    <w:p>
      <w:pPr>
        <w:pStyle w:val="null3"/>
        <w:shd w:fill="FFFFFF"/>
        <w:spacing w:before="0" w:after="0"/>
        <w:ind w:left="0" w:right="0"/>
        <w:jc w:val="both"/>
      </w:pPr>
      <w:r>
        <w:rPr>
          <w:rFonts w:ascii="宋体" w:hAnsi="宋体" w:cs="宋体" w:eastAsia="宋体"/>
          <w:sz w:val="27"/>
          <w:color w:val="222222"/>
        </w:rPr>
        <w:t>　　2.第二次付款额应为总服务费的__(-%)，甲方应在乙方已经准备好，并递交了服务报告及其它相关文件，而这些报告和文件符合合同附件上的要求并被甲方验收后付给乙方。</w:t>
      </w:r>
    </w:p>
    <w:p>
      <w:pPr>
        <w:pStyle w:val="null3"/>
        <w:shd w:fill="FFFFFF"/>
        <w:spacing w:before="0" w:after="0"/>
        <w:ind w:left="0" w:right="0"/>
        <w:jc w:val="both"/>
      </w:pPr>
      <w:r>
        <w:rPr>
          <w:rFonts w:ascii="宋体" w:hAnsi="宋体" w:cs="宋体" w:eastAsia="宋体"/>
          <w:sz w:val="27"/>
          <w:color w:val="222222"/>
        </w:rPr>
        <w:t>　　3.最后一次付款额应为总服务费的__(-%)，甲方应在乙方递交了服务总结报告和说明并完全履行合同完毕_________日内付给乙方。</w:t>
      </w:r>
    </w:p>
    <w:p>
      <w:pPr>
        <w:pStyle w:val="null3"/>
        <w:shd w:fill="FFFFFF"/>
        <w:spacing w:before="0" w:after="0"/>
        <w:ind w:left="0" w:right="0"/>
        <w:jc w:val="both"/>
      </w:pPr>
      <w:r>
        <w:rPr>
          <w:rFonts w:ascii="宋体" w:hAnsi="宋体" w:cs="宋体" w:eastAsia="宋体"/>
          <w:sz w:val="27"/>
          <w:color w:val="222222"/>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null3"/>
        <w:shd w:fill="FFFFFF"/>
        <w:spacing w:before="0" w:after="0"/>
        <w:ind w:left="0" w:right="0"/>
        <w:jc w:val="both"/>
      </w:pPr>
      <w:r>
        <w:rPr>
          <w:rFonts w:ascii="宋体" w:hAnsi="宋体" w:cs="宋体" w:eastAsia="宋体"/>
          <w:sz w:val="27"/>
          <w:b/>
          <w:color w:val="222222"/>
        </w:rPr>
        <w:t>六、知识产权归属</w:t>
      </w:r>
    </w:p>
    <w:p>
      <w:pPr>
        <w:pStyle w:val="null3"/>
        <w:shd w:fill="FFFFFF"/>
        <w:spacing w:before="0" w:after="0"/>
        <w:ind w:left="0" w:right="0"/>
        <w:jc w:val="both"/>
      </w:pPr>
      <w:r>
        <w:rPr>
          <w:rFonts w:ascii="宋体" w:hAnsi="宋体" w:cs="宋体" w:eastAsia="宋体"/>
          <w:sz w:val="27"/>
          <w:b/>
          <w:color w:val="222222"/>
        </w:rPr>
        <w:t>七、保密</w:t>
      </w:r>
    </w:p>
    <w:p>
      <w:pPr>
        <w:pStyle w:val="null3"/>
        <w:shd w:fill="FFFFFF"/>
        <w:spacing w:before="0" w:after="0"/>
        <w:ind w:left="0" w:right="0"/>
        <w:jc w:val="both"/>
      </w:pPr>
      <w:r>
        <w:rPr>
          <w:rFonts w:ascii="宋体" w:hAnsi="宋体" w:cs="宋体" w:eastAsia="宋体"/>
          <w:sz w:val="27"/>
          <w:b/>
          <w:color w:val="222222"/>
        </w:rPr>
        <w:t>八、违约责任与赔偿损失</w:t>
      </w:r>
    </w:p>
    <w:p>
      <w:pPr>
        <w:pStyle w:val="null3"/>
        <w:shd w:fill="FFFFFF"/>
        <w:spacing w:before="0" w:after="0"/>
        <w:ind w:left="0" w:right="0"/>
        <w:jc w:val="both"/>
      </w:pPr>
      <w:r>
        <w:rPr>
          <w:rFonts w:ascii="宋体" w:hAnsi="宋体" w:cs="宋体" w:eastAsia="宋体"/>
          <w:sz w:val="27"/>
          <w:color w:val="222222"/>
        </w:rPr>
        <w:t>　　1.乙方提供的服务不符合本合同规定的，甲方有权拒收，并且乙方须向甲方方支付本合同总价5%的违约金。</w:t>
      </w:r>
    </w:p>
    <w:p>
      <w:pPr>
        <w:pStyle w:val="null3"/>
        <w:shd w:fill="FFFFFF"/>
        <w:spacing w:before="0" w:after="0"/>
        <w:ind w:left="0" w:right="0"/>
        <w:jc w:val="both"/>
      </w:pPr>
      <w:r>
        <w:rPr>
          <w:rFonts w:ascii="宋体" w:hAnsi="宋体" w:cs="宋体" w:eastAsia="宋体"/>
          <w:sz w:val="27"/>
          <w:color w:val="222222"/>
        </w:rPr>
        <w:t>　　2.乙方未能按本合同规定的交货时间提供服务，从逾期之日起每日按本合同总价3‰的数额向甲方支付违约金；逾期半个月以上的，甲方有权终止合同，由此造成的甲方经济损失由乙方承担。</w:t>
      </w:r>
    </w:p>
    <w:p>
      <w:pPr>
        <w:pStyle w:val="null3"/>
        <w:shd w:fill="FFFFFF"/>
        <w:spacing w:before="0" w:after="0"/>
        <w:ind w:left="0" w:right="0"/>
        <w:jc w:val="both"/>
      </w:pPr>
      <w:r>
        <w:rPr>
          <w:rFonts w:ascii="宋体" w:hAnsi="宋体" w:cs="宋体" w:eastAsia="宋体"/>
          <w:sz w:val="27"/>
          <w:color w:val="222222"/>
        </w:rPr>
        <w:t>　　3.甲方无正当理由拒收接受服务，到期拒付服务款项的，甲方向乙方偿付本合同总的5%的违约金。甲方人逾期付款，则每日按本合同总价的3‰向乙方偿付违约金。</w:t>
      </w:r>
    </w:p>
    <w:p>
      <w:pPr>
        <w:pStyle w:val="null3"/>
        <w:shd w:fill="FFFFFF"/>
        <w:spacing w:before="0" w:after="0"/>
        <w:ind w:left="0" w:right="0"/>
        <w:jc w:val="both"/>
      </w:pPr>
      <w:r>
        <w:rPr>
          <w:rFonts w:ascii="宋体" w:hAnsi="宋体" w:cs="宋体" w:eastAsia="宋体"/>
          <w:sz w:val="27"/>
          <w:color w:val="222222"/>
        </w:rPr>
        <w:t>　　4.对于因甲方原因导致变更、中止或者终止政府采购合同的，甲方应当依照以下合同约定对供应商受到的损失予以赔偿或者补偿：</w:t>
      </w:r>
    </w:p>
    <w:p>
      <w:pPr>
        <w:pStyle w:val="null3"/>
        <w:shd w:fill="FFFFFF"/>
        <w:spacing w:before="0" w:after="0"/>
        <w:ind w:left="0" w:right="0"/>
        <w:jc w:val="both"/>
      </w:pP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p>
    <w:p>
      <w:pPr>
        <w:pStyle w:val="null3"/>
        <w:shd w:fill="FFFFFF"/>
        <w:spacing w:before="0" w:after="0"/>
        <w:ind w:left="0" w:right="0"/>
        <w:jc w:val="both"/>
      </w:pPr>
      <w:r>
        <w:rPr>
          <w:rFonts w:ascii="宋体" w:hAnsi="宋体" w:cs="宋体" w:eastAsia="宋体"/>
          <w:sz w:val="27"/>
          <w:color w:val="222222"/>
        </w:rPr>
        <w:t>　　5.其它违约责任按《</w:t>
      </w:r>
      <w:r>
        <w:rPr>
          <w:rFonts w:ascii="宋体" w:hAnsi="宋体" w:cs="宋体" w:eastAsia="宋体"/>
          <w:sz w:val="27"/>
          <w:color w:val="222222"/>
        </w:rPr>
        <w:t>中华人民共和国民法典(合同编)</w:t>
      </w:r>
      <w:r>
        <w:rPr>
          <w:rFonts w:ascii="宋体" w:hAnsi="宋体" w:cs="宋体" w:eastAsia="宋体"/>
          <w:sz w:val="27"/>
          <w:color w:val="222222"/>
        </w:rPr>
        <w:t>》处理。</w:t>
      </w:r>
    </w:p>
    <w:p>
      <w:pPr>
        <w:pStyle w:val="null3"/>
        <w:shd w:fill="FFFFFF"/>
        <w:spacing w:before="0" w:after="0"/>
        <w:ind w:left="0" w:right="0"/>
        <w:jc w:val="both"/>
      </w:pPr>
      <w:r>
        <w:rPr>
          <w:rFonts w:ascii="宋体" w:hAnsi="宋体" w:cs="宋体" w:eastAsia="宋体"/>
          <w:sz w:val="27"/>
          <w:b/>
          <w:color w:val="222222"/>
        </w:rPr>
        <w:t>九、争议的解决</w:t>
      </w:r>
    </w:p>
    <w:p>
      <w:pPr>
        <w:pStyle w:val="null3"/>
        <w:shd w:fill="FFFFFF"/>
        <w:spacing w:before="0" w:after="0"/>
        <w:ind w:left="0" w:right="0" w:firstLine="400"/>
        <w:jc w:val="both"/>
      </w:pPr>
      <w:r>
        <w:rPr>
          <w:rFonts w:ascii="宋体" w:hAnsi="宋体" w:cs="宋体" w:eastAsia="宋体"/>
          <w:sz w:val="27"/>
          <w:color w:val="222222"/>
        </w:rPr>
        <w:t>合同执行过程中发生的任何争议，如双方不能通过友好协商解决，按相关法律法规处理。</w:t>
      </w:r>
      <w:r>
        <w:rPr>
          <w:rFonts w:ascii="helvetica" w:hAnsi="helvetica" w:cs="helvetica" w:eastAsia="helvetica"/>
          <w:sz w:val="27"/>
          <w:color w:val="222222"/>
        </w:rPr>
        <w:t xml:space="preserve"> </w:t>
      </w:r>
      <w:r>
        <w:rPr>
          <w:rFonts w:ascii="宋体" w:hAnsi="宋体" w:cs="宋体" w:eastAsia="宋体"/>
          <w:sz w:val="27"/>
          <w:color w:val="222222"/>
        </w:rPr>
        <w:t xml:space="preserve"> </w:t>
      </w:r>
      <w:r>
        <w:rPr>
          <w:rFonts w:ascii="helvetica" w:hAnsi="helvetica" w:cs="helvetica" w:eastAsia="helvetica"/>
          <w:sz w:val="27"/>
          <w:color w:val="222222"/>
        </w:rPr>
        <w:t xml:space="preserve"> </w:t>
      </w:r>
      <w:r>
        <w:rPr>
          <w:rFonts w:ascii="helvetica" w:hAnsi="helvetica" w:cs="helvetica" w:eastAsia="helvetica"/>
          <w:sz w:val="27"/>
          <w:color w:val="222222"/>
        </w:rPr>
        <w:t xml:space="preserve"> </w:t>
      </w: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十、不可抗力</w:t>
      </w:r>
    </w:p>
    <w:p>
      <w:pPr>
        <w:pStyle w:val="null3"/>
        <w:shd w:fill="FFFFFF"/>
        <w:spacing w:before="0" w:after="0"/>
        <w:ind w:left="0" w:right="0"/>
        <w:jc w:val="both"/>
      </w:pPr>
      <w:r>
        <w:rPr>
          <w:rFonts w:ascii="宋体" w:hAnsi="宋体" w:cs="宋体" w:eastAsia="宋体"/>
          <w:sz w:val="27"/>
          <w:color w:val="222222"/>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null3"/>
        <w:shd w:fill="FFFFFF"/>
        <w:spacing w:before="0" w:after="0"/>
        <w:ind w:left="0" w:right="0"/>
        <w:jc w:val="both"/>
      </w:pPr>
      <w:r>
        <w:rPr>
          <w:rFonts w:ascii="宋体" w:hAnsi="宋体" w:cs="宋体" w:eastAsia="宋体"/>
          <w:sz w:val="27"/>
          <w:b/>
          <w:color w:val="222222"/>
        </w:rPr>
        <w:t>十一、税费</w:t>
      </w:r>
    </w:p>
    <w:p>
      <w:pPr>
        <w:pStyle w:val="null3"/>
        <w:shd w:fill="FFFFFF"/>
        <w:spacing w:before="0" w:after="0"/>
        <w:ind w:left="0" w:right="0"/>
        <w:jc w:val="both"/>
      </w:pPr>
      <w:r>
        <w:rPr>
          <w:rFonts w:ascii="宋体" w:hAnsi="宋体" w:cs="宋体" w:eastAsia="宋体"/>
          <w:sz w:val="27"/>
          <w:color w:val="222222"/>
        </w:rPr>
        <w:t>　　在中国境内、外发生的与本合同执行有关的一切税费均由乙方负担。</w:t>
      </w:r>
    </w:p>
    <w:p>
      <w:pPr>
        <w:pStyle w:val="null3"/>
        <w:shd w:fill="FFFFFF"/>
        <w:spacing w:before="0" w:after="0"/>
        <w:ind w:left="0" w:right="0"/>
        <w:jc w:val="both"/>
      </w:pPr>
      <w:r>
        <w:rPr>
          <w:rFonts w:ascii="宋体" w:hAnsi="宋体" w:cs="宋体" w:eastAsia="宋体"/>
          <w:sz w:val="27"/>
          <w:b/>
          <w:color w:val="222222"/>
        </w:rPr>
        <w:t>十二、其它</w:t>
      </w:r>
    </w:p>
    <w:p>
      <w:pPr>
        <w:pStyle w:val="null3"/>
        <w:shd w:fill="FFFFFF"/>
        <w:spacing w:before="0" w:after="0"/>
        <w:ind w:left="0" w:right="0"/>
        <w:jc w:val="both"/>
      </w:pPr>
      <w:r>
        <w:rPr>
          <w:rFonts w:ascii="宋体" w:hAnsi="宋体" w:cs="宋体" w:eastAsia="宋体"/>
          <w:sz w:val="27"/>
          <w:color w:val="222222"/>
        </w:rPr>
        <w:t>　　1.本合同所有附件、招标文件、投标文件、中标通知书均为合同的有效组成部分，与本合同具有同等法律效力。</w:t>
      </w:r>
    </w:p>
    <w:p>
      <w:pPr>
        <w:pStyle w:val="null3"/>
        <w:shd w:fill="FFFFFF"/>
        <w:spacing w:before="0" w:after="0"/>
        <w:ind w:left="0" w:right="0"/>
        <w:jc w:val="both"/>
      </w:pPr>
      <w:r>
        <w:rPr>
          <w:rFonts w:ascii="宋体" w:hAnsi="宋体" w:cs="宋体" w:eastAsia="宋体"/>
          <w:sz w:val="27"/>
          <w:color w:val="222222"/>
        </w:rPr>
        <w:t>　　2.在执行本合同的过程中，所有经双方签署确认的文件（包括会议纪要、补充协议、往来信函）即成为本合同的有效组成部分。</w:t>
      </w:r>
    </w:p>
    <w:p>
      <w:pPr>
        <w:pStyle w:val="null3"/>
        <w:shd w:fill="FFFFFF"/>
        <w:spacing w:before="0" w:after="0"/>
        <w:ind w:left="0" w:right="0"/>
        <w:jc w:val="both"/>
      </w:pPr>
      <w:r>
        <w:rPr>
          <w:rFonts w:ascii="宋体" w:hAnsi="宋体" w:cs="宋体" w:eastAsia="宋体"/>
          <w:sz w:val="27"/>
          <w:color w:val="222222"/>
        </w:rPr>
        <w:t>　　3.如一方地址、电话、传真号码有变更，应在变更当日内书面通知对方，否则，应承担相应责任。</w:t>
      </w:r>
    </w:p>
    <w:p>
      <w:pPr>
        <w:pStyle w:val="null3"/>
        <w:shd w:fill="FFFFFF"/>
        <w:spacing w:before="0" w:after="0"/>
        <w:ind w:left="0" w:right="0"/>
        <w:jc w:val="both"/>
      </w:pPr>
      <w:r>
        <w:rPr>
          <w:rFonts w:ascii="宋体" w:hAnsi="宋体" w:cs="宋体" w:eastAsia="宋体"/>
          <w:sz w:val="27"/>
          <w:color w:val="222222"/>
        </w:rPr>
        <w:t>　　4.除甲方事先书面同意外，乙方不得部分或全部转让其应履行的合同项下的义务。</w:t>
      </w:r>
    </w:p>
    <w:p>
      <w:pPr>
        <w:pStyle w:val="null3"/>
        <w:shd w:fill="FFFFFF"/>
        <w:spacing w:before="0" w:after="0"/>
        <w:ind w:left="0" w:right="0"/>
        <w:jc w:val="both"/>
      </w:pPr>
      <w:r>
        <w:rPr>
          <w:rFonts w:ascii="宋体" w:hAnsi="宋体" w:cs="宋体" w:eastAsia="宋体"/>
          <w:sz w:val="27"/>
          <w:b/>
          <w:color w:val="222222"/>
        </w:rPr>
        <w:t>十三、合同生效</w:t>
      </w:r>
    </w:p>
    <w:p>
      <w:pPr>
        <w:pStyle w:val="null3"/>
        <w:shd w:fill="FFFFFF"/>
        <w:spacing w:before="0" w:after="0"/>
        <w:ind w:left="0" w:right="0"/>
        <w:jc w:val="both"/>
      </w:pPr>
      <w:r>
        <w:rPr>
          <w:rFonts w:ascii="宋体" w:hAnsi="宋体" w:cs="宋体" w:eastAsia="宋体"/>
          <w:sz w:val="27"/>
          <w:color w:val="222222"/>
        </w:rPr>
        <w:t>　　1.本合同在甲乙双方法人代表或其授权代表签字盖章后生效。</w:t>
      </w:r>
    </w:p>
    <w:p>
      <w:pPr>
        <w:pStyle w:val="null3"/>
        <w:shd w:fill="FFFFFF"/>
        <w:spacing w:before="0" w:after="0"/>
        <w:ind w:left="0" w:right="0"/>
        <w:jc w:val="both"/>
      </w:pPr>
      <w:r>
        <w:rPr>
          <w:rFonts w:ascii="宋体" w:hAnsi="宋体" w:cs="宋体" w:eastAsia="宋体"/>
          <w:sz w:val="27"/>
          <w:color w:val="222222"/>
        </w:rPr>
        <w:t>　　2.合同一式</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rPr>
        <w:t xml:space="preserve"> </w:t>
      </w:r>
      <w:r>
        <w:rPr>
          <w:rFonts w:ascii="宋体" w:hAnsi="宋体" w:cs="宋体" w:eastAsia="宋体"/>
          <w:sz w:val="27"/>
          <w:color w:val="222222"/>
        </w:rPr>
        <w:t>份。</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甲方（盖章）：</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乙方（盖章）：</w:t>
      </w:r>
    </w:p>
    <w:p>
      <w:pPr>
        <w:pStyle w:val="null3"/>
        <w:shd w:fill="FFFFFF"/>
        <w:spacing w:before="0" w:after="0"/>
        <w:ind w:left="0" w:right="0"/>
        <w:jc w:val="both"/>
      </w:pPr>
      <w:r>
        <w:rPr>
          <w:rFonts w:ascii="宋体" w:hAnsi="宋体" w:cs="宋体" w:eastAsia="宋体"/>
          <w:sz w:val="27"/>
          <w:b/>
          <w:color w:val="222222"/>
        </w:rPr>
        <w:t>代表：</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代表：</w:t>
      </w:r>
    </w:p>
    <w:p>
      <w:pPr>
        <w:pStyle w:val="null3"/>
        <w:shd w:fill="FFFFFF"/>
        <w:spacing w:before="0" w:after="0"/>
        <w:ind w:left="0" w:right="0"/>
        <w:jc w:val="both"/>
      </w:pPr>
      <w:r>
        <w:rPr>
          <w:rFonts w:ascii="宋体" w:hAnsi="宋体" w:cs="宋体" w:eastAsia="宋体"/>
          <w:sz w:val="27"/>
          <w:color w:val="222222"/>
        </w:rPr>
        <w:t>签订地点：</w:t>
      </w:r>
    </w:p>
    <w:p>
      <w:pPr>
        <w:pStyle w:val="null3"/>
        <w:shd w:fill="FFFFFF"/>
        <w:spacing w:before="0" w:after="0"/>
        <w:ind w:left="0" w:right="0"/>
        <w:jc w:val="both"/>
      </w:pPr>
      <w:r>
        <w:rPr>
          <w:rFonts w:ascii="宋体" w:hAnsi="宋体" w:cs="宋体" w:eastAsia="宋体"/>
          <w:sz w:val="27"/>
          <w:color w:val="222222"/>
        </w:rPr>
        <w:t>签订日期：　　　年　　月　　日</w:t>
      </w:r>
      <w:r>
        <w:rPr>
          <w:rFonts w:ascii="宋体" w:hAnsi="宋体" w:cs="宋体" w:eastAsia="宋体"/>
          <w:sz w:val="27"/>
          <w:color w:val="222222"/>
        </w:rPr>
        <w:t xml:space="preserve"> </w:t>
      </w:r>
      <w:r>
        <w:rPr>
          <w:rFonts w:ascii="宋体" w:hAnsi="宋体" w:cs="宋体" w:eastAsia="宋体"/>
          <w:sz w:val="27"/>
          <w:color w:val="222222"/>
        </w:rPr>
        <w:t xml:space="preserve"> 签订日期：　　　年　　月　　日</w:t>
      </w:r>
    </w:p>
    <w:p>
      <w:pPr>
        <w:pStyle w:val="null3"/>
        <w:shd w:fill="FFFFFF"/>
        <w:spacing w:before="0" w:after="0"/>
        <w:ind w:left="0" w:right="0"/>
        <w:jc w:val="both"/>
      </w:pPr>
      <w:r>
        <w:rPr>
          <w:rFonts w:ascii="宋体" w:hAnsi="宋体" w:cs="宋体" w:eastAsia="宋体"/>
          <w:sz w:val="27"/>
          <w:color w:val="222222"/>
        </w:rPr>
        <w:t>开户名称：</w:t>
      </w:r>
    </w:p>
    <w:p>
      <w:pPr>
        <w:pStyle w:val="null3"/>
        <w:shd w:fill="FFFFFF"/>
        <w:spacing w:before="0" w:after="0"/>
        <w:ind w:left="0" w:right="0"/>
        <w:jc w:val="both"/>
      </w:pPr>
      <w:r>
        <w:rPr>
          <w:rFonts w:ascii="宋体" w:hAnsi="宋体" w:cs="宋体" w:eastAsia="宋体"/>
          <w:sz w:val="27"/>
          <w:color w:val="222222"/>
        </w:rPr>
        <w:t>银行帐号：</w:t>
      </w:r>
    </w:p>
    <w:p>
      <w:pPr>
        <w:pStyle w:val="null3"/>
        <w:shd w:fill="FFFFFF"/>
        <w:spacing w:before="0" w:after="0"/>
        <w:ind w:left="0" w:right="0"/>
        <w:jc w:val="both"/>
      </w:pPr>
      <w:r>
        <w:rPr>
          <w:rFonts w:ascii="宋体" w:hAnsi="宋体" w:cs="宋体" w:eastAsia="宋体"/>
          <w:sz w:val="27"/>
          <w:color w:val="222222"/>
        </w:rPr>
        <w:t>开 户 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441900030-2025-00952</w:t>
      </w:r>
    </w:p>
    <w:p>
      <w:pPr>
        <w:pStyle w:val="null3"/>
        <w:jc w:val="center"/>
        <w:outlineLvl w:val="3"/>
      </w:pPr>
      <w:r>
        <w:rPr>
          <w:sz w:val="24"/>
          <w:b/>
        </w:rPr>
        <w:t>采购项目编号：</w:t>
      </w:r>
      <w:r>
        <w:rPr>
          <w:sz w:val="24"/>
          <w:b/>
        </w:rPr>
        <w:t>441900030-2025-00952</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广东金业工程管理有限公司</w:t>
      </w:r>
    </w:p>
    <w:p>
      <w:pPr>
        <w:pStyle w:val="null3"/>
        <w:ind w:firstLine="480"/>
      </w:pPr>
      <w:r>
        <w:rPr/>
        <w:t xml:space="preserve"> 你方组织的</w:t>
      </w:r>
      <w:r>
        <w:rPr>
          <w:u w:val="single"/>
        </w:rPr>
        <w:t>“</w:t>
      </w:r>
      <w:r>
        <w:rPr>
          <w:u w:val="single"/>
        </w:rPr>
        <w:t>2026年东莞市公安局沙田分局交管大队电子警察运维项目</w:t>
      </w:r>
      <w:r>
        <w:rPr>
          <w:u w:val="single"/>
        </w:rPr>
        <w:t>”</w:t>
      </w:r>
      <w:r>
        <w:rPr/>
        <w:t>项目的招标[采购项目编号为：</w:t>
      </w:r>
      <w:r>
        <w:rPr>
          <w:u w:val="single"/>
        </w:rPr>
        <w:t>441900030-2025-00952</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2026年东莞市公安局沙田分局交管大队电子警察运维项目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广东金业工程管理有限公司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2026年东莞市公安局沙田分局交管大队电子警察运维项目</w:t>
      </w:r>
      <w:r>
        <w:rPr/>
        <w:t>”项目采购[采购项目编号为</w:t>
      </w:r>
      <w:r>
        <w:rPr/>
        <w:t>441900030-2025-00952</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东莞市公安局沙田分局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广东金业工程管理有限公司</w:t>
      </w:r>
    </w:p>
    <w:p>
      <w:pPr>
        <w:pStyle w:val="null3"/>
        <w:ind w:firstLine="480"/>
      </w:pPr>
      <w:r>
        <w:rPr/>
        <w:t xml:space="preserve"> 如果我方在贵采购代理机构组织的</w:t>
      </w:r>
      <w:r>
        <w:rPr/>
        <w:t>2026年东莞市公安局沙田分局交管大队电子警察运维项目</w:t>
      </w:r>
      <w:r>
        <w:rPr/>
        <w:t>招标中获中标（采购项目编号：</w:t>
      </w:r>
      <w:r>
        <w:rPr/>
        <w:t>441900030-2025-00952</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广东金业工程管理有限公司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广东金业工程管理有限公司</w:t>
      </w:r>
    </w:p>
    <w:p>
      <w:pPr>
        <w:pStyle w:val="null3"/>
        <w:ind w:firstLine="480"/>
      </w:pPr>
      <w:r>
        <w:rPr/>
        <w:t>我单位已登记并准备参与“</w:t>
      </w:r>
      <w:r>
        <w:rPr/>
        <w:t>2026年东莞市公安局沙田分局交管大队电子警察运维项目</w:t>
      </w:r>
      <w:r>
        <w:rPr/>
        <w:t>”项目（采购项目编号：</w:t>
      </w:r>
      <w:r>
        <w:rPr/>
        <w:t>441900030-2025-00952</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