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A30" w:rsidRDefault="000E306C" w:rsidP="008416E4">
      <w:pPr>
        <w:spacing w:line="600" w:lineRule="exact"/>
        <w:rPr>
          <w:rFonts w:ascii="Times New Roman" w:eastAsia="黑体" w:hAnsi="Times New Roman" w:cs="Times New Roman"/>
          <w:sz w:val="32"/>
          <w:szCs w:val="32"/>
        </w:rPr>
      </w:pPr>
      <w:r w:rsidRPr="008416E4">
        <w:rPr>
          <w:rFonts w:ascii="Times New Roman" w:eastAsia="黑体" w:hAnsi="Times New Roman" w:cs="Times New Roman"/>
          <w:sz w:val="32"/>
          <w:szCs w:val="32"/>
        </w:rPr>
        <w:t>附件</w:t>
      </w:r>
      <w:r w:rsidRPr="008416E4">
        <w:rPr>
          <w:rFonts w:ascii="Times New Roman" w:eastAsia="黑体" w:hAnsi="Times New Roman" w:cs="Times New Roman"/>
          <w:sz w:val="32"/>
          <w:szCs w:val="32"/>
        </w:rPr>
        <w:t>1</w:t>
      </w:r>
    </w:p>
    <w:p w:rsidR="008416E4" w:rsidRPr="008416E4" w:rsidRDefault="008416E4" w:rsidP="008416E4">
      <w:pPr>
        <w:spacing w:line="600" w:lineRule="exact"/>
        <w:rPr>
          <w:rFonts w:ascii="Times New Roman" w:eastAsia="黑体" w:hAnsi="Times New Roman" w:cs="Times New Roman"/>
          <w:sz w:val="32"/>
          <w:szCs w:val="32"/>
        </w:rPr>
      </w:pPr>
    </w:p>
    <w:p w:rsidR="00424A30" w:rsidRDefault="000E306C" w:rsidP="008416E4">
      <w:pPr>
        <w:spacing w:line="600" w:lineRule="exact"/>
        <w:jc w:val="center"/>
        <w:rPr>
          <w:rFonts w:ascii="方正小标宋简体" w:eastAsia="方正小标宋简体" w:hAnsi="Times New Roman" w:cs="Times New Roman"/>
          <w:sz w:val="42"/>
          <w:szCs w:val="42"/>
        </w:rPr>
      </w:pPr>
      <w:r w:rsidRPr="008416E4">
        <w:rPr>
          <w:rFonts w:ascii="方正小标宋简体" w:eastAsia="方正小标宋简体" w:hAnsi="Times New Roman" w:cs="Times New Roman" w:hint="eastAsia"/>
          <w:sz w:val="42"/>
          <w:szCs w:val="42"/>
        </w:rPr>
        <w:t>东莞市石龙镇生态空间划定情况汇总表</w:t>
      </w:r>
    </w:p>
    <w:p w:rsidR="008416E4" w:rsidRPr="008416E4" w:rsidRDefault="008416E4" w:rsidP="008416E4">
      <w:pPr>
        <w:spacing w:line="600" w:lineRule="exact"/>
        <w:jc w:val="center"/>
        <w:rPr>
          <w:rFonts w:ascii="方正小标宋简体" w:eastAsia="方正小标宋简体" w:hAnsi="Times New Roman" w:cs="Times New Roman"/>
          <w:sz w:val="42"/>
          <w:szCs w:val="42"/>
        </w:rPr>
      </w:pPr>
    </w:p>
    <w:tbl>
      <w:tblPr>
        <w:tblStyle w:val="a7"/>
        <w:tblW w:w="8931" w:type="dxa"/>
        <w:tblInd w:w="-289" w:type="dxa"/>
        <w:tblLook w:val="04A0" w:firstRow="1" w:lastRow="0" w:firstColumn="1" w:lastColumn="0" w:noHBand="0" w:noVBand="1"/>
      </w:tblPr>
      <w:tblGrid>
        <w:gridCol w:w="1671"/>
        <w:gridCol w:w="1383"/>
        <w:gridCol w:w="1383"/>
        <w:gridCol w:w="1382"/>
        <w:gridCol w:w="1383"/>
        <w:gridCol w:w="1729"/>
      </w:tblGrid>
      <w:tr w:rsidR="00424A30" w:rsidTr="005B0654">
        <w:trPr>
          <w:trHeight w:val="562"/>
        </w:trPr>
        <w:tc>
          <w:tcPr>
            <w:tcW w:w="3054" w:type="dxa"/>
            <w:gridSpan w:val="2"/>
            <w:vAlign w:val="center"/>
          </w:tcPr>
          <w:p w:rsidR="00424A30" w:rsidRPr="005B0654" w:rsidRDefault="000E306C">
            <w:pPr>
              <w:spacing w:line="360" w:lineRule="auto"/>
              <w:jc w:val="center"/>
              <w:rPr>
                <w:rFonts w:ascii="黑体" w:eastAsia="黑体" w:hAnsi="黑体" w:cs="Times New Roman"/>
                <w:sz w:val="24"/>
                <w:szCs w:val="24"/>
              </w:rPr>
            </w:pPr>
            <w:r w:rsidRPr="005B0654">
              <w:rPr>
                <w:rFonts w:ascii="黑体" w:eastAsia="黑体" w:hAnsi="黑体" w:cs="Times New Roman"/>
                <w:sz w:val="24"/>
                <w:szCs w:val="24"/>
              </w:rPr>
              <w:t>陆域生态保护红线</w:t>
            </w:r>
          </w:p>
        </w:tc>
        <w:tc>
          <w:tcPr>
            <w:tcW w:w="2765" w:type="dxa"/>
            <w:gridSpan w:val="2"/>
            <w:vAlign w:val="center"/>
          </w:tcPr>
          <w:p w:rsidR="00424A30" w:rsidRPr="005B0654" w:rsidRDefault="000E306C">
            <w:pPr>
              <w:spacing w:line="360" w:lineRule="auto"/>
              <w:jc w:val="center"/>
              <w:rPr>
                <w:rFonts w:ascii="黑体" w:eastAsia="黑体" w:hAnsi="黑体" w:cs="Times New Roman"/>
                <w:sz w:val="24"/>
                <w:szCs w:val="24"/>
              </w:rPr>
            </w:pPr>
            <w:r w:rsidRPr="005B0654">
              <w:rPr>
                <w:rFonts w:ascii="黑体" w:eastAsia="黑体" w:hAnsi="黑体" w:cs="Times New Roman"/>
                <w:sz w:val="24"/>
                <w:szCs w:val="24"/>
              </w:rPr>
              <w:t>一般生态空间</w:t>
            </w:r>
          </w:p>
        </w:tc>
        <w:tc>
          <w:tcPr>
            <w:tcW w:w="3112" w:type="dxa"/>
            <w:gridSpan w:val="2"/>
            <w:vAlign w:val="center"/>
          </w:tcPr>
          <w:p w:rsidR="00424A30" w:rsidRPr="005B0654" w:rsidRDefault="000E306C">
            <w:pPr>
              <w:spacing w:line="360" w:lineRule="auto"/>
              <w:jc w:val="center"/>
              <w:rPr>
                <w:rFonts w:ascii="黑体" w:eastAsia="黑体" w:hAnsi="黑体" w:cs="Times New Roman"/>
                <w:sz w:val="24"/>
                <w:szCs w:val="24"/>
              </w:rPr>
            </w:pPr>
            <w:r w:rsidRPr="005B0654">
              <w:rPr>
                <w:rFonts w:ascii="黑体" w:eastAsia="黑体" w:hAnsi="黑体" w:cs="Times New Roman"/>
                <w:sz w:val="24"/>
                <w:szCs w:val="24"/>
              </w:rPr>
              <w:t>生态空间</w:t>
            </w:r>
          </w:p>
        </w:tc>
      </w:tr>
      <w:tr w:rsidR="00424A30" w:rsidTr="005B0654">
        <w:trPr>
          <w:trHeight w:val="570"/>
        </w:trPr>
        <w:tc>
          <w:tcPr>
            <w:tcW w:w="1671"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面积</w:t>
            </w:r>
            <w:r>
              <w:rPr>
                <w:rFonts w:ascii="Times New Roman" w:eastAsia="仿宋_GB2312" w:hAnsi="Times New Roman" w:cs="Times New Roman"/>
                <w:sz w:val="24"/>
                <w:szCs w:val="24"/>
              </w:rPr>
              <w:t>/km</w:t>
            </w:r>
            <w:r>
              <w:rPr>
                <w:rFonts w:ascii="Times New Roman" w:eastAsia="仿宋_GB2312" w:hAnsi="Times New Roman" w:cs="Times New Roman"/>
                <w:sz w:val="24"/>
                <w:szCs w:val="24"/>
                <w:vertAlign w:val="superscript"/>
              </w:rPr>
              <w:t>2</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比例</w:t>
            </w:r>
            <w:r>
              <w:rPr>
                <w:rFonts w:ascii="Times New Roman" w:eastAsia="仿宋_GB2312" w:hAnsi="Times New Roman" w:cs="Times New Roman"/>
                <w:sz w:val="24"/>
                <w:szCs w:val="24"/>
              </w:rPr>
              <w:t>/%</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面积</w:t>
            </w:r>
            <w:r>
              <w:rPr>
                <w:rFonts w:ascii="Times New Roman" w:eastAsia="仿宋_GB2312" w:hAnsi="Times New Roman" w:cs="Times New Roman"/>
                <w:sz w:val="24"/>
                <w:szCs w:val="24"/>
              </w:rPr>
              <w:t>/km</w:t>
            </w:r>
            <w:r>
              <w:rPr>
                <w:rFonts w:ascii="Times New Roman" w:eastAsia="仿宋_GB2312" w:hAnsi="Times New Roman" w:cs="Times New Roman"/>
                <w:sz w:val="24"/>
                <w:szCs w:val="24"/>
                <w:vertAlign w:val="superscript"/>
              </w:rPr>
              <w:t>2</w:t>
            </w:r>
          </w:p>
        </w:tc>
        <w:tc>
          <w:tcPr>
            <w:tcW w:w="1382"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比例</w:t>
            </w:r>
            <w:r>
              <w:rPr>
                <w:rFonts w:ascii="Times New Roman" w:eastAsia="仿宋_GB2312" w:hAnsi="Times New Roman" w:cs="Times New Roman"/>
                <w:sz w:val="24"/>
                <w:szCs w:val="24"/>
              </w:rPr>
              <w:t>/%</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面积</w:t>
            </w:r>
            <w:r>
              <w:rPr>
                <w:rFonts w:ascii="Times New Roman" w:eastAsia="仿宋_GB2312" w:hAnsi="Times New Roman" w:cs="Times New Roman"/>
                <w:sz w:val="24"/>
                <w:szCs w:val="24"/>
              </w:rPr>
              <w:t>/km</w:t>
            </w:r>
            <w:r>
              <w:rPr>
                <w:rFonts w:ascii="Times New Roman" w:eastAsia="仿宋_GB2312" w:hAnsi="Times New Roman" w:cs="Times New Roman"/>
                <w:sz w:val="24"/>
                <w:szCs w:val="24"/>
                <w:vertAlign w:val="superscript"/>
              </w:rPr>
              <w:t>2</w:t>
            </w:r>
          </w:p>
        </w:tc>
        <w:tc>
          <w:tcPr>
            <w:tcW w:w="1729"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比例</w:t>
            </w:r>
            <w:r>
              <w:rPr>
                <w:rFonts w:ascii="Times New Roman" w:eastAsia="仿宋_GB2312" w:hAnsi="Times New Roman" w:cs="Times New Roman"/>
                <w:sz w:val="24"/>
                <w:szCs w:val="24"/>
              </w:rPr>
              <w:t>/%</w:t>
            </w:r>
          </w:p>
        </w:tc>
      </w:tr>
      <w:tr w:rsidR="00424A30" w:rsidTr="005B0654">
        <w:trPr>
          <w:trHeight w:val="692"/>
        </w:trPr>
        <w:tc>
          <w:tcPr>
            <w:tcW w:w="1671"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0</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2.20</w:t>
            </w:r>
          </w:p>
        </w:tc>
        <w:tc>
          <w:tcPr>
            <w:tcW w:w="1382"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15.97</w:t>
            </w:r>
          </w:p>
        </w:tc>
        <w:tc>
          <w:tcPr>
            <w:tcW w:w="1383"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2.20</w:t>
            </w:r>
          </w:p>
        </w:tc>
        <w:tc>
          <w:tcPr>
            <w:tcW w:w="1729" w:type="dxa"/>
            <w:vAlign w:val="center"/>
          </w:tcPr>
          <w:p w:rsidR="00424A30" w:rsidRDefault="000E306C">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15.97</w:t>
            </w:r>
          </w:p>
        </w:tc>
      </w:tr>
    </w:tbl>
    <w:p w:rsidR="00424A30" w:rsidRDefault="00424A30">
      <w:pPr>
        <w:spacing w:line="360" w:lineRule="auto"/>
        <w:ind w:firstLineChars="200" w:firstLine="480"/>
        <w:rPr>
          <w:rFonts w:ascii="Times New Roman" w:eastAsia="宋体" w:hAnsi="Times New Roman" w:cs="Times New Roman"/>
          <w:sz w:val="24"/>
          <w:szCs w:val="24"/>
        </w:rPr>
      </w:pPr>
    </w:p>
    <w:p w:rsidR="00424A30" w:rsidRDefault="00424A30">
      <w:pPr>
        <w:spacing w:line="360" w:lineRule="auto"/>
        <w:ind w:firstLineChars="200" w:firstLine="480"/>
        <w:rPr>
          <w:rFonts w:ascii="Times New Roman" w:eastAsia="宋体" w:hAnsi="Times New Roman" w:cs="Times New Roman"/>
          <w:sz w:val="24"/>
          <w:szCs w:val="24"/>
        </w:rPr>
      </w:pPr>
    </w:p>
    <w:p w:rsidR="00424A30" w:rsidRDefault="00424A30">
      <w:pPr>
        <w:spacing w:line="360" w:lineRule="auto"/>
        <w:ind w:firstLineChars="200" w:firstLine="480"/>
        <w:rPr>
          <w:rFonts w:ascii="Times New Roman" w:eastAsia="宋体" w:hAnsi="Times New Roman" w:cs="Times New Roman"/>
          <w:sz w:val="24"/>
          <w:szCs w:val="24"/>
        </w:rPr>
      </w:pPr>
    </w:p>
    <w:p w:rsidR="00424A30" w:rsidRDefault="00424A30">
      <w:pPr>
        <w:spacing w:line="360" w:lineRule="auto"/>
        <w:rPr>
          <w:rFonts w:ascii="Times New Roman" w:eastAsia="宋体" w:hAnsi="Times New Roman" w:cs="Times New Roman"/>
          <w:sz w:val="28"/>
          <w:szCs w:val="28"/>
        </w:rPr>
        <w:sectPr w:rsidR="00424A30">
          <w:footerReference w:type="default" r:id="rId8"/>
          <w:pgSz w:w="11906" w:h="16838"/>
          <w:pgMar w:top="1440" w:right="1800" w:bottom="1440" w:left="1800" w:header="851" w:footer="992" w:gutter="0"/>
          <w:pgNumType w:fmt="numberInDash"/>
          <w:cols w:space="425"/>
          <w:docGrid w:type="lines" w:linePitch="312"/>
        </w:sectPr>
      </w:pPr>
    </w:p>
    <w:p w:rsidR="00424A30" w:rsidRDefault="000E306C" w:rsidP="008416E4">
      <w:pPr>
        <w:spacing w:line="600" w:lineRule="exact"/>
        <w:rPr>
          <w:rFonts w:ascii="Times New Roman" w:eastAsia="黑体" w:hAnsi="Times New Roman" w:cs="Times New Roman"/>
          <w:sz w:val="32"/>
          <w:szCs w:val="32"/>
        </w:rPr>
      </w:pPr>
      <w:r w:rsidRPr="008416E4">
        <w:rPr>
          <w:rFonts w:ascii="Times New Roman" w:eastAsia="黑体" w:hAnsi="Times New Roman" w:cs="Times New Roman"/>
          <w:sz w:val="32"/>
          <w:szCs w:val="32"/>
        </w:rPr>
        <w:lastRenderedPageBreak/>
        <w:t>附件</w:t>
      </w:r>
      <w:r w:rsidRPr="008416E4">
        <w:rPr>
          <w:rFonts w:ascii="Times New Roman" w:eastAsia="黑体" w:hAnsi="Times New Roman" w:cs="Times New Roman"/>
          <w:sz w:val="32"/>
          <w:szCs w:val="32"/>
        </w:rPr>
        <w:t>2</w:t>
      </w:r>
    </w:p>
    <w:p w:rsidR="008416E4" w:rsidRPr="008416E4" w:rsidRDefault="008416E4" w:rsidP="008416E4">
      <w:pPr>
        <w:spacing w:line="600" w:lineRule="exact"/>
        <w:rPr>
          <w:rFonts w:ascii="Times New Roman" w:eastAsia="黑体" w:hAnsi="Times New Roman" w:cs="Times New Roman"/>
          <w:sz w:val="32"/>
          <w:szCs w:val="32"/>
        </w:rPr>
      </w:pPr>
    </w:p>
    <w:p w:rsidR="00424A30" w:rsidRDefault="000E306C" w:rsidP="008416E4">
      <w:pPr>
        <w:spacing w:line="600" w:lineRule="exact"/>
        <w:jc w:val="center"/>
        <w:rPr>
          <w:rFonts w:ascii="方正小标宋简体" w:eastAsia="方正小标宋简体" w:hAnsi="Times New Roman" w:cs="Times New Roman"/>
          <w:sz w:val="42"/>
          <w:szCs w:val="42"/>
        </w:rPr>
      </w:pPr>
      <w:r w:rsidRPr="008416E4">
        <w:rPr>
          <w:rFonts w:ascii="方正小标宋简体" w:eastAsia="方正小标宋简体" w:hAnsi="Times New Roman" w:cs="Times New Roman" w:hint="eastAsia"/>
          <w:sz w:val="42"/>
          <w:szCs w:val="42"/>
        </w:rPr>
        <w:t>东莞市石龙镇环境管控单元汇总表</w:t>
      </w:r>
    </w:p>
    <w:p w:rsidR="008416E4" w:rsidRPr="008416E4" w:rsidRDefault="008416E4" w:rsidP="008416E4">
      <w:pPr>
        <w:spacing w:line="600" w:lineRule="exact"/>
        <w:jc w:val="center"/>
        <w:rPr>
          <w:rFonts w:ascii="方正小标宋简体" w:eastAsia="方正小标宋简体" w:hAnsi="Times New Roman" w:cs="Times New Roman"/>
          <w:sz w:val="42"/>
          <w:szCs w:val="42"/>
        </w:rPr>
      </w:pPr>
    </w:p>
    <w:tbl>
      <w:tblPr>
        <w:tblStyle w:val="a7"/>
        <w:tblW w:w="6234" w:type="pct"/>
        <w:jc w:val="center"/>
        <w:tblLayout w:type="fixed"/>
        <w:tblLook w:val="04A0" w:firstRow="1" w:lastRow="0" w:firstColumn="1" w:lastColumn="0" w:noHBand="0" w:noVBand="1"/>
      </w:tblPr>
      <w:tblGrid>
        <w:gridCol w:w="1129"/>
        <w:gridCol w:w="1276"/>
        <w:gridCol w:w="995"/>
        <w:gridCol w:w="1134"/>
        <w:gridCol w:w="1272"/>
        <w:gridCol w:w="1140"/>
        <w:gridCol w:w="1132"/>
        <w:gridCol w:w="1274"/>
        <w:gridCol w:w="991"/>
      </w:tblGrid>
      <w:tr w:rsidR="004D420E" w:rsidTr="004D420E">
        <w:trPr>
          <w:trHeight w:val="562"/>
          <w:jc w:val="center"/>
        </w:trPr>
        <w:tc>
          <w:tcPr>
            <w:tcW w:w="1644" w:type="pct"/>
            <w:gridSpan w:val="3"/>
          </w:tcPr>
          <w:p w:rsidR="00424A30" w:rsidRPr="00E16AE9" w:rsidRDefault="000E306C">
            <w:pPr>
              <w:spacing w:line="360" w:lineRule="auto"/>
              <w:jc w:val="center"/>
              <w:rPr>
                <w:rFonts w:ascii="黑体" w:eastAsia="黑体" w:hAnsi="黑体" w:cs="Times New Roman"/>
                <w:sz w:val="24"/>
                <w:szCs w:val="24"/>
              </w:rPr>
            </w:pPr>
            <w:r w:rsidRPr="00E16AE9">
              <w:rPr>
                <w:rFonts w:ascii="黑体" w:eastAsia="黑体" w:hAnsi="黑体" w:cs="Times New Roman"/>
                <w:sz w:val="24"/>
                <w:szCs w:val="24"/>
              </w:rPr>
              <w:t>优先保护单元</w:t>
            </w:r>
          </w:p>
        </w:tc>
        <w:tc>
          <w:tcPr>
            <w:tcW w:w="1714" w:type="pct"/>
            <w:gridSpan w:val="3"/>
          </w:tcPr>
          <w:p w:rsidR="00424A30" w:rsidRPr="00E16AE9" w:rsidRDefault="000E306C">
            <w:pPr>
              <w:spacing w:line="360" w:lineRule="auto"/>
              <w:jc w:val="center"/>
              <w:rPr>
                <w:rFonts w:ascii="黑体" w:eastAsia="黑体" w:hAnsi="黑体" w:cs="Times New Roman"/>
                <w:sz w:val="24"/>
                <w:szCs w:val="24"/>
              </w:rPr>
            </w:pPr>
            <w:r w:rsidRPr="00E16AE9">
              <w:rPr>
                <w:rFonts w:ascii="黑体" w:eastAsia="黑体" w:hAnsi="黑体" w:cs="Times New Roman"/>
                <w:sz w:val="24"/>
                <w:szCs w:val="24"/>
              </w:rPr>
              <w:t>重点管控单元</w:t>
            </w:r>
          </w:p>
        </w:tc>
        <w:tc>
          <w:tcPr>
            <w:tcW w:w="1643" w:type="pct"/>
            <w:gridSpan w:val="3"/>
          </w:tcPr>
          <w:p w:rsidR="00424A30" w:rsidRPr="00E16AE9" w:rsidRDefault="000E306C">
            <w:pPr>
              <w:spacing w:line="360" w:lineRule="auto"/>
              <w:jc w:val="center"/>
              <w:rPr>
                <w:rFonts w:ascii="黑体" w:eastAsia="黑体" w:hAnsi="黑体" w:cs="Times New Roman"/>
                <w:sz w:val="24"/>
                <w:szCs w:val="24"/>
              </w:rPr>
            </w:pPr>
            <w:r w:rsidRPr="00E16AE9">
              <w:rPr>
                <w:rFonts w:ascii="黑体" w:eastAsia="黑体" w:hAnsi="黑体" w:cs="Times New Roman"/>
                <w:sz w:val="24"/>
                <w:szCs w:val="24"/>
              </w:rPr>
              <w:t>一般管控单元</w:t>
            </w:r>
          </w:p>
        </w:tc>
      </w:tr>
      <w:tr w:rsidR="004D420E" w:rsidTr="004D420E">
        <w:trPr>
          <w:jc w:val="center"/>
        </w:trPr>
        <w:tc>
          <w:tcPr>
            <w:tcW w:w="546" w:type="pct"/>
            <w:vAlign w:val="center"/>
          </w:tcPr>
          <w:p w:rsidR="00424A30" w:rsidRPr="00E16AE9" w:rsidRDefault="000E306C" w:rsidP="00E16AE9">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单元数量</w:t>
            </w:r>
            <w:r w:rsidRPr="00E16AE9">
              <w:rPr>
                <w:rFonts w:ascii="Times New Roman" w:eastAsia="仿宋_GB2312" w:hAnsi="Times New Roman" w:cs="Times New Roman"/>
                <w:sz w:val="24"/>
                <w:szCs w:val="24"/>
              </w:rPr>
              <w:t>/</w:t>
            </w:r>
            <w:r w:rsidRPr="00E16AE9">
              <w:rPr>
                <w:rFonts w:ascii="Times New Roman" w:eastAsia="仿宋_GB2312" w:hAnsi="Times New Roman" w:cs="Times New Roman"/>
                <w:sz w:val="24"/>
                <w:szCs w:val="24"/>
              </w:rPr>
              <w:t>个</w:t>
            </w:r>
          </w:p>
        </w:tc>
        <w:tc>
          <w:tcPr>
            <w:tcW w:w="617"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面积</w:t>
            </w:r>
            <w:r w:rsidRPr="00E16AE9">
              <w:rPr>
                <w:rFonts w:ascii="Times New Roman" w:eastAsia="仿宋_GB2312" w:hAnsi="Times New Roman" w:cs="Times New Roman"/>
                <w:sz w:val="24"/>
                <w:szCs w:val="24"/>
              </w:rPr>
              <w:t>/km</w:t>
            </w:r>
            <w:r w:rsidRPr="00E16AE9">
              <w:rPr>
                <w:rFonts w:ascii="Times New Roman" w:eastAsia="仿宋_GB2312" w:hAnsi="Times New Roman" w:cs="Times New Roman"/>
                <w:sz w:val="24"/>
                <w:szCs w:val="24"/>
                <w:vertAlign w:val="superscript"/>
              </w:rPr>
              <w:t>2</w:t>
            </w:r>
          </w:p>
        </w:tc>
        <w:tc>
          <w:tcPr>
            <w:tcW w:w="481"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比例</w:t>
            </w:r>
            <w:r w:rsidRPr="00E16AE9">
              <w:rPr>
                <w:rFonts w:ascii="Times New Roman" w:eastAsia="仿宋_GB2312" w:hAnsi="Times New Roman" w:cs="Times New Roman"/>
                <w:sz w:val="24"/>
                <w:szCs w:val="24"/>
              </w:rPr>
              <w:t>/%</w:t>
            </w:r>
          </w:p>
        </w:tc>
        <w:tc>
          <w:tcPr>
            <w:tcW w:w="548" w:type="pct"/>
            <w:vAlign w:val="center"/>
          </w:tcPr>
          <w:p w:rsidR="00424A30" w:rsidRPr="00E16AE9" w:rsidRDefault="000E306C" w:rsidP="004D420E">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单元数量</w:t>
            </w:r>
            <w:r w:rsidRPr="00E16AE9">
              <w:rPr>
                <w:rFonts w:ascii="Times New Roman" w:eastAsia="仿宋_GB2312" w:hAnsi="Times New Roman" w:cs="Times New Roman"/>
                <w:sz w:val="24"/>
                <w:szCs w:val="24"/>
              </w:rPr>
              <w:t>/</w:t>
            </w:r>
            <w:r w:rsidRPr="00E16AE9">
              <w:rPr>
                <w:rFonts w:ascii="Times New Roman" w:eastAsia="仿宋_GB2312" w:hAnsi="Times New Roman" w:cs="Times New Roman"/>
                <w:sz w:val="24"/>
                <w:szCs w:val="24"/>
              </w:rPr>
              <w:t>个</w:t>
            </w:r>
          </w:p>
        </w:tc>
        <w:tc>
          <w:tcPr>
            <w:tcW w:w="615"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面积</w:t>
            </w:r>
            <w:r w:rsidRPr="00E16AE9">
              <w:rPr>
                <w:rFonts w:ascii="Times New Roman" w:eastAsia="仿宋_GB2312" w:hAnsi="Times New Roman" w:cs="Times New Roman"/>
                <w:sz w:val="24"/>
                <w:szCs w:val="24"/>
              </w:rPr>
              <w:t>/km</w:t>
            </w:r>
            <w:r w:rsidRPr="00E16AE9">
              <w:rPr>
                <w:rFonts w:ascii="Times New Roman" w:eastAsia="仿宋_GB2312" w:hAnsi="Times New Roman" w:cs="Times New Roman"/>
                <w:sz w:val="24"/>
                <w:szCs w:val="24"/>
                <w:vertAlign w:val="superscript"/>
              </w:rPr>
              <w:t>2</w:t>
            </w:r>
          </w:p>
        </w:tc>
        <w:tc>
          <w:tcPr>
            <w:tcW w:w="550"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比例</w:t>
            </w:r>
            <w:r w:rsidRPr="00E16AE9">
              <w:rPr>
                <w:rFonts w:ascii="Times New Roman" w:eastAsia="仿宋_GB2312" w:hAnsi="Times New Roman" w:cs="Times New Roman"/>
                <w:sz w:val="24"/>
                <w:szCs w:val="24"/>
              </w:rPr>
              <w:t>/%</w:t>
            </w:r>
          </w:p>
        </w:tc>
        <w:tc>
          <w:tcPr>
            <w:tcW w:w="547" w:type="pct"/>
            <w:vAlign w:val="center"/>
          </w:tcPr>
          <w:p w:rsidR="004D420E" w:rsidRDefault="000E306C" w:rsidP="004D420E">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单元数</w:t>
            </w:r>
          </w:p>
          <w:p w:rsidR="00424A30" w:rsidRPr="00E16AE9" w:rsidRDefault="000E306C" w:rsidP="004D420E">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量</w:t>
            </w:r>
            <w:r w:rsidRPr="00E16AE9">
              <w:rPr>
                <w:rFonts w:ascii="Times New Roman" w:eastAsia="仿宋_GB2312" w:hAnsi="Times New Roman" w:cs="Times New Roman"/>
                <w:sz w:val="24"/>
                <w:szCs w:val="24"/>
              </w:rPr>
              <w:t>/</w:t>
            </w:r>
            <w:r w:rsidRPr="00E16AE9">
              <w:rPr>
                <w:rFonts w:ascii="Times New Roman" w:eastAsia="仿宋_GB2312" w:hAnsi="Times New Roman" w:cs="Times New Roman"/>
                <w:sz w:val="24"/>
                <w:szCs w:val="24"/>
              </w:rPr>
              <w:t>个</w:t>
            </w:r>
          </w:p>
        </w:tc>
        <w:tc>
          <w:tcPr>
            <w:tcW w:w="616"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面积</w:t>
            </w:r>
            <w:r w:rsidRPr="00E16AE9">
              <w:rPr>
                <w:rFonts w:ascii="Times New Roman" w:eastAsia="仿宋_GB2312" w:hAnsi="Times New Roman" w:cs="Times New Roman"/>
                <w:sz w:val="24"/>
                <w:szCs w:val="24"/>
              </w:rPr>
              <w:t>/km</w:t>
            </w:r>
            <w:r w:rsidRPr="00E16AE9">
              <w:rPr>
                <w:rFonts w:ascii="Times New Roman" w:eastAsia="仿宋_GB2312" w:hAnsi="Times New Roman" w:cs="Times New Roman"/>
                <w:sz w:val="24"/>
                <w:szCs w:val="24"/>
                <w:vertAlign w:val="superscript"/>
              </w:rPr>
              <w:t>2</w:t>
            </w:r>
          </w:p>
        </w:tc>
        <w:tc>
          <w:tcPr>
            <w:tcW w:w="479"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比例</w:t>
            </w:r>
            <w:r w:rsidRPr="00E16AE9">
              <w:rPr>
                <w:rFonts w:ascii="Times New Roman" w:eastAsia="仿宋_GB2312" w:hAnsi="Times New Roman" w:cs="Times New Roman"/>
                <w:sz w:val="24"/>
                <w:szCs w:val="24"/>
              </w:rPr>
              <w:t>/%</w:t>
            </w:r>
          </w:p>
        </w:tc>
      </w:tr>
      <w:tr w:rsidR="004D420E" w:rsidTr="004D420E">
        <w:trPr>
          <w:jc w:val="center"/>
        </w:trPr>
        <w:tc>
          <w:tcPr>
            <w:tcW w:w="546"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3</w:t>
            </w:r>
          </w:p>
        </w:tc>
        <w:tc>
          <w:tcPr>
            <w:tcW w:w="617"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2.094</w:t>
            </w:r>
          </w:p>
        </w:tc>
        <w:tc>
          <w:tcPr>
            <w:tcW w:w="481"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15.2</w:t>
            </w:r>
          </w:p>
        </w:tc>
        <w:tc>
          <w:tcPr>
            <w:tcW w:w="548"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2</w:t>
            </w:r>
          </w:p>
        </w:tc>
        <w:tc>
          <w:tcPr>
            <w:tcW w:w="615"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11.683</w:t>
            </w:r>
          </w:p>
        </w:tc>
        <w:tc>
          <w:tcPr>
            <w:tcW w:w="550" w:type="pct"/>
            <w:vAlign w:val="center"/>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84.8</w:t>
            </w:r>
          </w:p>
        </w:tc>
        <w:tc>
          <w:tcPr>
            <w:tcW w:w="547" w:type="pct"/>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0</w:t>
            </w:r>
          </w:p>
        </w:tc>
        <w:tc>
          <w:tcPr>
            <w:tcW w:w="616" w:type="pct"/>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0</w:t>
            </w:r>
          </w:p>
        </w:tc>
        <w:tc>
          <w:tcPr>
            <w:tcW w:w="479" w:type="pct"/>
          </w:tcPr>
          <w:p w:rsidR="00424A30" w:rsidRPr="00E16AE9" w:rsidRDefault="000E306C">
            <w:pPr>
              <w:spacing w:line="360" w:lineRule="auto"/>
              <w:jc w:val="center"/>
              <w:rPr>
                <w:rFonts w:ascii="Times New Roman" w:eastAsia="仿宋_GB2312" w:hAnsi="Times New Roman" w:cs="Times New Roman"/>
                <w:sz w:val="24"/>
                <w:szCs w:val="24"/>
              </w:rPr>
            </w:pPr>
            <w:r w:rsidRPr="00E16AE9">
              <w:rPr>
                <w:rFonts w:ascii="Times New Roman" w:eastAsia="仿宋_GB2312" w:hAnsi="Times New Roman" w:cs="Times New Roman"/>
                <w:sz w:val="24"/>
                <w:szCs w:val="24"/>
              </w:rPr>
              <w:t>0</w:t>
            </w:r>
          </w:p>
        </w:tc>
      </w:tr>
    </w:tbl>
    <w:p w:rsidR="00424A30" w:rsidRDefault="00424A30">
      <w:pPr>
        <w:spacing w:line="360" w:lineRule="auto"/>
        <w:rPr>
          <w:rFonts w:ascii="Times New Roman" w:eastAsia="宋体" w:hAnsi="Times New Roman" w:cs="Times New Roman"/>
          <w:sz w:val="24"/>
          <w:szCs w:val="24"/>
        </w:rPr>
      </w:pPr>
    </w:p>
    <w:p w:rsidR="00424A30" w:rsidRDefault="00424A30">
      <w:pPr>
        <w:spacing w:line="360" w:lineRule="auto"/>
        <w:rPr>
          <w:rFonts w:ascii="Times New Roman" w:eastAsia="宋体" w:hAnsi="Times New Roman" w:cs="Times New Roman"/>
          <w:sz w:val="24"/>
          <w:szCs w:val="24"/>
        </w:rPr>
        <w:sectPr w:rsidR="00424A30">
          <w:pgSz w:w="11906" w:h="16838"/>
          <w:pgMar w:top="1440" w:right="1800" w:bottom="1440" w:left="1800" w:header="851" w:footer="992" w:gutter="0"/>
          <w:pgNumType w:fmt="numberInDash"/>
          <w:cols w:space="425"/>
          <w:docGrid w:type="lines" w:linePitch="312"/>
        </w:sectPr>
      </w:pPr>
    </w:p>
    <w:p w:rsidR="00424A30" w:rsidRPr="008416E4" w:rsidRDefault="000E306C">
      <w:pPr>
        <w:spacing w:line="360" w:lineRule="auto"/>
        <w:rPr>
          <w:rFonts w:ascii="Times New Roman" w:eastAsia="黑体" w:hAnsi="Times New Roman" w:cs="Times New Roman"/>
          <w:sz w:val="32"/>
          <w:szCs w:val="32"/>
        </w:rPr>
      </w:pPr>
      <w:r w:rsidRPr="008416E4">
        <w:rPr>
          <w:rFonts w:ascii="Times New Roman" w:eastAsia="黑体" w:hAnsi="Times New Roman" w:cs="Times New Roman"/>
          <w:sz w:val="32"/>
          <w:szCs w:val="32"/>
        </w:rPr>
        <w:lastRenderedPageBreak/>
        <w:t>附件</w:t>
      </w:r>
      <w:r w:rsidRPr="008416E4">
        <w:rPr>
          <w:rFonts w:ascii="Times New Roman" w:eastAsia="黑体" w:hAnsi="Times New Roman" w:cs="Times New Roman"/>
          <w:sz w:val="32"/>
          <w:szCs w:val="32"/>
        </w:rPr>
        <w:t>3</w:t>
      </w:r>
    </w:p>
    <w:p w:rsidR="00424A30" w:rsidRPr="0049415B" w:rsidRDefault="000E306C">
      <w:pPr>
        <w:spacing w:line="360" w:lineRule="auto"/>
        <w:jc w:val="center"/>
        <w:rPr>
          <w:rFonts w:ascii="方正小标宋简体" w:eastAsia="方正小标宋简体" w:hAnsi="黑体" w:cs="黑体"/>
          <w:sz w:val="32"/>
          <w:szCs w:val="32"/>
        </w:rPr>
      </w:pPr>
      <w:r w:rsidRPr="0049415B">
        <w:rPr>
          <w:rFonts w:ascii="方正小标宋简体" w:eastAsia="方正小标宋简体" w:hAnsi="黑体" w:cs="黑体" w:hint="eastAsia"/>
          <w:sz w:val="32"/>
          <w:szCs w:val="32"/>
        </w:rPr>
        <w:t>东莞市石龙镇环境管控单元图</w:t>
      </w:r>
    </w:p>
    <w:p w:rsidR="00424A30" w:rsidRDefault="000E306C">
      <w:pPr>
        <w:pStyle w:val="aa"/>
        <w:rPr>
          <w:szCs w:val="24"/>
        </w:rPr>
      </w:pPr>
      <w:r>
        <w:rPr>
          <w:noProof/>
          <w:szCs w:val="24"/>
        </w:rPr>
        <w:drawing>
          <wp:inline distT="0" distB="0" distL="0" distR="0">
            <wp:extent cx="5890260" cy="41681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96362" cy="4172362"/>
                    </a:xfrm>
                    <a:prstGeom prst="rect">
                      <a:avLst/>
                    </a:prstGeom>
                  </pic:spPr>
                </pic:pic>
              </a:graphicData>
            </a:graphic>
          </wp:inline>
        </w:drawing>
      </w:r>
    </w:p>
    <w:p w:rsidR="00424A30" w:rsidRPr="008416E4" w:rsidRDefault="000E306C">
      <w:pPr>
        <w:pStyle w:val="aa"/>
        <w:jc w:val="left"/>
        <w:rPr>
          <w:rFonts w:eastAsia="黑体"/>
          <w:sz w:val="32"/>
          <w:szCs w:val="32"/>
        </w:rPr>
      </w:pPr>
      <w:r w:rsidRPr="008416E4">
        <w:rPr>
          <w:rFonts w:eastAsia="黑体"/>
          <w:sz w:val="32"/>
          <w:szCs w:val="32"/>
        </w:rPr>
        <w:lastRenderedPageBreak/>
        <w:t>附件</w:t>
      </w:r>
      <w:r w:rsidRPr="008416E4">
        <w:rPr>
          <w:rFonts w:eastAsia="黑体"/>
          <w:sz w:val="32"/>
          <w:szCs w:val="32"/>
        </w:rPr>
        <w:t>4</w:t>
      </w:r>
    </w:p>
    <w:p w:rsidR="00424A30" w:rsidRPr="008416E4" w:rsidRDefault="000E306C">
      <w:pPr>
        <w:pStyle w:val="aa"/>
        <w:rPr>
          <w:rFonts w:ascii="方正小标宋简体" w:eastAsia="方正小标宋简体" w:hAnsi="黑体"/>
          <w:bCs/>
          <w:sz w:val="42"/>
          <w:szCs w:val="42"/>
        </w:rPr>
      </w:pPr>
      <w:r w:rsidRPr="008416E4">
        <w:rPr>
          <w:rFonts w:ascii="方正小标宋简体" w:eastAsia="方正小标宋简体" w:hAnsi="黑体" w:hint="eastAsia"/>
          <w:bCs/>
          <w:sz w:val="42"/>
          <w:szCs w:val="42"/>
        </w:rPr>
        <w:t>东莞市石龙镇环境管控单元准入清单</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382"/>
        <w:gridCol w:w="1025"/>
        <w:gridCol w:w="992"/>
        <w:gridCol w:w="1134"/>
        <w:gridCol w:w="2128"/>
        <w:gridCol w:w="1831"/>
        <w:gridCol w:w="2976"/>
      </w:tblGrid>
      <w:tr w:rsidR="00424A30">
        <w:trPr>
          <w:trHeight w:val="27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环境管控单元编码</w:t>
            </w:r>
          </w:p>
        </w:tc>
        <w:tc>
          <w:tcPr>
            <w:tcW w:w="238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环境管控单元名称</w:t>
            </w:r>
          </w:p>
        </w:tc>
        <w:tc>
          <w:tcPr>
            <w:tcW w:w="5279" w:type="dxa"/>
            <w:gridSpan w:val="4"/>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行政区划</w:t>
            </w:r>
          </w:p>
        </w:tc>
        <w:tc>
          <w:tcPr>
            <w:tcW w:w="183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管控单元分类</w:t>
            </w:r>
          </w:p>
        </w:tc>
        <w:tc>
          <w:tcPr>
            <w:tcW w:w="2976"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要素类别</w:t>
            </w:r>
          </w:p>
        </w:tc>
      </w:tr>
      <w:tr w:rsidR="00424A30">
        <w:trPr>
          <w:trHeight w:val="27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ZH10210001</w:t>
            </w:r>
          </w:p>
        </w:tc>
        <w:tc>
          <w:tcPr>
            <w:tcW w:w="238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石龙西湖水厂饮用水水源保护区</w:t>
            </w:r>
          </w:p>
        </w:tc>
        <w:tc>
          <w:tcPr>
            <w:tcW w:w="1025"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广东省</w:t>
            </w:r>
          </w:p>
        </w:tc>
        <w:tc>
          <w:tcPr>
            <w:tcW w:w="99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东莞市</w:t>
            </w:r>
          </w:p>
        </w:tc>
        <w:tc>
          <w:tcPr>
            <w:tcW w:w="1134"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石龙镇</w:t>
            </w:r>
          </w:p>
        </w:tc>
        <w:tc>
          <w:tcPr>
            <w:tcW w:w="2128" w:type="dxa"/>
            <w:tcBorders>
              <w:tl2br w:val="nil"/>
              <w:tr2bl w:val="nil"/>
            </w:tcBorders>
            <w:vAlign w:val="center"/>
          </w:tcPr>
          <w:p w:rsidR="00424A30" w:rsidRDefault="000E306C">
            <w:pPr>
              <w:pStyle w:val="af"/>
              <w:jc w:val="center"/>
              <w:rPr>
                <w:rFonts w:cs="Times New Roman"/>
              </w:rPr>
            </w:pPr>
            <w:r>
              <w:rPr>
                <w:rFonts w:cs="Times New Roman"/>
              </w:rPr>
              <w:t>西湖村、王屋洲村、黄家山村、林屋村、中山东社区</w:t>
            </w:r>
          </w:p>
        </w:tc>
        <w:tc>
          <w:tcPr>
            <w:tcW w:w="1831"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优先保护单元</w:t>
            </w:r>
          </w:p>
        </w:tc>
        <w:tc>
          <w:tcPr>
            <w:tcW w:w="2976"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水环境优先保护单元、大气环境受体敏感重点管控区、生态空间</w:t>
            </w:r>
          </w:p>
        </w:tc>
      </w:tr>
      <w:tr w:rsidR="00424A30">
        <w:trPr>
          <w:trHeight w:val="27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管控维度</w:t>
            </w:r>
          </w:p>
        </w:tc>
        <w:tc>
          <w:tcPr>
            <w:tcW w:w="12468" w:type="dxa"/>
            <w:gridSpan w:val="7"/>
            <w:tcBorders>
              <w:tl2br w:val="nil"/>
              <w:tr2bl w:val="nil"/>
            </w:tcBorders>
          </w:tcPr>
          <w:p w:rsidR="00424A30" w:rsidRDefault="000E306C">
            <w:pPr>
              <w:pStyle w:val="af"/>
              <w:jc w:val="center"/>
              <w:rPr>
                <w:rFonts w:cs="Times New Roman"/>
                <w:b/>
                <w:bCs/>
              </w:rPr>
            </w:pPr>
            <w:r>
              <w:rPr>
                <w:rFonts w:cs="Times New Roman"/>
                <w:b/>
                <w:bCs/>
              </w:rPr>
              <w:t>管控要求</w:t>
            </w:r>
          </w:p>
        </w:tc>
      </w:tr>
      <w:tr w:rsidR="00424A30">
        <w:trPr>
          <w:trHeight w:val="1275"/>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区域布局管控</w:t>
            </w:r>
          </w:p>
        </w:tc>
        <w:tc>
          <w:tcPr>
            <w:tcW w:w="12468" w:type="dxa"/>
            <w:gridSpan w:val="7"/>
            <w:tcBorders>
              <w:tl2br w:val="nil"/>
              <w:tr2bl w:val="nil"/>
            </w:tcBorders>
          </w:tcPr>
          <w:p w:rsidR="00424A30" w:rsidRDefault="000E306C">
            <w:pPr>
              <w:pStyle w:val="af"/>
              <w:jc w:val="left"/>
              <w:rPr>
                <w:rFonts w:cs="Times New Roman"/>
              </w:rPr>
            </w:pPr>
            <w:r>
              <w:rPr>
                <w:rFonts w:cs="Times New Roman"/>
              </w:rPr>
              <w:t>1.</w:t>
            </w:r>
            <w:r>
              <w:rPr>
                <w:rFonts w:cs="Times New Roman"/>
              </w:rPr>
              <w:t>【水</w:t>
            </w:r>
            <w:r>
              <w:rPr>
                <w:rFonts w:cs="Times New Roman"/>
              </w:rPr>
              <w:t>/</w:t>
            </w:r>
            <w:r>
              <w:rPr>
                <w:rFonts w:cs="Times New Roman"/>
              </w:rPr>
              <w:t>禁止类】禁止在饮用水水源一级保护区内新建、改建、扩建与供水设施和保护水源无关的建设项目；已建成的与供水设施和保护水源无关的建设项目由镇级以上人民政府责令拆除或者关闭。禁止在饮用水水源二级保护区内新建、改建、扩建排放污染物的建设项目；已建成的排放污染物的建设项目由镇级以上人民政府责令拆除或者关闭。</w:t>
            </w:r>
          </w:p>
          <w:p w:rsidR="00424A30" w:rsidRDefault="000E306C">
            <w:pPr>
              <w:pStyle w:val="af"/>
              <w:jc w:val="left"/>
              <w:rPr>
                <w:rFonts w:cs="Times New Roman"/>
              </w:rPr>
            </w:pPr>
            <w:r>
              <w:rPr>
                <w:rFonts w:cs="Times New Roman"/>
              </w:rPr>
              <w:t>2.</w:t>
            </w:r>
            <w:r>
              <w:rPr>
                <w:rFonts w:cs="Times New Roman"/>
              </w:rPr>
              <w:t>【水</w:t>
            </w:r>
            <w:r>
              <w:rPr>
                <w:rFonts w:cs="Times New Roman"/>
              </w:rPr>
              <w:t>/</w:t>
            </w:r>
            <w:r>
              <w:rPr>
                <w:rFonts w:cs="Times New Roman"/>
              </w:rPr>
              <w:t>限制类】在石龙西湖水厂饮用水水源一级保护区外建设不排放污染物的项目（除与供水设施和保护水源有关的外），应当尽量避让饮用水水源二级保护区；经组织论证确实无法避让的，应当依法严格审批。</w:t>
            </w:r>
          </w:p>
          <w:p w:rsidR="00424A30" w:rsidRDefault="000E306C">
            <w:pPr>
              <w:pStyle w:val="af"/>
              <w:jc w:val="left"/>
              <w:rPr>
                <w:rFonts w:cs="Times New Roman"/>
              </w:rPr>
            </w:pPr>
            <w:r>
              <w:rPr>
                <w:rFonts w:cs="Times New Roman"/>
              </w:rPr>
              <w:t>3.</w:t>
            </w:r>
            <w:r>
              <w:rPr>
                <w:rFonts w:cs="Times New Roman"/>
              </w:rPr>
              <w:t>【水</w:t>
            </w:r>
            <w:r>
              <w:rPr>
                <w:rFonts w:cs="Times New Roman"/>
              </w:rPr>
              <w:t>/</w:t>
            </w:r>
            <w:r>
              <w:rPr>
                <w:rFonts w:cs="Times New Roman"/>
              </w:rPr>
              <w:t>综合类】东江上航行船舶应当配备符合要求的污染防治设备、器材，不得违反规定向水体排放污染物。船舶装用污水储存设施暂存污水并将其排往岸上接收设施处理的，除应急旁通管路外不得设置其他可以将污水直接排入水体的外排口。船舶航经饮用水水源保护区等特殊排放要求区域时，应当保证其污水外排口全程处于有效锁闭状态。</w:t>
            </w:r>
          </w:p>
          <w:p w:rsidR="00424A30" w:rsidRDefault="000E306C">
            <w:pPr>
              <w:pStyle w:val="af"/>
              <w:jc w:val="left"/>
              <w:rPr>
                <w:rFonts w:cs="Times New Roman"/>
              </w:rPr>
            </w:pPr>
            <w:r>
              <w:rPr>
                <w:rFonts w:cs="Times New Roman"/>
              </w:rPr>
              <w:t>4.</w:t>
            </w:r>
            <w:r>
              <w:rPr>
                <w:rFonts w:cs="Times New Roman"/>
              </w:rPr>
              <w:t>【水</w:t>
            </w:r>
            <w:r>
              <w:rPr>
                <w:rFonts w:cs="Times New Roman"/>
              </w:rPr>
              <w:t>/</w:t>
            </w:r>
            <w:r>
              <w:rPr>
                <w:rFonts w:cs="Times New Roman"/>
              </w:rPr>
              <w:t>综合类】石龙西湖水厂饮用水水源保护区划定前已有的项目和设施，因保护区划定后禁止设置而需要退出的，按以下规定办理：保护区划定前经依法批准设置的，由镇人民政府限期停业、关闭或者拆除，恢复原状；逾期不停</w:t>
            </w:r>
            <w:r>
              <w:rPr>
                <w:rFonts w:cs="Times New Roman"/>
              </w:rPr>
              <w:lastRenderedPageBreak/>
              <w:t>业、关闭或者拆除的，依法强制执行。停业、关闭或者拆除的项目和设施的所有者或者经营者的合法权益受到损害的，镇人民政府依法予以补偿。保护区划定前未经批准设置的，由镇人民政府责令限期停业、关闭或者拆除，恢复原状；逾期不执行的，依法强制执行。</w:t>
            </w:r>
          </w:p>
          <w:p w:rsidR="00424A30" w:rsidRDefault="000E306C">
            <w:pPr>
              <w:pStyle w:val="af"/>
              <w:jc w:val="left"/>
              <w:rPr>
                <w:rFonts w:cs="Times New Roman"/>
                <w:color w:val="000000"/>
                <w:szCs w:val="21"/>
              </w:rPr>
            </w:pPr>
            <w:r>
              <w:rPr>
                <w:rFonts w:cs="Times New Roman"/>
                <w:color w:val="000000"/>
                <w:szCs w:val="21"/>
              </w:rPr>
              <w:t>5.</w:t>
            </w:r>
            <w:r>
              <w:rPr>
                <w:rFonts w:cs="Times New Roman"/>
                <w:color w:val="000000"/>
                <w:szCs w:val="21"/>
              </w:rPr>
              <w:t>【大气</w:t>
            </w:r>
            <w:r>
              <w:rPr>
                <w:rFonts w:cs="Times New Roman"/>
                <w:color w:val="000000"/>
                <w:szCs w:val="21"/>
              </w:rPr>
              <w:t>/</w:t>
            </w:r>
            <w:r>
              <w:rPr>
                <w:rFonts w:cs="Times New Roman"/>
                <w:color w:val="000000"/>
                <w:szCs w:val="21"/>
              </w:rPr>
              <w:t>限制类】大气环境受体敏感区内严格限制新建钢铁、燃煤燃油火电、石化、储油库等项目，产生和排放有毒有害大气污染物项目，以及使用溶剂型油墨、涂料、清洗剂、胶黏剂等高挥发性有机物原辅材料的项目；鼓励现有该类项目逐步搬迁退出。</w:t>
            </w:r>
          </w:p>
          <w:p w:rsidR="00424A30" w:rsidRDefault="000E306C">
            <w:pPr>
              <w:pStyle w:val="af"/>
              <w:jc w:val="left"/>
              <w:rPr>
                <w:rFonts w:cs="Times New Roman"/>
              </w:rPr>
            </w:pPr>
            <w:r>
              <w:rPr>
                <w:rFonts w:cs="Times New Roman"/>
              </w:rPr>
              <w:t>6.</w:t>
            </w:r>
            <w:r>
              <w:rPr>
                <w:rFonts w:cs="Times New Roman"/>
              </w:rPr>
              <w:t>【生态</w:t>
            </w:r>
            <w:r>
              <w:rPr>
                <w:rFonts w:cs="Times New Roman"/>
              </w:rPr>
              <w:t>/</w:t>
            </w:r>
            <w:r>
              <w:rPr>
                <w:rFonts w:cs="Times New Roman"/>
              </w:rPr>
              <w:t>综合类】一般生态空间，以保护为主，按限制开发区域的要求进行管理。严格控制新增建设占用生态保护红线外的生态空间。对未纳入生态保护红线的各类禁止开区按照其规划或法律法规及规章管理，不符合管理要求的建设项目在限期内有序退出。一般生态空间内涉及畜禽养殖区域的按照相关畜禽养殖禁养区和限养区规定进行管理。一般生态空间划定的三类水体禁止设置排污口、排放生活污水、向水体排放有毒有害物质；禁止在河两岸布置养殖企业。</w:t>
            </w:r>
          </w:p>
        </w:tc>
      </w:tr>
      <w:tr w:rsidR="00424A30">
        <w:trPr>
          <w:trHeight w:val="85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能源资源利用</w:t>
            </w:r>
          </w:p>
        </w:tc>
        <w:tc>
          <w:tcPr>
            <w:tcW w:w="12468"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污染物排放管控</w:t>
            </w:r>
          </w:p>
        </w:tc>
        <w:tc>
          <w:tcPr>
            <w:tcW w:w="12468"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26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环境风险防控</w:t>
            </w:r>
          </w:p>
        </w:tc>
        <w:tc>
          <w:tcPr>
            <w:tcW w:w="12468" w:type="dxa"/>
            <w:gridSpan w:val="7"/>
            <w:tcBorders>
              <w:tl2br w:val="nil"/>
              <w:tr2bl w:val="nil"/>
            </w:tcBorders>
          </w:tcPr>
          <w:p w:rsidR="00424A30" w:rsidRDefault="000E306C">
            <w:pPr>
              <w:pStyle w:val="af"/>
              <w:rPr>
                <w:rFonts w:cs="Times New Roman"/>
              </w:rPr>
            </w:pPr>
            <w:r>
              <w:rPr>
                <w:rFonts w:cs="Times New Roman"/>
              </w:rPr>
              <w:t>—</w:t>
            </w:r>
          </w:p>
        </w:tc>
      </w:tr>
    </w:tbl>
    <w:p w:rsidR="00424A30" w:rsidRDefault="00424A30">
      <w:pPr>
        <w:rPr>
          <w:rFonts w:ascii="Times New Roman" w:hAnsi="Times New Roman" w:cs="Times New Roman"/>
          <w:sz w:val="28"/>
        </w:rPr>
        <w:sectPr w:rsidR="00424A30">
          <w:footerReference w:type="default" r:id="rId10"/>
          <w:pgSz w:w="16838" w:h="11906" w:orient="landscape"/>
          <w:pgMar w:top="1800" w:right="1440" w:bottom="1800" w:left="1440" w:header="851" w:footer="992" w:gutter="0"/>
          <w:pgNumType w:fmt="numberInDash"/>
          <w:cols w:space="425"/>
          <w:docGrid w:type="lines" w:linePitch="312"/>
        </w:sectPr>
      </w:pP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1134"/>
        <w:gridCol w:w="992"/>
        <w:gridCol w:w="981"/>
        <w:gridCol w:w="1586"/>
        <w:gridCol w:w="2253"/>
        <w:gridCol w:w="2409"/>
      </w:tblGrid>
      <w:tr w:rsidR="00424A30">
        <w:trPr>
          <w:trHeight w:val="27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环境管控单元编码</w:t>
            </w:r>
          </w:p>
        </w:tc>
        <w:tc>
          <w:tcPr>
            <w:tcW w:w="255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环境管控单元名称</w:t>
            </w:r>
          </w:p>
        </w:tc>
        <w:tc>
          <w:tcPr>
            <w:tcW w:w="4693" w:type="dxa"/>
            <w:gridSpan w:val="4"/>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行政区划</w:t>
            </w:r>
          </w:p>
        </w:tc>
        <w:tc>
          <w:tcPr>
            <w:tcW w:w="225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管控单元分类</w:t>
            </w:r>
          </w:p>
        </w:tc>
        <w:tc>
          <w:tcPr>
            <w:tcW w:w="2409"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要素类别</w:t>
            </w:r>
          </w:p>
        </w:tc>
      </w:tr>
      <w:tr w:rsidR="00424A30">
        <w:trPr>
          <w:trHeight w:val="27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ZH10210002</w:t>
            </w:r>
          </w:p>
        </w:tc>
        <w:tc>
          <w:tcPr>
            <w:tcW w:w="255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石龙黄洲水厂饮用水水源保护区</w:t>
            </w:r>
          </w:p>
        </w:tc>
        <w:tc>
          <w:tcPr>
            <w:tcW w:w="1134"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广东省</w:t>
            </w:r>
          </w:p>
        </w:tc>
        <w:tc>
          <w:tcPr>
            <w:tcW w:w="99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东莞市</w:t>
            </w:r>
          </w:p>
        </w:tc>
        <w:tc>
          <w:tcPr>
            <w:tcW w:w="981"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石龙镇</w:t>
            </w:r>
          </w:p>
        </w:tc>
        <w:tc>
          <w:tcPr>
            <w:tcW w:w="1586" w:type="dxa"/>
            <w:tcBorders>
              <w:tl2br w:val="nil"/>
              <w:tr2bl w:val="nil"/>
            </w:tcBorders>
            <w:vAlign w:val="center"/>
          </w:tcPr>
          <w:p w:rsidR="00424A30" w:rsidRDefault="000E306C">
            <w:pPr>
              <w:pStyle w:val="af"/>
              <w:jc w:val="center"/>
              <w:rPr>
                <w:rFonts w:cs="Times New Roman"/>
              </w:rPr>
            </w:pPr>
            <w:r>
              <w:rPr>
                <w:rFonts w:cs="Times New Roman"/>
              </w:rPr>
              <w:t>王屋洲村、西湖村</w:t>
            </w:r>
          </w:p>
        </w:tc>
        <w:tc>
          <w:tcPr>
            <w:tcW w:w="2253"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优先保护单元</w:t>
            </w:r>
          </w:p>
        </w:tc>
        <w:tc>
          <w:tcPr>
            <w:tcW w:w="2409"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水环境优先保护单元、大气环境受体敏感重点管控区、生态空间</w:t>
            </w:r>
          </w:p>
        </w:tc>
      </w:tr>
      <w:tr w:rsidR="00424A30">
        <w:trPr>
          <w:trHeight w:val="27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管控维度</w:t>
            </w:r>
          </w:p>
        </w:tc>
        <w:tc>
          <w:tcPr>
            <w:tcW w:w="11907" w:type="dxa"/>
            <w:gridSpan w:val="7"/>
            <w:tcBorders>
              <w:tl2br w:val="nil"/>
              <w:tr2bl w:val="nil"/>
            </w:tcBorders>
          </w:tcPr>
          <w:p w:rsidR="00424A30" w:rsidRDefault="000E306C">
            <w:pPr>
              <w:pStyle w:val="af"/>
              <w:jc w:val="center"/>
              <w:rPr>
                <w:rFonts w:cs="Times New Roman"/>
                <w:b/>
                <w:bCs/>
              </w:rPr>
            </w:pPr>
            <w:r>
              <w:rPr>
                <w:rFonts w:cs="Times New Roman"/>
                <w:b/>
                <w:bCs/>
              </w:rPr>
              <w:t>管控要求</w:t>
            </w:r>
          </w:p>
        </w:tc>
      </w:tr>
      <w:tr w:rsidR="00424A30">
        <w:trPr>
          <w:trHeight w:val="1275"/>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区域布局管控</w:t>
            </w:r>
          </w:p>
        </w:tc>
        <w:tc>
          <w:tcPr>
            <w:tcW w:w="11907" w:type="dxa"/>
            <w:gridSpan w:val="7"/>
            <w:tcBorders>
              <w:tl2br w:val="nil"/>
              <w:tr2bl w:val="nil"/>
            </w:tcBorders>
          </w:tcPr>
          <w:p w:rsidR="00424A30" w:rsidRDefault="000E306C">
            <w:pPr>
              <w:pStyle w:val="af"/>
              <w:jc w:val="left"/>
              <w:rPr>
                <w:rFonts w:cs="Times New Roman"/>
              </w:rPr>
            </w:pPr>
            <w:r>
              <w:rPr>
                <w:rFonts w:cs="Times New Roman"/>
              </w:rPr>
              <w:t>1.</w:t>
            </w:r>
            <w:r>
              <w:rPr>
                <w:rFonts w:cs="Times New Roman"/>
              </w:rPr>
              <w:t>【水</w:t>
            </w:r>
            <w:r>
              <w:rPr>
                <w:rFonts w:cs="Times New Roman"/>
              </w:rPr>
              <w:t>/</w:t>
            </w:r>
            <w:r>
              <w:rPr>
                <w:rFonts w:cs="Times New Roman"/>
              </w:rPr>
              <w:t>禁止类】禁止在饮用水水源一级保护区内新建、改建、扩建与供水设施和保护水源无关的建设项目；已建成的与供水设施和保护水源无关的建设项目由镇级以上人民政府责令拆除或者关闭。禁止在饮用水水源二级保护区内新建、改建、扩建排放污染物的建设项目；已建成的排放污染物的建设项目由镇级以上人民政府责令拆除或者关闭。</w:t>
            </w:r>
          </w:p>
          <w:p w:rsidR="00424A30" w:rsidRDefault="000E306C">
            <w:pPr>
              <w:pStyle w:val="af"/>
              <w:jc w:val="left"/>
              <w:rPr>
                <w:rFonts w:cs="Times New Roman"/>
              </w:rPr>
            </w:pPr>
            <w:r>
              <w:rPr>
                <w:rFonts w:cs="Times New Roman"/>
              </w:rPr>
              <w:t>2.</w:t>
            </w:r>
            <w:r>
              <w:rPr>
                <w:rFonts w:cs="Times New Roman"/>
              </w:rPr>
              <w:t>【水</w:t>
            </w:r>
            <w:r>
              <w:rPr>
                <w:rFonts w:cs="Times New Roman"/>
              </w:rPr>
              <w:t>/</w:t>
            </w:r>
            <w:r>
              <w:rPr>
                <w:rFonts w:cs="Times New Roman"/>
              </w:rPr>
              <w:t>限制类】在石龙黄洲水厂饮用水水源一级保护区外建设不排放污染物的项目（除与供水设施和保护水源有关的外），应当尽量避让饮用水水源二级保护区；经组织论证确实无法避让的，应当依法严格审批。</w:t>
            </w:r>
          </w:p>
          <w:p w:rsidR="00424A30" w:rsidRDefault="000E306C">
            <w:pPr>
              <w:pStyle w:val="af"/>
              <w:jc w:val="left"/>
              <w:rPr>
                <w:rFonts w:cs="Times New Roman"/>
              </w:rPr>
            </w:pPr>
            <w:r>
              <w:rPr>
                <w:rFonts w:cs="Times New Roman"/>
              </w:rPr>
              <w:t>3.</w:t>
            </w:r>
            <w:r>
              <w:rPr>
                <w:rFonts w:cs="Times New Roman"/>
              </w:rPr>
              <w:t>【水</w:t>
            </w:r>
            <w:r>
              <w:rPr>
                <w:rFonts w:cs="Times New Roman"/>
              </w:rPr>
              <w:t>/</w:t>
            </w:r>
            <w:r>
              <w:rPr>
                <w:rFonts w:cs="Times New Roman"/>
              </w:rPr>
              <w:t>综合类】东江上航行船舶应当配备符合要求的污染防治设备、器材，不得违反规定向水体排放污染物。船舶装用污水储存设施暂存污水并将其排往岸上接收设施处理的，除应急旁通管路外不得设置其他可以将污水直接排入水体的外排口。船舶航经饮用水水源保护区等特殊排放要求区域时，应当保证其污水外排口全程处于有效锁闭状态。</w:t>
            </w:r>
          </w:p>
          <w:p w:rsidR="00424A30" w:rsidRDefault="000E306C">
            <w:pPr>
              <w:pStyle w:val="af"/>
              <w:jc w:val="left"/>
              <w:rPr>
                <w:rFonts w:cs="Times New Roman"/>
              </w:rPr>
            </w:pPr>
            <w:r>
              <w:rPr>
                <w:rFonts w:cs="Times New Roman"/>
              </w:rPr>
              <w:t>4.</w:t>
            </w:r>
            <w:r>
              <w:rPr>
                <w:rFonts w:cs="Times New Roman"/>
              </w:rPr>
              <w:t>【水</w:t>
            </w:r>
            <w:r>
              <w:rPr>
                <w:rFonts w:cs="Times New Roman"/>
              </w:rPr>
              <w:t>/</w:t>
            </w:r>
            <w:r>
              <w:rPr>
                <w:rFonts w:cs="Times New Roman"/>
              </w:rPr>
              <w:t>综合类】石龙黄洲水厂饮用水水源保护区划定前已有的项目和设施，因保护区划定后禁止设置而需要退出的，按以下规定办理：保护区划定前经依法批准设置的，由镇人民政府限期停业、关闭或者拆除，恢复原状；逾期不停业、关闭或者拆除的，依法强制执行。停业、关闭或者拆除的项目和设施的所有者或者经营者的合法权益受到损害的，镇人民政府依法予以补偿。保护区划定前未经批准设置的，由镇人民政府责令限期停</w:t>
            </w:r>
            <w:r>
              <w:rPr>
                <w:rFonts w:cs="Times New Roman"/>
              </w:rPr>
              <w:lastRenderedPageBreak/>
              <w:t>业、关闭或者拆除，恢复原状；逾期不执行的，依法强制执行。</w:t>
            </w:r>
          </w:p>
          <w:p w:rsidR="00424A30" w:rsidRDefault="000E306C">
            <w:pPr>
              <w:pStyle w:val="af"/>
              <w:jc w:val="left"/>
              <w:rPr>
                <w:rFonts w:cs="Times New Roman"/>
                <w:color w:val="000000"/>
                <w:szCs w:val="21"/>
              </w:rPr>
            </w:pPr>
            <w:r>
              <w:rPr>
                <w:rFonts w:cs="Times New Roman"/>
                <w:color w:val="000000"/>
                <w:szCs w:val="21"/>
              </w:rPr>
              <w:t>5.</w:t>
            </w:r>
            <w:r>
              <w:rPr>
                <w:rFonts w:cs="Times New Roman"/>
                <w:color w:val="000000"/>
                <w:szCs w:val="21"/>
              </w:rPr>
              <w:t>【大气</w:t>
            </w:r>
            <w:r>
              <w:rPr>
                <w:rFonts w:cs="Times New Roman"/>
                <w:color w:val="000000"/>
                <w:szCs w:val="21"/>
              </w:rPr>
              <w:t>/</w:t>
            </w:r>
            <w:r>
              <w:rPr>
                <w:rFonts w:cs="Times New Roman"/>
                <w:color w:val="000000"/>
                <w:szCs w:val="21"/>
              </w:rPr>
              <w:t>限制类】大气环境受体敏感区内严格限制新建钢铁、燃煤燃油火电、石化、储油库等项目，产生和排放有毒有害大气污染物项目，以及使用溶剂型油墨、涂料、清洗剂、胶黏剂等高挥发性有机物原辅材料的项目；鼓励现有该类项目逐步搬迁退出。</w:t>
            </w:r>
          </w:p>
          <w:p w:rsidR="00424A30" w:rsidRDefault="000E306C">
            <w:pPr>
              <w:pStyle w:val="af"/>
              <w:jc w:val="left"/>
              <w:rPr>
                <w:rFonts w:cs="Times New Roman"/>
              </w:rPr>
            </w:pPr>
            <w:r>
              <w:rPr>
                <w:rFonts w:cs="Times New Roman"/>
              </w:rPr>
              <w:t>6.</w:t>
            </w:r>
            <w:r>
              <w:rPr>
                <w:rFonts w:cs="Times New Roman"/>
              </w:rPr>
              <w:t>【生态</w:t>
            </w:r>
            <w:r>
              <w:rPr>
                <w:rFonts w:cs="Times New Roman"/>
              </w:rPr>
              <w:t>/</w:t>
            </w:r>
            <w:r>
              <w:rPr>
                <w:rFonts w:cs="Times New Roman"/>
              </w:rPr>
              <w:t>综合类】一般生态空间，以保护为主，按限制开发区域的要求进行管理。严格控制新增建设占用生态保护红线外的生态空间。对未纳入生态保护红线的各类禁止开区按照其规划或法律法规及规章管理，不符合管理要求的建设项目在限期内有序退出。一般生态空间内涉及畜禽养殖区域的按照相关畜禽养殖禁养区和限养区规定进行管理。一般生态空间划定的三类水体禁止设置排污口、排放生活污水、向水体排放有毒有害物质；禁止在河两岸布置养殖企业。</w:t>
            </w:r>
          </w:p>
        </w:tc>
      </w:tr>
      <w:tr w:rsidR="00424A30">
        <w:trPr>
          <w:trHeight w:val="85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能源资源利用</w:t>
            </w:r>
          </w:p>
        </w:tc>
        <w:tc>
          <w:tcPr>
            <w:tcW w:w="11907"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污染物排放管控</w:t>
            </w:r>
          </w:p>
        </w:tc>
        <w:tc>
          <w:tcPr>
            <w:tcW w:w="11907"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环境风险防控</w:t>
            </w:r>
          </w:p>
        </w:tc>
        <w:tc>
          <w:tcPr>
            <w:tcW w:w="11907" w:type="dxa"/>
            <w:gridSpan w:val="7"/>
            <w:tcBorders>
              <w:tl2br w:val="nil"/>
              <w:tr2bl w:val="nil"/>
            </w:tcBorders>
          </w:tcPr>
          <w:p w:rsidR="00424A30" w:rsidRDefault="000E306C">
            <w:pPr>
              <w:pStyle w:val="af"/>
              <w:rPr>
                <w:rFonts w:cs="Times New Roman"/>
              </w:rPr>
            </w:pPr>
            <w:r>
              <w:rPr>
                <w:rFonts w:cs="Times New Roman"/>
              </w:rPr>
              <w:t>—</w:t>
            </w:r>
          </w:p>
        </w:tc>
      </w:tr>
    </w:tbl>
    <w:p w:rsidR="00424A30" w:rsidRDefault="00424A30">
      <w:pPr>
        <w:rPr>
          <w:rFonts w:ascii="Times New Roman" w:hAnsi="Times New Roman" w:cs="Times New Roman"/>
          <w:sz w:val="28"/>
        </w:rPr>
        <w:sectPr w:rsidR="00424A30">
          <w:pgSz w:w="16838" w:h="11906" w:orient="landscape"/>
          <w:pgMar w:top="1800" w:right="1440" w:bottom="1800" w:left="1440" w:header="851" w:footer="992" w:gutter="0"/>
          <w:pgNumType w:fmt="numberInDash"/>
          <w:cols w:space="425"/>
          <w:docGrid w:type="lines" w:linePitch="312"/>
        </w:sectPr>
      </w:pP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27"/>
        <w:gridCol w:w="1022"/>
        <w:gridCol w:w="992"/>
        <w:gridCol w:w="1276"/>
        <w:gridCol w:w="1842"/>
        <w:gridCol w:w="1985"/>
        <w:gridCol w:w="2551"/>
      </w:tblGrid>
      <w:tr w:rsidR="00424A30">
        <w:trPr>
          <w:trHeight w:val="27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环境管控单元编码</w:t>
            </w:r>
          </w:p>
        </w:tc>
        <w:tc>
          <w:tcPr>
            <w:tcW w:w="2527"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环境管控单元名称</w:t>
            </w:r>
          </w:p>
        </w:tc>
        <w:tc>
          <w:tcPr>
            <w:tcW w:w="5132" w:type="dxa"/>
            <w:gridSpan w:val="4"/>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行政区划</w:t>
            </w:r>
          </w:p>
        </w:tc>
        <w:tc>
          <w:tcPr>
            <w:tcW w:w="1985"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管控单元分类</w:t>
            </w:r>
          </w:p>
        </w:tc>
        <w:tc>
          <w:tcPr>
            <w:tcW w:w="2551"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要素类别</w:t>
            </w:r>
          </w:p>
        </w:tc>
      </w:tr>
      <w:tr w:rsidR="00424A30">
        <w:trPr>
          <w:trHeight w:val="27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ZH10210003</w:t>
            </w:r>
          </w:p>
        </w:tc>
        <w:tc>
          <w:tcPr>
            <w:tcW w:w="2527"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市第六水厂饮用水水源保护区</w:t>
            </w:r>
          </w:p>
        </w:tc>
        <w:tc>
          <w:tcPr>
            <w:tcW w:w="102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广东省</w:t>
            </w:r>
          </w:p>
        </w:tc>
        <w:tc>
          <w:tcPr>
            <w:tcW w:w="99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东莞市</w:t>
            </w:r>
          </w:p>
        </w:tc>
        <w:tc>
          <w:tcPr>
            <w:tcW w:w="1276"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石龙镇</w:t>
            </w:r>
          </w:p>
        </w:tc>
        <w:tc>
          <w:tcPr>
            <w:tcW w:w="1842" w:type="dxa"/>
            <w:tcBorders>
              <w:tl2br w:val="nil"/>
              <w:tr2bl w:val="nil"/>
            </w:tcBorders>
            <w:vAlign w:val="center"/>
          </w:tcPr>
          <w:p w:rsidR="00424A30" w:rsidRDefault="000E306C">
            <w:pPr>
              <w:pStyle w:val="af"/>
              <w:jc w:val="center"/>
              <w:rPr>
                <w:rFonts w:cs="Times New Roman"/>
              </w:rPr>
            </w:pPr>
            <w:r>
              <w:rPr>
                <w:rFonts w:cs="Times New Roman"/>
              </w:rPr>
              <w:t>忠维村、西湖村、林屋村</w:t>
            </w:r>
          </w:p>
        </w:tc>
        <w:tc>
          <w:tcPr>
            <w:tcW w:w="1985"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优先保护单元</w:t>
            </w:r>
          </w:p>
        </w:tc>
        <w:tc>
          <w:tcPr>
            <w:tcW w:w="2551"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水环境优先保护单元、大气环境受体敏感重点管控区、生态空间</w:t>
            </w:r>
          </w:p>
        </w:tc>
      </w:tr>
      <w:tr w:rsidR="00424A30">
        <w:trPr>
          <w:trHeight w:val="27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管控维度</w:t>
            </w:r>
          </w:p>
        </w:tc>
        <w:tc>
          <w:tcPr>
            <w:tcW w:w="12195" w:type="dxa"/>
            <w:gridSpan w:val="7"/>
            <w:tcBorders>
              <w:tl2br w:val="nil"/>
              <w:tr2bl w:val="nil"/>
            </w:tcBorders>
          </w:tcPr>
          <w:p w:rsidR="00424A30" w:rsidRDefault="000E306C">
            <w:pPr>
              <w:pStyle w:val="af"/>
              <w:jc w:val="center"/>
              <w:rPr>
                <w:rFonts w:cs="Times New Roman"/>
                <w:b/>
                <w:bCs/>
              </w:rPr>
            </w:pPr>
            <w:r>
              <w:rPr>
                <w:rFonts w:cs="Times New Roman"/>
                <w:b/>
                <w:bCs/>
              </w:rPr>
              <w:t>管控要求</w:t>
            </w:r>
          </w:p>
        </w:tc>
      </w:tr>
      <w:tr w:rsidR="00424A30">
        <w:trPr>
          <w:trHeight w:val="1275"/>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区域布局管控</w:t>
            </w:r>
          </w:p>
        </w:tc>
        <w:tc>
          <w:tcPr>
            <w:tcW w:w="12195" w:type="dxa"/>
            <w:gridSpan w:val="7"/>
            <w:tcBorders>
              <w:tl2br w:val="nil"/>
              <w:tr2bl w:val="nil"/>
            </w:tcBorders>
          </w:tcPr>
          <w:p w:rsidR="00424A30" w:rsidRDefault="000E306C">
            <w:pPr>
              <w:pStyle w:val="af"/>
              <w:rPr>
                <w:rFonts w:cs="Times New Roman"/>
                <w:sz w:val="32"/>
                <w:szCs w:val="32"/>
              </w:rPr>
            </w:pPr>
            <w:r>
              <w:rPr>
                <w:rFonts w:cs="Times New Roman"/>
              </w:rPr>
              <w:t>1.</w:t>
            </w:r>
            <w:r>
              <w:rPr>
                <w:rFonts w:cs="Times New Roman"/>
              </w:rPr>
              <w:t>【水</w:t>
            </w:r>
            <w:r>
              <w:rPr>
                <w:rFonts w:cs="Times New Roman"/>
              </w:rPr>
              <w:t>/</w:t>
            </w:r>
            <w:r>
              <w:rPr>
                <w:rFonts w:cs="Times New Roman"/>
              </w:rPr>
              <w:t>禁止类】禁止在饮用水水源一级保护区内新建、改建、扩建与供水设施和保护水源无关的建设项目；已建成的与供水设施和保护水源无关的建设项目由镇级以上人民政府责令拆除或者关闭。禁止在饮用水水源二级保护区内新建、改建、扩建排放污染物的建设项目；已建成的排放污染物的建设项目由镇级以上人民政府责令拆除或者关闭。</w:t>
            </w:r>
            <w:r>
              <w:rPr>
                <w:rFonts w:cs="Times New Roman"/>
              </w:rPr>
              <w:t xml:space="preserve"> </w:t>
            </w:r>
          </w:p>
          <w:p w:rsidR="00424A30" w:rsidRDefault="000E306C">
            <w:pPr>
              <w:pStyle w:val="af"/>
              <w:rPr>
                <w:rFonts w:cs="Times New Roman"/>
                <w:sz w:val="32"/>
                <w:szCs w:val="32"/>
              </w:rPr>
            </w:pPr>
            <w:r>
              <w:rPr>
                <w:rFonts w:cs="Times New Roman"/>
              </w:rPr>
              <w:t>2.</w:t>
            </w:r>
            <w:r>
              <w:rPr>
                <w:rFonts w:cs="Times New Roman"/>
              </w:rPr>
              <w:t>【水</w:t>
            </w:r>
            <w:r>
              <w:rPr>
                <w:rFonts w:cs="Times New Roman"/>
              </w:rPr>
              <w:t>/</w:t>
            </w:r>
            <w:r>
              <w:rPr>
                <w:rFonts w:cs="Times New Roman"/>
              </w:rPr>
              <w:t>限制类】在第六水厂饮用水水源一级保护区外建设不排放污染物的项目（除与供水设施和保护水源有关的外），应当尽量避让饮用水水源二级保护区；经组织论证确实无法避让的，应当依法严格审批。</w:t>
            </w:r>
            <w:r>
              <w:rPr>
                <w:rFonts w:cs="Times New Roman"/>
              </w:rPr>
              <w:t xml:space="preserve"> </w:t>
            </w:r>
          </w:p>
          <w:p w:rsidR="00424A30" w:rsidRDefault="000E306C">
            <w:pPr>
              <w:pStyle w:val="af"/>
              <w:rPr>
                <w:rFonts w:cs="Times New Roman"/>
                <w:sz w:val="32"/>
                <w:szCs w:val="32"/>
              </w:rPr>
            </w:pPr>
            <w:r>
              <w:rPr>
                <w:rFonts w:cs="Times New Roman"/>
              </w:rPr>
              <w:t>3.</w:t>
            </w:r>
            <w:r>
              <w:rPr>
                <w:rFonts w:cs="Times New Roman"/>
              </w:rPr>
              <w:t>【水</w:t>
            </w:r>
            <w:r>
              <w:rPr>
                <w:rFonts w:cs="Times New Roman"/>
              </w:rPr>
              <w:t>/</w:t>
            </w:r>
            <w:r>
              <w:rPr>
                <w:rFonts w:cs="Times New Roman"/>
              </w:rPr>
              <w:t>综合类】东江南支流上航行船舶应当配备符合要求的污染防治设备、器材，不得违反规定向水体排放污染物。船舶装用污水储存设施暂存污水并将其排往岸上接收设施处理的，除应急旁通管路外不得设置其他可以将污水直接排入水体的外排口。船舶航经饮用水水源保护区等特殊排放要求区域时，应当保证其污水外排口全程处于有效锁闭状态。</w:t>
            </w:r>
            <w:r>
              <w:rPr>
                <w:rFonts w:cs="Times New Roman"/>
              </w:rPr>
              <w:t xml:space="preserve"> </w:t>
            </w:r>
          </w:p>
          <w:p w:rsidR="00424A30" w:rsidRDefault="000E306C">
            <w:pPr>
              <w:pStyle w:val="af"/>
              <w:rPr>
                <w:rFonts w:cs="Times New Roman"/>
                <w:sz w:val="32"/>
                <w:szCs w:val="32"/>
              </w:rPr>
            </w:pPr>
            <w:r>
              <w:rPr>
                <w:rFonts w:cs="Times New Roman"/>
              </w:rPr>
              <w:t>4.</w:t>
            </w:r>
            <w:r>
              <w:rPr>
                <w:rFonts w:cs="Times New Roman"/>
              </w:rPr>
              <w:t>【水</w:t>
            </w:r>
            <w:r>
              <w:rPr>
                <w:rFonts w:cs="Times New Roman"/>
              </w:rPr>
              <w:t>/</w:t>
            </w:r>
            <w:r>
              <w:rPr>
                <w:rFonts w:cs="Times New Roman"/>
              </w:rPr>
              <w:t>综合类】第六水厂饮用水水源保护区划定前已有的项目和设施，因保护区划定后禁止设置而需要退出的，按以下规定办理：保护区划定前经依法批准设置的，由镇人民政府限期停业、关闭或者拆除，恢复原状；逾期不停业、关闭或者拆除的，依法强制执行。停业、关闭或者拆除的项目和设施的所有者或者经营者的合法权益受到损害的，镇人民政府依法予以补偿。保护区划定前未经批准设置的，由镇人民政府责令限期停业、关闭或者拆除，恢复原状；逾期不执行的，依法强制执行。</w:t>
            </w:r>
            <w:r>
              <w:rPr>
                <w:rFonts w:cs="Times New Roman"/>
              </w:rPr>
              <w:t xml:space="preserve"> </w:t>
            </w:r>
          </w:p>
          <w:p w:rsidR="00424A30" w:rsidRDefault="000E306C">
            <w:pPr>
              <w:pStyle w:val="af"/>
              <w:rPr>
                <w:rFonts w:cs="Times New Roman"/>
              </w:rPr>
            </w:pPr>
            <w:r>
              <w:rPr>
                <w:rFonts w:cs="Times New Roman"/>
              </w:rPr>
              <w:lastRenderedPageBreak/>
              <w:t>5.</w:t>
            </w:r>
            <w:r>
              <w:rPr>
                <w:rFonts w:cs="Times New Roman"/>
              </w:rPr>
              <w:t>【大气</w:t>
            </w:r>
            <w:r>
              <w:rPr>
                <w:rFonts w:cs="Times New Roman"/>
              </w:rPr>
              <w:t>/</w:t>
            </w:r>
            <w:r>
              <w:rPr>
                <w:rFonts w:cs="Times New Roman"/>
              </w:rPr>
              <w:t>限制类】大气环境受体敏感区内严格限制新建钢铁、燃煤燃油火电、石化、储油库等项目，产生和排放有毒有害大气污染物项目，以及使用溶剂型油墨、涂料、清洗剂、胶黏剂等高挥发性有机物原辅材料的项目；鼓励现有该类项目逐步搬迁退出。</w:t>
            </w:r>
          </w:p>
          <w:p w:rsidR="00424A30" w:rsidRDefault="000E306C">
            <w:pPr>
              <w:pStyle w:val="af"/>
              <w:rPr>
                <w:rFonts w:cs="Times New Roman"/>
              </w:rPr>
            </w:pPr>
            <w:r>
              <w:rPr>
                <w:rFonts w:cs="Times New Roman"/>
              </w:rPr>
              <w:t>6.</w:t>
            </w:r>
            <w:r>
              <w:rPr>
                <w:rFonts w:cs="Times New Roman"/>
              </w:rPr>
              <w:t>【生态</w:t>
            </w:r>
            <w:r>
              <w:rPr>
                <w:rFonts w:cs="Times New Roman"/>
              </w:rPr>
              <w:t>/</w:t>
            </w:r>
            <w:r>
              <w:rPr>
                <w:rFonts w:cs="Times New Roman"/>
              </w:rPr>
              <w:t>综合类】一般生态空间，以保护为主，按限制开发区域的要求进行管理。严格控制新增建设占用生态保护红线外的生态空间。对未纳入生态保护红线的各类禁止开区按照其规划或法律法规及规章管理，不符合管理要求的建设项目在限期内有序退出。一般生态空间内涉及畜禽养殖区域的按照相关畜禽养殖禁养区和限养区规定进行管理。一般生态空间划定的三类水体禁止设置排污口、排放生活污水、向水体排放有毒有害物质；禁止在河两岸布置养殖企业。</w:t>
            </w:r>
          </w:p>
        </w:tc>
      </w:tr>
      <w:tr w:rsidR="00424A30">
        <w:trPr>
          <w:trHeight w:val="85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能源资源利用</w:t>
            </w:r>
          </w:p>
        </w:tc>
        <w:tc>
          <w:tcPr>
            <w:tcW w:w="12195"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污染物排放管控</w:t>
            </w:r>
          </w:p>
        </w:tc>
        <w:tc>
          <w:tcPr>
            <w:tcW w:w="12195" w:type="dxa"/>
            <w:gridSpan w:val="7"/>
            <w:tcBorders>
              <w:tl2br w:val="nil"/>
              <w:tr2bl w:val="nil"/>
            </w:tcBorders>
          </w:tcPr>
          <w:p w:rsidR="00424A30" w:rsidRDefault="000E306C">
            <w:pPr>
              <w:pStyle w:val="af"/>
              <w:rPr>
                <w:rFonts w:cs="Times New Roman"/>
              </w:rPr>
            </w:pPr>
            <w:r>
              <w:rPr>
                <w:rFonts w:cs="Times New Roman"/>
              </w:rPr>
              <w:t>—</w:t>
            </w:r>
          </w:p>
        </w:tc>
      </w:tr>
      <w:tr w:rsidR="00424A30">
        <w:trPr>
          <w:trHeight w:val="858"/>
          <w:jc w:val="center"/>
        </w:trPr>
        <w:tc>
          <w:tcPr>
            <w:tcW w:w="226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环境风险防控</w:t>
            </w:r>
          </w:p>
        </w:tc>
        <w:tc>
          <w:tcPr>
            <w:tcW w:w="12195" w:type="dxa"/>
            <w:gridSpan w:val="7"/>
            <w:tcBorders>
              <w:tl2br w:val="nil"/>
              <w:tr2bl w:val="nil"/>
            </w:tcBorders>
          </w:tcPr>
          <w:p w:rsidR="00424A30" w:rsidRDefault="000E306C">
            <w:pPr>
              <w:pStyle w:val="af"/>
              <w:rPr>
                <w:rFonts w:cs="Times New Roman"/>
              </w:rPr>
            </w:pPr>
            <w:r>
              <w:rPr>
                <w:rFonts w:cs="Times New Roman"/>
              </w:rPr>
              <w:t>—</w:t>
            </w:r>
          </w:p>
        </w:tc>
      </w:tr>
    </w:tbl>
    <w:p w:rsidR="00424A30" w:rsidRDefault="00424A30">
      <w:pPr>
        <w:rPr>
          <w:rFonts w:ascii="Times New Roman" w:hAnsi="Times New Roman" w:cs="Times New Roman"/>
          <w:sz w:val="28"/>
        </w:rPr>
      </w:pPr>
    </w:p>
    <w:p w:rsidR="00424A30" w:rsidRDefault="00424A30">
      <w:pPr>
        <w:rPr>
          <w:rFonts w:ascii="Times New Roman" w:hAnsi="Times New Roman" w:cs="Times New Roman"/>
          <w:sz w:val="28"/>
        </w:rPr>
        <w:sectPr w:rsidR="00424A30">
          <w:pgSz w:w="16838" w:h="11906" w:orient="landscape"/>
          <w:pgMar w:top="1800" w:right="1440" w:bottom="1800" w:left="1440" w:header="851" w:footer="992" w:gutter="0"/>
          <w:pgNumType w:fmt="numberInDash"/>
          <w:cols w:space="425"/>
          <w:docGrid w:type="lines" w:linePitch="312"/>
        </w:sectPr>
      </w:pP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992"/>
        <w:gridCol w:w="1134"/>
        <w:gridCol w:w="1134"/>
        <w:gridCol w:w="1984"/>
        <w:gridCol w:w="1843"/>
        <w:gridCol w:w="3260"/>
      </w:tblGrid>
      <w:tr w:rsidR="00424A30">
        <w:trPr>
          <w:trHeight w:val="278"/>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环境管控单元编码</w:t>
            </w:r>
          </w:p>
        </w:tc>
        <w:tc>
          <w:tcPr>
            <w:tcW w:w="2268"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环境管控单元名称</w:t>
            </w:r>
          </w:p>
        </w:tc>
        <w:tc>
          <w:tcPr>
            <w:tcW w:w="5244" w:type="dxa"/>
            <w:gridSpan w:val="4"/>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行政区划</w:t>
            </w:r>
          </w:p>
        </w:tc>
        <w:tc>
          <w:tcPr>
            <w:tcW w:w="1843"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管控单元分类</w:t>
            </w:r>
          </w:p>
        </w:tc>
        <w:tc>
          <w:tcPr>
            <w:tcW w:w="3260"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要素类别</w:t>
            </w:r>
          </w:p>
        </w:tc>
      </w:tr>
      <w:tr w:rsidR="00424A30" w:rsidTr="000F6AEC">
        <w:trPr>
          <w:trHeight w:val="2983"/>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ZH10220001</w:t>
            </w:r>
          </w:p>
        </w:tc>
        <w:tc>
          <w:tcPr>
            <w:tcW w:w="2268"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石龙镇重点管控单元</w:t>
            </w:r>
          </w:p>
        </w:tc>
        <w:tc>
          <w:tcPr>
            <w:tcW w:w="992"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广东省</w:t>
            </w:r>
          </w:p>
        </w:tc>
        <w:tc>
          <w:tcPr>
            <w:tcW w:w="1134"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东莞市</w:t>
            </w:r>
          </w:p>
        </w:tc>
        <w:tc>
          <w:tcPr>
            <w:tcW w:w="1134" w:type="dxa"/>
            <w:tcBorders>
              <w:tl2br w:val="nil"/>
              <w:tr2bl w:val="nil"/>
            </w:tcBorders>
            <w:shd w:val="clear" w:color="auto" w:fill="auto"/>
            <w:noWrap/>
            <w:vAlign w:val="center"/>
          </w:tcPr>
          <w:p w:rsidR="00424A30" w:rsidRDefault="000E306C">
            <w:pPr>
              <w:pStyle w:val="af"/>
              <w:jc w:val="center"/>
              <w:rPr>
                <w:rFonts w:cs="Times New Roman"/>
              </w:rPr>
            </w:pPr>
            <w:r>
              <w:rPr>
                <w:rFonts w:cs="Times New Roman"/>
              </w:rPr>
              <w:t>石龙镇</w:t>
            </w:r>
          </w:p>
        </w:tc>
        <w:tc>
          <w:tcPr>
            <w:tcW w:w="1984" w:type="dxa"/>
            <w:tcBorders>
              <w:tl2br w:val="nil"/>
              <w:tr2bl w:val="nil"/>
            </w:tcBorders>
            <w:vAlign w:val="center"/>
          </w:tcPr>
          <w:p w:rsidR="00424A30" w:rsidRDefault="000E306C" w:rsidP="000F6AEC">
            <w:pPr>
              <w:pStyle w:val="af"/>
              <w:spacing w:line="360" w:lineRule="exact"/>
              <w:jc w:val="center"/>
              <w:rPr>
                <w:rFonts w:cs="Times New Roman"/>
              </w:rPr>
            </w:pPr>
            <w:r>
              <w:rPr>
                <w:rFonts w:cs="Times New Roman"/>
              </w:rPr>
              <w:t>西湖村、王屋洲村、黄家山村、林屋村、中山东社区、中山西社区、忠维村、兴龙社区、新维村、蒲溪村</w:t>
            </w:r>
          </w:p>
        </w:tc>
        <w:tc>
          <w:tcPr>
            <w:tcW w:w="1843" w:type="dxa"/>
            <w:tcBorders>
              <w:tl2br w:val="nil"/>
              <w:tr2bl w:val="nil"/>
            </w:tcBorders>
            <w:shd w:val="clear" w:color="auto" w:fill="auto"/>
            <w:noWrap/>
            <w:vAlign w:val="center"/>
          </w:tcPr>
          <w:p w:rsidR="00424A30" w:rsidRDefault="000E306C" w:rsidP="000F6AEC">
            <w:pPr>
              <w:pStyle w:val="af"/>
              <w:spacing w:line="360" w:lineRule="exact"/>
              <w:jc w:val="center"/>
              <w:rPr>
                <w:rFonts w:cs="Times New Roman"/>
              </w:rPr>
            </w:pPr>
            <w:r>
              <w:rPr>
                <w:rFonts w:cs="Times New Roman"/>
              </w:rPr>
              <w:t>重点管控区</w:t>
            </w:r>
          </w:p>
        </w:tc>
        <w:tc>
          <w:tcPr>
            <w:tcW w:w="3260" w:type="dxa"/>
            <w:tcBorders>
              <w:tl2br w:val="nil"/>
              <w:tr2bl w:val="nil"/>
            </w:tcBorders>
            <w:shd w:val="clear" w:color="auto" w:fill="auto"/>
            <w:noWrap/>
            <w:vAlign w:val="center"/>
          </w:tcPr>
          <w:p w:rsidR="00424A30" w:rsidRDefault="000E306C" w:rsidP="000F6AEC">
            <w:pPr>
              <w:pStyle w:val="af"/>
              <w:spacing w:line="360" w:lineRule="exact"/>
              <w:jc w:val="left"/>
              <w:rPr>
                <w:rFonts w:cs="Times New Roman"/>
              </w:rPr>
            </w:pPr>
            <w:r>
              <w:rPr>
                <w:rFonts w:cs="Times New Roman"/>
              </w:rPr>
              <w:t>水环境工业污染重点管控区、水环境城镇生活污染</w:t>
            </w:r>
            <w:bookmarkStart w:id="0" w:name="OLE_LINK1"/>
            <w:r>
              <w:rPr>
                <w:rFonts w:cs="Times New Roman"/>
              </w:rPr>
              <w:t>重点管控区</w:t>
            </w:r>
            <w:bookmarkEnd w:id="0"/>
            <w:r>
              <w:rPr>
                <w:rFonts w:cs="Times New Roman"/>
              </w:rPr>
              <w:t>、大气环境受体敏感重点管控区、大气环境高排放重点管控区、大气环境布局敏感重点管控区、大气环境弱扩散重点管控区、高污染燃料禁燃区</w:t>
            </w:r>
          </w:p>
        </w:tc>
      </w:tr>
      <w:tr w:rsidR="00424A30">
        <w:trPr>
          <w:trHeight w:val="278"/>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管控维度</w:t>
            </w:r>
          </w:p>
        </w:tc>
        <w:tc>
          <w:tcPr>
            <w:tcW w:w="12615" w:type="dxa"/>
            <w:gridSpan w:val="7"/>
            <w:tcBorders>
              <w:tl2br w:val="nil"/>
              <w:tr2bl w:val="nil"/>
            </w:tcBorders>
          </w:tcPr>
          <w:p w:rsidR="00424A30" w:rsidRDefault="000E306C">
            <w:pPr>
              <w:pStyle w:val="af"/>
              <w:jc w:val="center"/>
              <w:rPr>
                <w:rFonts w:cs="Times New Roman"/>
                <w:b/>
                <w:bCs/>
              </w:rPr>
            </w:pPr>
            <w:r>
              <w:rPr>
                <w:rFonts w:cs="Times New Roman"/>
                <w:b/>
                <w:bCs/>
              </w:rPr>
              <w:t>管控要求</w:t>
            </w:r>
          </w:p>
        </w:tc>
      </w:tr>
      <w:tr w:rsidR="00424A30">
        <w:trPr>
          <w:trHeight w:val="1275"/>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bookmarkStart w:id="1" w:name="_GoBack" w:colFirst="1" w:colLast="1"/>
            <w:r>
              <w:rPr>
                <w:rFonts w:cs="Times New Roman"/>
                <w:b/>
                <w:bCs/>
              </w:rPr>
              <w:t>区域布局管控</w:t>
            </w:r>
          </w:p>
        </w:tc>
        <w:tc>
          <w:tcPr>
            <w:tcW w:w="12615" w:type="dxa"/>
            <w:gridSpan w:val="7"/>
            <w:tcBorders>
              <w:tl2br w:val="nil"/>
              <w:tr2bl w:val="nil"/>
            </w:tcBorders>
          </w:tcPr>
          <w:p w:rsidR="00424A30" w:rsidRDefault="000E306C" w:rsidP="000F6AEC">
            <w:pPr>
              <w:pStyle w:val="af"/>
              <w:spacing w:line="360" w:lineRule="exact"/>
              <w:jc w:val="left"/>
              <w:rPr>
                <w:rFonts w:cs="Times New Roman"/>
              </w:rPr>
            </w:pPr>
            <w:r>
              <w:rPr>
                <w:rFonts w:cs="Times New Roman"/>
              </w:rPr>
              <w:t>1-1.</w:t>
            </w:r>
            <w:r>
              <w:rPr>
                <w:rFonts w:cs="Times New Roman"/>
              </w:rPr>
              <w:t>【产业</w:t>
            </w:r>
            <w:r>
              <w:rPr>
                <w:rFonts w:cs="Times New Roman"/>
              </w:rPr>
              <w:t>/</w:t>
            </w:r>
            <w:r>
              <w:rPr>
                <w:rFonts w:cs="Times New Roman"/>
              </w:rPr>
              <w:t>鼓励引导类】石龙镇重点管控单元鼓励依托石龙铁路国际物流产业平台，建设水路、铁路、公路等方面的多式联运通道以及集海关、仓储、交易、加工、金融等功能的产业园区。依托原有产业基础，发展药品制造和生物医药产业。</w:t>
            </w:r>
          </w:p>
          <w:p w:rsidR="00424A30" w:rsidRDefault="000E306C" w:rsidP="000F6AEC">
            <w:pPr>
              <w:pStyle w:val="af"/>
              <w:spacing w:line="360" w:lineRule="exact"/>
              <w:jc w:val="left"/>
              <w:rPr>
                <w:rFonts w:cs="Times New Roman"/>
              </w:rPr>
            </w:pPr>
            <w:r>
              <w:rPr>
                <w:rFonts w:cs="Times New Roman"/>
              </w:rPr>
              <w:t>1-2.</w:t>
            </w:r>
            <w:r>
              <w:rPr>
                <w:rFonts w:cs="Times New Roman"/>
              </w:rPr>
              <w:t>【水</w:t>
            </w:r>
            <w:r>
              <w:rPr>
                <w:rFonts w:cs="Times New Roman"/>
              </w:rPr>
              <w:t>/</w:t>
            </w:r>
            <w:r>
              <w:rPr>
                <w:rFonts w:cs="Times New Roman"/>
              </w:rPr>
              <w:t>限制类】严格控制石龙镇高耗水、高污染行业发展，建设项目实行主要水污染物减量替代。</w:t>
            </w:r>
          </w:p>
        </w:tc>
      </w:tr>
      <w:tr w:rsidR="00424A30">
        <w:trPr>
          <w:trHeight w:val="416"/>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能源资源利用</w:t>
            </w:r>
          </w:p>
        </w:tc>
        <w:tc>
          <w:tcPr>
            <w:tcW w:w="12615" w:type="dxa"/>
            <w:gridSpan w:val="7"/>
            <w:tcBorders>
              <w:tl2br w:val="nil"/>
              <w:tr2bl w:val="nil"/>
            </w:tcBorders>
          </w:tcPr>
          <w:p w:rsidR="00424A30" w:rsidRDefault="000E306C" w:rsidP="000F6AEC">
            <w:pPr>
              <w:pStyle w:val="af"/>
              <w:spacing w:line="360" w:lineRule="exact"/>
              <w:jc w:val="left"/>
              <w:rPr>
                <w:rFonts w:cs="Times New Roman"/>
              </w:rPr>
            </w:pPr>
            <w:r>
              <w:rPr>
                <w:rFonts w:cs="Times New Roman"/>
              </w:rPr>
              <w:t>2-1.</w:t>
            </w:r>
            <w:r>
              <w:rPr>
                <w:rFonts w:cs="Times New Roman"/>
              </w:rPr>
              <w:t>【水资源</w:t>
            </w:r>
            <w:r>
              <w:rPr>
                <w:rFonts w:cs="Times New Roman"/>
              </w:rPr>
              <w:t>/</w:t>
            </w:r>
            <w:r>
              <w:rPr>
                <w:rFonts w:cs="Times New Roman"/>
              </w:rPr>
              <w:t>综合类】贯彻落实</w:t>
            </w:r>
            <w:r>
              <w:rPr>
                <w:rFonts w:cs="Times New Roman"/>
              </w:rPr>
              <w:t>“</w:t>
            </w:r>
            <w:r>
              <w:rPr>
                <w:rFonts w:cs="Times New Roman"/>
              </w:rPr>
              <w:t>节水优先</w:t>
            </w:r>
            <w:r>
              <w:rPr>
                <w:rFonts w:cs="Times New Roman"/>
              </w:rPr>
              <w:t>”</w:t>
            </w:r>
            <w:r>
              <w:rPr>
                <w:rFonts w:cs="Times New Roman"/>
              </w:rPr>
              <w:t>方针，实行最严格水资源管理制度，石龙镇万元国内生产总值用水量、万元工业增加值用水量、用水总量等指标达到市下达要求。</w:t>
            </w:r>
            <w:r>
              <w:rPr>
                <w:rFonts w:cs="Times New Roman"/>
              </w:rPr>
              <w:t xml:space="preserve"> </w:t>
            </w:r>
          </w:p>
          <w:p w:rsidR="00424A30" w:rsidRDefault="000E306C" w:rsidP="000F6AEC">
            <w:pPr>
              <w:pStyle w:val="af"/>
              <w:spacing w:line="360" w:lineRule="exact"/>
              <w:jc w:val="left"/>
              <w:rPr>
                <w:rFonts w:cs="Times New Roman"/>
              </w:rPr>
            </w:pPr>
            <w:r>
              <w:rPr>
                <w:rFonts w:cs="Times New Roman"/>
              </w:rPr>
              <w:t>2-2.</w:t>
            </w:r>
            <w:r>
              <w:rPr>
                <w:rFonts w:cs="Times New Roman"/>
              </w:rPr>
              <w:t>【能源</w:t>
            </w:r>
            <w:r>
              <w:rPr>
                <w:rFonts w:cs="Times New Roman"/>
              </w:rPr>
              <w:t>/</w:t>
            </w:r>
            <w:r>
              <w:rPr>
                <w:rFonts w:cs="Times New Roman"/>
              </w:rPr>
              <w:t>综合类】科学实施能源消费总量和强度</w:t>
            </w:r>
            <w:r>
              <w:rPr>
                <w:rFonts w:cs="Times New Roman"/>
              </w:rPr>
              <w:t>“</w:t>
            </w:r>
            <w:r>
              <w:rPr>
                <w:rFonts w:cs="Times New Roman"/>
              </w:rPr>
              <w:t>双控</w:t>
            </w:r>
            <w:r>
              <w:rPr>
                <w:rFonts w:cs="Times New Roman"/>
              </w:rPr>
              <w:t>”</w:t>
            </w:r>
            <w:r>
              <w:rPr>
                <w:rFonts w:cs="Times New Roman"/>
              </w:rPr>
              <w:t>，石龙镇能源消费总量和能源利用效率达到市下达要求；新建高能耗项目单位产品（产值）能耗达到国际先进水平。</w:t>
            </w:r>
            <w:r>
              <w:rPr>
                <w:rFonts w:cs="Times New Roman"/>
              </w:rPr>
              <w:t xml:space="preserve"> </w:t>
            </w:r>
          </w:p>
          <w:p w:rsidR="00424A30" w:rsidRDefault="000E306C" w:rsidP="000F6AEC">
            <w:pPr>
              <w:pStyle w:val="af"/>
              <w:spacing w:line="360" w:lineRule="exact"/>
              <w:jc w:val="left"/>
              <w:rPr>
                <w:rFonts w:cs="Times New Roman"/>
              </w:rPr>
            </w:pPr>
            <w:r>
              <w:rPr>
                <w:rFonts w:cs="Times New Roman"/>
              </w:rPr>
              <w:t>2-3.</w:t>
            </w:r>
            <w:r>
              <w:rPr>
                <w:rFonts w:cs="Times New Roman"/>
              </w:rPr>
              <w:t>【能源</w:t>
            </w:r>
            <w:r>
              <w:rPr>
                <w:rFonts w:cs="Times New Roman"/>
              </w:rPr>
              <w:t>/</w:t>
            </w:r>
            <w:r>
              <w:rPr>
                <w:rFonts w:cs="Times New Roman"/>
              </w:rPr>
              <w:t>禁止类】禁止销售高污染燃料；新建、扩建锅炉必须使用清洁能源。</w:t>
            </w:r>
            <w:r>
              <w:rPr>
                <w:rFonts w:cs="Times New Roman"/>
              </w:rPr>
              <w:t xml:space="preserve"> </w:t>
            </w:r>
          </w:p>
          <w:p w:rsidR="00424A30" w:rsidRDefault="000E306C" w:rsidP="000F6AEC">
            <w:pPr>
              <w:pStyle w:val="af"/>
              <w:spacing w:line="360" w:lineRule="exact"/>
              <w:jc w:val="left"/>
              <w:rPr>
                <w:rFonts w:cs="Times New Roman"/>
              </w:rPr>
            </w:pPr>
            <w:r>
              <w:rPr>
                <w:rFonts w:cs="Times New Roman"/>
              </w:rPr>
              <w:t>2-4.</w:t>
            </w:r>
            <w:r>
              <w:rPr>
                <w:rFonts w:cs="Times New Roman"/>
              </w:rPr>
              <w:t>【能源</w:t>
            </w:r>
            <w:r>
              <w:rPr>
                <w:rFonts w:cs="Times New Roman"/>
              </w:rPr>
              <w:t>/</w:t>
            </w:r>
            <w:r>
              <w:rPr>
                <w:rFonts w:cs="Times New Roman"/>
              </w:rPr>
              <w:t>鼓励引导类】全面推广清洁能源，推动广东石龙铁路国际物流中心</w:t>
            </w:r>
            <w:r>
              <w:rPr>
                <w:rFonts w:cs="Times New Roman"/>
              </w:rPr>
              <w:t>LNG</w:t>
            </w:r>
            <w:r>
              <w:rPr>
                <w:rFonts w:cs="Times New Roman"/>
              </w:rPr>
              <w:t>加注站建设。</w:t>
            </w:r>
          </w:p>
        </w:tc>
      </w:tr>
      <w:bookmarkEnd w:id="1"/>
      <w:tr w:rsidR="00424A30">
        <w:trPr>
          <w:trHeight w:val="858"/>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lastRenderedPageBreak/>
              <w:t>污染物排放管控</w:t>
            </w:r>
          </w:p>
        </w:tc>
        <w:tc>
          <w:tcPr>
            <w:tcW w:w="12615" w:type="dxa"/>
            <w:gridSpan w:val="7"/>
            <w:tcBorders>
              <w:tl2br w:val="nil"/>
              <w:tr2bl w:val="nil"/>
            </w:tcBorders>
          </w:tcPr>
          <w:p w:rsidR="00424A30" w:rsidRDefault="000E306C">
            <w:pPr>
              <w:pStyle w:val="af"/>
              <w:jc w:val="left"/>
              <w:rPr>
                <w:rFonts w:cs="Times New Roman"/>
              </w:rPr>
            </w:pPr>
            <w:r>
              <w:rPr>
                <w:rFonts w:cs="Times New Roman"/>
              </w:rPr>
              <w:t>3-1.</w:t>
            </w:r>
            <w:r>
              <w:rPr>
                <w:rFonts w:cs="Times New Roman"/>
              </w:rPr>
              <w:t>【水</w:t>
            </w:r>
            <w:r>
              <w:rPr>
                <w:rFonts w:cs="Times New Roman"/>
              </w:rPr>
              <w:t>/</w:t>
            </w:r>
            <w:r>
              <w:rPr>
                <w:rFonts w:cs="Times New Roman"/>
              </w:rPr>
              <w:t>鼓励引导类】石龙镇新建、扩建污水处理设施和配套管网须同步设计、同步建设、同时投运。新建、改建和扩建城镇污水处理设施出水不低于《城镇污水处理厂污染物排放标准》（</w:t>
            </w:r>
            <w:r>
              <w:rPr>
                <w:rFonts w:cs="Times New Roman"/>
              </w:rPr>
              <w:t>GB18918-2002</w:t>
            </w:r>
            <w:r>
              <w:rPr>
                <w:rFonts w:cs="Times New Roman"/>
              </w:rPr>
              <w:t>）一级</w:t>
            </w:r>
            <w:r>
              <w:rPr>
                <w:rFonts w:cs="Times New Roman"/>
              </w:rPr>
              <w:t>A</w:t>
            </w:r>
            <w:r>
              <w:rPr>
                <w:rFonts w:cs="Times New Roman"/>
              </w:rPr>
              <w:t>及广东省《水污染物排放限值》（</w:t>
            </w:r>
            <w:r>
              <w:rPr>
                <w:rFonts w:cs="Times New Roman"/>
              </w:rPr>
              <w:t>DB44/26-2001</w:t>
            </w:r>
            <w:r>
              <w:rPr>
                <w:rFonts w:cs="Times New Roman"/>
              </w:rPr>
              <w:t>）的较严值。</w:t>
            </w:r>
            <w:r>
              <w:rPr>
                <w:rFonts w:cs="Times New Roman"/>
              </w:rPr>
              <w:t xml:space="preserve"> </w:t>
            </w:r>
          </w:p>
          <w:p w:rsidR="00424A30" w:rsidRDefault="000E306C">
            <w:pPr>
              <w:pStyle w:val="af"/>
              <w:jc w:val="left"/>
              <w:rPr>
                <w:rFonts w:cs="Times New Roman"/>
              </w:rPr>
            </w:pPr>
            <w:r>
              <w:rPr>
                <w:rFonts w:cs="Times New Roman"/>
              </w:rPr>
              <w:t>3-2.</w:t>
            </w:r>
            <w:r>
              <w:rPr>
                <w:rFonts w:cs="Times New Roman"/>
              </w:rPr>
              <w:t>【水</w:t>
            </w:r>
            <w:r>
              <w:rPr>
                <w:rFonts w:cs="Times New Roman"/>
              </w:rPr>
              <w:t>/</w:t>
            </w:r>
            <w:r>
              <w:rPr>
                <w:rFonts w:cs="Times New Roman"/>
              </w:rPr>
              <w:t>综合类】石龙镇城市建成区内未接入污水管网的新建建筑小区或公共建筑，不得交付使用。新建城区生活污水收集处理设施要与城市发展同步规划、同步建设，进一步提升城镇污水处理率。全面推进建筑小区、企事业单位内部和市政雨污水管道混错接改造。</w:t>
            </w:r>
          </w:p>
          <w:p w:rsidR="00424A30" w:rsidRDefault="000E306C">
            <w:pPr>
              <w:pStyle w:val="af"/>
              <w:jc w:val="left"/>
              <w:rPr>
                <w:rFonts w:cs="Times New Roman"/>
              </w:rPr>
            </w:pPr>
            <w:r>
              <w:rPr>
                <w:rFonts w:cs="Times New Roman"/>
              </w:rPr>
              <w:t>3-3.</w:t>
            </w:r>
            <w:r>
              <w:rPr>
                <w:rFonts w:cs="Times New Roman"/>
              </w:rPr>
              <w:t>【大气</w:t>
            </w:r>
            <w:r>
              <w:rPr>
                <w:rFonts w:cs="Times New Roman"/>
              </w:rPr>
              <w:t>/</w:t>
            </w:r>
            <w:r>
              <w:rPr>
                <w:rFonts w:cs="Times New Roman"/>
              </w:rPr>
              <w:t>综合类】区域内新建高耗能项目单位产品（产值）能耗须达到国际先进水平，采用最佳可行污染控制技术；严格共性工厂外的石化和化工、工业涂装（机动车、电子产品和日用产品修理业除外）、包装印刷等重点行业新增</w:t>
            </w:r>
            <w:r>
              <w:rPr>
                <w:rFonts w:cs="Times New Roman"/>
              </w:rPr>
              <w:t>VOCs</w:t>
            </w:r>
            <w:r>
              <w:rPr>
                <w:rFonts w:cs="Times New Roman"/>
              </w:rPr>
              <w:t>排放项目审批。</w:t>
            </w:r>
            <w:r>
              <w:rPr>
                <w:rFonts w:cs="Times New Roman"/>
              </w:rPr>
              <w:t xml:space="preserve"> </w:t>
            </w:r>
          </w:p>
          <w:p w:rsidR="00424A30" w:rsidRDefault="000E306C">
            <w:pPr>
              <w:pStyle w:val="af"/>
              <w:jc w:val="left"/>
              <w:rPr>
                <w:rFonts w:cs="Times New Roman"/>
              </w:rPr>
            </w:pPr>
            <w:r>
              <w:rPr>
                <w:rFonts w:cs="Times New Roman"/>
              </w:rPr>
              <w:t>3-4.</w:t>
            </w:r>
            <w:r>
              <w:rPr>
                <w:rFonts w:cs="Times New Roman"/>
              </w:rPr>
              <w:t>【大气</w:t>
            </w:r>
            <w:r>
              <w:rPr>
                <w:rFonts w:cs="Times New Roman"/>
              </w:rPr>
              <w:t>/</w:t>
            </w:r>
            <w:r>
              <w:rPr>
                <w:rFonts w:cs="Times New Roman"/>
              </w:rPr>
              <w:t>限制类】大气环境受体敏感区内严格限制新建钢铁、燃煤燃油火电、石化、储油库等项目，产生和排放有毒有害大气污染物项目，以及使用溶剂型油墨、涂料、清洗剂、胶黏剂等高挥发性有机物原辅材料的项目；鼓励现有该类项目逐步搬迁退出。大气环境布局敏感区内应全面加强无组织排放控制，实施</w:t>
            </w:r>
            <w:r>
              <w:rPr>
                <w:rFonts w:cs="Times New Roman"/>
              </w:rPr>
              <w:t>VOCs</w:t>
            </w:r>
            <w:r>
              <w:rPr>
                <w:rFonts w:cs="Times New Roman"/>
              </w:rPr>
              <w:t>重点企业分级管控，限制新建、扩建排放氮氧化物、烟（粉）尘的建设项目。</w:t>
            </w:r>
            <w:r>
              <w:rPr>
                <w:rFonts w:cs="Times New Roman"/>
              </w:rPr>
              <w:t xml:space="preserve"> </w:t>
            </w:r>
          </w:p>
          <w:p w:rsidR="00424A30" w:rsidRDefault="000E306C">
            <w:pPr>
              <w:pStyle w:val="af"/>
              <w:jc w:val="left"/>
              <w:rPr>
                <w:rFonts w:cs="Times New Roman"/>
              </w:rPr>
            </w:pPr>
            <w:r>
              <w:rPr>
                <w:rFonts w:cs="Times New Roman"/>
              </w:rPr>
              <w:t>3-5.</w:t>
            </w:r>
            <w:r>
              <w:rPr>
                <w:rFonts w:cs="Times New Roman"/>
              </w:rPr>
              <w:t>【大气</w:t>
            </w:r>
            <w:r>
              <w:rPr>
                <w:rFonts w:cs="Times New Roman"/>
              </w:rPr>
              <w:t>/</w:t>
            </w:r>
            <w:r>
              <w:rPr>
                <w:rFonts w:cs="Times New Roman"/>
              </w:rPr>
              <w:t>鼓励引导类】大气环境弱扩散区内要加大大气污染物减排力度，建立</w:t>
            </w:r>
            <w:r>
              <w:rPr>
                <w:rFonts w:cs="Times New Roman"/>
              </w:rPr>
              <w:t>“</w:t>
            </w:r>
            <w:r>
              <w:rPr>
                <w:rFonts w:cs="Times New Roman"/>
              </w:rPr>
              <w:t>散乱污</w:t>
            </w:r>
            <w:r>
              <w:rPr>
                <w:rFonts w:cs="Times New Roman"/>
              </w:rPr>
              <w:t>”</w:t>
            </w:r>
            <w:r>
              <w:rPr>
                <w:rFonts w:cs="Times New Roman"/>
              </w:rPr>
              <w:t>企业综合整治长效机制，巩固提升综合整治成效，实现</w:t>
            </w:r>
            <w:r>
              <w:rPr>
                <w:rFonts w:cs="Times New Roman"/>
              </w:rPr>
              <w:t>“</w:t>
            </w:r>
            <w:r>
              <w:rPr>
                <w:rFonts w:cs="Times New Roman"/>
              </w:rPr>
              <w:t>散乱污</w:t>
            </w:r>
            <w:r>
              <w:rPr>
                <w:rFonts w:cs="Times New Roman"/>
              </w:rPr>
              <w:t>”</w:t>
            </w:r>
            <w:r>
              <w:rPr>
                <w:rFonts w:cs="Times New Roman"/>
              </w:rPr>
              <w:t>企业动态</w:t>
            </w:r>
            <w:r>
              <w:rPr>
                <w:rFonts w:cs="Times New Roman"/>
              </w:rPr>
              <w:t>“</w:t>
            </w:r>
            <w:r>
              <w:rPr>
                <w:rFonts w:cs="Times New Roman"/>
              </w:rPr>
              <w:t>清零</w:t>
            </w:r>
            <w:r>
              <w:rPr>
                <w:rFonts w:cs="Times New Roman"/>
              </w:rPr>
              <w:t>”</w:t>
            </w:r>
            <w:r>
              <w:rPr>
                <w:rFonts w:cs="Times New Roman"/>
              </w:rPr>
              <w:t>。</w:t>
            </w:r>
          </w:p>
        </w:tc>
      </w:tr>
      <w:tr w:rsidR="00424A30">
        <w:trPr>
          <w:trHeight w:val="858"/>
          <w:jc w:val="center"/>
        </w:trPr>
        <w:tc>
          <w:tcPr>
            <w:tcW w:w="2122" w:type="dxa"/>
            <w:tcBorders>
              <w:tl2br w:val="nil"/>
              <w:tr2bl w:val="nil"/>
            </w:tcBorders>
            <w:shd w:val="clear" w:color="auto" w:fill="auto"/>
            <w:noWrap/>
            <w:vAlign w:val="center"/>
          </w:tcPr>
          <w:p w:rsidR="00424A30" w:rsidRDefault="000E306C">
            <w:pPr>
              <w:pStyle w:val="af"/>
              <w:jc w:val="center"/>
              <w:rPr>
                <w:rFonts w:cs="Times New Roman"/>
                <w:b/>
                <w:bCs/>
              </w:rPr>
            </w:pPr>
            <w:r>
              <w:rPr>
                <w:rFonts w:cs="Times New Roman"/>
                <w:b/>
                <w:bCs/>
              </w:rPr>
              <w:t>环境风险防控</w:t>
            </w:r>
          </w:p>
        </w:tc>
        <w:tc>
          <w:tcPr>
            <w:tcW w:w="12615" w:type="dxa"/>
            <w:gridSpan w:val="7"/>
            <w:tcBorders>
              <w:tl2br w:val="nil"/>
              <w:tr2bl w:val="nil"/>
            </w:tcBorders>
          </w:tcPr>
          <w:p w:rsidR="00424A30" w:rsidRDefault="000E306C">
            <w:pPr>
              <w:pStyle w:val="af"/>
              <w:jc w:val="left"/>
              <w:rPr>
                <w:rFonts w:cs="Times New Roman"/>
              </w:rPr>
            </w:pPr>
            <w:r>
              <w:rPr>
                <w:rFonts w:cs="Times New Roman"/>
              </w:rPr>
              <w:t>4-1.</w:t>
            </w:r>
            <w:r>
              <w:rPr>
                <w:rFonts w:cs="Times New Roman"/>
              </w:rPr>
              <w:t>【水</w:t>
            </w:r>
            <w:r>
              <w:rPr>
                <w:rFonts w:cs="Times New Roman"/>
              </w:rPr>
              <w:t>/</w:t>
            </w:r>
            <w:r>
              <w:rPr>
                <w:rFonts w:cs="Times New Roman"/>
              </w:rPr>
              <w:t>鼓励引导类】制定完善石龙镇水污染事故处置应急预案，落实责任主体，明确预警预报与响应程序、应急处置及保障措施等内容，依法及时公布预警信息。</w:t>
            </w:r>
          </w:p>
          <w:p w:rsidR="00424A30" w:rsidRDefault="000E306C">
            <w:pPr>
              <w:pStyle w:val="af"/>
              <w:jc w:val="left"/>
              <w:rPr>
                <w:rFonts w:cs="Times New Roman"/>
              </w:rPr>
            </w:pPr>
            <w:r>
              <w:rPr>
                <w:rFonts w:cs="Times New Roman"/>
              </w:rPr>
              <w:t>4-2.</w:t>
            </w:r>
            <w:r>
              <w:rPr>
                <w:rFonts w:cs="Times New Roman"/>
              </w:rPr>
              <w:t>【大气</w:t>
            </w:r>
            <w:r>
              <w:rPr>
                <w:rFonts w:cs="Times New Roman"/>
              </w:rPr>
              <w:t>/</w:t>
            </w:r>
            <w:r>
              <w:rPr>
                <w:rFonts w:cs="Times New Roman"/>
              </w:rPr>
              <w:t>综合类】建立环境监测预警制度，重点实施污染天气预警预报以及监测有毒有害气体。</w:t>
            </w:r>
          </w:p>
        </w:tc>
      </w:tr>
    </w:tbl>
    <w:p w:rsidR="00424A30" w:rsidRDefault="00424A30">
      <w:pPr>
        <w:rPr>
          <w:rFonts w:ascii="Times New Roman" w:hAnsi="Times New Roman" w:cs="Times New Roman"/>
        </w:rPr>
        <w:sectPr w:rsidR="00424A30">
          <w:pgSz w:w="16838" w:h="11906" w:orient="landscape"/>
          <w:pgMar w:top="1800" w:right="1440" w:bottom="1800" w:left="1440" w:header="851" w:footer="992" w:gutter="0"/>
          <w:pgNumType w:fmt="numberInDash"/>
          <w:cols w:space="425"/>
          <w:docGrid w:type="lines" w:linePitch="312"/>
        </w:sect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992"/>
        <w:gridCol w:w="1276"/>
        <w:gridCol w:w="992"/>
        <w:gridCol w:w="1706"/>
        <w:gridCol w:w="2835"/>
        <w:gridCol w:w="2127"/>
      </w:tblGrid>
      <w:tr w:rsidR="00424A30">
        <w:trPr>
          <w:jc w:val="center"/>
        </w:trPr>
        <w:tc>
          <w:tcPr>
            <w:tcW w:w="2263" w:type="dxa"/>
            <w:vAlign w:val="center"/>
          </w:tcPr>
          <w:p w:rsidR="00424A30" w:rsidRDefault="000E306C">
            <w:pPr>
              <w:pStyle w:val="af"/>
              <w:jc w:val="center"/>
              <w:rPr>
                <w:rFonts w:cs="Times New Roman"/>
                <w:b/>
                <w:bCs/>
              </w:rPr>
            </w:pPr>
            <w:r>
              <w:rPr>
                <w:rFonts w:cs="Times New Roman"/>
                <w:b/>
                <w:bCs/>
              </w:rPr>
              <w:lastRenderedPageBreak/>
              <w:t>环境管控单元编码</w:t>
            </w:r>
          </w:p>
        </w:tc>
        <w:tc>
          <w:tcPr>
            <w:tcW w:w="2410" w:type="dxa"/>
            <w:vAlign w:val="center"/>
          </w:tcPr>
          <w:p w:rsidR="00424A30" w:rsidRDefault="000E306C">
            <w:pPr>
              <w:pStyle w:val="af"/>
              <w:jc w:val="center"/>
              <w:rPr>
                <w:rFonts w:cs="Times New Roman"/>
                <w:b/>
                <w:bCs/>
              </w:rPr>
            </w:pPr>
            <w:r>
              <w:rPr>
                <w:rFonts w:cs="Times New Roman"/>
                <w:b/>
                <w:bCs/>
              </w:rPr>
              <w:t>环境管控单元名称</w:t>
            </w:r>
          </w:p>
        </w:tc>
        <w:tc>
          <w:tcPr>
            <w:tcW w:w="4966" w:type="dxa"/>
            <w:gridSpan w:val="4"/>
            <w:vAlign w:val="center"/>
          </w:tcPr>
          <w:p w:rsidR="00424A30" w:rsidRDefault="000E306C">
            <w:pPr>
              <w:pStyle w:val="af"/>
              <w:jc w:val="center"/>
              <w:rPr>
                <w:rFonts w:cs="Times New Roman"/>
                <w:b/>
                <w:bCs/>
              </w:rPr>
            </w:pPr>
            <w:r>
              <w:rPr>
                <w:rFonts w:cs="Times New Roman"/>
                <w:b/>
                <w:bCs/>
              </w:rPr>
              <w:t>行政区划</w:t>
            </w:r>
          </w:p>
        </w:tc>
        <w:tc>
          <w:tcPr>
            <w:tcW w:w="2835" w:type="dxa"/>
            <w:vAlign w:val="center"/>
          </w:tcPr>
          <w:p w:rsidR="00424A30" w:rsidRDefault="000E306C">
            <w:pPr>
              <w:pStyle w:val="af"/>
              <w:jc w:val="center"/>
              <w:rPr>
                <w:rFonts w:cs="Times New Roman"/>
                <w:b/>
                <w:bCs/>
              </w:rPr>
            </w:pPr>
            <w:r>
              <w:rPr>
                <w:rFonts w:cs="Times New Roman"/>
                <w:b/>
                <w:bCs/>
              </w:rPr>
              <w:t>管控单元分类</w:t>
            </w:r>
          </w:p>
        </w:tc>
        <w:tc>
          <w:tcPr>
            <w:tcW w:w="2127" w:type="dxa"/>
            <w:vAlign w:val="center"/>
          </w:tcPr>
          <w:p w:rsidR="00424A30" w:rsidRDefault="000E306C">
            <w:pPr>
              <w:pStyle w:val="af"/>
              <w:jc w:val="center"/>
              <w:rPr>
                <w:rFonts w:cs="Times New Roman"/>
                <w:b/>
                <w:bCs/>
              </w:rPr>
            </w:pPr>
            <w:r>
              <w:rPr>
                <w:rFonts w:cs="Times New Roman"/>
                <w:b/>
                <w:bCs/>
              </w:rPr>
              <w:t>要素细类</w:t>
            </w:r>
          </w:p>
        </w:tc>
      </w:tr>
      <w:tr w:rsidR="00424A30">
        <w:trPr>
          <w:trHeight w:val="836"/>
          <w:jc w:val="center"/>
        </w:trPr>
        <w:tc>
          <w:tcPr>
            <w:tcW w:w="2263" w:type="dxa"/>
            <w:vAlign w:val="center"/>
          </w:tcPr>
          <w:p w:rsidR="00424A30" w:rsidRDefault="000E306C">
            <w:pPr>
              <w:pStyle w:val="af"/>
              <w:jc w:val="center"/>
              <w:rPr>
                <w:rFonts w:cs="Times New Roman"/>
                <w:b/>
                <w:bCs/>
              </w:rPr>
            </w:pPr>
            <w:r>
              <w:rPr>
                <w:rFonts w:cs="Times New Roman"/>
                <w:b/>
                <w:bCs/>
              </w:rPr>
              <w:t>ZH10220002</w:t>
            </w:r>
          </w:p>
        </w:tc>
        <w:tc>
          <w:tcPr>
            <w:tcW w:w="2410" w:type="dxa"/>
            <w:vAlign w:val="center"/>
          </w:tcPr>
          <w:p w:rsidR="00424A30" w:rsidRDefault="000E306C">
            <w:pPr>
              <w:pStyle w:val="af"/>
              <w:jc w:val="center"/>
              <w:rPr>
                <w:rFonts w:cs="Times New Roman"/>
              </w:rPr>
            </w:pPr>
            <w:r>
              <w:rPr>
                <w:rFonts w:cs="Times New Roman"/>
              </w:rPr>
              <w:t>石龙黄洲工业集聚区</w:t>
            </w:r>
          </w:p>
        </w:tc>
        <w:tc>
          <w:tcPr>
            <w:tcW w:w="992" w:type="dxa"/>
            <w:vAlign w:val="center"/>
          </w:tcPr>
          <w:p w:rsidR="00424A30" w:rsidRDefault="000E306C">
            <w:pPr>
              <w:pStyle w:val="af"/>
              <w:jc w:val="center"/>
              <w:rPr>
                <w:rFonts w:cs="Times New Roman"/>
              </w:rPr>
            </w:pPr>
            <w:r>
              <w:rPr>
                <w:rFonts w:cs="Times New Roman"/>
              </w:rPr>
              <w:t>广东省</w:t>
            </w:r>
          </w:p>
        </w:tc>
        <w:tc>
          <w:tcPr>
            <w:tcW w:w="1276" w:type="dxa"/>
            <w:vAlign w:val="center"/>
          </w:tcPr>
          <w:p w:rsidR="00424A30" w:rsidRDefault="000E306C">
            <w:pPr>
              <w:pStyle w:val="af"/>
              <w:jc w:val="center"/>
              <w:rPr>
                <w:rFonts w:cs="Times New Roman"/>
              </w:rPr>
            </w:pPr>
            <w:r>
              <w:rPr>
                <w:rFonts w:cs="Times New Roman"/>
              </w:rPr>
              <w:t>东莞市</w:t>
            </w:r>
          </w:p>
        </w:tc>
        <w:tc>
          <w:tcPr>
            <w:tcW w:w="992" w:type="dxa"/>
            <w:vAlign w:val="center"/>
          </w:tcPr>
          <w:p w:rsidR="00424A30" w:rsidRDefault="000E306C">
            <w:pPr>
              <w:pStyle w:val="af"/>
              <w:jc w:val="center"/>
              <w:rPr>
                <w:rFonts w:cs="Times New Roman"/>
              </w:rPr>
            </w:pPr>
            <w:r>
              <w:rPr>
                <w:rFonts w:cs="Times New Roman"/>
              </w:rPr>
              <w:t>石龙镇</w:t>
            </w:r>
          </w:p>
        </w:tc>
        <w:tc>
          <w:tcPr>
            <w:tcW w:w="1706" w:type="dxa"/>
            <w:vAlign w:val="center"/>
          </w:tcPr>
          <w:p w:rsidR="00424A30" w:rsidRDefault="000E306C">
            <w:pPr>
              <w:pStyle w:val="af"/>
              <w:jc w:val="center"/>
              <w:rPr>
                <w:rFonts w:cs="Times New Roman"/>
              </w:rPr>
            </w:pPr>
            <w:r>
              <w:rPr>
                <w:rFonts w:cs="Times New Roman"/>
              </w:rPr>
              <w:t>黄家山村</w:t>
            </w:r>
          </w:p>
        </w:tc>
        <w:tc>
          <w:tcPr>
            <w:tcW w:w="2835" w:type="dxa"/>
            <w:vAlign w:val="center"/>
          </w:tcPr>
          <w:p w:rsidR="00424A30" w:rsidRDefault="000E306C">
            <w:pPr>
              <w:pStyle w:val="af"/>
              <w:jc w:val="center"/>
              <w:rPr>
                <w:rFonts w:cs="Times New Roman"/>
              </w:rPr>
            </w:pPr>
            <w:r>
              <w:rPr>
                <w:rFonts w:cs="Times New Roman"/>
              </w:rPr>
              <w:t>园区型重点管控单元</w:t>
            </w:r>
          </w:p>
        </w:tc>
        <w:tc>
          <w:tcPr>
            <w:tcW w:w="2127" w:type="dxa"/>
            <w:vAlign w:val="center"/>
          </w:tcPr>
          <w:p w:rsidR="00424A30" w:rsidRDefault="000E306C">
            <w:pPr>
              <w:pStyle w:val="af"/>
              <w:jc w:val="center"/>
              <w:rPr>
                <w:rFonts w:cs="Times New Roman"/>
              </w:rPr>
            </w:pPr>
            <w:r>
              <w:rPr>
                <w:rFonts w:cs="Times New Roman"/>
              </w:rPr>
              <w:t>/</w:t>
            </w:r>
          </w:p>
        </w:tc>
      </w:tr>
      <w:tr w:rsidR="00424A30">
        <w:trPr>
          <w:trHeight w:val="301"/>
          <w:jc w:val="center"/>
        </w:trPr>
        <w:tc>
          <w:tcPr>
            <w:tcW w:w="2263" w:type="dxa"/>
            <w:vAlign w:val="center"/>
          </w:tcPr>
          <w:p w:rsidR="00424A30" w:rsidRDefault="000E306C">
            <w:pPr>
              <w:pStyle w:val="af"/>
              <w:jc w:val="center"/>
              <w:rPr>
                <w:rFonts w:cs="Times New Roman"/>
                <w:b/>
                <w:bCs/>
              </w:rPr>
            </w:pPr>
            <w:r>
              <w:rPr>
                <w:rFonts w:cs="Times New Roman"/>
                <w:b/>
                <w:bCs/>
              </w:rPr>
              <w:t>管控维度</w:t>
            </w:r>
          </w:p>
        </w:tc>
        <w:tc>
          <w:tcPr>
            <w:tcW w:w="12338" w:type="dxa"/>
            <w:gridSpan w:val="7"/>
          </w:tcPr>
          <w:p w:rsidR="00424A30" w:rsidRDefault="000E306C">
            <w:pPr>
              <w:pStyle w:val="af"/>
              <w:jc w:val="center"/>
              <w:rPr>
                <w:rFonts w:cs="Times New Roman"/>
                <w:b/>
                <w:bCs/>
              </w:rPr>
            </w:pPr>
            <w:r>
              <w:rPr>
                <w:rFonts w:cs="Times New Roman"/>
                <w:b/>
                <w:bCs/>
              </w:rPr>
              <w:t>管控要求</w:t>
            </w:r>
          </w:p>
        </w:tc>
      </w:tr>
      <w:tr w:rsidR="00424A30">
        <w:trPr>
          <w:trHeight w:val="982"/>
          <w:jc w:val="center"/>
        </w:trPr>
        <w:tc>
          <w:tcPr>
            <w:tcW w:w="2263" w:type="dxa"/>
            <w:vAlign w:val="center"/>
          </w:tcPr>
          <w:p w:rsidR="00424A30" w:rsidRDefault="000E306C">
            <w:pPr>
              <w:pStyle w:val="af"/>
              <w:jc w:val="center"/>
              <w:rPr>
                <w:rFonts w:cs="Times New Roman"/>
                <w:b/>
                <w:bCs/>
              </w:rPr>
            </w:pPr>
            <w:r>
              <w:rPr>
                <w:rFonts w:cs="Times New Roman"/>
                <w:b/>
                <w:bCs/>
              </w:rPr>
              <w:t>区域布局管控</w:t>
            </w:r>
          </w:p>
        </w:tc>
        <w:tc>
          <w:tcPr>
            <w:tcW w:w="12338" w:type="dxa"/>
            <w:gridSpan w:val="7"/>
          </w:tcPr>
          <w:p w:rsidR="00424A30" w:rsidRDefault="000E306C">
            <w:pPr>
              <w:pStyle w:val="af"/>
              <w:jc w:val="left"/>
              <w:rPr>
                <w:rFonts w:cs="Times New Roman"/>
              </w:rPr>
            </w:pPr>
            <w:r>
              <w:rPr>
                <w:rFonts w:cs="Times New Roman"/>
              </w:rPr>
              <w:t>1-1.</w:t>
            </w:r>
            <w:r>
              <w:rPr>
                <w:rFonts w:cs="Times New Roman"/>
              </w:rPr>
              <w:t>【产业</w:t>
            </w:r>
            <w:r>
              <w:rPr>
                <w:rFonts w:cs="Times New Roman"/>
              </w:rPr>
              <w:t>/</w:t>
            </w:r>
            <w:r>
              <w:rPr>
                <w:rFonts w:cs="Times New Roman"/>
              </w:rPr>
              <w:t>鼓励引导类】东莞石龙镇黄洲工业集聚区主导产业是电子信息行业、医药行业和食品饮料加工行业，并且园区鼓励发展生物医药制造业。</w:t>
            </w:r>
          </w:p>
          <w:p w:rsidR="00424A30" w:rsidRDefault="000E306C">
            <w:pPr>
              <w:pStyle w:val="af"/>
              <w:jc w:val="left"/>
              <w:rPr>
                <w:rFonts w:cs="Times New Roman"/>
              </w:rPr>
            </w:pPr>
            <w:r>
              <w:rPr>
                <w:rFonts w:cs="Times New Roman"/>
              </w:rPr>
              <w:t>1-2.</w:t>
            </w:r>
            <w:r>
              <w:rPr>
                <w:rFonts w:cs="Times New Roman"/>
              </w:rPr>
              <w:t>【产业</w:t>
            </w:r>
            <w:r>
              <w:rPr>
                <w:rFonts w:cs="Times New Roman"/>
              </w:rPr>
              <w:t>/</w:t>
            </w:r>
            <w:r>
              <w:rPr>
                <w:rFonts w:cs="Times New Roman"/>
              </w:rPr>
              <w:t>综合类】入园区的项目应符合《产业结构调整指导目录》和《市场准入负面清单》等国家和地方产业政策和园区布局规划等要求，不得引进园区规划环评及批复（审查意见）禁止引进项目。</w:t>
            </w:r>
          </w:p>
        </w:tc>
      </w:tr>
      <w:tr w:rsidR="00424A30">
        <w:trPr>
          <w:trHeight w:val="547"/>
          <w:jc w:val="center"/>
        </w:trPr>
        <w:tc>
          <w:tcPr>
            <w:tcW w:w="2263" w:type="dxa"/>
            <w:vAlign w:val="center"/>
          </w:tcPr>
          <w:p w:rsidR="00424A30" w:rsidRDefault="000E306C">
            <w:pPr>
              <w:pStyle w:val="af"/>
              <w:jc w:val="center"/>
              <w:rPr>
                <w:rFonts w:cs="Times New Roman"/>
                <w:b/>
                <w:bCs/>
              </w:rPr>
            </w:pPr>
            <w:r>
              <w:rPr>
                <w:rFonts w:cs="Times New Roman"/>
                <w:b/>
                <w:bCs/>
              </w:rPr>
              <w:t>能源资源利用</w:t>
            </w:r>
          </w:p>
        </w:tc>
        <w:tc>
          <w:tcPr>
            <w:tcW w:w="12338" w:type="dxa"/>
            <w:gridSpan w:val="7"/>
          </w:tcPr>
          <w:p w:rsidR="00424A30" w:rsidRDefault="000E306C">
            <w:pPr>
              <w:pStyle w:val="af"/>
              <w:jc w:val="left"/>
              <w:rPr>
                <w:rFonts w:cs="Times New Roman"/>
              </w:rPr>
            </w:pPr>
            <w:r>
              <w:rPr>
                <w:rFonts w:cs="Times New Roman"/>
              </w:rPr>
              <w:t>2-1.</w:t>
            </w:r>
            <w:r>
              <w:rPr>
                <w:rFonts w:cs="Times New Roman"/>
              </w:rPr>
              <w:t>【其他</w:t>
            </w:r>
            <w:r>
              <w:rPr>
                <w:rFonts w:cs="Times New Roman"/>
              </w:rPr>
              <w:t>/</w:t>
            </w:r>
            <w:r>
              <w:rPr>
                <w:rFonts w:cs="Times New Roman"/>
              </w:rPr>
              <w:t>综合类】提高资源能源利用效率，推行清洁生产，对于国家已颁布清洁生产标准及清洁生产评价指标体系的行业，入园项目均要达到行业清洁生产先进水平。</w:t>
            </w:r>
          </w:p>
        </w:tc>
      </w:tr>
      <w:tr w:rsidR="00424A30">
        <w:trPr>
          <w:trHeight w:val="500"/>
          <w:jc w:val="center"/>
        </w:trPr>
        <w:tc>
          <w:tcPr>
            <w:tcW w:w="2263" w:type="dxa"/>
            <w:vAlign w:val="center"/>
          </w:tcPr>
          <w:p w:rsidR="00424A30" w:rsidRDefault="000E306C">
            <w:pPr>
              <w:pStyle w:val="af"/>
              <w:jc w:val="center"/>
              <w:rPr>
                <w:rFonts w:cs="Times New Roman"/>
                <w:b/>
                <w:bCs/>
              </w:rPr>
            </w:pPr>
            <w:r>
              <w:rPr>
                <w:rFonts w:cs="Times New Roman"/>
                <w:b/>
                <w:bCs/>
              </w:rPr>
              <w:t>污染物排放管控</w:t>
            </w:r>
          </w:p>
        </w:tc>
        <w:tc>
          <w:tcPr>
            <w:tcW w:w="12338" w:type="dxa"/>
            <w:gridSpan w:val="7"/>
          </w:tcPr>
          <w:p w:rsidR="00424A30" w:rsidRDefault="000E306C">
            <w:pPr>
              <w:pStyle w:val="af"/>
              <w:jc w:val="left"/>
              <w:rPr>
                <w:rFonts w:cs="Times New Roman"/>
              </w:rPr>
            </w:pPr>
            <w:r>
              <w:rPr>
                <w:rFonts w:cs="Times New Roman"/>
              </w:rPr>
              <w:t>3-1.</w:t>
            </w:r>
            <w:r>
              <w:rPr>
                <w:rFonts w:cs="Times New Roman"/>
              </w:rPr>
              <w:t>【水</w:t>
            </w:r>
            <w:r>
              <w:rPr>
                <w:rFonts w:cs="Times New Roman"/>
              </w:rPr>
              <w:t>/</w:t>
            </w:r>
            <w:r>
              <w:rPr>
                <w:rFonts w:cs="Times New Roman"/>
              </w:rPr>
              <w:t>综合类】化学需氧量、氨氮排放必须达到现役源</w:t>
            </w:r>
            <w:r>
              <w:rPr>
                <w:rFonts w:cs="Times New Roman"/>
              </w:rPr>
              <w:t>“</w:t>
            </w:r>
            <w:r>
              <w:rPr>
                <w:rFonts w:cs="Times New Roman"/>
              </w:rPr>
              <w:t>等量替代</w:t>
            </w:r>
            <w:r>
              <w:rPr>
                <w:rFonts w:cs="Times New Roman"/>
              </w:rPr>
              <w:t>”</w:t>
            </w:r>
            <w:r>
              <w:rPr>
                <w:rFonts w:cs="Times New Roman"/>
              </w:rPr>
              <w:t>标准。</w:t>
            </w:r>
          </w:p>
          <w:p w:rsidR="00424A30" w:rsidRDefault="000E306C">
            <w:pPr>
              <w:pStyle w:val="af"/>
              <w:jc w:val="left"/>
              <w:rPr>
                <w:rFonts w:cs="Times New Roman"/>
              </w:rPr>
            </w:pPr>
            <w:r>
              <w:rPr>
                <w:rFonts w:cs="Times New Roman"/>
              </w:rPr>
              <w:t>3-2.</w:t>
            </w:r>
            <w:r>
              <w:rPr>
                <w:rFonts w:cs="Times New Roman"/>
              </w:rPr>
              <w:t>【大气</w:t>
            </w:r>
            <w:r>
              <w:rPr>
                <w:rFonts w:cs="Times New Roman"/>
              </w:rPr>
              <w:t>/</w:t>
            </w:r>
            <w:r>
              <w:rPr>
                <w:rFonts w:cs="Times New Roman"/>
              </w:rPr>
              <w:t>综合类】二氧化硫、氮氧化物排放必须达到现役源</w:t>
            </w:r>
            <w:r>
              <w:rPr>
                <w:rFonts w:cs="Times New Roman"/>
              </w:rPr>
              <w:t>“</w:t>
            </w:r>
            <w:r>
              <w:rPr>
                <w:rFonts w:cs="Times New Roman"/>
              </w:rPr>
              <w:t>双倍总量替代</w:t>
            </w:r>
            <w:r>
              <w:rPr>
                <w:rFonts w:cs="Times New Roman"/>
              </w:rPr>
              <w:t>”</w:t>
            </w:r>
            <w:r>
              <w:rPr>
                <w:rFonts w:cs="Times New Roman"/>
              </w:rPr>
              <w:t>标准的要求。</w:t>
            </w:r>
          </w:p>
        </w:tc>
      </w:tr>
      <w:tr w:rsidR="00424A30">
        <w:trPr>
          <w:trHeight w:val="642"/>
          <w:jc w:val="center"/>
        </w:trPr>
        <w:tc>
          <w:tcPr>
            <w:tcW w:w="2263" w:type="dxa"/>
            <w:vAlign w:val="center"/>
          </w:tcPr>
          <w:p w:rsidR="00424A30" w:rsidRDefault="000E306C">
            <w:pPr>
              <w:pStyle w:val="af"/>
              <w:jc w:val="center"/>
              <w:rPr>
                <w:rFonts w:cs="Times New Roman"/>
                <w:b/>
                <w:bCs/>
              </w:rPr>
            </w:pPr>
            <w:r>
              <w:rPr>
                <w:rFonts w:cs="Times New Roman"/>
                <w:b/>
                <w:bCs/>
              </w:rPr>
              <w:t>环境风险防控</w:t>
            </w:r>
          </w:p>
        </w:tc>
        <w:tc>
          <w:tcPr>
            <w:tcW w:w="12338" w:type="dxa"/>
            <w:gridSpan w:val="7"/>
          </w:tcPr>
          <w:p w:rsidR="00424A30" w:rsidRDefault="000E306C">
            <w:pPr>
              <w:pStyle w:val="af"/>
              <w:jc w:val="left"/>
              <w:rPr>
                <w:rFonts w:cs="Times New Roman"/>
              </w:rPr>
            </w:pPr>
            <w:r>
              <w:rPr>
                <w:rFonts w:cs="Times New Roman"/>
              </w:rPr>
              <w:t>4-1.</w:t>
            </w:r>
            <w:r>
              <w:rPr>
                <w:rFonts w:cs="Times New Roman"/>
              </w:rPr>
              <w:t>【风险</w:t>
            </w:r>
            <w:r>
              <w:rPr>
                <w:rFonts w:cs="Times New Roman"/>
              </w:rPr>
              <w:t>/</w:t>
            </w:r>
            <w:r>
              <w:rPr>
                <w:rFonts w:cs="Times New Roman"/>
              </w:rPr>
              <w:t>鼓励引导类】园区应建立企业，园区、区域三级环境风险防控体系，加强园区及入园企业环境应急设施整合共享，建立有效的担截、降污、导流、智存等工程措施，防止泄漏物、消防废水等进入园区外环境。</w:t>
            </w:r>
          </w:p>
          <w:p w:rsidR="00424A30" w:rsidRDefault="000E306C">
            <w:pPr>
              <w:pStyle w:val="af"/>
              <w:jc w:val="left"/>
              <w:rPr>
                <w:rFonts w:cs="Times New Roman"/>
              </w:rPr>
            </w:pPr>
            <w:r>
              <w:rPr>
                <w:rFonts w:cs="Times New Roman"/>
              </w:rPr>
              <w:t>4-2.</w:t>
            </w:r>
            <w:r>
              <w:rPr>
                <w:rFonts w:cs="Times New Roman"/>
              </w:rPr>
              <w:t>【风险</w:t>
            </w:r>
            <w:r>
              <w:rPr>
                <w:rFonts w:cs="Times New Roman"/>
              </w:rPr>
              <w:t>/</w:t>
            </w:r>
            <w:r>
              <w:rPr>
                <w:rFonts w:cs="Times New Roman"/>
              </w:rPr>
              <w:t>鼓励引导类】入园项目应配套有效的风险防范措施，并根据《企业事业单住突发环境事件应急预案备案管理办法（试行）》（环发</w:t>
            </w:r>
            <w:r>
              <w:rPr>
                <w:rFonts w:cs="Times New Roman"/>
              </w:rPr>
              <w:t>[2015]4</w:t>
            </w:r>
            <w:r>
              <w:rPr>
                <w:rFonts w:cs="Times New Roman"/>
              </w:rPr>
              <w:t>号）的要求编制环境风险应急预案</w:t>
            </w:r>
            <w:r>
              <w:rPr>
                <w:rFonts w:cs="Times New Roman"/>
              </w:rPr>
              <w:t>,</w:t>
            </w:r>
            <w:r>
              <w:rPr>
                <w:rFonts w:cs="Times New Roman"/>
              </w:rPr>
              <w:t>强化危险化学品、危险废物的运输，储存、使用过程的监管。防止因渗漏污染地下水，土壤，以及因事故废水直排污染到地表水体。</w:t>
            </w:r>
          </w:p>
          <w:p w:rsidR="00424A30" w:rsidRDefault="000E306C">
            <w:pPr>
              <w:pStyle w:val="af"/>
              <w:jc w:val="left"/>
              <w:rPr>
                <w:rFonts w:cs="Times New Roman"/>
              </w:rPr>
            </w:pPr>
            <w:r>
              <w:rPr>
                <w:rFonts w:cs="Times New Roman"/>
              </w:rPr>
              <w:t>4-3.</w:t>
            </w:r>
            <w:r>
              <w:rPr>
                <w:rFonts w:cs="Times New Roman"/>
              </w:rPr>
              <w:t>【土壤</w:t>
            </w:r>
            <w:r>
              <w:rPr>
                <w:rFonts w:cs="Times New Roman"/>
              </w:rPr>
              <w:t>/</w:t>
            </w:r>
            <w:r>
              <w:rPr>
                <w:rFonts w:cs="Times New Roman"/>
              </w:rPr>
              <w:t>鼓励引导类】土壤环境污染重点监管工业企业应落实《工矿用地土壤环境管理办法（试行）》要求，实施项目环评。设计建设、拆除设施、终止经营全生命周期土壤和地下水污染防治。</w:t>
            </w:r>
          </w:p>
        </w:tc>
      </w:tr>
    </w:tbl>
    <w:p w:rsidR="00424A30" w:rsidRDefault="00424A30">
      <w:pPr>
        <w:pStyle w:val="af"/>
        <w:ind w:firstLine="480"/>
        <w:rPr>
          <w:rFonts w:cs="Times New Roman"/>
        </w:rPr>
      </w:pPr>
    </w:p>
    <w:sectPr w:rsidR="00424A30">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6D3" w:rsidRDefault="006826D3">
      <w:r>
        <w:separator/>
      </w:r>
    </w:p>
  </w:endnote>
  <w:endnote w:type="continuationSeparator" w:id="0">
    <w:p w:rsidR="006826D3" w:rsidRDefault="0068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EF88A8C30">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30" w:rsidRDefault="000E306C">
    <w:pPr>
      <w:pStyle w:val="a4"/>
      <w:jc w:val="center"/>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8889318"/>
                          </w:sdtPr>
                          <w:sdtEndPr/>
                          <w:sdtContent>
                            <w:p w:rsidR="00424A30" w:rsidRDefault="000E306C">
                              <w:pPr>
                                <w:pStyle w:val="a4"/>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F6AEC" w:rsidRPr="000F6AEC">
                                <w:rPr>
                                  <w:rFonts w:ascii="Times New Roman" w:hAnsi="Times New Roman" w:cs="Times New Roman"/>
                                  <w:noProof/>
                                  <w:sz w:val="24"/>
                                  <w:szCs w:val="24"/>
                                  <w:lang w:val="zh-CN"/>
                                </w:rPr>
                                <w:t>-</w:t>
                              </w:r>
                              <w:r w:rsidR="000F6AEC">
                                <w:rPr>
                                  <w:rFonts w:ascii="Times New Roman" w:hAnsi="Times New Roman" w:cs="Times New Roman"/>
                                  <w:noProof/>
                                  <w:sz w:val="24"/>
                                  <w:szCs w:val="24"/>
                                </w:rPr>
                                <w:t xml:space="preserve"> 1 -</w:t>
                              </w:r>
                              <w:r>
                                <w:rPr>
                                  <w:rFonts w:ascii="Times New Roman" w:hAnsi="Times New Roman" w:cs="Times New Roman"/>
                                  <w:sz w:val="24"/>
                                  <w:szCs w:val="24"/>
                                </w:rPr>
                                <w:fldChar w:fldCharType="end"/>
                              </w:r>
                            </w:p>
                          </w:sdtContent>
                        </w:sdt>
                        <w:p w:rsidR="00424A30" w:rsidRDefault="00424A3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1788889318"/>
                    </w:sdtPr>
                    <w:sdtEndPr/>
                    <w:sdtContent>
                      <w:p w:rsidR="00424A30" w:rsidRDefault="000E306C">
                        <w:pPr>
                          <w:pStyle w:val="a4"/>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F6AEC" w:rsidRPr="000F6AEC">
                          <w:rPr>
                            <w:rFonts w:ascii="Times New Roman" w:hAnsi="Times New Roman" w:cs="Times New Roman"/>
                            <w:noProof/>
                            <w:sz w:val="24"/>
                            <w:szCs w:val="24"/>
                            <w:lang w:val="zh-CN"/>
                          </w:rPr>
                          <w:t>-</w:t>
                        </w:r>
                        <w:r w:rsidR="000F6AEC">
                          <w:rPr>
                            <w:rFonts w:ascii="Times New Roman" w:hAnsi="Times New Roman" w:cs="Times New Roman"/>
                            <w:noProof/>
                            <w:sz w:val="24"/>
                            <w:szCs w:val="24"/>
                          </w:rPr>
                          <w:t xml:space="preserve"> 1 -</w:t>
                        </w:r>
                        <w:r>
                          <w:rPr>
                            <w:rFonts w:ascii="Times New Roman" w:hAnsi="Times New Roman" w:cs="Times New Roman"/>
                            <w:sz w:val="24"/>
                            <w:szCs w:val="24"/>
                          </w:rPr>
                          <w:fldChar w:fldCharType="end"/>
                        </w:r>
                      </w:p>
                    </w:sdtContent>
                  </w:sdt>
                  <w:p w:rsidR="00424A30" w:rsidRDefault="00424A30"/>
                </w:txbxContent>
              </v:textbox>
              <w10:wrap anchorx="margin"/>
            </v:shape>
          </w:pict>
        </mc:Fallback>
      </mc:AlternateContent>
    </w:r>
  </w:p>
  <w:p w:rsidR="00424A30" w:rsidRDefault="00424A3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A30" w:rsidRDefault="000E306C">
    <w:pPr>
      <w:pStyle w:val="a4"/>
      <w:jc w:val="cente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03249820"/>
                          </w:sdtPr>
                          <w:sdtEndPr/>
                          <w:sdtContent>
                            <w:p w:rsidR="00424A30" w:rsidRDefault="000E306C">
                              <w:pPr>
                                <w:pStyle w:val="a4"/>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F6AEC" w:rsidRPr="000F6AEC">
                                <w:rPr>
                                  <w:rFonts w:ascii="Times New Roman" w:hAnsi="Times New Roman" w:cs="Times New Roman"/>
                                  <w:noProof/>
                                  <w:sz w:val="24"/>
                                  <w:szCs w:val="24"/>
                                  <w:lang w:val="zh-CN"/>
                                </w:rPr>
                                <w:t>-</w:t>
                              </w:r>
                              <w:r w:rsidR="000F6AEC">
                                <w:rPr>
                                  <w:rFonts w:ascii="Times New Roman" w:hAnsi="Times New Roman" w:cs="Times New Roman"/>
                                  <w:noProof/>
                                  <w:sz w:val="24"/>
                                  <w:szCs w:val="24"/>
                                </w:rPr>
                                <w:t xml:space="preserve"> 10 -</w:t>
                              </w:r>
                              <w:r>
                                <w:rPr>
                                  <w:rFonts w:ascii="Times New Roman" w:hAnsi="Times New Roman" w:cs="Times New Roman"/>
                                  <w:sz w:val="24"/>
                                  <w:szCs w:val="24"/>
                                </w:rPr>
                                <w:fldChar w:fldCharType="end"/>
                              </w:r>
                            </w:p>
                          </w:sdtContent>
                        </w:sdt>
                        <w:p w:rsidR="00424A30" w:rsidRDefault="00424A3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403249820"/>
                    </w:sdtPr>
                    <w:sdtEndPr/>
                    <w:sdtContent>
                      <w:p w:rsidR="00424A30" w:rsidRDefault="000E306C">
                        <w:pPr>
                          <w:pStyle w:val="a4"/>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0F6AEC" w:rsidRPr="000F6AEC">
                          <w:rPr>
                            <w:rFonts w:ascii="Times New Roman" w:hAnsi="Times New Roman" w:cs="Times New Roman"/>
                            <w:noProof/>
                            <w:sz w:val="24"/>
                            <w:szCs w:val="24"/>
                            <w:lang w:val="zh-CN"/>
                          </w:rPr>
                          <w:t>-</w:t>
                        </w:r>
                        <w:r w:rsidR="000F6AEC">
                          <w:rPr>
                            <w:rFonts w:ascii="Times New Roman" w:hAnsi="Times New Roman" w:cs="Times New Roman"/>
                            <w:noProof/>
                            <w:sz w:val="24"/>
                            <w:szCs w:val="24"/>
                          </w:rPr>
                          <w:t xml:space="preserve"> 10 -</w:t>
                        </w:r>
                        <w:r>
                          <w:rPr>
                            <w:rFonts w:ascii="Times New Roman" w:hAnsi="Times New Roman" w:cs="Times New Roman"/>
                            <w:sz w:val="24"/>
                            <w:szCs w:val="24"/>
                          </w:rPr>
                          <w:fldChar w:fldCharType="end"/>
                        </w:r>
                      </w:p>
                    </w:sdtContent>
                  </w:sdt>
                  <w:p w:rsidR="00424A30" w:rsidRDefault="00424A30"/>
                </w:txbxContent>
              </v:textbox>
              <w10:wrap anchorx="margin"/>
            </v:shape>
          </w:pict>
        </mc:Fallback>
      </mc:AlternateContent>
    </w:r>
  </w:p>
  <w:p w:rsidR="00424A30" w:rsidRDefault="00424A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6D3" w:rsidRDefault="006826D3">
      <w:r>
        <w:separator/>
      </w:r>
    </w:p>
  </w:footnote>
  <w:footnote w:type="continuationSeparator" w:id="0">
    <w:p w:rsidR="006826D3" w:rsidRDefault="006826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kNjY5OTBiZTI1MTk4OTlhNDYyNDEwODM1ZmNhNGMifQ=="/>
  </w:docVars>
  <w:rsids>
    <w:rsidRoot w:val="003B0DFD"/>
    <w:rsid w:val="00006A32"/>
    <w:rsid w:val="00013A49"/>
    <w:rsid w:val="00073B57"/>
    <w:rsid w:val="00083C00"/>
    <w:rsid w:val="000D2915"/>
    <w:rsid w:val="000D38EA"/>
    <w:rsid w:val="000E306C"/>
    <w:rsid w:val="000F6AEC"/>
    <w:rsid w:val="00130973"/>
    <w:rsid w:val="001700C7"/>
    <w:rsid w:val="001979F9"/>
    <w:rsid w:val="00297542"/>
    <w:rsid w:val="002E57B4"/>
    <w:rsid w:val="00370108"/>
    <w:rsid w:val="00386B2E"/>
    <w:rsid w:val="003B0DFD"/>
    <w:rsid w:val="003B14B5"/>
    <w:rsid w:val="003E270C"/>
    <w:rsid w:val="00401D70"/>
    <w:rsid w:val="00424A30"/>
    <w:rsid w:val="0047096A"/>
    <w:rsid w:val="00492326"/>
    <w:rsid w:val="0049415B"/>
    <w:rsid w:val="004D420E"/>
    <w:rsid w:val="004F34A5"/>
    <w:rsid w:val="00573CDA"/>
    <w:rsid w:val="0057478A"/>
    <w:rsid w:val="005B0654"/>
    <w:rsid w:val="005B2A54"/>
    <w:rsid w:val="00627336"/>
    <w:rsid w:val="006826D3"/>
    <w:rsid w:val="006C446F"/>
    <w:rsid w:val="007000C4"/>
    <w:rsid w:val="00714473"/>
    <w:rsid w:val="0072291B"/>
    <w:rsid w:val="0076382D"/>
    <w:rsid w:val="00764CD9"/>
    <w:rsid w:val="00767768"/>
    <w:rsid w:val="007C0649"/>
    <w:rsid w:val="007F3510"/>
    <w:rsid w:val="008416E4"/>
    <w:rsid w:val="00862128"/>
    <w:rsid w:val="008C621D"/>
    <w:rsid w:val="0090404C"/>
    <w:rsid w:val="009D3ADE"/>
    <w:rsid w:val="009E5451"/>
    <w:rsid w:val="00A24A3E"/>
    <w:rsid w:val="00A90D91"/>
    <w:rsid w:val="00AB16D4"/>
    <w:rsid w:val="00AB2BA7"/>
    <w:rsid w:val="00AC182C"/>
    <w:rsid w:val="00AC3759"/>
    <w:rsid w:val="00AF57BD"/>
    <w:rsid w:val="00B23303"/>
    <w:rsid w:val="00B6055F"/>
    <w:rsid w:val="00B66304"/>
    <w:rsid w:val="00B94E44"/>
    <w:rsid w:val="00C33C6C"/>
    <w:rsid w:val="00C432F8"/>
    <w:rsid w:val="00C46E96"/>
    <w:rsid w:val="00C938C2"/>
    <w:rsid w:val="00CA3DFA"/>
    <w:rsid w:val="00CB735B"/>
    <w:rsid w:val="00CC429A"/>
    <w:rsid w:val="00D018FD"/>
    <w:rsid w:val="00D03DE8"/>
    <w:rsid w:val="00D538F8"/>
    <w:rsid w:val="00D738DD"/>
    <w:rsid w:val="00D80516"/>
    <w:rsid w:val="00DB7202"/>
    <w:rsid w:val="00DC788E"/>
    <w:rsid w:val="00DD3F6E"/>
    <w:rsid w:val="00E16AE9"/>
    <w:rsid w:val="00E637EC"/>
    <w:rsid w:val="00F911A2"/>
    <w:rsid w:val="1FBC265A"/>
    <w:rsid w:val="27E724E0"/>
    <w:rsid w:val="2D573C26"/>
    <w:rsid w:val="61071DD2"/>
    <w:rsid w:val="71BC5CCF"/>
    <w:rsid w:val="72F45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docId w15:val="{5E1177C1-1FE7-4327-B6D0-78136883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uiPriority w:val="99"/>
    <w:semiHidden/>
    <w:unhideWhenUsed/>
    <w:rPr>
      <w:b/>
      <w:bCs/>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qFormat/>
    <w:rPr>
      <w:sz w:val="21"/>
      <w:szCs w:val="21"/>
    </w:rPr>
  </w:style>
  <w:style w:type="paragraph" w:styleId="a9">
    <w:name w:val="List Paragraph"/>
    <w:basedOn w:val="a"/>
    <w:uiPriority w:val="34"/>
    <w:qFormat/>
    <w:pPr>
      <w:ind w:firstLineChars="200" w:firstLine="420"/>
    </w:pPr>
  </w:style>
  <w:style w:type="paragraph" w:customStyle="1" w:styleId="aa">
    <w:name w:val="图表"/>
    <w:basedOn w:val="a"/>
    <w:link w:val="ab"/>
    <w:qFormat/>
    <w:pPr>
      <w:spacing w:before="60" w:after="60" w:line="240" w:lineRule="atLeast"/>
      <w:jc w:val="center"/>
    </w:pPr>
    <w:rPr>
      <w:rFonts w:ascii="Times New Roman" w:eastAsia="宋体" w:hAnsi="Times New Roman" w:cs="Times New Roman"/>
      <w:sz w:val="24"/>
    </w:rPr>
  </w:style>
  <w:style w:type="character" w:customStyle="1" w:styleId="ab">
    <w:name w:val="图表 字符"/>
    <w:link w:val="aa"/>
    <w:qFormat/>
    <w:rPr>
      <w:rFonts w:ascii="Times New Roman" w:eastAsia="宋体" w:hAnsi="Times New Roman" w:cs="Times New Roman"/>
      <w:sz w:val="24"/>
    </w:rPr>
  </w:style>
  <w:style w:type="character" w:customStyle="1" w:styleId="Char0">
    <w:name w:val="页脚 Char"/>
    <w:basedOn w:val="a0"/>
    <w:link w:val="a4"/>
    <w:uiPriority w:val="99"/>
    <w:qFormat/>
    <w:rPr>
      <w:sz w:val="18"/>
      <w:szCs w:val="18"/>
    </w:rPr>
  </w:style>
  <w:style w:type="paragraph" w:customStyle="1" w:styleId="ac">
    <w:name w:val="三线一单文本"/>
    <w:basedOn w:val="a"/>
    <w:link w:val="ad"/>
    <w:qFormat/>
    <w:pPr>
      <w:autoSpaceDE w:val="0"/>
      <w:autoSpaceDN w:val="0"/>
      <w:adjustRightInd w:val="0"/>
      <w:spacing w:line="360" w:lineRule="auto"/>
      <w:ind w:firstLineChars="200" w:firstLine="200"/>
    </w:pPr>
    <w:rPr>
      <w:rFonts w:ascii="Times New Roman" w:eastAsia="宋体" w:hAnsi="Times New Roman" w:cs="FEF88A8C30"/>
      <w:kern w:val="0"/>
      <w:sz w:val="28"/>
      <w:szCs w:val="24"/>
    </w:rPr>
  </w:style>
  <w:style w:type="paragraph" w:customStyle="1" w:styleId="ae">
    <w:name w:val="文本"/>
    <w:basedOn w:val="a"/>
    <w:link w:val="Char3"/>
    <w:qFormat/>
    <w:pPr>
      <w:spacing w:line="360" w:lineRule="auto"/>
      <w:ind w:firstLineChars="200" w:firstLine="200"/>
    </w:pPr>
    <w:rPr>
      <w:rFonts w:ascii="Times New Roman" w:eastAsia="宋体" w:hAnsi="Times New Roman" w:cs="Times New Roman"/>
      <w:sz w:val="28"/>
    </w:rPr>
  </w:style>
  <w:style w:type="character" w:customStyle="1" w:styleId="Char3">
    <w:name w:val="文本 Char"/>
    <w:link w:val="ae"/>
    <w:qFormat/>
    <w:rPr>
      <w:rFonts w:ascii="Times New Roman" w:eastAsia="宋体" w:hAnsi="Times New Roman" w:cs="Times New Roman"/>
      <w:sz w:val="28"/>
    </w:rPr>
  </w:style>
  <w:style w:type="paragraph" w:customStyle="1" w:styleId="af">
    <w:name w:val="三线一单表格"/>
    <w:basedOn w:val="ac"/>
    <w:link w:val="af0"/>
    <w:qFormat/>
    <w:pPr>
      <w:spacing w:line="312" w:lineRule="auto"/>
      <w:ind w:firstLineChars="0" w:firstLine="0"/>
    </w:pPr>
    <w:rPr>
      <w:sz w:val="24"/>
    </w:rPr>
  </w:style>
  <w:style w:type="character" w:customStyle="1" w:styleId="ad">
    <w:name w:val="三线一单文本 字符"/>
    <w:basedOn w:val="a0"/>
    <w:link w:val="ac"/>
    <w:qFormat/>
    <w:rPr>
      <w:rFonts w:ascii="Times New Roman" w:eastAsia="宋体" w:hAnsi="Times New Roman" w:cs="FEF88A8C30"/>
      <w:kern w:val="0"/>
      <w:sz w:val="28"/>
      <w:szCs w:val="24"/>
    </w:rPr>
  </w:style>
  <w:style w:type="character" w:customStyle="1" w:styleId="af0">
    <w:name w:val="三线一单表格 字符"/>
    <w:basedOn w:val="ad"/>
    <w:link w:val="af"/>
    <w:qFormat/>
    <w:rPr>
      <w:rFonts w:ascii="Times New Roman" w:eastAsia="宋体" w:hAnsi="Times New Roman" w:cs="FEF88A8C30"/>
      <w:kern w:val="0"/>
      <w:sz w:val="24"/>
      <w:szCs w:val="24"/>
    </w:rPr>
  </w:style>
  <w:style w:type="character" w:customStyle="1" w:styleId="Char1">
    <w:name w:val="页眉 Char"/>
    <w:basedOn w:val="a0"/>
    <w:link w:val="a5"/>
    <w:uiPriority w:val="99"/>
    <w:qFormat/>
    <w:rPr>
      <w:sz w:val="18"/>
      <w:szCs w:val="18"/>
    </w:rPr>
  </w:style>
  <w:style w:type="paragraph" w:customStyle="1" w:styleId="af1">
    <w:name w:val="一级标题"/>
    <w:basedOn w:val="a"/>
    <w:link w:val="af2"/>
    <w:qFormat/>
    <w:pPr>
      <w:spacing w:line="360" w:lineRule="auto"/>
      <w:ind w:firstLineChars="200" w:firstLine="200"/>
    </w:pPr>
    <w:rPr>
      <w:rFonts w:ascii="Times New Roman" w:eastAsia="宋体" w:hAnsi="Times New Roman" w:cs="Times New Roman"/>
      <w:b/>
      <w:bCs/>
      <w:sz w:val="24"/>
      <w:szCs w:val="24"/>
    </w:rPr>
  </w:style>
  <w:style w:type="paragraph" w:customStyle="1" w:styleId="af3">
    <w:name w:val="二级标题"/>
    <w:basedOn w:val="af1"/>
    <w:link w:val="af4"/>
    <w:qFormat/>
    <w:rPr>
      <w:b w:val="0"/>
    </w:rPr>
  </w:style>
  <w:style w:type="character" w:customStyle="1" w:styleId="af2">
    <w:name w:val="一级标题 字符"/>
    <w:basedOn w:val="a0"/>
    <w:link w:val="af1"/>
    <w:qFormat/>
    <w:rPr>
      <w:rFonts w:ascii="Times New Roman" w:eastAsia="宋体" w:hAnsi="Times New Roman" w:cs="Times New Roman"/>
      <w:b/>
      <w:bCs/>
      <w:sz w:val="24"/>
      <w:szCs w:val="24"/>
    </w:rPr>
  </w:style>
  <w:style w:type="character" w:customStyle="1" w:styleId="af4">
    <w:name w:val="二级标题 字符"/>
    <w:basedOn w:val="af2"/>
    <w:link w:val="af3"/>
    <w:qFormat/>
    <w:rPr>
      <w:rFonts w:ascii="Times New Roman" w:eastAsia="宋体" w:hAnsi="Times New Roman" w:cs="Times New Roman"/>
      <w:b w:val="0"/>
      <w:bCs/>
      <w:sz w:val="24"/>
      <w:szCs w:val="24"/>
    </w:rPr>
  </w:style>
  <w:style w:type="character" w:customStyle="1" w:styleId="af5">
    <w:name w:val="文本 字符"/>
    <w:qFormat/>
    <w:rPr>
      <w:rFonts w:ascii="Times New Roman" w:eastAsia="宋体" w:hAnsi="Times New Roman" w:cs="Times New Roman"/>
      <w:kern w:val="0"/>
      <w:sz w:val="28"/>
      <w:szCs w:val="24"/>
    </w:rPr>
  </w:style>
  <w:style w:type="character" w:customStyle="1" w:styleId="Char">
    <w:name w:val="批注文字 Char"/>
    <w:basedOn w:val="a0"/>
    <w:link w:val="a3"/>
    <w:uiPriority w:val="99"/>
    <w:semiHidden/>
    <w:rPr>
      <w:kern w:val="2"/>
      <w:sz w:val="21"/>
      <w:szCs w:val="22"/>
    </w:rPr>
  </w:style>
  <w:style w:type="character" w:customStyle="1" w:styleId="Char2">
    <w:name w:val="批注主题 Char"/>
    <w:basedOn w:val="Char"/>
    <w:link w:val="a6"/>
    <w:uiPriority w:val="99"/>
    <w:semiHidden/>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D6C6CB-B1E6-4C99-BB39-BC17BC121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879</Words>
  <Characters>5011</Characters>
  <Application>Microsoft Office Word</Application>
  <DocSecurity>0</DocSecurity>
  <Lines>41</Lines>
  <Paragraphs>11</Paragraphs>
  <ScaleCrop>false</ScaleCrop>
  <Company>Microsoft</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qiming</dc:creator>
  <cp:lastModifiedBy>曾伟萍</cp:lastModifiedBy>
  <cp:revision>28</cp:revision>
  <cp:lastPrinted>2023-09-12T02:10:00Z</cp:lastPrinted>
  <dcterms:created xsi:type="dcterms:W3CDTF">2023-01-10T01:31:00Z</dcterms:created>
  <dcterms:modified xsi:type="dcterms:W3CDTF">2023-10-18T08:15:00Z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ICV">
    <vt:lpwstr>C36F212DB4C04D138A66B17DD6A144EA</vt:lpwstr>
  </property>
</Properties>
</file>