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D4121">
      <w:pPr>
        <w:spacing w:beforeLines="100" w:afterLines="100" w:line="360" w:lineRule="auto"/>
        <w:jc w:val="center"/>
        <w:rPr>
          <w:rFonts w:ascii="黑体" w:hAnsi="黑体" w:eastAsia="黑体"/>
          <w:b/>
          <w:color w:val="FF0000"/>
          <w:spacing w:val="20"/>
          <w:sz w:val="52"/>
          <w:szCs w:val="52"/>
        </w:rPr>
      </w:pPr>
    </w:p>
    <w:p w14:paraId="6638FC59">
      <w:pPr>
        <w:spacing w:beforeLines="100" w:afterLines="100" w:line="360" w:lineRule="auto"/>
        <w:jc w:val="center"/>
        <w:rPr>
          <w:rFonts w:ascii="黑体" w:hAnsi="黑体" w:eastAsia="黑体"/>
          <w:b/>
          <w:color w:val="auto"/>
          <w:spacing w:val="20"/>
          <w:sz w:val="52"/>
          <w:szCs w:val="52"/>
        </w:rPr>
      </w:pPr>
      <w:bookmarkStart w:id="52" w:name="_GoBack"/>
      <w:r>
        <w:rPr>
          <w:rFonts w:hint="eastAsia" w:ascii="黑体" w:hAnsi="黑体" w:eastAsia="黑体"/>
          <w:b/>
          <w:color w:val="auto"/>
          <w:spacing w:val="20"/>
          <w:sz w:val="52"/>
          <w:szCs w:val="52"/>
        </w:rPr>
        <w:t>财政资金定期保值增值业务项目</w:t>
      </w:r>
    </w:p>
    <w:p w14:paraId="7762AC95">
      <w:pPr>
        <w:spacing w:beforeLines="100" w:afterLines="100" w:line="360" w:lineRule="auto"/>
        <w:jc w:val="center"/>
        <w:rPr>
          <w:rFonts w:ascii="黑体" w:hAnsi="黑体" w:eastAsia="黑体"/>
          <w:b/>
          <w:color w:val="auto"/>
          <w:spacing w:val="20"/>
          <w:sz w:val="52"/>
          <w:szCs w:val="52"/>
        </w:rPr>
      </w:pPr>
      <w:r>
        <w:rPr>
          <w:rFonts w:hint="eastAsia" w:ascii="黑体" w:hAnsi="黑体" w:eastAsia="黑体"/>
          <w:b/>
          <w:color w:val="auto"/>
          <w:spacing w:val="20"/>
          <w:sz w:val="52"/>
          <w:szCs w:val="52"/>
        </w:rPr>
        <w:t>采购文件</w:t>
      </w:r>
    </w:p>
    <w:bookmarkEnd w:id="52"/>
    <w:p w14:paraId="2769CF79">
      <w:pPr>
        <w:jc w:val="center"/>
        <w:rPr>
          <w:rFonts w:ascii="黑体" w:hAnsi="黑体" w:eastAsia="黑体"/>
          <w:b/>
          <w:sz w:val="32"/>
          <w:szCs w:val="32"/>
        </w:rPr>
      </w:pPr>
    </w:p>
    <w:p w14:paraId="52EA859C">
      <w:pPr>
        <w:jc w:val="center"/>
        <w:rPr>
          <w:rFonts w:ascii="黑体" w:hAnsi="黑体" w:eastAsia="黑体"/>
          <w:b/>
          <w:sz w:val="32"/>
          <w:szCs w:val="32"/>
        </w:rPr>
      </w:pPr>
    </w:p>
    <w:p w14:paraId="053C2029">
      <w:pPr>
        <w:jc w:val="center"/>
        <w:rPr>
          <w:rFonts w:ascii="黑体" w:hAnsi="黑体" w:eastAsia="黑体"/>
          <w:b/>
          <w:sz w:val="32"/>
          <w:szCs w:val="32"/>
        </w:rPr>
      </w:pPr>
    </w:p>
    <w:p w14:paraId="778CC2BF">
      <w:pPr>
        <w:jc w:val="center"/>
        <w:rPr>
          <w:rFonts w:ascii="黑体" w:hAnsi="黑体" w:eastAsia="黑体"/>
          <w:b/>
          <w:sz w:val="32"/>
          <w:szCs w:val="32"/>
        </w:rPr>
      </w:pPr>
    </w:p>
    <w:p w14:paraId="5789019E">
      <w:pPr>
        <w:jc w:val="center"/>
        <w:rPr>
          <w:rFonts w:ascii="黑体" w:hAnsi="黑体" w:eastAsia="黑体"/>
          <w:b/>
          <w:sz w:val="32"/>
          <w:szCs w:val="32"/>
        </w:rPr>
      </w:pPr>
    </w:p>
    <w:p w14:paraId="2D0B5C67">
      <w:pPr>
        <w:jc w:val="center"/>
        <w:rPr>
          <w:rFonts w:ascii="黑体" w:hAnsi="黑体" w:eastAsia="黑体"/>
          <w:b/>
          <w:sz w:val="32"/>
          <w:szCs w:val="32"/>
        </w:rPr>
      </w:pPr>
    </w:p>
    <w:p w14:paraId="39F29DB1">
      <w:pPr>
        <w:jc w:val="center"/>
        <w:rPr>
          <w:rFonts w:ascii="黑体" w:hAnsi="黑体" w:eastAsia="黑体"/>
          <w:b/>
          <w:sz w:val="32"/>
          <w:szCs w:val="32"/>
        </w:rPr>
      </w:pPr>
    </w:p>
    <w:p w14:paraId="4D0D3CA6">
      <w:pPr>
        <w:jc w:val="center"/>
        <w:rPr>
          <w:rFonts w:ascii="黑体" w:hAnsi="黑体" w:eastAsia="黑体"/>
          <w:b/>
          <w:sz w:val="32"/>
          <w:szCs w:val="32"/>
        </w:rPr>
      </w:pPr>
    </w:p>
    <w:p w14:paraId="69E9E733">
      <w:pPr>
        <w:jc w:val="center"/>
        <w:rPr>
          <w:rFonts w:ascii="黑体" w:hAnsi="黑体" w:eastAsia="黑体"/>
          <w:b/>
          <w:sz w:val="32"/>
          <w:szCs w:val="32"/>
        </w:rPr>
      </w:pPr>
    </w:p>
    <w:p w14:paraId="0B772839">
      <w:pPr>
        <w:jc w:val="center"/>
        <w:rPr>
          <w:rFonts w:ascii="黑体" w:hAnsi="黑体" w:eastAsia="黑体"/>
          <w:b/>
          <w:sz w:val="32"/>
          <w:szCs w:val="32"/>
        </w:rPr>
      </w:pPr>
    </w:p>
    <w:tbl>
      <w:tblPr>
        <w:tblStyle w:val="20"/>
        <w:tblW w:w="67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4771"/>
      </w:tblGrid>
      <w:tr w14:paraId="2F3F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vAlign w:val="top"/>
          </w:tcPr>
          <w:p w14:paraId="078A0E69">
            <w:pPr>
              <w:jc w:val="center"/>
              <w:rPr>
                <w:rFonts w:ascii="黑体" w:hAnsi="黑体" w:eastAsia="黑体"/>
                <w:b/>
                <w:sz w:val="30"/>
                <w:szCs w:val="30"/>
              </w:rPr>
            </w:pPr>
            <w:r>
              <w:rPr>
                <w:rFonts w:hint="eastAsia" w:ascii="黑体" w:hAnsi="黑体" w:eastAsia="黑体"/>
                <w:b/>
                <w:spacing w:val="40"/>
                <w:sz w:val="30"/>
                <w:szCs w:val="30"/>
              </w:rPr>
              <w:t>项目编号：</w:t>
            </w:r>
          </w:p>
        </w:tc>
        <w:tc>
          <w:tcPr>
            <w:tcW w:w="4771" w:type="dxa"/>
            <w:vAlign w:val="top"/>
          </w:tcPr>
          <w:p w14:paraId="39408567">
            <w:pPr>
              <w:jc w:val="left"/>
              <w:rPr>
                <w:rFonts w:hint="eastAsia" w:ascii="黑体" w:hAnsi="黑体" w:eastAsia="黑体"/>
                <w:b/>
                <w:spacing w:val="40"/>
                <w:sz w:val="30"/>
                <w:szCs w:val="30"/>
                <w:lang w:eastAsia="zh-CN"/>
              </w:rPr>
            </w:pPr>
            <w:r>
              <w:rPr>
                <w:rFonts w:hint="eastAsia" w:ascii="黑体" w:hAnsi="黑体" w:eastAsia="黑体"/>
                <w:b/>
                <w:spacing w:val="40"/>
                <w:sz w:val="30"/>
                <w:szCs w:val="30"/>
                <w:lang w:eastAsia="zh-CN"/>
              </w:rPr>
              <w:t>NCCZ202</w:t>
            </w:r>
            <w:r>
              <w:rPr>
                <w:rFonts w:hint="eastAsia" w:ascii="黑体" w:hAnsi="黑体" w:eastAsia="黑体"/>
                <w:b/>
                <w:spacing w:val="40"/>
                <w:sz w:val="30"/>
                <w:szCs w:val="30"/>
                <w:lang w:val="en-US" w:eastAsia="zh-CN"/>
              </w:rPr>
              <w:t>6</w:t>
            </w:r>
            <w:r>
              <w:rPr>
                <w:rFonts w:hint="eastAsia" w:ascii="黑体" w:hAnsi="黑体" w:eastAsia="黑体"/>
                <w:b/>
                <w:spacing w:val="40"/>
                <w:sz w:val="30"/>
                <w:szCs w:val="30"/>
                <w:lang w:eastAsia="zh-CN"/>
              </w:rPr>
              <w:t>01</w:t>
            </w:r>
          </w:p>
        </w:tc>
      </w:tr>
      <w:tr w14:paraId="7F52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vAlign w:val="top"/>
          </w:tcPr>
          <w:p w14:paraId="3C4CBB5C">
            <w:pPr>
              <w:jc w:val="center"/>
              <w:rPr>
                <w:rFonts w:ascii="黑体" w:hAnsi="黑体" w:eastAsia="黑体"/>
                <w:b/>
                <w:sz w:val="30"/>
                <w:szCs w:val="30"/>
              </w:rPr>
            </w:pPr>
            <w:r>
              <w:rPr>
                <w:rFonts w:hint="eastAsia" w:ascii="黑体" w:hAnsi="黑体" w:eastAsia="黑体"/>
                <w:b/>
                <w:spacing w:val="40"/>
                <w:sz w:val="30"/>
                <w:szCs w:val="30"/>
              </w:rPr>
              <w:t>采购单位：</w:t>
            </w:r>
          </w:p>
        </w:tc>
        <w:tc>
          <w:tcPr>
            <w:tcW w:w="4771" w:type="dxa"/>
            <w:vAlign w:val="top"/>
          </w:tcPr>
          <w:p w14:paraId="118DAB4D">
            <w:pPr>
              <w:jc w:val="left"/>
              <w:rPr>
                <w:rFonts w:ascii="黑体" w:hAnsi="黑体" w:eastAsia="黑体"/>
                <w:b/>
                <w:color w:val="FF0000"/>
                <w:spacing w:val="20"/>
                <w:sz w:val="30"/>
                <w:szCs w:val="30"/>
              </w:rPr>
            </w:pPr>
            <w:r>
              <w:rPr>
                <w:rFonts w:hint="eastAsia" w:ascii="黑体" w:hAnsi="黑体" w:eastAsia="黑体"/>
                <w:b/>
                <w:color w:val="auto"/>
                <w:spacing w:val="20"/>
                <w:sz w:val="30"/>
                <w:szCs w:val="30"/>
              </w:rPr>
              <w:t>东莞市财政局南城分局</w:t>
            </w:r>
          </w:p>
        </w:tc>
      </w:tr>
    </w:tbl>
    <w:p w14:paraId="3B875EF3">
      <w:pPr>
        <w:jc w:val="center"/>
        <w:rPr>
          <w:rFonts w:ascii="黑体" w:hAnsi="黑体" w:eastAsia="黑体"/>
          <w:b/>
          <w:sz w:val="32"/>
          <w:szCs w:val="32"/>
        </w:rPr>
      </w:pPr>
    </w:p>
    <w:p w14:paraId="0B88383B">
      <w:pPr>
        <w:spacing w:beforeLines="100"/>
        <w:jc w:val="center"/>
        <w:rPr>
          <w:rFonts w:ascii="黑体" w:hAnsi="黑体" w:eastAsia="黑体"/>
          <w:b/>
          <w:spacing w:val="60"/>
          <w:sz w:val="30"/>
          <w:szCs w:val="30"/>
          <w:highlight w:val="none"/>
        </w:rPr>
      </w:pPr>
      <w:r>
        <w:rPr>
          <w:rFonts w:hint="eastAsia" w:ascii="黑体" w:hAnsi="黑体" w:eastAsia="黑体"/>
          <w:b/>
          <w:spacing w:val="60"/>
          <w:sz w:val="30"/>
          <w:szCs w:val="30"/>
          <w:highlight w:val="none"/>
        </w:rPr>
        <w:t>二零二</w:t>
      </w:r>
      <w:r>
        <w:rPr>
          <w:rFonts w:hint="eastAsia" w:ascii="黑体" w:hAnsi="黑体" w:eastAsia="黑体"/>
          <w:b/>
          <w:spacing w:val="60"/>
          <w:sz w:val="30"/>
          <w:szCs w:val="30"/>
          <w:highlight w:val="none"/>
          <w:lang w:eastAsia="zh-CN"/>
        </w:rPr>
        <w:t>六</w:t>
      </w:r>
      <w:r>
        <w:rPr>
          <w:rFonts w:hint="eastAsia" w:ascii="黑体" w:hAnsi="黑体" w:eastAsia="黑体"/>
          <w:b/>
          <w:spacing w:val="60"/>
          <w:sz w:val="30"/>
          <w:szCs w:val="30"/>
          <w:highlight w:val="none"/>
        </w:rPr>
        <w:t>年</w:t>
      </w:r>
      <w:r>
        <w:rPr>
          <w:rFonts w:hint="eastAsia" w:ascii="黑体" w:hAnsi="黑体" w:eastAsia="黑体"/>
          <w:b/>
          <w:spacing w:val="60"/>
          <w:sz w:val="30"/>
          <w:szCs w:val="30"/>
          <w:highlight w:val="none"/>
          <w:lang w:eastAsia="zh-CN"/>
        </w:rPr>
        <w:t>四</w:t>
      </w:r>
      <w:r>
        <w:rPr>
          <w:rFonts w:hint="eastAsia" w:ascii="黑体" w:hAnsi="黑体" w:eastAsia="黑体"/>
          <w:b/>
          <w:spacing w:val="60"/>
          <w:sz w:val="30"/>
          <w:szCs w:val="30"/>
          <w:highlight w:val="none"/>
        </w:rPr>
        <w:t>月</w:t>
      </w:r>
    </w:p>
    <w:p w14:paraId="6E5B8C4F">
      <w:pPr>
        <w:pStyle w:val="35"/>
        <w:pageBreakBefore/>
        <w:widowControl w:val="0"/>
        <w:spacing w:before="240" w:afterLines="50" w:line="360" w:lineRule="auto"/>
        <w:jc w:val="center"/>
        <w:rPr>
          <w:rFonts w:ascii="黑体" w:hAnsi="黑体" w:eastAsia="黑体"/>
          <w:color w:val="auto"/>
        </w:rPr>
      </w:pPr>
      <w:bookmarkStart w:id="0" w:name="_Toc405313951"/>
      <w:bookmarkStart w:id="1" w:name="_Toc391627747"/>
      <w:bookmarkStart w:id="2" w:name="_Toc391367873"/>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0D149228">
      <w:pPr>
        <w:pStyle w:val="15"/>
        <w:rPr>
          <w:rFonts w:eastAsia="宋体"/>
          <w:kern w:val="2"/>
          <w:sz w:val="21"/>
        </w:rPr>
      </w:pPr>
      <w:r>
        <w:rPr>
          <w:rFonts w:ascii="黑体" w:hAnsi="黑体"/>
        </w:rPr>
        <w:fldChar w:fldCharType="begin"/>
      </w:r>
      <w:r>
        <w:rPr>
          <w:rFonts w:ascii="黑体" w:hAnsi="黑体"/>
        </w:rPr>
        <w:instrText xml:space="preserve"> TOC \o "1-3" \h \z \u </w:instrText>
      </w:r>
      <w:r>
        <w:rPr>
          <w:rFonts w:ascii="黑体" w:hAnsi="黑体"/>
        </w:rPr>
        <w:fldChar w:fldCharType="separate"/>
      </w:r>
      <w:r>
        <w:fldChar w:fldCharType="begin"/>
      </w:r>
      <w:r>
        <w:instrText xml:space="preserve"> HYPERLINK \l "_Toc23715265" </w:instrText>
      </w:r>
      <w:r>
        <w:fldChar w:fldCharType="separate"/>
      </w:r>
      <w:r>
        <w:rPr>
          <w:rStyle w:val="25"/>
          <w:rFonts w:hint="eastAsia" w:ascii="黑体" w:hAnsi="黑体"/>
          <w:spacing w:val="20"/>
        </w:rPr>
        <w:t>第一部分</w:t>
      </w:r>
      <w:r>
        <w:rPr>
          <w:rStyle w:val="25"/>
          <w:rFonts w:ascii="黑体" w:hAnsi="黑体"/>
          <w:spacing w:val="20"/>
        </w:rPr>
        <w:t xml:space="preserve"> </w:t>
      </w:r>
      <w:r>
        <w:rPr>
          <w:rStyle w:val="25"/>
          <w:rFonts w:hint="eastAsia" w:ascii="黑体" w:hAnsi="黑体"/>
          <w:spacing w:val="20"/>
        </w:rPr>
        <w:t>投标邀请函</w:t>
      </w:r>
      <w:r>
        <w:tab/>
      </w:r>
      <w:r>
        <w:fldChar w:fldCharType="begin"/>
      </w:r>
      <w:r>
        <w:instrText xml:space="preserve"> PAGEREF _Toc23715265 \h </w:instrText>
      </w:r>
      <w:r>
        <w:fldChar w:fldCharType="separate"/>
      </w:r>
      <w:r>
        <w:t>2</w:t>
      </w:r>
      <w:r>
        <w:fldChar w:fldCharType="end"/>
      </w:r>
      <w:r>
        <w:fldChar w:fldCharType="end"/>
      </w:r>
    </w:p>
    <w:p w14:paraId="4F1721F2">
      <w:pPr>
        <w:pStyle w:val="15"/>
        <w:rPr>
          <w:rFonts w:eastAsia="宋体"/>
          <w:kern w:val="2"/>
          <w:sz w:val="21"/>
        </w:rPr>
      </w:pPr>
      <w:r>
        <w:fldChar w:fldCharType="begin"/>
      </w:r>
      <w:r>
        <w:instrText xml:space="preserve"> HYPERLINK \l "_Toc23715266" </w:instrText>
      </w:r>
      <w:r>
        <w:fldChar w:fldCharType="separate"/>
      </w:r>
      <w:r>
        <w:rPr>
          <w:rStyle w:val="25"/>
          <w:rFonts w:hint="eastAsia" w:ascii="黑体" w:hAnsi="黑体"/>
          <w:spacing w:val="20"/>
        </w:rPr>
        <w:t>第二部分</w:t>
      </w:r>
      <w:r>
        <w:rPr>
          <w:rStyle w:val="25"/>
          <w:rFonts w:ascii="黑体" w:hAnsi="黑体"/>
          <w:spacing w:val="20"/>
        </w:rPr>
        <w:t xml:space="preserve"> </w:t>
      </w:r>
      <w:r>
        <w:rPr>
          <w:rStyle w:val="25"/>
          <w:rFonts w:hint="eastAsia" w:ascii="黑体" w:hAnsi="黑体"/>
          <w:spacing w:val="20"/>
        </w:rPr>
        <w:t>用户需求书</w:t>
      </w:r>
      <w:r>
        <w:tab/>
      </w:r>
      <w:r>
        <w:fldChar w:fldCharType="begin"/>
      </w:r>
      <w:r>
        <w:instrText xml:space="preserve"> PAGEREF _Toc23715266 \h </w:instrText>
      </w:r>
      <w:r>
        <w:fldChar w:fldCharType="separate"/>
      </w:r>
      <w:r>
        <w:t>4</w:t>
      </w:r>
      <w:r>
        <w:fldChar w:fldCharType="end"/>
      </w:r>
      <w:r>
        <w:fldChar w:fldCharType="end"/>
      </w:r>
    </w:p>
    <w:p w14:paraId="4C9EE6C4">
      <w:pPr>
        <w:pStyle w:val="15"/>
        <w:rPr>
          <w:rFonts w:eastAsia="宋体"/>
          <w:kern w:val="2"/>
          <w:sz w:val="21"/>
        </w:rPr>
      </w:pPr>
      <w:r>
        <w:fldChar w:fldCharType="begin"/>
      </w:r>
      <w:r>
        <w:instrText xml:space="preserve"> HYPERLINK \l "_Toc23715267" </w:instrText>
      </w:r>
      <w:r>
        <w:fldChar w:fldCharType="separate"/>
      </w:r>
      <w:r>
        <w:rPr>
          <w:rStyle w:val="25"/>
          <w:rFonts w:hint="eastAsia" w:ascii="黑体" w:hAnsi="黑体"/>
          <w:spacing w:val="20"/>
        </w:rPr>
        <w:t>第三部分</w:t>
      </w:r>
      <w:r>
        <w:rPr>
          <w:rStyle w:val="25"/>
          <w:rFonts w:ascii="黑体" w:hAnsi="黑体"/>
          <w:spacing w:val="20"/>
        </w:rPr>
        <w:t xml:space="preserve"> </w:t>
      </w:r>
      <w:r>
        <w:rPr>
          <w:rStyle w:val="25"/>
          <w:rFonts w:hint="eastAsia" w:ascii="黑体" w:hAnsi="黑体"/>
          <w:spacing w:val="20"/>
        </w:rPr>
        <w:t>投标须知前附表</w:t>
      </w:r>
      <w:r>
        <w:tab/>
      </w:r>
      <w:r>
        <w:fldChar w:fldCharType="begin"/>
      </w:r>
      <w:r>
        <w:instrText xml:space="preserve"> PAGEREF _Toc23715267 \h </w:instrText>
      </w:r>
      <w:r>
        <w:fldChar w:fldCharType="separate"/>
      </w:r>
      <w:r>
        <w:t>6</w:t>
      </w:r>
      <w:r>
        <w:fldChar w:fldCharType="end"/>
      </w:r>
      <w:r>
        <w:fldChar w:fldCharType="end"/>
      </w:r>
    </w:p>
    <w:p w14:paraId="2B994210">
      <w:pPr>
        <w:pStyle w:val="15"/>
        <w:rPr>
          <w:rFonts w:eastAsia="宋体"/>
          <w:kern w:val="2"/>
          <w:sz w:val="21"/>
        </w:rPr>
      </w:pPr>
      <w:r>
        <w:fldChar w:fldCharType="begin"/>
      </w:r>
      <w:r>
        <w:instrText xml:space="preserve"> HYPERLINK \l "_Toc23715268" </w:instrText>
      </w:r>
      <w:r>
        <w:fldChar w:fldCharType="separate"/>
      </w:r>
      <w:r>
        <w:rPr>
          <w:rStyle w:val="25"/>
          <w:rFonts w:hint="eastAsia" w:ascii="黑体" w:hAnsi="黑体"/>
          <w:spacing w:val="20"/>
        </w:rPr>
        <w:t>第四部分</w:t>
      </w:r>
      <w:r>
        <w:rPr>
          <w:rStyle w:val="25"/>
          <w:rFonts w:ascii="黑体" w:hAnsi="黑体"/>
          <w:spacing w:val="20"/>
        </w:rPr>
        <w:t xml:space="preserve"> </w:t>
      </w:r>
      <w:r>
        <w:rPr>
          <w:rStyle w:val="25"/>
          <w:rFonts w:hint="eastAsia" w:ascii="黑体" w:hAnsi="黑体"/>
          <w:spacing w:val="20"/>
        </w:rPr>
        <w:t>投标须知</w:t>
      </w:r>
      <w:r>
        <w:tab/>
      </w:r>
      <w:r>
        <w:fldChar w:fldCharType="begin"/>
      </w:r>
      <w:r>
        <w:instrText xml:space="preserve"> PAGEREF _Toc23715268 \h </w:instrText>
      </w:r>
      <w:r>
        <w:fldChar w:fldCharType="separate"/>
      </w:r>
      <w:r>
        <w:t>8</w:t>
      </w:r>
      <w:r>
        <w:fldChar w:fldCharType="end"/>
      </w:r>
      <w:r>
        <w:fldChar w:fldCharType="end"/>
      </w:r>
    </w:p>
    <w:p w14:paraId="38A13DCB">
      <w:pPr>
        <w:pStyle w:val="15"/>
        <w:rPr>
          <w:rFonts w:eastAsia="宋体"/>
          <w:kern w:val="2"/>
          <w:sz w:val="21"/>
        </w:rPr>
      </w:pPr>
      <w:r>
        <w:fldChar w:fldCharType="begin"/>
      </w:r>
      <w:r>
        <w:instrText xml:space="preserve"> HYPERLINK \l "_Toc23715269" </w:instrText>
      </w:r>
      <w:r>
        <w:fldChar w:fldCharType="separate"/>
      </w:r>
      <w:r>
        <w:rPr>
          <w:rStyle w:val="25"/>
          <w:rFonts w:hint="eastAsia" w:ascii="黑体" w:hAnsi="黑体"/>
          <w:spacing w:val="20"/>
        </w:rPr>
        <w:t>第五部分</w:t>
      </w:r>
      <w:r>
        <w:rPr>
          <w:rStyle w:val="25"/>
          <w:rFonts w:ascii="黑体" w:hAnsi="黑体"/>
          <w:spacing w:val="20"/>
        </w:rPr>
        <w:t xml:space="preserve"> </w:t>
      </w:r>
      <w:r>
        <w:rPr>
          <w:rStyle w:val="25"/>
          <w:rFonts w:hint="eastAsia" w:ascii="黑体" w:hAnsi="黑体"/>
          <w:spacing w:val="20"/>
        </w:rPr>
        <w:t>评标方法、步骤、标准</w:t>
      </w:r>
      <w:r>
        <w:tab/>
      </w:r>
      <w:r>
        <w:fldChar w:fldCharType="begin"/>
      </w:r>
      <w:r>
        <w:instrText xml:space="preserve"> PAGEREF _Toc23715269 \h </w:instrText>
      </w:r>
      <w:r>
        <w:fldChar w:fldCharType="separate"/>
      </w:r>
      <w:r>
        <w:t>18</w:t>
      </w:r>
      <w:r>
        <w:fldChar w:fldCharType="end"/>
      </w:r>
      <w:r>
        <w:fldChar w:fldCharType="end"/>
      </w:r>
    </w:p>
    <w:p w14:paraId="4B05FD08">
      <w:pPr>
        <w:pStyle w:val="15"/>
        <w:rPr>
          <w:rFonts w:eastAsia="宋体"/>
          <w:kern w:val="2"/>
          <w:sz w:val="21"/>
        </w:rPr>
      </w:pPr>
      <w:r>
        <w:fldChar w:fldCharType="begin"/>
      </w:r>
      <w:r>
        <w:instrText xml:space="preserve"> HYPERLINK \l "_Toc23715270" </w:instrText>
      </w:r>
      <w:r>
        <w:fldChar w:fldCharType="separate"/>
      </w:r>
      <w:r>
        <w:rPr>
          <w:rStyle w:val="25"/>
          <w:rFonts w:hint="eastAsia" w:ascii="黑体" w:hAnsi="黑体"/>
          <w:spacing w:val="20"/>
        </w:rPr>
        <w:t>第六部分</w:t>
      </w:r>
      <w:r>
        <w:rPr>
          <w:rStyle w:val="25"/>
          <w:rFonts w:ascii="黑体" w:hAnsi="黑体"/>
          <w:spacing w:val="20"/>
        </w:rPr>
        <w:t xml:space="preserve"> </w:t>
      </w:r>
      <w:r>
        <w:rPr>
          <w:rStyle w:val="25"/>
          <w:rFonts w:hint="eastAsia" w:ascii="黑体" w:hAnsi="黑体"/>
          <w:spacing w:val="20"/>
        </w:rPr>
        <w:t>合同书格式</w:t>
      </w:r>
      <w:r>
        <w:tab/>
      </w:r>
      <w:r>
        <w:fldChar w:fldCharType="begin"/>
      </w:r>
      <w:r>
        <w:instrText xml:space="preserve"> PAGEREF _Toc23715270 \h </w:instrText>
      </w:r>
      <w:r>
        <w:fldChar w:fldCharType="separate"/>
      </w:r>
      <w:r>
        <w:t>26</w:t>
      </w:r>
      <w:r>
        <w:fldChar w:fldCharType="end"/>
      </w:r>
      <w:r>
        <w:fldChar w:fldCharType="end"/>
      </w:r>
    </w:p>
    <w:p w14:paraId="141C9B74">
      <w:pPr>
        <w:pStyle w:val="15"/>
        <w:rPr>
          <w:rFonts w:eastAsia="宋体"/>
          <w:kern w:val="2"/>
          <w:sz w:val="21"/>
        </w:rPr>
      </w:pPr>
      <w:r>
        <w:fldChar w:fldCharType="begin"/>
      </w:r>
      <w:r>
        <w:instrText xml:space="preserve"> HYPERLINK \l "_Toc23715271" </w:instrText>
      </w:r>
      <w:r>
        <w:fldChar w:fldCharType="separate"/>
      </w:r>
      <w:r>
        <w:rPr>
          <w:rStyle w:val="25"/>
          <w:rFonts w:hint="eastAsia" w:ascii="黑体" w:hAnsi="黑体"/>
          <w:spacing w:val="20"/>
        </w:rPr>
        <w:t>第七部分</w:t>
      </w:r>
      <w:r>
        <w:rPr>
          <w:rStyle w:val="25"/>
          <w:rFonts w:ascii="黑体" w:hAnsi="黑体"/>
          <w:spacing w:val="20"/>
        </w:rPr>
        <w:t xml:space="preserve"> </w:t>
      </w:r>
      <w:r>
        <w:rPr>
          <w:rStyle w:val="25"/>
          <w:rFonts w:hint="eastAsia" w:ascii="黑体" w:hAnsi="黑体"/>
          <w:spacing w:val="20"/>
        </w:rPr>
        <w:t>投标文件格式</w:t>
      </w:r>
      <w:r>
        <w:tab/>
      </w:r>
      <w:r>
        <w:fldChar w:fldCharType="begin"/>
      </w:r>
      <w:r>
        <w:instrText xml:space="preserve"> PAGEREF _Toc23715271 \h </w:instrText>
      </w:r>
      <w:r>
        <w:fldChar w:fldCharType="separate"/>
      </w:r>
      <w:r>
        <w:t>32</w:t>
      </w:r>
      <w:r>
        <w:fldChar w:fldCharType="end"/>
      </w:r>
      <w:r>
        <w:fldChar w:fldCharType="end"/>
      </w:r>
    </w:p>
    <w:p w14:paraId="47DC5EEF">
      <w:pPr>
        <w:pStyle w:val="16"/>
        <w:rPr>
          <w:kern w:val="2"/>
          <w:sz w:val="21"/>
        </w:rPr>
      </w:pPr>
      <w:r>
        <w:fldChar w:fldCharType="begin"/>
      </w:r>
      <w:r>
        <w:instrText xml:space="preserve"> HYPERLINK \l "_Toc23715272" </w:instrText>
      </w:r>
      <w:r>
        <w:fldChar w:fldCharType="separate"/>
      </w:r>
      <w:r>
        <w:rPr>
          <w:rStyle w:val="25"/>
          <w:rFonts w:hint="eastAsia" w:ascii="黑体" w:hAnsi="黑体" w:eastAsia="黑体"/>
          <w:spacing w:val="12"/>
        </w:rPr>
        <w:t>附件</w:t>
      </w:r>
      <w:r>
        <w:rPr>
          <w:rStyle w:val="25"/>
          <w:rFonts w:ascii="黑体" w:hAnsi="黑体" w:eastAsia="黑体"/>
          <w:spacing w:val="12"/>
        </w:rPr>
        <w:t xml:space="preserve">1  </w:t>
      </w:r>
      <w:r>
        <w:rPr>
          <w:rStyle w:val="25"/>
          <w:rFonts w:hint="eastAsia" w:ascii="黑体" w:hAnsi="黑体" w:eastAsia="黑体"/>
          <w:spacing w:val="12"/>
        </w:rPr>
        <w:t>投标函</w:t>
      </w:r>
      <w:r>
        <w:tab/>
      </w:r>
      <w:r>
        <w:fldChar w:fldCharType="begin"/>
      </w:r>
      <w:r>
        <w:instrText xml:space="preserve"> PAGEREF _Toc23715272 \h </w:instrText>
      </w:r>
      <w:r>
        <w:fldChar w:fldCharType="separate"/>
      </w:r>
      <w:r>
        <w:t>34</w:t>
      </w:r>
      <w:r>
        <w:fldChar w:fldCharType="end"/>
      </w:r>
      <w:r>
        <w:fldChar w:fldCharType="end"/>
      </w:r>
    </w:p>
    <w:p w14:paraId="53360224">
      <w:pPr>
        <w:pStyle w:val="16"/>
        <w:rPr>
          <w:kern w:val="2"/>
          <w:sz w:val="21"/>
        </w:rPr>
      </w:pPr>
      <w:r>
        <w:fldChar w:fldCharType="begin"/>
      </w:r>
      <w:r>
        <w:instrText xml:space="preserve"> HYPERLINK \l "_Toc23715273" </w:instrText>
      </w:r>
      <w:r>
        <w:fldChar w:fldCharType="separate"/>
      </w:r>
      <w:r>
        <w:rPr>
          <w:rStyle w:val="25"/>
          <w:rFonts w:hint="eastAsia" w:ascii="黑体" w:hAnsi="黑体" w:eastAsia="黑体"/>
          <w:spacing w:val="12"/>
        </w:rPr>
        <w:t>附件</w:t>
      </w:r>
      <w:r>
        <w:rPr>
          <w:rStyle w:val="25"/>
          <w:rFonts w:ascii="黑体" w:hAnsi="黑体" w:eastAsia="黑体"/>
          <w:spacing w:val="12"/>
        </w:rPr>
        <w:t xml:space="preserve">2  </w:t>
      </w:r>
      <w:r>
        <w:rPr>
          <w:rStyle w:val="25"/>
          <w:rFonts w:hint="eastAsia" w:ascii="黑体" w:hAnsi="黑体" w:eastAsia="黑体"/>
          <w:spacing w:val="12"/>
        </w:rPr>
        <w:t>法定</w:t>
      </w:r>
      <w:r>
        <w:rPr>
          <w:rStyle w:val="25"/>
          <w:rFonts w:ascii="黑体" w:hAnsi="黑体" w:eastAsia="黑体"/>
          <w:spacing w:val="12"/>
        </w:rPr>
        <w:t>(</w:t>
      </w:r>
      <w:r>
        <w:rPr>
          <w:rStyle w:val="25"/>
          <w:rFonts w:hint="eastAsia" w:ascii="黑体" w:hAnsi="黑体" w:eastAsia="黑体"/>
          <w:spacing w:val="12"/>
        </w:rPr>
        <w:t>负责人</w:t>
      </w:r>
      <w:r>
        <w:rPr>
          <w:rStyle w:val="25"/>
          <w:rFonts w:ascii="黑体" w:hAnsi="黑体" w:eastAsia="黑体"/>
          <w:spacing w:val="12"/>
        </w:rPr>
        <w:t>)</w:t>
      </w:r>
      <w:r>
        <w:rPr>
          <w:rStyle w:val="25"/>
          <w:rFonts w:hint="eastAsia" w:ascii="黑体" w:hAnsi="黑体" w:eastAsia="黑体"/>
          <w:spacing w:val="12"/>
        </w:rPr>
        <w:t>代表人身份证明书</w:t>
      </w:r>
      <w:r>
        <w:tab/>
      </w:r>
      <w:r>
        <w:fldChar w:fldCharType="begin"/>
      </w:r>
      <w:r>
        <w:instrText xml:space="preserve"> PAGEREF _Toc23715273 \h </w:instrText>
      </w:r>
      <w:r>
        <w:fldChar w:fldCharType="separate"/>
      </w:r>
      <w:r>
        <w:t>35</w:t>
      </w:r>
      <w:r>
        <w:fldChar w:fldCharType="end"/>
      </w:r>
      <w:r>
        <w:fldChar w:fldCharType="end"/>
      </w:r>
    </w:p>
    <w:p w14:paraId="3286C2DB">
      <w:pPr>
        <w:pStyle w:val="16"/>
        <w:rPr>
          <w:kern w:val="2"/>
          <w:sz w:val="21"/>
        </w:rPr>
      </w:pPr>
      <w:r>
        <w:fldChar w:fldCharType="begin"/>
      </w:r>
      <w:r>
        <w:instrText xml:space="preserve"> HYPERLINK \l "_Toc23715274" </w:instrText>
      </w:r>
      <w:r>
        <w:fldChar w:fldCharType="separate"/>
      </w:r>
      <w:r>
        <w:rPr>
          <w:rStyle w:val="25"/>
          <w:rFonts w:hint="eastAsia" w:ascii="黑体" w:hAnsi="黑体" w:eastAsia="黑体"/>
          <w:spacing w:val="12"/>
        </w:rPr>
        <w:t>附件</w:t>
      </w:r>
      <w:r>
        <w:rPr>
          <w:rStyle w:val="25"/>
          <w:rFonts w:ascii="黑体" w:hAnsi="黑体" w:eastAsia="黑体"/>
          <w:spacing w:val="12"/>
        </w:rPr>
        <w:t xml:space="preserve">3  </w:t>
      </w:r>
      <w:r>
        <w:rPr>
          <w:rStyle w:val="25"/>
          <w:rFonts w:hint="eastAsia" w:ascii="黑体" w:hAnsi="黑体" w:eastAsia="黑体"/>
          <w:spacing w:val="12"/>
        </w:rPr>
        <w:t>法定</w:t>
      </w:r>
      <w:r>
        <w:rPr>
          <w:rStyle w:val="25"/>
          <w:rFonts w:ascii="黑体" w:hAnsi="黑体" w:eastAsia="黑体"/>
          <w:spacing w:val="12"/>
        </w:rPr>
        <w:t>(</w:t>
      </w:r>
      <w:r>
        <w:rPr>
          <w:rStyle w:val="25"/>
          <w:rFonts w:hint="eastAsia" w:ascii="黑体" w:hAnsi="黑体" w:eastAsia="黑体"/>
          <w:spacing w:val="12"/>
        </w:rPr>
        <w:t>负责人</w:t>
      </w:r>
      <w:r>
        <w:rPr>
          <w:rStyle w:val="25"/>
          <w:rFonts w:ascii="黑体" w:hAnsi="黑体" w:eastAsia="黑体"/>
          <w:spacing w:val="12"/>
        </w:rPr>
        <w:t>)</w:t>
      </w:r>
      <w:r>
        <w:rPr>
          <w:rStyle w:val="25"/>
          <w:rFonts w:hint="eastAsia" w:ascii="黑体" w:hAnsi="黑体" w:eastAsia="黑体"/>
          <w:spacing w:val="12"/>
        </w:rPr>
        <w:t>代表人授权委托书</w:t>
      </w:r>
      <w:r>
        <w:tab/>
      </w:r>
      <w:r>
        <w:fldChar w:fldCharType="begin"/>
      </w:r>
      <w:r>
        <w:instrText xml:space="preserve"> PAGEREF _Toc23715274 \h </w:instrText>
      </w:r>
      <w:r>
        <w:fldChar w:fldCharType="separate"/>
      </w:r>
      <w:r>
        <w:t>36</w:t>
      </w:r>
      <w:r>
        <w:fldChar w:fldCharType="end"/>
      </w:r>
      <w:r>
        <w:fldChar w:fldCharType="end"/>
      </w:r>
    </w:p>
    <w:p w14:paraId="71CE32DB">
      <w:pPr>
        <w:pStyle w:val="16"/>
        <w:rPr>
          <w:kern w:val="2"/>
          <w:sz w:val="21"/>
        </w:rPr>
      </w:pPr>
      <w:r>
        <w:fldChar w:fldCharType="begin"/>
      </w:r>
      <w:r>
        <w:instrText xml:space="preserve"> HYPERLINK \l "_Toc23715275" </w:instrText>
      </w:r>
      <w:r>
        <w:fldChar w:fldCharType="separate"/>
      </w:r>
      <w:r>
        <w:rPr>
          <w:rStyle w:val="25"/>
          <w:rFonts w:hint="eastAsia" w:ascii="黑体" w:hAnsi="黑体" w:eastAsia="黑体"/>
          <w:spacing w:val="12"/>
        </w:rPr>
        <w:t>附件</w:t>
      </w:r>
      <w:r>
        <w:rPr>
          <w:rStyle w:val="25"/>
          <w:rFonts w:ascii="黑体" w:hAnsi="黑体" w:eastAsia="黑体"/>
          <w:spacing w:val="12"/>
        </w:rPr>
        <w:t xml:space="preserve">4  </w:t>
      </w:r>
      <w:r>
        <w:rPr>
          <w:rStyle w:val="25"/>
          <w:rFonts w:hint="eastAsia" w:ascii="黑体" w:hAnsi="黑体" w:eastAsia="黑体"/>
          <w:spacing w:val="12"/>
        </w:rPr>
        <w:t>承诺书</w:t>
      </w:r>
      <w:r>
        <w:tab/>
      </w:r>
      <w:r>
        <w:fldChar w:fldCharType="begin"/>
      </w:r>
      <w:r>
        <w:instrText xml:space="preserve"> PAGEREF _Toc23715275 \h </w:instrText>
      </w:r>
      <w:r>
        <w:fldChar w:fldCharType="separate"/>
      </w:r>
      <w:r>
        <w:t>37</w:t>
      </w:r>
      <w:r>
        <w:fldChar w:fldCharType="end"/>
      </w:r>
      <w:r>
        <w:fldChar w:fldCharType="end"/>
      </w:r>
    </w:p>
    <w:p w14:paraId="5D8E587C">
      <w:pPr>
        <w:pStyle w:val="16"/>
        <w:rPr>
          <w:kern w:val="2"/>
          <w:sz w:val="21"/>
        </w:rPr>
      </w:pPr>
      <w:r>
        <w:fldChar w:fldCharType="begin"/>
      </w:r>
      <w:r>
        <w:instrText xml:space="preserve"> HYPERLINK \l "_Toc23715277" </w:instrText>
      </w:r>
      <w:r>
        <w:fldChar w:fldCharType="separate"/>
      </w:r>
      <w:r>
        <w:rPr>
          <w:rStyle w:val="25"/>
          <w:rFonts w:hint="eastAsia" w:ascii="黑体" w:hAnsi="黑体" w:eastAsia="黑体"/>
          <w:spacing w:val="12"/>
        </w:rPr>
        <w:t>附件5</w:t>
      </w:r>
      <w:r>
        <w:rPr>
          <w:rStyle w:val="25"/>
          <w:rFonts w:ascii="黑体" w:hAnsi="黑体" w:eastAsia="黑体"/>
          <w:spacing w:val="12"/>
        </w:rPr>
        <w:t xml:space="preserve">  </w:t>
      </w:r>
      <w:r>
        <w:rPr>
          <w:rStyle w:val="25"/>
          <w:rFonts w:hint="eastAsia" w:ascii="黑体" w:hAnsi="黑体" w:eastAsia="黑体"/>
          <w:spacing w:val="12"/>
        </w:rPr>
        <w:t>商务差异表</w:t>
      </w:r>
      <w:r>
        <w:tab/>
      </w:r>
      <w:r>
        <w:fldChar w:fldCharType="begin"/>
      </w:r>
      <w:r>
        <w:instrText xml:space="preserve"> PAGEREF _Toc23715277 \h </w:instrText>
      </w:r>
      <w:r>
        <w:fldChar w:fldCharType="separate"/>
      </w:r>
      <w:r>
        <w:t>38</w:t>
      </w:r>
      <w:r>
        <w:fldChar w:fldCharType="end"/>
      </w:r>
      <w:r>
        <w:fldChar w:fldCharType="end"/>
      </w:r>
    </w:p>
    <w:p w14:paraId="32E4936A">
      <w:pPr>
        <w:pStyle w:val="16"/>
        <w:rPr>
          <w:kern w:val="2"/>
          <w:sz w:val="21"/>
        </w:rPr>
      </w:pPr>
      <w:r>
        <w:fldChar w:fldCharType="begin"/>
      </w:r>
      <w:r>
        <w:instrText xml:space="preserve"> HYPERLINK \l "_Toc23715278" </w:instrText>
      </w:r>
      <w:r>
        <w:fldChar w:fldCharType="separate"/>
      </w:r>
      <w:r>
        <w:rPr>
          <w:rStyle w:val="25"/>
          <w:rFonts w:hint="eastAsia" w:ascii="黑体" w:hAnsi="黑体" w:eastAsia="黑体"/>
          <w:spacing w:val="12"/>
        </w:rPr>
        <w:t>附件6</w:t>
      </w:r>
      <w:r>
        <w:rPr>
          <w:rStyle w:val="25"/>
          <w:rFonts w:ascii="黑体" w:hAnsi="黑体" w:eastAsia="黑体"/>
          <w:spacing w:val="12"/>
        </w:rPr>
        <w:t xml:space="preserve">  </w:t>
      </w:r>
      <w:r>
        <w:rPr>
          <w:rStyle w:val="25"/>
          <w:rFonts w:hint="eastAsia" w:ascii="黑体" w:hAnsi="黑体" w:eastAsia="黑体"/>
          <w:spacing w:val="12"/>
        </w:rPr>
        <w:t>资格申明</w:t>
      </w:r>
      <w:r>
        <w:tab/>
      </w:r>
      <w:r>
        <w:fldChar w:fldCharType="begin"/>
      </w:r>
      <w:r>
        <w:instrText xml:space="preserve"> PAGEREF _Toc23715278 \h </w:instrText>
      </w:r>
      <w:r>
        <w:fldChar w:fldCharType="separate"/>
      </w:r>
      <w:r>
        <w:t>39</w:t>
      </w:r>
      <w:r>
        <w:fldChar w:fldCharType="end"/>
      </w:r>
      <w:r>
        <w:fldChar w:fldCharType="end"/>
      </w:r>
    </w:p>
    <w:p w14:paraId="37D1A4BA">
      <w:pPr>
        <w:pStyle w:val="16"/>
        <w:rPr>
          <w:kern w:val="2"/>
          <w:sz w:val="21"/>
        </w:rPr>
      </w:pPr>
      <w:r>
        <w:fldChar w:fldCharType="begin"/>
      </w:r>
      <w:r>
        <w:instrText xml:space="preserve"> HYPERLINK \l "_Toc23715279" </w:instrText>
      </w:r>
      <w:r>
        <w:fldChar w:fldCharType="separate"/>
      </w:r>
      <w:r>
        <w:rPr>
          <w:rStyle w:val="25"/>
          <w:rFonts w:hint="eastAsia" w:ascii="黑体" w:hAnsi="黑体" w:eastAsia="黑体"/>
          <w:spacing w:val="10"/>
        </w:rPr>
        <w:t>附件7</w:t>
      </w:r>
      <w:r>
        <w:rPr>
          <w:rStyle w:val="25"/>
          <w:rFonts w:ascii="黑体" w:hAnsi="黑体" w:eastAsia="黑体"/>
          <w:spacing w:val="10"/>
        </w:rPr>
        <w:t xml:space="preserve">  </w:t>
      </w:r>
      <w:r>
        <w:rPr>
          <w:rStyle w:val="25"/>
          <w:rFonts w:hint="eastAsia" w:ascii="黑体" w:hAnsi="黑体" w:eastAsia="黑体"/>
          <w:spacing w:val="10"/>
        </w:rPr>
        <w:t>在经营活动中没有重大违法记录的书面声明</w:t>
      </w:r>
      <w:r>
        <w:tab/>
      </w:r>
      <w:r>
        <w:fldChar w:fldCharType="begin"/>
      </w:r>
      <w:r>
        <w:instrText xml:space="preserve"> PAGEREF _Toc23715279 \h </w:instrText>
      </w:r>
      <w:r>
        <w:fldChar w:fldCharType="separate"/>
      </w:r>
      <w:r>
        <w:t>40</w:t>
      </w:r>
      <w:r>
        <w:fldChar w:fldCharType="end"/>
      </w:r>
      <w:r>
        <w:fldChar w:fldCharType="end"/>
      </w:r>
    </w:p>
    <w:p w14:paraId="7381177B">
      <w:pPr>
        <w:pStyle w:val="16"/>
        <w:rPr>
          <w:kern w:val="2"/>
          <w:sz w:val="21"/>
        </w:rPr>
      </w:pPr>
      <w:r>
        <w:fldChar w:fldCharType="begin"/>
      </w:r>
      <w:r>
        <w:instrText xml:space="preserve"> HYPERLINK \l "_Toc23715280" </w:instrText>
      </w:r>
      <w:r>
        <w:fldChar w:fldCharType="separate"/>
      </w:r>
      <w:r>
        <w:rPr>
          <w:rStyle w:val="25"/>
          <w:rFonts w:hint="eastAsia" w:ascii="黑体" w:hAnsi="黑体" w:eastAsia="黑体"/>
          <w:spacing w:val="12"/>
        </w:rPr>
        <w:t>附件8</w:t>
      </w:r>
      <w:r>
        <w:rPr>
          <w:rStyle w:val="25"/>
          <w:rFonts w:ascii="黑体" w:hAnsi="黑体" w:eastAsia="黑体"/>
          <w:spacing w:val="12"/>
        </w:rPr>
        <w:t xml:space="preserve">  </w:t>
      </w:r>
      <w:r>
        <w:rPr>
          <w:rStyle w:val="25"/>
          <w:rFonts w:hint="eastAsia" w:ascii="黑体" w:hAnsi="黑体" w:eastAsia="黑体"/>
          <w:spacing w:val="12"/>
        </w:rPr>
        <w:t>开标一览表</w:t>
      </w:r>
      <w:r>
        <w:tab/>
      </w:r>
      <w:r>
        <w:fldChar w:fldCharType="begin"/>
      </w:r>
      <w:r>
        <w:instrText xml:space="preserve"> PAGEREF _Toc23715280 \h </w:instrText>
      </w:r>
      <w:r>
        <w:fldChar w:fldCharType="separate"/>
      </w:r>
      <w:r>
        <w:t>42</w:t>
      </w:r>
      <w:r>
        <w:fldChar w:fldCharType="end"/>
      </w:r>
      <w:r>
        <w:fldChar w:fldCharType="end"/>
      </w:r>
    </w:p>
    <w:p w14:paraId="5ED06EFB">
      <w:pPr>
        <w:spacing w:line="360" w:lineRule="auto"/>
        <w:rPr>
          <w:rFonts w:ascii="黑体" w:hAnsi="黑体" w:eastAsia="黑体"/>
        </w:rPr>
      </w:pPr>
      <w:r>
        <w:rPr>
          <w:rFonts w:ascii="黑体" w:hAnsi="黑体" w:eastAsia="黑体"/>
          <w:b/>
          <w:bCs/>
          <w:lang w:val="zh-CN"/>
        </w:rPr>
        <w:fldChar w:fldCharType="end"/>
      </w:r>
    </w:p>
    <w:p w14:paraId="6B108EEB">
      <w:pPr>
        <w:rPr>
          <w:rFonts w:ascii="黑体" w:hAnsi="黑体" w:eastAsia="黑体"/>
        </w:rPr>
      </w:pPr>
    </w:p>
    <w:p w14:paraId="2FB6AF8D">
      <w:pPr>
        <w:rPr>
          <w:rFonts w:ascii="黑体" w:hAnsi="黑体" w:eastAsia="黑体"/>
        </w:rPr>
      </w:pPr>
    </w:p>
    <w:p w14:paraId="19338C62">
      <w:pPr>
        <w:tabs>
          <w:tab w:val="left" w:pos="4931"/>
        </w:tabs>
        <w:rPr>
          <w:rFonts w:ascii="黑体" w:hAnsi="黑体" w:eastAsia="黑体"/>
        </w:rPr>
      </w:pPr>
      <w:r>
        <w:rPr>
          <w:rFonts w:ascii="黑体" w:hAnsi="黑体" w:eastAsia="黑体"/>
        </w:rPr>
        <w:tab/>
      </w:r>
    </w:p>
    <w:p w14:paraId="162850D5">
      <w:pPr>
        <w:pStyle w:val="3"/>
        <w:pageBreakBefore/>
        <w:spacing w:before="120" w:after="120" w:line="360" w:lineRule="auto"/>
        <w:jc w:val="center"/>
        <w:rPr>
          <w:rFonts w:ascii="黑体" w:hAnsi="黑体" w:eastAsia="黑体"/>
          <w:spacing w:val="20"/>
          <w:sz w:val="32"/>
          <w:szCs w:val="32"/>
        </w:rPr>
      </w:pPr>
      <w:bookmarkStart w:id="3" w:name="_Toc23715265"/>
      <w:r>
        <w:rPr>
          <w:rFonts w:hint="eastAsia" w:ascii="黑体" w:hAnsi="黑体" w:eastAsia="黑体"/>
          <w:spacing w:val="20"/>
          <w:sz w:val="32"/>
          <w:szCs w:val="32"/>
        </w:rPr>
        <w:t>第一部分 投标邀请函</w:t>
      </w:r>
      <w:bookmarkEnd w:id="0"/>
      <w:bookmarkEnd w:id="1"/>
      <w:bookmarkEnd w:id="2"/>
      <w:bookmarkEnd w:id="3"/>
    </w:p>
    <w:p w14:paraId="12FD0F97">
      <w:pPr>
        <w:spacing w:line="360" w:lineRule="auto"/>
        <w:ind w:firstLine="420" w:firstLineChars="200"/>
        <w:rPr>
          <w:rFonts w:ascii="黑体" w:hAnsi="黑体" w:eastAsia="黑体"/>
          <w:szCs w:val="21"/>
        </w:rPr>
      </w:pPr>
      <w:r>
        <w:rPr>
          <w:rFonts w:hint="eastAsia" w:ascii="黑体" w:hAnsi="黑体" w:eastAsia="黑体"/>
          <w:szCs w:val="21"/>
        </w:rPr>
        <w:t>东莞市财政局南城分局拟对财政资金定期保值增值业务项目进行招标采购，欢迎符合资格条件的银行参加。</w:t>
      </w:r>
    </w:p>
    <w:p w14:paraId="7E483EA5">
      <w:pPr>
        <w:pStyle w:val="32"/>
        <w:numPr>
          <w:ilvl w:val="0"/>
          <w:numId w:val="1"/>
        </w:numPr>
        <w:spacing w:line="360" w:lineRule="auto"/>
        <w:ind w:firstLineChars="0"/>
        <w:rPr>
          <w:rFonts w:ascii="黑体" w:hAnsi="黑体" w:eastAsia="黑体"/>
          <w:b/>
          <w:szCs w:val="21"/>
        </w:rPr>
      </w:pPr>
      <w:r>
        <w:rPr>
          <w:rFonts w:hint="eastAsia" w:ascii="黑体" w:hAnsi="黑体" w:eastAsia="黑体"/>
          <w:b/>
          <w:szCs w:val="21"/>
        </w:rPr>
        <w:t>项目编号：</w:t>
      </w:r>
      <w:r>
        <w:rPr>
          <w:rFonts w:hint="eastAsia" w:ascii="黑体" w:hAnsi="黑体" w:eastAsia="黑体"/>
          <w:szCs w:val="21"/>
          <w:lang w:val="en-US" w:eastAsia="zh-CN"/>
        </w:rPr>
        <w:t>NCCZ</w:t>
      </w:r>
      <w:r>
        <w:rPr>
          <w:rFonts w:hint="eastAsia" w:ascii="黑体" w:hAnsi="黑体" w:eastAsia="黑体"/>
          <w:szCs w:val="21"/>
          <w:lang w:eastAsia="zh-CN"/>
        </w:rPr>
        <w:t>202</w:t>
      </w:r>
      <w:r>
        <w:rPr>
          <w:rFonts w:hint="eastAsia" w:ascii="黑体" w:hAnsi="黑体" w:eastAsia="黑体"/>
          <w:szCs w:val="21"/>
          <w:lang w:val="en-US" w:eastAsia="zh-CN"/>
        </w:rPr>
        <w:t>6</w:t>
      </w:r>
      <w:r>
        <w:rPr>
          <w:rFonts w:hint="eastAsia" w:ascii="黑体" w:hAnsi="黑体" w:eastAsia="黑体"/>
          <w:szCs w:val="21"/>
          <w:lang w:eastAsia="zh-CN"/>
        </w:rPr>
        <w:t>01</w:t>
      </w:r>
    </w:p>
    <w:p w14:paraId="7C842E05">
      <w:pPr>
        <w:pStyle w:val="32"/>
        <w:numPr>
          <w:ilvl w:val="0"/>
          <w:numId w:val="1"/>
        </w:numPr>
        <w:spacing w:line="360" w:lineRule="auto"/>
        <w:ind w:firstLineChars="0"/>
        <w:rPr>
          <w:rFonts w:ascii="黑体" w:hAnsi="黑体" w:eastAsia="黑体"/>
          <w:b/>
          <w:szCs w:val="21"/>
        </w:rPr>
      </w:pPr>
      <w:r>
        <w:rPr>
          <w:rFonts w:hint="eastAsia" w:ascii="黑体" w:hAnsi="黑体" w:eastAsia="黑体"/>
          <w:b/>
          <w:szCs w:val="21"/>
        </w:rPr>
        <w:t>项目名称：</w:t>
      </w:r>
      <w:r>
        <w:rPr>
          <w:rFonts w:hint="eastAsia" w:ascii="黑体" w:hAnsi="黑体" w:eastAsia="黑体"/>
          <w:szCs w:val="21"/>
        </w:rPr>
        <w:t>财政资金定期保值增值业务项目</w:t>
      </w:r>
    </w:p>
    <w:p w14:paraId="23FE4AAE">
      <w:pPr>
        <w:pStyle w:val="32"/>
        <w:numPr>
          <w:ilvl w:val="0"/>
          <w:numId w:val="1"/>
        </w:numPr>
        <w:spacing w:line="360" w:lineRule="auto"/>
        <w:ind w:firstLineChars="0"/>
        <w:rPr>
          <w:rFonts w:ascii="黑体" w:hAnsi="黑体" w:eastAsia="黑体"/>
          <w:b/>
          <w:szCs w:val="21"/>
          <w:highlight w:val="none"/>
        </w:rPr>
      </w:pPr>
      <w:r>
        <w:rPr>
          <w:rFonts w:hint="eastAsia" w:ascii="黑体" w:hAnsi="黑体" w:eastAsia="黑体"/>
          <w:b/>
          <w:szCs w:val="21"/>
          <w:highlight w:val="none"/>
        </w:rPr>
        <w:t>采购预算：</w:t>
      </w:r>
      <w:r>
        <w:rPr>
          <w:rFonts w:hint="eastAsia" w:ascii="黑体" w:hAnsi="黑体" w:eastAsia="黑体"/>
          <w:szCs w:val="21"/>
        </w:rPr>
        <w:t>资格项目，按实结算</w:t>
      </w:r>
    </w:p>
    <w:p w14:paraId="3DBCD418">
      <w:pPr>
        <w:pStyle w:val="32"/>
        <w:numPr>
          <w:ilvl w:val="0"/>
          <w:numId w:val="1"/>
        </w:numPr>
        <w:spacing w:line="360" w:lineRule="auto"/>
        <w:ind w:firstLineChars="0"/>
        <w:rPr>
          <w:rFonts w:ascii="黑体" w:hAnsi="黑体" w:eastAsia="黑体"/>
          <w:b/>
          <w:szCs w:val="21"/>
        </w:rPr>
      </w:pPr>
      <w:r>
        <w:rPr>
          <w:rFonts w:hint="eastAsia" w:ascii="黑体" w:hAnsi="黑体" w:eastAsia="黑体"/>
          <w:b/>
          <w:szCs w:val="21"/>
        </w:rPr>
        <w:t>项目内容及要求</w:t>
      </w:r>
    </w:p>
    <w:p w14:paraId="0EA8EC0D">
      <w:pPr>
        <w:pStyle w:val="32"/>
        <w:numPr>
          <w:ilvl w:val="0"/>
          <w:numId w:val="2"/>
        </w:numPr>
        <w:spacing w:line="360" w:lineRule="auto"/>
        <w:ind w:firstLineChars="0"/>
        <w:rPr>
          <w:rFonts w:ascii="黑体" w:hAnsi="黑体" w:eastAsia="黑体"/>
          <w:szCs w:val="21"/>
        </w:rPr>
      </w:pPr>
      <w:r>
        <w:rPr>
          <w:rFonts w:hint="eastAsia" w:ascii="黑体" w:hAnsi="黑体" w:eastAsia="黑体"/>
          <w:szCs w:val="21"/>
        </w:rPr>
        <w:t>项目内容：财政资金定期保值增值业务项目</w:t>
      </w:r>
    </w:p>
    <w:p w14:paraId="01BD33A8">
      <w:pPr>
        <w:pStyle w:val="32"/>
        <w:numPr>
          <w:ilvl w:val="0"/>
          <w:numId w:val="2"/>
        </w:numPr>
        <w:spacing w:line="360" w:lineRule="auto"/>
        <w:ind w:firstLineChars="0"/>
        <w:rPr>
          <w:rFonts w:ascii="黑体" w:hAnsi="黑体" w:eastAsia="黑体"/>
          <w:szCs w:val="21"/>
        </w:rPr>
      </w:pPr>
      <w:r>
        <w:rPr>
          <w:rFonts w:hint="eastAsia" w:ascii="黑体" w:hAnsi="黑体" w:eastAsia="黑体"/>
          <w:szCs w:val="21"/>
        </w:rPr>
        <w:t>项目要求：（详见用户需求书）</w:t>
      </w:r>
    </w:p>
    <w:p w14:paraId="7A1BB6BC">
      <w:pPr>
        <w:pStyle w:val="32"/>
        <w:numPr>
          <w:ilvl w:val="0"/>
          <w:numId w:val="1"/>
        </w:numPr>
        <w:spacing w:line="360" w:lineRule="auto"/>
        <w:ind w:firstLineChars="0"/>
        <w:rPr>
          <w:rFonts w:ascii="黑体" w:hAnsi="黑体" w:eastAsia="黑体"/>
          <w:b/>
          <w:szCs w:val="21"/>
        </w:rPr>
      </w:pPr>
      <w:r>
        <w:rPr>
          <w:rFonts w:hint="eastAsia" w:ascii="黑体" w:hAnsi="黑体" w:eastAsia="黑体"/>
          <w:b/>
          <w:szCs w:val="21"/>
        </w:rPr>
        <w:t>合格投标人资格要求</w:t>
      </w:r>
    </w:p>
    <w:p w14:paraId="25635135">
      <w:pPr>
        <w:pStyle w:val="32"/>
        <w:numPr>
          <w:ilvl w:val="0"/>
          <w:numId w:val="3"/>
        </w:numPr>
        <w:spacing w:line="360" w:lineRule="auto"/>
        <w:ind w:firstLineChars="0"/>
        <w:rPr>
          <w:rFonts w:ascii="黑体" w:hAnsi="黑体" w:eastAsia="黑体"/>
          <w:szCs w:val="21"/>
        </w:rPr>
      </w:pPr>
      <w:r>
        <w:rPr>
          <w:rFonts w:hint="eastAsia" w:ascii="黑体" w:hAnsi="黑体" w:eastAsia="黑体"/>
          <w:szCs w:val="21"/>
        </w:rPr>
        <w:t>投标人须为在国家金融监管机构正式注册的国有、股份制商业银行，在东莞市设有分行或以上分支机构，并在南城街道设有支行或以上级别网点。（同一银行设有多个分支机构的，只能委托一个分支机构参与投标）。</w:t>
      </w:r>
    </w:p>
    <w:p w14:paraId="68C46754">
      <w:pPr>
        <w:pStyle w:val="32"/>
        <w:numPr>
          <w:ilvl w:val="0"/>
          <w:numId w:val="3"/>
        </w:numPr>
        <w:spacing w:line="360" w:lineRule="auto"/>
        <w:ind w:firstLineChars="0"/>
        <w:rPr>
          <w:rFonts w:ascii="黑体" w:hAnsi="黑体" w:eastAsia="黑体"/>
          <w:szCs w:val="21"/>
        </w:rPr>
      </w:pPr>
      <w:r>
        <w:rPr>
          <w:rFonts w:hint="eastAsia" w:ascii="黑体" w:hAnsi="黑体" w:eastAsia="黑体"/>
          <w:szCs w:val="21"/>
        </w:rPr>
        <w:t>投标人的单位负责人为同一人或者存在直接控股、管理关系的不同投标人，不得参加同一合同项下的采购活动。为本项目提供整体设计、规范编制或者项目管理、监理、检测等服务的投标人，不得参加本采购项目的采购活动；</w:t>
      </w:r>
    </w:p>
    <w:p w14:paraId="34C82250">
      <w:pPr>
        <w:pStyle w:val="32"/>
        <w:numPr>
          <w:ilvl w:val="0"/>
          <w:numId w:val="3"/>
        </w:numPr>
        <w:spacing w:line="360" w:lineRule="auto"/>
        <w:ind w:firstLineChars="0"/>
        <w:rPr>
          <w:rFonts w:ascii="黑体" w:hAnsi="黑体" w:eastAsia="黑体"/>
          <w:szCs w:val="21"/>
        </w:rPr>
      </w:pPr>
      <w:r>
        <w:rPr>
          <w:rFonts w:ascii="黑体" w:hAnsi="黑体" w:eastAsia="黑体"/>
          <w:szCs w:val="21"/>
        </w:rPr>
        <w:t>投标人</w:t>
      </w:r>
      <w:r>
        <w:rPr>
          <w:rFonts w:hint="eastAsia" w:ascii="黑体" w:hAnsi="黑体" w:eastAsia="黑体"/>
          <w:szCs w:val="21"/>
        </w:rPr>
        <w:t>(</w:t>
      </w:r>
      <w:r>
        <w:rPr>
          <w:rFonts w:ascii="黑体" w:hAnsi="黑体" w:eastAsia="黑体"/>
          <w:szCs w:val="21"/>
        </w:rPr>
        <w:t>含其授权的下属单位、分支机构</w:t>
      </w:r>
      <w:r>
        <w:rPr>
          <w:rFonts w:hint="eastAsia" w:ascii="黑体" w:hAnsi="黑体" w:eastAsia="黑体"/>
          <w:szCs w:val="21"/>
        </w:rPr>
        <w:t>)参加本次采购活动前三年内，在经营活动中没有重大违法记录(须提供书面声明，格式详见招标文件第七部分投标文件格式)；</w:t>
      </w:r>
    </w:p>
    <w:p w14:paraId="714B0F50">
      <w:pPr>
        <w:pStyle w:val="32"/>
        <w:numPr>
          <w:ilvl w:val="0"/>
          <w:numId w:val="3"/>
        </w:numPr>
        <w:spacing w:line="360" w:lineRule="auto"/>
        <w:ind w:firstLineChars="0"/>
        <w:rPr>
          <w:rFonts w:ascii="黑体" w:hAnsi="黑体" w:eastAsia="黑体"/>
          <w:szCs w:val="21"/>
        </w:rPr>
      </w:pPr>
      <w:r>
        <w:rPr>
          <w:rFonts w:hint="eastAsia" w:ascii="黑体" w:hAnsi="黑体" w:eastAsia="黑体"/>
          <w:szCs w:val="21"/>
        </w:rPr>
        <w:t>本项目不接受联合体投标。</w:t>
      </w:r>
    </w:p>
    <w:p w14:paraId="1C581CD2">
      <w:pPr>
        <w:pStyle w:val="32"/>
        <w:numPr>
          <w:ilvl w:val="0"/>
          <w:numId w:val="1"/>
        </w:numPr>
        <w:spacing w:line="360" w:lineRule="auto"/>
        <w:ind w:firstLineChars="0"/>
        <w:rPr>
          <w:rFonts w:ascii="黑体" w:hAnsi="黑体" w:eastAsia="黑体"/>
          <w:b/>
          <w:szCs w:val="21"/>
          <w:highlight w:val="none"/>
        </w:rPr>
      </w:pPr>
      <w:r>
        <w:rPr>
          <w:rFonts w:hint="eastAsia" w:ascii="黑体" w:hAnsi="黑体" w:eastAsia="黑体"/>
          <w:b/>
          <w:szCs w:val="21"/>
          <w:highlight w:val="none"/>
        </w:rPr>
        <w:t>招标文件公示期</w:t>
      </w:r>
    </w:p>
    <w:p w14:paraId="755E6B6B">
      <w:pPr>
        <w:pStyle w:val="32"/>
        <w:spacing w:line="360" w:lineRule="auto"/>
        <w:ind w:left="420" w:firstLine="0" w:firstLineChars="0"/>
        <w:rPr>
          <w:rFonts w:ascii="黑体" w:hAnsi="黑体" w:eastAsia="黑体"/>
          <w:szCs w:val="21"/>
          <w:highlight w:val="none"/>
        </w:rPr>
      </w:pPr>
      <w:r>
        <w:rPr>
          <w:rFonts w:hint="eastAsia" w:ascii="黑体" w:hAnsi="黑体" w:eastAsia="黑体"/>
          <w:szCs w:val="21"/>
          <w:highlight w:val="none"/>
        </w:rPr>
        <w:t>该项目招标文件公示期为：</w:t>
      </w:r>
      <w:r>
        <w:rPr>
          <w:rFonts w:hint="eastAsia" w:ascii="黑体" w:hAnsi="黑体" w:eastAsia="黑体"/>
          <w:b/>
          <w:szCs w:val="21"/>
          <w:highlight w:val="none"/>
          <w:u w:val="single"/>
        </w:rPr>
        <w:t>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15</w:t>
      </w:r>
      <w:r>
        <w:rPr>
          <w:rFonts w:hint="eastAsia" w:ascii="黑体" w:hAnsi="黑体" w:eastAsia="黑体"/>
          <w:b/>
          <w:szCs w:val="21"/>
          <w:highlight w:val="none"/>
          <w:u w:val="single"/>
        </w:rPr>
        <w:t>日至202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26</w:t>
      </w:r>
      <w:r>
        <w:rPr>
          <w:rFonts w:hint="eastAsia" w:ascii="黑体" w:hAnsi="黑体" w:eastAsia="黑体"/>
          <w:b/>
          <w:szCs w:val="21"/>
          <w:highlight w:val="none"/>
          <w:u w:val="single"/>
        </w:rPr>
        <w:t>日</w:t>
      </w:r>
      <w:r>
        <w:rPr>
          <w:rFonts w:hint="eastAsia" w:ascii="黑体" w:hAnsi="黑体" w:eastAsia="黑体"/>
          <w:szCs w:val="21"/>
          <w:highlight w:val="none"/>
        </w:rPr>
        <w:t>。</w:t>
      </w:r>
    </w:p>
    <w:p w14:paraId="2D806A26">
      <w:pPr>
        <w:pStyle w:val="32"/>
        <w:numPr>
          <w:ilvl w:val="0"/>
          <w:numId w:val="1"/>
        </w:numPr>
        <w:spacing w:line="360" w:lineRule="auto"/>
        <w:ind w:firstLineChars="0"/>
        <w:rPr>
          <w:rFonts w:ascii="黑体" w:hAnsi="黑体" w:eastAsia="黑体"/>
          <w:szCs w:val="21"/>
          <w:highlight w:val="none"/>
        </w:rPr>
      </w:pPr>
      <w:r>
        <w:rPr>
          <w:rFonts w:hint="eastAsia" w:ascii="黑体" w:hAnsi="黑体" w:eastAsia="黑体"/>
          <w:b/>
          <w:szCs w:val="21"/>
          <w:highlight w:val="none"/>
        </w:rPr>
        <w:t>符合资格的银行应当在</w:t>
      </w:r>
      <w:r>
        <w:rPr>
          <w:rFonts w:hint="eastAsia" w:ascii="黑体" w:hAnsi="黑体" w:eastAsia="黑体"/>
          <w:b/>
          <w:szCs w:val="21"/>
          <w:highlight w:val="none"/>
          <w:u w:val="single"/>
        </w:rPr>
        <w:t>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15</w:t>
      </w:r>
      <w:r>
        <w:rPr>
          <w:rFonts w:hint="eastAsia" w:ascii="黑体" w:hAnsi="黑体" w:eastAsia="黑体"/>
          <w:b/>
          <w:szCs w:val="21"/>
          <w:highlight w:val="none"/>
          <w:u w:val="single"/>
        </w:rPr>
        <w:t>日至202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24</w:t>
      </w:r>
      <w:r>
        <w:rPr>
          <w:rFonts w:hint="eastAsia" w:ascii="黑体" w:hAnsi="黑体" w:eastAsia="黑体"/>
          <w:b/>
          <w:szCs w:val="21"/>
          <w:highlight w:val="none"/>
          <w:u w:val="single"/>
        </w:rPr>
        <w:t>日</w:t>
      </w:r>
      <w:r>
        <w:rPr>
          <w:rFonts w:hint="eastAsia" w:ascii="黑体" w:hAnsi="黑体" w:eastAsia="黑体"/>
          <w:b/>
          <w:szCs w:val="21"/>
          <w:highlight w:val="none"/>
        </w:rPr>
        <w:t xml:space="preserve">期间报名，请将相关报名资料发送邮件至 </w:t>
      </w:r>
      <w:r>
        <w:rPr>
          <w:highlight w:val="none"/>
        </w:rPr>
        <w:fldChar w:fldCharType="begin"/>
      </w:r>
      <w:r>
        <w:rPr>
          <w:highlight w:val="none"/>
        </w:rPr>
        <w:instrText xml:space="preserve"> HYPERLINK "mailto:czfj88@163.com" </w:instrText>
      </w:r>
      <w:r>
        <w:rPr>
          <w:highlight w:val="none"/>
        </w:rPr>
        <w:fldChar w:fldCharType="separate"/>
      </w:r>
      <w:r>
        <w:rPr>
          <w:rStyle w:val="25"/>
          <w:rFonts w:hint="eastAsia" w:ascii="黑体" w:hAnsi="黑体" w:eastAsia="黑体"/>
          <w:b/>
          <w:szCs w:val="21"/>
          <w:highlight w:val="none"/>
        </w:rPr>
        <w:t>czfj88@163.com</w:t>
      </w:r>
      <w:r>
        <w:rPr>
          <w:rStyle w:val="25"/>
          <w:rFonts w:hint="eastAsia" w:ascii="黑体" w:hAnsi="黑体" w:eastAsia="黑体"/>
          <w:b/>
          <w:szCs w:val="21"/>
          <w:highlight w:val="none"/>
        </w:rPr>
        <w:fldChar w:fldCharType="end"/>
      </w:r>
      <w:r>
        <w:rPr>
          <w:rFonts w:hint="eastAsia" w:ascii="黑体" w:hAnsi="黑体" w:eastAsia="黑体"/>
          <w:b/>
          <w:szCs w:val="21"/>
          <w:highlight w:val="none"/>
        </w:rPr>
        <w:t xml:space="preserve">邮箱   </w:t>
      </w:r>
      <w:r>
        <w:rPr>
          <w:rFonts w:hint="eastAsia" w:ascii="黑体" w:hAnsi="黑体" w:eastAsia="黑体"/>
          <w:szCs w:val="21"/>
          <w:highlight w:val="none"/>
        </w:rPr>
        <w:t>备注：银行在报名时须提供如下证明材料：</w:t>
      </w:r>
      <w:r>
        <w:rPr>
          <w:rFonts w:hint="eastAsia" w:ascii="黑体" w:hAnsi="黑体" w:eastAsia="黑体"/>
          <w:b/>
          <w:szCs w:val="21"/>
          <w:highlight w:val="none"/>
        </w:rPr>
        <w:t>（1）《营业执照》或《事业单位法人证书》复印件（加盖公章）；（2）报名登记表（在项目信息公示/下载媒体上获取下载，按要求填写并加盖公章后连同其它材料扫描成一个彩色PDF文件发送至邮箱czfj88@163.com，邮件主题为“采购编号+投标人名称”）</w:t>
      </w:r>
      <w:r>
        <w:rPr>
          <w:rFonts w:hint="eastAsia" w:ascii="黑体" w:hAnsi="黑体" w:eastAsia="黑体"/>
          <w:szCs w:val="21"/>
          <w:highlight w:val="none"/>
        </w:rPr>
        <w:t>。</w:t>
      </w:r>
    </w:p>
    <w:p w14:paraId="2DF6D2D4">
      <w:pPr>
        <w:pStyle w:val="32"/>
        <w:numPr>
          <w:ilvl w:val="0"/>
          <w:numId w:val="1"/>
        </w:numPr>
        <w:spacing w:line="360" w:lineRule="auto"/>
        <w:ind w:firstLineChars="0"/>
        <w:rPr>
          <w:rFonts w:ascii="黑体" w:hAnsi="黑体" w:eastAsia="黑体"/>
          <w:szCs w:val="21"/>
          <w:highlight w:val="none"/>
        </w:rPr>
      </w:pPr>
      <w:r>
        <w:rPr>
          <w:rFonts w:hint="eastAsia" w:ascii="黑体" w:hAnsi="黑体" w:eastAsia="黑体"/>
          <w:szCs w:val="21"/>
          <w:highlight w:val="none"/>
        </w:rPr>
        <w:t>拟参加本项目的银行须在规定时间内按要求报名后方可参与本项目的投标。报名后而不参加投标的银行，请在开标日期</w:t>
      </w:r>
      <w:r>
        <w:rPr>
          <w:rFonts w:hint="eastAsia" w:ascii="黑体" w:hAnsi="黑体" w:eastAsia="黑体"/>
          <w:szCs w:val="21"/>
          <w:highlight w:val="none"/>
          <w:lang w:eastAsia="zh-CN"/>
        </w:rPr>
        <w:t>三</w:t>
      </w:r>
      <w:r>
        <w:rPr>
          <w:rFonts w:hint="eastAsia" w:ascii="黑体" w:hAnsi="黑体" w:eastAsia="黑体"/>
          <w:szCs w:val="21"/>
          <w:highlight w:val="none"/>
        </w:rPr>
        <w:t>日前以书面形式通知采购人。</w:t>
      </w:r>
    </w:p>
    <w:p w14:paraId="01BA5E46">
      <w:pPr>
        <w:pStyle w:val="32"/>
        <w:numPr>
          <w:ilvl w:val="0"/>
          <w:numId w:val="1"/>
        </w:numPr>
        <w:spacing w:line="360" w:lineRule="auto"/>
        <w:ind w:firstLineChars="0"/>
        <w:rPr>
          <w:rFonts w:ascii="黑体" w:hAnsi="黑体" w:eastAsia="黑体"/>
          <w:b/>
          <w:szCs w:val="21"/>
          <w:highlight w:val="none"/>
        </w:rPr>
      </w:pPr>
      <w:r>
        <w:rPr>
          <w:rFonts w:hint="eastAsia" w:ascii="黑体" w:hAnsi="黑体" w:eastAsia="黑体"/>
          <w:b/>
          <w:szCs w:val="21"/>
          <w:highlight w:val="none"/>
        </w:rPr>
        <w:t>投标文件递交及截止时间</w:t>
      </w:r>
      <w:r>
        <w:rPr>
          <w:rFonts w:hint="eastAsia" w:ascii="黑体" w:hAnsi="黑体" w:eastAsia="黑体"/>
          <w:b/>
          <w:szCs w:val="21"/>
          <w:highlight w:val="none"/>
          <w:lang w:val="en-US" w:eastAsia="zh-CN"/>
        </w:rPr>
        <w:t xml:space="preserve"> </w:t>
      </w:r>
    </w:p>
    <w:p w14:paraId="4BD086F5">
      <w:pPr>
        <w:pStyle w:val="32"/>
        <w:spacing w:line="360" w:lineRule="auto"/>
        <w:ind w:left="420" w:firstLine="0" w:firstLineChars="0"/>
        <w:rPr>
          <w:rFonts w:ascii="黑体" w:hAnsi="黑体" w:eastAsia="黑体"/>
          <w:b/>
          <w:szCs w:val="21"/>
          <w:highlight w:val="none"/>
        </w:rPr>
      </w:pPr>
      <w:r>
        <w:rPr>
          <w:rFonts w:hint="eastAsia" w:ascii="黑体" w:hAnsi="黑体" w:eastAsia="黑体"/>
          <w:b/>
          <w:szCs w:val="21"/>
          <w:highlight w:val="none"/>
        </w:rPr>
        <w:t>投标文件递交开始时间：</w:t>
      </w:r>
      <w:r>
        <w:rPr>
          <w:rFonts w:hint="eastAsia" w:ascii="黑体" w:hAnsi="黑体" w:eastAsia="黑体"/>
          <w:b/>
          <w:szCs w:val="21"/>
          <w:highlight w:val="none"/>
          <w:u w:val="single"/>
        </w:rPr>
        <w:t>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2</w:t>
      </w:r>
      <w:r>
        <w:rPr>
          <w:rFonts w:hint="eastAsia" w:ascii="黑体" w:hAnsi="黑体" w:eastAsia="黑体"/>
          <w:b/>
          <w:szCs w:val="21"/>
          <w:highlight w:val="none"/>
          <w:u w:val="single"/>
          <w:lang w:val="en-US" w:eastAsia="zh-CN"/>
        </w:rPr>
        <w:t>9</w:t>
      </w:r>
      <w:r>
        <w:rPr>
          <w:rFonts w:hint="eastAsia" w:ascii="黑体" w:hAnsi="黑体" w:eastAsia="黑体"/>
          <w:b/>
          <w:szCs w:val="21"/>
          <w:highlight w:val="none"/>
          <w:u w:val="single"/>
        </w:rPr>
        <w:t>日上午</w:t>
      </w:r>
      <w:r>
        <w:rPr>
          <w:rFonts w:hint="eastAsia" w:ascii="黑体" w:hAnsi="黑体" w:eastAsia="黑体"/>
          <w:b/>
          <w:szCs w:val="21"/>
          <w:highlight w:val="none"/>
          <w:u w:val="single"/>
          <w:lang w:val="en-US" w:eastAsia="zh-CN"/>
        </w:rPr>
        <w:t>8</w:t>
      </w:r>
      <w:r>
        <w:rPr>
          <w:rFonts w:hint="eastAsia" w:ascii="黑体" w:hAnsi="黑体" w:eastAsia="黑体"/>
          <w:b/>
          <w:szCs w:val="21"/>
          <w:highlight w:val="none"/>
          <w:u w:val="single"/>
        </w:rPr>
        <w:t>时</w:t>
      </w:r>
      <w:r>
        <w:rPr>
          <w:rFonts w:hint="eastAsia" w:ascii="黑体" w:hAnsi="黑体" w:eastAsia="黑体"/>
          <w:b/>
          <w:szCs w:val="21"/>
          <w:highlight w:val="none"/>
          <w:u w:val="single"/>
          <w:lang w:val="en-US" w:eastAsia="zh-CN"/>
        </w:rPr>
        <w:t>3</w:t>
      </w:r>
      <w:r>
        <w:rPr>
          <w:rFonts w:hint="eastAsia" w:ascii="黑体" w:hAnsi="黑体" w:eastAsia="黑体"/>
          <w:b/>
          <w:szCs w:val="21"/>
          <w:highlight w:val="none"/>
          <w:u w:val="single"/>
        </w:rPr>
        <w:t>0分</w:t>
      </w:r>
      <w:r>
        <w:rPr>
          <w:rFonts w:hint="eastAsia" w:ascii="黑体" w:hAnsi="黑体" w:eastAsia="黑体"/>
          <w:b/>
          <w:szCs w:val="21"/>
          <w:highlight w:val="none"/>
        </w:rPr>
        <w:t>（北京时间）</w:t>
      </w:r>
    </w:p>
    <w:p w14:paraId="632A2028">
      <w:pPr>
        <w:pStyle w:val="32"/>
        <w:spacing w:line="360" w:lineRule="auto"/>
        <w:ind w:left="420" w:firstLine="0" w:firstLineChars="0"/>
        <w:rPr>
          <w:rFonts w:ascii="黑体" w:hAnsi="黑体" w:eastAsia="黑体"/>
          <w:color w:val="0070C0"/>
          <w:szCs w:val="21"/>
          <w:highlight w:val="none"/>
          <w:u w:val="single"/>
        </w:rPr>
      </w:pPr>
      <w:r>
        <w:rPr>
          <w:rFonts w:hint="eastAsia" w:ascii="黑体" w:hAnsi="黑体" w:eastAsia="黑体"/>
          <w:b/>
          <w:szCs w:val="21"/>
          <w:highlight w:val="none"/>
        </w:rPr>
        <w:t>投标文件递交截止时间：</w:t>
      </w:r>
      <w:r>
        <w:rPr>
          <w:rFonts w:hint="eastAsia" w:ascii="黑体" w:hAnsi="黑体" w:eastAsia="黑体"/>
          <w:b/>
          <w:szCs w:val="21"/>
          <w:highlight w:val="none"/>
          <w:u w:val="single"/>
        </w:rPr>
        <w:t>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2</w:t>
      </w:r>
      <w:r>
        <w:rPr>
          <w:rFonts w:hint="eastAsia" w:ascii="黑体" w:hAnsi="黑体" w:eastAsia="黑体"/>
          <w:b/>
          <w:szCs w:val="21"/>
          <w:highlight w:val="none"/>
          <w:u w:val="single"/>
          <w:lang w:val="en-US" w:eastAsia="zh-CN"/>
        </w:rPr>
        <w:t>9</w:t>
      </w:r>
      <w:r>
        <w:rPr>
          <w:rFonts w:hint="eastAsia" w:ascii="黑体" w:hAnsi="黑体" w:eastAsia="黑体"/>
          <w:b/>
          <w:szCs w:val="21"/>
          <w:highlight w:val="none"/>
          <w:u w:val="single"/>
        </w:rPr>
        <w:t>日</w:t>
      </w:r>
      <w:r>
        <w:rPr>
          <w:rFonts w:hint="eastAsia" w:ascii="黑体" w:hAnsi="黑体" w:eastAsia="黑体"/>
          <w:b/>
          <w:szCs w:val="21"/>
          <w:highlight w:val="none"/>
          <w:u w:val="single"/>
          <w:lang w:eastAsia="zh-CN"/>
        </w:rPr>
        <w:t>上</w:t>
      </w:r>
      <w:r>
        <w:rPr>
          <w:rFonts w:hint="eastAsia" w:ascii="黑体" w:hAnsi="黑体" w:eastAsia="黑体"/>
          <w:b/>
          <w:szCs w:val="21"/>
          <w:highlight w:val="none"/>
          <w:u w:val="single"/>
        </w:rPr>
        <w:t>午</w:t>
      </w:r>
      <w:r>
        <w:rPr>
          <w:rFonts w:hint="eastAsia" w:ascii="黑体" w:hAnsi="黑体" w:eastAsia="黑体"/>
          <w:b/>
          <w:szCs w:val="21"/>
          <w:highlight w:val="none"/>
          <w:u w:val="single"/>
          <w:lang w:val="en-US" w:eastAsia="zh-CN"/>
        </w:rPr>
        <w:t>9</w:t>
      </w:r>
      <w:r>
        <w:rPr>
          <w:rFonts w:hint="eastAsia" w:ascii="黑体" w:hAnsi="黑体" w:eastAsia="黑体"/>
          <w:b/>
          <w:szCs w:val="21"/>
          <w:highlight w:val="none"/>
          <w:u w:val="single"/>
        </w:rPr>
        <w:t>时</w:t>
      </w:r>
      <w:r>
        <w:rPr>
          <w:rFonts w:hint="eastAsia" w:ascii="黑体" w:hAnsi="黑体" w:eastAsia="黑体"/>
          <w:b/>
          <w:szCs w:val="21"/>
          <w:highlight w:val="none"/>
          <w:u w:val="single"/>
          <w:lang w:val="en-US" w:eastAsia="zh-CN"/>
        </w:rPr>
        <w:t>3</w:t>
      </w:r>
      <w:r>
        <w:rPr>
          <w:rFonts w:hint="eastAsia" w:ascii="黑体" w:hAnsi="黑体" w:eastAsia="黑体"/>
          <w:b/>
          <w:szCs w:val="21"/>
          <w:highlight w:val="none"/>
          <w:u w:val="single"/>
          <w:lang w:val="en-US" w:eastAsia="zh-CN"/>
        </w:rPr>
        <w:t>0</w:t>
      </w:r>
      <w:r>
        <w:rPr>
          <w:rFonts w:hint="eastAsia" w:ascii="黑体" w:hAnsi="黑体" w:eastAsia="黑体"/>
          <w:b/>
          <w:szCs w:val="21"/>
          <w:highlight w:val="none"/>
          <w:u w:val="single"/>
        </w:rPr>
        <w:t>分</w:t>
      </w:r>
      <w:r>
        <w:rPr>
          <w:rFonts w:hint="eastAsia" w:ascii="黑体" w:hAnsi="黑体" w:eastAsia="黑体"/>
          <w:b/>
          <w:szCs w:val="21"/>
          <w:highlight w:val="none"/>
        </w:rPr>
        <w:t>（北京时间）</w:t>
      </w:r>
    </w:p>
    <w:p w14:paraId="7C13B51E">
      <w:pPr>
        <w:pStyle w:val="32"/>
        <w:spacing w:line="360" w:lineRule="auto"/>
        <w:ind w:left="420" w:firstLine="0" w:firstLineChars="0"/>
        <w:rPr>
          <w:rFonts w:ascii="黑体" w:hAnsi="黑体" w:eastAsia="黑体"/>
          <w:b/>
          <w:color w:val="0070C0"/>
          <w:szCs w:val="21"/>
          <w:highlight w:val="none"/>
        </w:rPr>
      </w:pPr>
    </w:p>
    <w:p w14:paraId="5E3047F2">
      <w:pPr>
        <w:pStyle w:val="32"/>
        <w:numPr>
          <w:ilvl w:val="0"/>
          <w:numId w:val="1"/>
        </w:numPr>
        <w:spacing w:line="360" w:lineRule="auto"/>
        <w:ind w:firstLineChars="0"/>
        <w:rPr>
          <w:rFonts w:ascii="黑体" w:hAnsi="黑体" w:eastAsia="黑体"/>
          <w:b/>
          <w:szCs w:val="21"/>
          <w:highlight w:val="none"/>
        </w:rPr>
      </w:pPr>
      <w:r>
        <w:rPr>
          <w:rFonts w:hint="eastAsia" w:ascii="黑体" w:hAnsi="黑体" w:eastAsia="黑体"/>
          <w:b/>
          <w:szCs w:val="21"/>
          <w:highlight w:val="none"/>
        </w:rPr>
        <w:t>开标时间</w:t>
      </w:r>
    </w:p>
    <w:p w14:paraId="5A1FDE7A">
      <w:pPr>
        <w:pStyle w:val="32"/>
        <w:tabs>
          <w:tab w:val="left" w:pos="426"/>
        </w:tabs>
        <w:spacing w:line="360" w:lineRule="auto"/>
        <w:ind w:left="420" w:firstLine="0" w:firstLineChars="0"/>
        <w:rPr>
          <w:rFonts w:ascii="黑体" w:hAnsi="黑体" w:eastAsia="黑体"/>
          <w:b/>
          <w:szCs w:val="21"/>
          <w:highlight w:val="none"/>
        </w:rPr>
      </w:pPr>
      <w:r>
        <w:rPr>
          <w:rFonts w:hint="eastAsia" w:ascii="黑体" w:hAnsi="黑体" w:eastAsia="黑体"/>
          <w:b/>
          <w:szCs w:val="21"/>
          <w:highlight w:val="none"/>
          <w:u w:val="single"/>
        </w:rPr>
        <w:t>202</w:t>
      </w:r>
      <w:r>
        <w:rPr>
          <w:rFonts w:hint="eastAsia" w:ascii="黑体" w:hAnsi="黑体" w:eastAsia="黑体"/>
          <w:b/>
          <w:szCs w:val="21"/>
          <w:highlight w:val="none"/>
          <w:u w:val="single"/>
          <w:lang w:val="en-US" w:eastAsia="zh-CN"/>
        </w:rPr>
        <w:t>6</w:t>
      </w:r>
      <w:r>
        <w:rPr>
          <w:rFonts w:hint="eastAsia" w:ascii="黑体" w:hAnsi="黑体" w:eastAsia="黑体"/>
          <w:b/>
          <w:szCs w:val="21"/>
          <w:highlight w:val="none"/>
          <w:u w:val="single"/>
        </w:rPr>
        <w:t>年</w:t>
      </w:r>
      <w:r>
        <w:rPr>
          <w:rFonts w:hint="eastAsia" w:ascii="黑体" w:hAnsi="黑体" w:eastAsia="黑体"/>
          <w:b/>
          <w:szCs w:val="21"/>
          <w:highlight w:val="none"/>
          <w:u w:val="single"/>
          <w:lang w:val="en-US" w:eastAsia="zh-CN"/>
        </w:rPr>
        <w:t>4</w:t>
      </w:r>
      <w:r>
        <w:rPr>
          <w:rFonts w:hint="eastAsia" w:ascii="黑体" w:hAnsi="黑体" w:eastAsia="黑体"/>
          <w:b/>
          <w:szCs w:val="21"/>
          <w:highlight w:val="none"/>
          <w:u w:val="single"/>
        </w:rPr>
        <w:t>月</w:t>
      </w:r>
      <w:r>
        <w:rPr>
          <w:rFonts w:hint="eastAsia" w:ascii="黑体" w:hAnsi="黑体" w:eastAsia="黑体"/>
          <w:b/>
          <w:szCs w:val="21"/>
          <w:highlight w:val="none"/>
          <w:u w:val="single"/>
          <w:lang w:val="en-US" w:eastAsia="zh-CN"/>
        </w:rPr>
        <w:t>2</w:t>
      </w:r>
      <w:r>
        <w:rPr>
          <w:rFonts w:hint="eastAsia" w:ascii="黑体" w:hAnsi="黑体" w:eastAsia="黑体"/>
          <w:b/>
          <w:szCs w:val="21"/>
          <w:highlight w:val="none"/>
          <w:u w:val="single"/>
          <w:lang w:val="en-US" w:eastAsia="zh-CN"/>
        </w:rPr>
        <w:t>9</w:t>
      </w:r>
      <w:r>
        <w:rPr>
          <w:rFonts w:hint="eastAsia" w:ascii="黑体" w:hAnsi="黑体" w:eastAsia="黑体"/>
          <w:b/>
          <w:szCs w:val="21"/>
          <w:highlight w:val="none"/>
          <w:u w:val="single"/>
        </w:rPr>
        <w:t>日上午9时30分</w:t>
      </w:r>
      <w:r>
        <w:rPr>
          <w:rFonts w:hint="eastAsia" w:ascii="黑体" w:hAnsi="黑体" w:eastAsia="黑体"/>
          <w:szCs w:val="21"/>
          <w:highlight w:val="none"/>
        </w:rPr>
        <w:t>（北京时间）</w:t>
      </w:r>
    </w:p>
    <w:p w14:paraId="71F23077">
      <w:pPr>
        <w:pStyle w:val="32"/>
        <w:numPr>
          <w:ilvl w:val="0"/>
          <w:numId w:val="1"/>
        </w:numPr>
        <w:spacing w:line="360" w:lineRule="auto"/>
        <w:ind w:firstLineChars="0"/>
        <w:rPr>
          <w:rFonts w:ascii="黑体" w:hAnsi="黑体" w:eastAsia="黑体"/>
          <w:b/>
          <w:szCs w:val="21"/>
          <w:highlight w:val="none"/>
        </w:rPr>
      </w:pPr>
      <w:r>
        <w:rPr>
          <w:rFonts w:hint="eastAsia" w:ascii="黑体" w:hAnsi="黑体" w:eastAsia="黑体"/>
          <w:b/>
          <w:szCs w:val="21"/>
          <w:highlight w:val="none"/>
        </w:rPr>
        <w:t>开标地址（即：投标文件递交地址）</w:t>
      </w:r>
    </w:p>
    <w:p w14:paraId="622B976C">
      <w:pPr>
        <w:pStyle w:val="32"/>
        <w:spacing w:line="360" w:lineRule="auto"/>
        <w:ind w:left="420" w:firstLine="0" w:firstLineChars="0"/>
        <w:rPr>
          <w:rFonts w:ascii="黑体" w:hAnsi="黑体" w:eastAsia="黑体"/>
          <w:szCs w:val="21"/>
          <w:highlight w:val="none"/>
        </w:rPr>
      </w:pPr>
      <w:r>
        <w:rPr>
          <w:rFonts w:hint="eastAsia" w:ascii="黑体" w:hAnsi="黑体" w:eastAsia="黑体"/>
          <w:szCs w:val="21"/>
          <w:highlight w:val="none"/>
        </w:rPr>
        <w:t>地址：东莞市南城</w:t>
      </w:r>
      <w:r>
        <w:rPr>
          <w:rFonts w:hint="eastAsia" w:ascii="黑体" w:hAnsi="黑体" w:eastAsia="黑体"/>
          <w:szCs w:val="21"/>
          <w:highlight w:val="none"/>
          <w:lang w:eastAsia="zh-CN"/>
        </w:rPr>
        <w:t>街道</w:t>
      </w:r>
      <w:r>
        <w:rPr>
          <w:rFonts w:hint="eastAsia" w:ascii="黑体" w:hAnsi="黑体" w:eastAsia="黑体"/>
          <w:szCs w:val="21"/>
          <w:highlight w:val="none"/>
        </w:rPr>
        <w:t>东骏路</w:t>
      </w:r>
      <w:r>
        <w:rPr>
          <w:rFonts w:hint="eastAsia" w:ascii="黑体" w:hAnsi="黑体" w:eastAsia="黑体"/>
          <w:szCs w:val="21"/>
          <w:highlight w:val="none"/>
          <w:lang w:eastAsia="zh-CN"/>
        </w:rPr>
        <w:t>南段</w:t>
      </w:r>
      <w:r>
        <w:rPr>
          <w:rFonts w:hint="eastAsia" w:ascii="黑体" w:hAnsi="黑体" w:eastAsia="黑体"/>
          <w:szCs w:val="21"/>
          <w:highlight w:val="none"/>
        </w:rPr>
        <w:t>22号宏图科技中心2栋</w:t>
      </w:r>
      <w:r>
        <w:rPr>
          <w:rFonts w:hint="eastAsia" w:ascii="黑体" w:hAnsi="黑体" w:eastAsia="黑体"/>
          <w:szCs w:val="21"/>
          <w:highlight w:val="none"/>
          <w:lang w:val="en-US" w:eastAsia="zh-CN"/>
        </w:rPr>
        <w:t>2</w:t>
      </w:r>
      <w:r>
        <w:rPr>
          <w:rFonts w:hint="eastAsia" w:ascii="黑体" w:hAnsi="黑体" w:eastAsia="黑体"/>
          <w:szCs w:val="21"/>
          <w:highlight w:val="none"/>
        </w:rPr>
        <w:t>层</w:t>
      </w:r>
      <w:r>
        <w:rPr>
          <w:rFonts w:hint="eastAsia" w:ascii="黑体" w:hAnsi="黑体" w:eastAsia="黑体"/>
          <w:szCs w:val="21"/>
          <w:highlight w:val="none"/>
          <w:lang w:val="en-US" w:eastAsia="zh-CN"/>
        </w:rPr>
        <w:t>203</w:t>
      </w:r>
      <w:r>
        <w:rPr>
          <w:rFonts w:hint="eastAsia" w:ascii="黑体" w:hAnsi="黑体" w:eastAsia="黑体"/>
          <w:szCs w:val="21"/>
          <w:highlight w:val="none"/>
        </w:rPr>
        <w:t>会议室</w:t>
      </w:r>
    </w:p>
    <w:p w14:paraId="2E8D73E6">
      <w:pPr>
        <w:pStyle w:val="32"/>
        <w:spacing w:line="360" w:lineRule="auto"/>
        <w:ind w:left="420" w:firstLine="0" w:firstLineChars="0"/>
        <w:rPr>
          <w:rFonts w:hint="default" w:ascii="黑体" w:hAnsi="黑体" w:eastAsia="黑体"/>
          <w:szCs w:val="21"/>
          <w:highlight w:val="none"/>
          <w:lang w:val="en-US" w:eastAsia="zh-CN"/>
        </w:rPr>
      </w:pPr>
      <w:r>
        <w:rPr>
          <w:rFonts w:hint="eastAsia" w:ascii="黑体" w:hAnsi="黑体" w:eastAsia="黑体"/>
          <w:szCs w:val="21"/>
          <w:highlight w:val="none"/>
        </w:rPr>
        <w:t xml:space="preserve">联系人及联系方式：陈志超先生 </w:t>
      </w:r>
      <w:r>
        <w:rPr>
          <w:rFonts w:hint="eastAsia" w:ascii="黑体" w:hAnsi="黑体" w:eastAsia="黑体"/>
          <w:szCs w:val="21"/>
          <w:highlight w:val="none"/>
          <w:lang w:val="en-US" w:eastAsia="zh-CN"/>
        </w:rPr>
        <w:t>0769-</w:t>
      </w:r>
      <w:r>
        <w:rPr>
          <w:rFonts w:hint="eastAsia" w:ascii="黑体" w:hAnsi="黑体" w:eastAsia="黑体"/>
          <w:szCs w:val="21"/>
          <w:highlight w:val="none"/>
        </w:rPr>
        <w:t>22418911</w:t>
      </w:r>
      <w:r>
        <w:rPr>
          <w:rFonts w:hint="eastAsia" w:ascii="黑体" w:hAnsi="黑体" w:eastAsia="黑体"/>
          <w:szCs w:val="21"/>
          <w:highlight w:val="none"/>
          <w:lang w:val="en-US" w:eastAsia="zh-CN"/>
        </w:rPr>
        <w:t xml:space="preserve"> 张智豪 0769-22418100</w:t>
      </w:r>
    </w:p>
    <w:p w14:paraId="670E1BBE">
      <w:pPr>
        <w:pStyle w:val="32"/>
        <w:spacing w:line="360" w:lineRule="auto"/>
        <w:ind w:left="420" w:firstLine="0" w:firstLineChars="0"/>
        <w:rPr>
          <w:rFonts w:ascii="黑体" w:hAnsi="黑体" w:eastAsia="黑体"/>
          <w:color w:val="auto"/>
          <w:szCs w:val="21"/>
          <w:highlight w:val="none"/>
        </w:rPr>
      </w:pPr>
    </w:p>
    <w:p w14:paraId="2FEBE7BA">
      <w:pPr>
        <w:pStyle w:val="32"/>
        <w:numPr>
          <w:ilvl w:val="0"/>
          <w:numId w:val="1"/>
        </w:numPr>
        <w:spacing w:line="360" w:lineRule="auto"/>
        <w:ind w:firstLineChars="0"/>
        <w:rPr>
          <w:rFonts w:ascii="黑体" w:hAnsi="黑体" w:eastAsia="黑体"/>
          <w:b/>
          <w:color w:val="auto"/>
          <w:szCs w:val="21"/>
          <w:highlight w:val="none"/>
          <w:u w:val="double"/>
        </w:rPr>
      </w:pPr>
      <w:r>
        <w:rPr>
          <w:rFonts w:hint="eastAsia" w:ascii="黑体" w:hAnsi="黑体" w:eastAsia="黑体"/>
          <w:b/>
          <w:color w:val="auto"/>
          <w:szCs w:val="21"/>
          <w:highlight w:val="none"/>
          <w:u w:val="double"/>
          <w:lang w:eastAsia="zh-CN"/>
        </w:rPr>
        <w:t>本次采购不组织现场唱标，投标</w:t>
      </w:r>
      <w:r>
        <w:rPr>
          <w:rFonts w:hint="eastAsia" w:ascii="黑体" w:hAnsi="黑体" w:eastAsia="黑体"/>
          <w:b/>
          <w:color w:val="auto"/>
          <w:szCs w:val="21"/>
          <w:highlight w:val="none"/>
          <w:u w:val="double"/>
        </w:rPr>
        <w:t>人授权代表</w:t>
      </w:r>
      <w:r>
        <w:rPr>
          <w:rFonts w:hint="eastAsia" w:ascii="黑体" w:hAnsi="黑体" w:eastAsia="黑体"/>
          <w:b/>
          <w:color w:val="auto"/>
          <w:szCs w:val="21"/>
          <w:highlight w:val="none"/>
          <w:u w:val="double"/>
          <w:lang w:val="en-US" w:eastAsia="zh-CN"/>
        </w:rPr>
        <w:t>（</w:t>
      </w:r>
      <w:r>
        <w:rPr>
          <w:rFonts w:hint="eastAsia" w:ascii="黑体" w:hAnsi="黑体" w:eastAsia="黑体"/>
          <w:b/>
          <w:color w:val="auto"/>
          <w:szCs w:val="21"/>
          <w:highlight w:val="none"/>
          <w:u w:val="double"/>
        </w:rPr>
        <w:t>携带有效身份证</w:t>
      </w:r>
      <w:r>
        <w:rPr>
          <w:rFonts w:hint="eastAsia" w:ascii="黑体" w:hAnsi="黑体" w:eastAsia="黑体"/>
          <w:b/>
          <w:color w:val="auto"/>
          <w:szCs w:val="21"/>
          <w:highlight w:val="none"/>
          <w:u w:val="double"/>
          <w:lang w:val="en-US" w:eastAsia="zh-CN"/>
        </w:rPr>
        <w:t>）</w:t>
      </w:r>
      <w:r>
        <w:rPr>
          <w:rFonts w:hint="eastAsia" w:ascii="黑体" w:hAnsi="黑体" w:eastAsia="黑体"/>
          <w:b/>
          <w:color w:val="auto"/>
          <w:szCs w:val="21"/>
          <w:highlight w:val="none"/>
          <w:u w:val="double"/>
          <w:lang w:eastAsia="zh-CN"/>
        </w:rPr>
        <w:t>递交投标文件后即可离开，唱标结果将与中标结果一并公示</w:t>
      </w:r>
      <w:r>
        <w:rPr>
          <w:rFonts w:hint="eastAsia" w:ascii="黑体" w:hAnsi="黑体" w:eastAsia="黑体"/>
          <w:b/>
          <w:color w:val="auto"/>
          <w:szCs w:val="21"/>
          <w:highlight w:val="none"/>
          <w:u w:val="double"/>
        </w:rPr>
        <w:t>。</w:t>
      </w:r>
    </w:p>
    <w:p w14:paraId="4C593FE7">
      <w:pPr>
        <w:pStyle w:val="32"/>
        <w:numPr>
          <w:ilvl w:val="0"/>
          <w:numId w:val="1"/>
        </w:numPr>
        <w:spacing w:line="360" w:lineRule="auto"/>
        <w:ind w:firstLineChars="0"/>
        <w:rPr>
          <w:rFonts w:ascii="黑体" w:hAnsi="黑体" w:eastAsia="黑体"/>
          <w:b/>
          <w:color w:val="auto"/>
          <w:szCs w:val="21"/>
          <w:highlight w:val="none"/>
        </w:rPr>
      </w:pPr>
      <w:r>
        <w:rPr>
          <w:rFonts w:hint="eastAsia" w:ascii="黑体" w:hAnsi="黑体" w:eastAsia="黑体"/>
          <w:b/>
          <w:color w:val="auto"/>
          <w:szCs w:val="21"/>
          <w:highlight w:val="none"/>
        </w:rPr>
        <w:t>项目信息公示/下载媒体</w:t>
      </w:r>
    </w:p>
    <w:p w14:paraId="52B7C748">
      <w:pPr>
        <w:pStyle w:val="32"/>
        <w:tabs>
          <w:tab w:val="left" w:pos="426"/>
        </w:tabs>
        <w:spacing w:beforeLines="50" w:line="360" w:lineRule="auto"/>
        <w:ind w:left="420" w:firstLine="0" w:firstLineChars="0"/>
        <w:rPr>
          <w:rFonts w:ascii="黑体" w:hAnsi="黑体" w:eastAsia="黑体"/>
          <w:spacing w:val="-4"/>
          <w:szCs w:val="21"/>
        </w:rPr>
      </w:pPr>
      <w:r>
        <w:rPr>
          <w:rFonts w:hint="eastAsia" w:ascii="黑体" w:hAnsi="黑体" w:eastAsia="黑体"/>
          <w:spacing w:val="-4"/>
          <w:szCs w:val="21"/>
        </w:rPr>
        <w:t>南城街道办事处官网　网址</w:t>
      </w:r>
      <w:r>
        <w:rPr>
          <w:rFonts w:ascii="宋体" w:hAnsi="宋体" w:cs="宋体"/>
          <w:sz w:val="24"/>
          <w:szCs w:val="24"/>
        </w:rPr>
        <w:t>http://www.dg.gov.cn/nancheng/</w:t>
      </w:r>
    </w:p>
    <w:p w14:paraId="24E27A64">
      <w:pPr>
        <w:pStyle w:val="32"/>
        <w:tabs>
          <w:tab w:val="left" w:pos="426"/>
        </w:tabs>
        <w:spacing w:line="360" w:lineRule="auto"/>
        <w:ind w:left="420" w:firstLine="0" w:firstLineChars="0"/>
        <w:rPr>
          <w:rFonts w:ascii="黑体" w:hAnsi="黑体" w:eastAsia="黑体"/>
          <w:szCs w:val="21"/>
        </w:rPr>
      </w:pPr>
    </w:p>
    <w:p w14:paraId="21F85684">
      <w:pPr>
        <w:pStyle w:val="32"/>
        <w:tabs>
          <w:tab w:val="left" w:pos="426"/>
        </w:tabs>
        <w:spacing w:beforeLines="100" w:line="360" w:lineRule="auto"/>
        <w:ind w:left="420" w:firstLine="0" w:firstLineChars="0"/>
        <w:jc w:val="right"/>
        <w:rPr>
          <w:rFonts w:ascii="黑体" w:hAnsi="黑体" w:eastAsia="黑体"/>
          <w:b/>
          <w:spacing w:val="20"/>
          <w:szCs w:val="21"/>
        </w:rPr>
      </w:pPr>
      <w:r>
        <w:rPr>
          <w:rFonts w:hint="eastAsia" w:ascii="黑体" w:hAnsi="黑体" w:eastAsia="黑体"/>
          <w:b/>
          <w:spacing w:val="20"/>
          <w:szCs w:val="21"/>
        </w:rPr>
        <w:t>东莞市财政局南城分局</w:t>
      </w:r>
    </w:p>
    <w:p w14:paraId="75491AB2">
      <w:pPr>
        <w:pStyle w:val="32"/>
        <w:tabs>
          <w:tab w:val="left" w:pos="426"/>
        </w:tabs>
        <w:spacing w:beforeLines="100" w:line="360" w:lineRule="auto"/>
        <w:ind w:left="420" w:firstLine="0" w:firstLineChars="0"/>
        <w:jc w:val="right"/>
        <w:rPr>
          <w:rFonts w:ascii="黑体" w:hAnsi="黑体" w:eastAsia="黑体"/>
          <w:b/>
          <w:spacing w:val="20"/>
          <w:szCs w:val="21"/>
          <w:highlight w:val="none"/>
        </w:rPr>
      </w:pPr>
      <w:r>
        <w:rPr>
          <w:rFonts w:hint="eastAsia" w:ascii="黑体" w:hAnsi="黑体" w:eastAsia="黑体"/>
          <w:b/>
          <w:spacing w:val="20"/>
          <w:szCs w:val="21"/>
          <w:highlight w:val="none"/>
          <w:lang w:val="en-US" w:eastAsia="zh-CN"/>
        </w:rPr>
        <w:t xml:space="preserve">   </w:t>
      </w:r>
      <w:r>
        <w:rPr>
          <w:rFonts w:hint="eastAsia" w:ascii="黑体" w:hAnsi="黑体" w:eastAsia="黑体"/>
          <w:b/>
          <w:spacing w:val="20"/>
          <w:szCs w:val="21"/>
          <w:highlight w:val="none"/>
        </w:rPr>
        <w:t>二〇二</w:t>
      </w:r>
      <w:r>
        <w:rPr>
          <w:rFonts w:hint="eastAsia" w:ascii="黑体" w:hAnsi="黑体" w:eastAsia="黑体"/>
          <w:b/>
          <w:spacing w:val="20"/>
          <w:szCs w:val="21"/>
          <w:highlight w:val="none"/>
          <w:lang w:eastAsia="zh-CN"/>
        </w:rPr>
        <w:t>六</w:t>
      </w:r>
      <w:r>
        <w:rPr>
          <w:rFonts w:hint="eastAsia" w:ascii="黑体" w:hAnsi="黑体" w:eastAsia="黑体"/>
          <w:b/>
          <w:spacing w:val="20"/>
          <w:szCs w:val="21"/>
          <w:highlight w:val="none"/>
        </w:rPr>
        <w:t>年</w:t>
      </w:r>
      <w:r>
        <w:rPr>
          <w:rFonts w:hint="eastAsia" w:ascii="黑体" w:hAnsi="黑体" w:eastAsia="黑体"/>
          <w:b/>
          <w:spacing w:val="20"/>
          <w:szCs w:val="21"/>
          <w:highlight w:val="none"/>
          <w:lang w:eastAsia="zh-CN"/>
        </w:rPr>
        <w:t>四</w:t>
      </w:r>
      <w:r>
        <w:rPr>
          <w:rFonts w:hint="eastAsia" w:ascii="黑体" w:hAnsi="黑体" w:eastAsia="黑体"/>
          <w:b/>
          <w:spacing w:val="20"/>
          <w:szCs w:val="21"/>
          <w:highlight w:val="none"/>
        </w:rPr>
        <w:t>月</w:t>
      </w:r>
      <w:r>
        <w:rPr>
          <w:rFonts w:hint="eastAsia" w:ascii="黑体" w:hAnsi="黑体" w:eastAsia="黑体"/>
          <w:b/>
          <w:spacing w:val="20"/>
          <w:szCs w:val="21"/>
          <w:highlight w:val="none"/>
          <w:lang w:eastAsia="zh-CN"/>
        </w:rPr>
        <w:t>十四</w:t>
      </w:r>
      <w:r>
        <w:rPr>
          <w:rFonts w:hint="eastAsia" w:ascii="黑体" w:hAnsi="黑体" w:eastAsia="黑体"/>
          <w:b/>
          <w:spacing w:val="20"/>
          <w:szCs w:val="21"/>
          <w:highlight w:val="none"/>
        </w:rPr>
        <w:t>日</w:t>
      </w:r>
    </w:p>
    <w:p w14:paraId="0A386E02">
      <w:pPr>
        <w:pStyle w:val="3"/>
        <w:pageBreakBefore/>
        <w:spacing w:line="360" w:lineRule="auto"/>
        <w:jc w:val="center"/>
        <w:rPr>
          <w:rFonts w:ascii="黑体" w:hAnsi="黑体" w:eastAsia="黑体"/>
          <w:spacing w:val="20"/>
          <w:sz w:val="32"/>
          <w:szCs w:val="32"/>
        </w:rPr>
      </w:pPr>
      <w:bookmarkStart w:id="4" w:name="_Toc405313952"/>
      <w:bookmarkStart w:id="5" w:name="_Toc23715266"/>
      <w:r>
        <w:rPr>
          <w:rFonts w:hint="eastAsia" w:ascii="黑体" w:hAnsi="黑体" w:eastAsia="黑体"/>
          <w:spacing w:val="20"/>
          <w:sz w:val="32"/>
          <w:szCs w:val="32"/>
        </w:rPr>
        <w:t>第二部分 用户需求书</w:t>
      </w:r>
      <w:bookmarkEnd w:id="4"/>
      <w:bookmarkEnd w:id="5"/>
    </w:p>
    <w:p w14:paraId="3160166D">
      <w:pPr>
        <w:numPr>
          <w:ilvl w:val="0"/>
          <w:numId w:val="4"/>
        </w:numPr>
        <w:spacing w:line="360" w:lineRule="auto"/>
        <w:rPr>
          <w:rFonts w:ascii="黑体" w:hAnsi="黑体" w:eastAsia="黑体"/>
          <w:b/>
          <w:szCs w:val="21"/>
        </w:rPr>
      </w:pPr>
      <w:r>
        <w:rPr>
          <w:rFonts w:hint="eastAsia" w:ascii="黑体" w:hAnsi="黑体" w:eastAsia="黑体"/>
          <w:b/>
          <w:szCs w:val="21"/>
        </w:rPr>
        <w:t>服务内容</w:t>
      </w:r>
    </w:p>
    <w:p w14:paraId="2AA3EFE8">
      <w:pPr>
        <w:numPr>
          <w:ilvl w:val="0"/>
          <w:numId w:val="5"/>
        </w:numPr>
        <w:spacing w:line="360" w:lineRule="auto"/>
        <w:rPr>
          <w:rFonts w:ascii="黑体" w:hAnsi="黑体" w:eastAsia="黑体"/>
          <w:szCs w:val="21"/>
        </w:rPr>
      </w:pPr>
      <w:r>
        <w:rPr>
          <w:rFonts w:hint="eastAsia" w:ascii="黑体" w:hAnsi="黑体" w:eastAsia="黑体"/>
          <w:szCs w:val="21"/>
        </w:rPr>
        <w:t>服务对象：东莞市财政局南城分局（以下称为“</w:t>
      </w:r>
      <w:r>
        <w:rPr>
          <w:rFonts w:hint="eastAsia" w:ascii="黑体" w:hAnsi="黑体" w:eastAsia="黑体"/>
          <w:szCs w:val="21"/>
          <w:u w:val="double"/>
        </w:rPr>
        <w:t>采购人</w:t>
      </w:r>
      <w:r>
        <w:rPr>
          <w:rFonts w:hint="eastAsia" w:ascii="黑体" w:hAnsi="黑体" w:eastAsia="黑体"/>
          <w:szCs w:val="21"/>
        </w:rPr>
        <w:t>”）。</w:t>
      </w:r>
    </w:p>
    <w:p w14:paraId="708BBE2B">
      <w:pPr>
        <w:numPr>
          <w:ilvl w:val="0"/>
          <w:numId w:val="5"/>
        </w:numPr>
        <w:spacing w:line="360" w:lineRule="auto"/>
        <w:rPr>
          <w:rFonts w:ascii="黑体" w:hAnsi="黑体" w:eastAsia="黑体"/>
          <w:szCs w:val="21"/>
        </w:rPr>
      </w:pPr>
      <w:r>
        <w:rPr>
          <w:rFonts w:hint="eastAsia" w:ascii="黑体" w:hAnsi="黑体" w:eastAsia="黑体"/>
          <w:szCs w:val="21"/>
        </w:rPr>
        <w:t>服务内容：公开招标</w:t>
      </w:r>
      <w:r>
        <w:rPr>
          <w:rFonts w:hint="eastAsia" w:ascii="黑体" w:hAnsi="黑体" w:eastAsia="黑体"/>
          <w:szCs w:val="21"/>
          <w:highlight w:val="none"/>
          <w:lang w:val="en-US" w:eastAsia="zh-CN"/>
        </w:rPr>
        <w:t>16家</w:t>
      </w:r>
      <w:r>
        <w:rPr>
          <w:rFonts w:hint="eastAsia" w:ascii="黑体" w:hAnsi="黑体" w:eastAsia="黑体"/>
          <w:szCs w:val="21"/>
        </w:rPr>
        <w:t>银行作为采购人财政专户资金转出办理定期</w:t>
      </w:r>
      <w:r>
        <w:rPr>
          <w:rFonts w:hint="eastAsia" w:ascii="黑体" w:hAnsi="黑体" w:eastAsia="黑体"/>
          <w:b/>
          <w:bCs/>
          <w:szCs w:val="21"/>
          <w:highlight w:val="none"/>
        </w:rPr>
        <w:t>(含大额存单)</w:t>
      </w:r>
      <w:r>
        <w:rPr>
          <w:rFonts w:hint="eastAsia" w:ascii="黑体" w:hAnsi="黑体" w:eastAsia="黑体"/>
          <w:szCs w:val="21"/>
        </w:rPr>
        <w:t>业务银行（以下称为“</w:t>
      </w:r>
      <w:r>
        <w:rPr>
          <w:rFonts w:hint="eastAsia" w:ascii="黑体" w:hAnsi="黑体" w:eastAsia="黑体"/>
          <w:szCs w:val="21"/>
          <w:u w:val="double"/>
        </w:rPr>
        <w:t>中标人</w:t>
      </w:r>
      <w:r>
        <w:rPr>
          <w:rFonts w:hint="eastAsia" w:ascii="黑体" w:hAnsi="黑体" w:eastAsia="黑体"/>
          <w:szCs w:val="21"/>
        </w:rPr>
        <w:t>”），承接办理财政资金定期保值增值业务。</w:t>
      </w:r>
    </w:p>
    <w:p w14:paraId="0C5636B4">
      <w:pPr>
        <w:numPr>
          <w:ilvl w:val="0"/>
          <w:numId w:val="5"/>
        </w:numPr>
        <w:spacing w:line="360" w:lineRule="auto"/>
        <w:rPr>
          <w:rFonts w:ascii="黑体" w:hAnsi="黑体" w:eastAsia="黑体"/>
          <w:szCs w:val="21"/>
        </w:rPr>
      </w:pPr>
      <w:r>
        <w:rPr>
          <w:rFonts w:hint="eastAsia" w:ascii="黑体" w:hAnsi="黑体" w:eastAsia="黑体"/>
          <w:szCs w:val="21"/>
        </w:rPr>
        <w:t>服务期限</w:t>
      </w:r>
      <w:r>
        <w:rPr>
          <w:rFonts w:hint="eastAsia" w:ascii="黑体" w:hAnsi="黑体" w:eastAsia="黑体"/>
          <w:szCs w:val="21"/>
          <w:lang w:eastAsia="zh-CN"/>
        </w:rPr>
        <w:t>：</w:t>
      </w:r>
    </w:p>
    <w:p w14:paraId="2502822B">
      <w:pPr>
        <w:pStyle w:val="2"/>
        <w:rPr>
          <w:rFonts w:hint="eastAsia" w:eastAsia="黑体"/>
          <w:highlight w:val="red"/>
          <w:lang w:val="en-US" w:eastAsia="zh-CN"/>
        </w:rPr>
      </w:pPr>
      <w:r>
        <w:rPr>
          <w:rFonts w:hint="eastAsia" w:ascii="黑体" w:hAnsi="黑体" w:eastAsia="黑体"/>
          <w:szCs w:val="21"/>
          <w:highlight w:val="red"/>
          <w:lang w:eastAsia="zh-CN"/>
        </w:rPr>
        <w:t>自合同生效之日起一年</w:t>
      </w:r>
    </w:p>
    <w:p w14:paraId="06DA2116">
      <w:pPr>
        <w:numPr>
          <w:ilvl w:val="0"/>
          <w:numId w:val="5"/>
        </w:numPr>
        <w:spacing w:line="360" w:lineRule="auto"/>
        <w:rPr>
          <w:rFonts w:hint="eastAsia" w:ascii="黑体" w:hAnsi="黑体" w:eastAsia="黑体"/>
          <w:szCs w:val="21"/>
        </w:rPr>
      </w:pPr>
      <w:r>
        <w:rPr>
          <w:rFonts w:hint="default" w:ascii="黑体" w:hAnsi="黑体" w:eastAsia="黑体"/>
          <w:szCs w:val="21"/>
        </w:rPr>
        <w:t>分配比例</w:t>
      </w:r>
      <w:r>
        <w:rPr>
          <w:rFonts w:hint="eastAsia" w:ascii="黑体" w:hAnsi="黑体" w:eastAsia="黑体"/>
          <w:szCs w:val="21"/>
        </w:rPr>
        <w:t>：</w:t>
      </w:r>
    </w:p>
    <w:tbl>
      <w:tblPr>
        <w:tblStyle w:val="20"/>
        <w:tblW w:w="7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00"/>
        <w:gridCol w:w="987"/>
        <w:gridCol w:w="1128"/>
        <w:gridCol w:w="1926"/>
        <w:gridCol w:w="2400"/>
      </w:tblGrid>
      <w:tr w14:paraId="3765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500" w:type="dxa"/>
            <w:tcBorders>
              <w:top w:val="single" w:color="000000" w:sz="4" w:space="0"/>
              <w:left w:val="single" w:color="000000" w:sz="4" w:space="0"/>
              <w:bottom w:val="single" w:color="000000" w:sz="4" w:space="0"/>
              <w:right w:val="single" w:color="000000" w:sz="4" w:space="0"/>
            </w:tcBorders>
            <w:vAlign w:val="center"/>
          </w:tcPr>
          <w:p w14:paraId="612AD98B">
            <w:pPr>
              <w:widowControl/>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kern w:val="0"/>
                <w:sz w:val="22"/>
                <w:highlight w:val="none"/>
                <w:lang w:eastAsia="zh-CN"/>
              </w:rPr>
              <w:t>档次</w:t>
            </w:r>
          </w:p>
        </w:tc>
        <w:tc>
          <w:tcPr>
            <w:tcW w:w="987" w:type="dxa"/>
            <w:tcBorders>
              <w:top w:val="single" w:color="000000" w:sz="4" w:space="0"/>
              <w:left w:val="single" w:color="000000" w:sz="4" w:space="0"/>
              <w:bottom w:val="single" w:color="000000" w:sz="4" w:space="0"/>
              <w:right w:val="single" w:color="000000" w:sz="4" w:space="0"/>
            </w:tcBorders>
            <w:vAlign w:val="center"/>
          </w:tcPr>
          <w:p w14:paraId="32E65F43">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rPr>
              <w:t>排名</w:t>
            </w:r>
          </w:p>
        </w:tc>
        <w:tc>
          <w:tcPr>
            <w:tcW w:w="1128" w:type="dxa"/>
            <w:tcBorders>
              <w:top w:val="single" w:color="000000" w:sz="4" w:space="0"/>
              <w:left w:val="single" w:color="000000" w:sz="4" w:space="0"/>
              <w:bottom w:val="single" w:color="000000" w:sz="4" w:space="0"/>
              <w:right w:val="single" w:color="000000" w:sz="4" w:space="0"/>
            </w:tcBorders>
            <w:vAlign w:val="center"/>
          </w:tcPr>
          <w:p w14:paraId="74766FD1">
            <w:pPr>
              <w:widowControl/>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kern w:val="0"/>
                <w:sz w:val="22"/>
                <w:highlight w:val="none"/>
                <w:lang w:eastAsia="zh-CN"/>
              </w:rPr>
              <w:t>数量</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4A9D">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eastAsia="zh-CN"/>
              </w:rPr>
              <w:t>每间存放比例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BD2">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eastAsia="zh-CN"/>
              </w:rPr>
              <w:t>占比合计</w:t>
            </w:r>
          </w:p>
        </w:tc>
      </w:tr>
      <w:tr w14:paraId="6E61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00" w:type="dxa"/>
            <w:tcBorders>
              <w:top w:val="single" w:color="000000" w:sz="4" w:space="0"/>
              <w:left w:val="single" w:color="000000" w:sz="4" w:space="0"/>
              <w:bottom w:val="single" w:color="000000" w:sz="4" w:space="0"/>
              <w:right w:val="single" w:color="000000" w:sz="4" w:space="0"/>
            </w:tcBorders>
            <w:vAlign w:val="center"/>
          </w:tcPr>
          <w:p w14:paraId="6F1E8022">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rPr>
              <w:t>第一档</w:t>
            </w:r>
          </w:p>
        </w:tc>
        <w:tc>
          <w:tcPr>
            <w:tcW w:w="987" w:type="dxa"/>
            <w:tcBorders>
              <w:top w:val="single" w:color="000000" w:sz="4" w:space="0"/>
              <w:left w:val="single" w:color="000000" w:sz="4" w:space="0"/>
              <w:bottom w:val="single" w:color="000000" w:sz="4" w:space="0"/>
              <w:right w:val="single" w:color="000000" w:sz="4" w:space="0"/>
            </w:tcBorders>
            <w:vAlign w:val="center"/>
          </w:tcPr>
          <w:p w14:paraId="4DF78E66">
            <w:pPr>
              <w:widowControl/>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kern w:val="0"/>
                <w:sz w:val="22"/>
                <w:highlight w:val="none"/>
                <w:lang w:val="en-US" w:eastAsia="zh-CN"/>
              </w:rPr>
              <w:t>第1-4名</w:t>
            </w:r>
          </w:p>
        </w:tc>
        <w:tc>
          <w:tcPr>
            <w:tcW w:w="1128" w:type="dxa"/>
            <w:tcBorders>
              <w:top w:val="single" w:color="000000" w:sz="4" w:space="0"/>
              <w:left w:val="single" w:color="000000" w:sz="4" w:space="0"/>
              <w:bottom w:val="single" w:color="000000" w:sz="4" w:space="0"/>
              <w:right w:val="single" w:color="000000" w:sz="4" w:space="0"/>
            </w:tcBorders>
            <w:vAlign w:val="center"/>
          </w:tcPr>
          <w:p w14:paraId="1C239D09">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cs="宋体"/>
                <w:color w:val="000000"/>
                <w:kern w:val="0"/>
                <w:sz w:val="22"/>
                <w:highlight w:val="none"/>
                <w:lang w:val="en-US" w:eastAsia="zh-CN"/>
              </w:rPr>
              <w:t>4</w:t>
            </w:r>
            <w:r>
              <w:rPr>
                <w:rFonts w:hint="eastAsia" w:ascii="宋体" w:hAnsi="宋体" w:cs="宋体"/>
                <w:color w:val="000000"/>
                <w:kern w:val="0"/>
                <w:sz w:val="22"/>
                <w:highlight w:val="none"/>
                <w:lang w:eastAsia="zh-CN"/>
              </w:rPr>
              <w:t>家</w:t>
            </w:r>
          </w:p>
        </w:tc>
        <w:tc>
          <w:tcPr>
            <w:tcW w:w="1926" w:type="dxa"/>
            <w:tcBorders>
              <w:top w:val="single" w:color="000000" w:sz="4" w:space="0"/>
              <w:left w:val="single" w:color="000000" w:sz="4" w:space="0"/>
              <w:bottom w:val="single" w:color="000000" w:sz="4" w:space="0"/>
              <w:right w:val="single" w:color="000000" w:sz="4" w:space="0"/>
            </w:tcBorders>
            <w:vAlign w:val="center"/>
          </w:tcPr>
          <w:p w14:paraId="79ACA5B3">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vAlign w:val="center"/>
          </w:tcPr>
          <w:p w14:paraId="3FE2EEF7">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40%</w:t>
            </w:r>
          </w:p>
        </w:tc>
      </w:tr>
      <w:tr w14:paraId="0D17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00" w:type="dxa"/>
            <w:tcBorders>
              <w:top w:val="single" w:color="000000" w:sz="4" w:space="0"/>
              <w:left w:val="single" w:color="000000" w:sz="4" w:space="0"/>
              <w:bottom w:val="single" w:color="000000" w:sz="4" w:space="0"/>
              <w:right w:val="single" w:color="000000" w:sz="4" w:space="0"/>
            </w:tcBorders>
            <w:vAlign w:val="center"/>
          </w:tcPr>
          <w:p w14:paraId="7FFF17FC">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rPr>
              <w:t>第二档</w:t>
            </w:r>
          </w:p>
        </w:tc>
        <w:tc>
          <w:tcPr>
            <w:tcW w:w="987" w:type="dxa"/>
            <w:tcBorders>
              <w:top w:val="single" w:color="000000" w:sz="4" w:space="0"/>
              <w:left w:val="single" w:color="000000" w:sz="4" w:space="0"/>
              <w:bottom w:val="single" w:color="000000" w:sz="4" w:space="0"/>
              <w:right w:val="single" w:color="000000" w:sz="4" w:space="0"/>
            </w:tcBorders>
            <w:vAlign w:val="center"/>
          </w:tcPr>
          <w:p w14:paraId="24BFD020">
            <w:pPr>
              <w:widowControl/>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kern w:val="0"/>
                <w:sz w:val="22"/>
                <w:highlight w:val="none"/>
                <w:lang w:val="en-US" w:eastAsia="zh-CN"/>
              </w:rPr>
              <w:t>第5-8名</w:t>
            </w:r>
          </w:p>
        </w:tc>
        <w:tc>
          <w:tcPr>
            <w:tcW w:w="1128" w:type="dxa"/>
            <w:tcBorders>
              <w:top w:val="single" w:color="000000" w:sz="4" w:space="0"/>
              <w:left w:val="single" w:color="000000" w:sz="4" w:space="0"/>
              <w:bottom w:val="single" w:color="000000" w:sz="4" w:space="0"/>
              <w:right w:val="single" w:color="000000" w:sz="4" w:space="0"/>
            </w:tcBorders>
            <w:vAlign w:val="center"/>
          </w:tcPr>
          <w:p w14:paraId="5808535B">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4</w:t>
            </w:r>
            <w:r>
              <w:rPr>
                <w:rFonts w:hint="eastAsia" w:ascii="宋体" w:hAnsi="宋体" w:cs="宋体"/>
                <w:color w:val="000000"/>
                <w:kern w:val="0"/>
                <w:sz w:val="22"/>
                <w:highlight w:val="none"/>
                <w:lang w:eastAsia="zh-CN"/>
              </w:rPr>
              <w:t>家</w:t>
            </w:r>
          </w:p>
        </w:tc>
        <w:tc>
          <w:tcPr>
            <w:tcW w:w="1926" w:type="dxa"/>
            <w:tcBorders>
              <w:top w:val="single" w:color="000000" w:sz="4" w:space="0"/>
              <w:left w:val="single" w:color="000000" w:sz="4" w:space="0"/>
              <w:bottom w:val="single" w:color="000000" w:sz="4" w:space="0"/>
              <w:right w:val="single" w:color="000000" w:sz="4" w:space="0"/>
            </w:tcBorders>
            <w:vAlign w:val="center"/>
          </w:tcPr>
          <w:p w14:paraId="1140CE67">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7.5%</w:t>
            </w:r>
          </w:p>
        </w:tc>
        <w:tc>
          <w:tcPr>
            <w:tcW w:w="2400" w:type="dxa"/>
            <w:tcBorders>
              <w:top w:val="single" w:color="000000" w:sz="4" w:space="0"/>
              <w:left w:val="single" w:color="000000" w:sz="4" w:space="0"/>
              <w:bottom w:val="single" w:color="000000" w:sz="4" w:space="0"/>
              <w:right w:val="single" w:color="000000" w:sz="4" w:space="0"/>
            </w:tcBorders>
            <w:vAlign w:val="center"/>
          </w:tcPr>
          <w:p w14:paraId="214EB1C3">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30%</w:t>
            </w:r>
          </w:p>
        </w:tc>
      </w:tr>
      <w:tr w14:paraId="5040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00" w:type="dxa"/>
            <w:tcBorders>
              <w:top w:val="single" w:color="000000" w:sz="4" w:space="0"/>
              <w:left w:val="single" w:color="000000" w:sz="4" w:space="0"/>
              <w:bottom w:val="single" w:color="000000" w:sz="4" w:space="0"/>
              <w:right w:val="single" w:color="000000" w:sz="4" w:space="0"/>
            </w:tcBorders>
            <w:vAlign w:val="center"/>
          </w:tcPr>
          <w:p w14:paraId="2D92F00B">
            <w:pPr>
              <w:widowControl/>
              <w:jc w:val="center"/>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第三档</w:t>
            </w:r>
          </w:p>
        </w:tc>
        <w:tc>
          <w:tcPr>
            <w:tcW w:w="987" w:type="dxa"/>
            <w:tcBorders>
              <w:top w:val="single" w:color="000000" w:sz="4" w:space="0"/>
              <w:left w:val="single" w:color="000000" w:sz="4" w:space="0"/>
              <w:bottom w:val="single" w:color="000000" w:sz="4" w:space="0"/>
              <w:right w:val="single" w:color="000000" w:sz="4" w:space="0"/>
            </w:tcBorders>
            <w:vAlign w:val="center"/>
          </w:tcPr>
          <w:p w14:paraId="1CD9BC65">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第9-16名</w:t>
            </w:r>
          </w:p>
        </w:tc>
        <w:tc>
          <w:tcPr>
            <w:tcW w:w="1128" w:type="dxa"/>
            <w:tcBorders>
              <w:top w:val="single" w:color="000000" w:sz="4" w:space="0"/>
              <w:left w:val="single" w:color="000000" w:sz="4" w:space="0"/>
              <w:bottom w:val="single" w:color="000000" w:sz="4" w:space="0"/>
              <w:right w:val="single" w:color="000000" w:sz="4" w:space="0"/>
            </w:tcBorders>
            <w:vAlign w:val="center"/>
          </w:tcPr>
          <w:p w14:paraId="1B4626E9">
            <w:pPr>
              <w:widowControl/>
              <w:jc w:val="center"/>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lang w:val="en-US" w:eastAsia="zh-CN"/>
              </w:rPr>
              <w:t>8</w:t>
            </w:r>
            <w:r>
              <w:rPr>
                <w:rFonts w:hint="eastAsia" w:ascii="宋体" w:hAnsi="宋体" w:cs="宋体"/>
                <w:color w:val="000000"/>
                <w:kern w:val="0"/>
                <w:sz w:val="22"/>
                <w:highlight w:val="none"/>
                <w:lang w:eastAsia="zh-CN"/>
              </w:rPr>
              <w:t>家</w:t>
            </w:r>
          </w:p>
        </w:tc>
        <w:tc>
          <w:tcPr>
            <w:tcW w:w="1926" w:type="dxa"/>
            <w:tcBorders>
              <w:top w:val="single" w:color="000000" w:sz="4" w:space="0"/>
              <w:left w:val="single" w:color="000000" w:sz="4" w:space="0"/>
              <w:bottom w:val="single" w:color="000000" w:sz="4" w:space="0"/>
              <w:right w:val="single" w:color="000000" w:sz="4" w:space="0"/>
            </w:tcBorders>
            <w:vAlign w:val="center"/>
          </w:tcPr>
          <w:p w14:paraId="5F92831D">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3.75%</w:t>
            </w:r>
          </w:p>
        </w:tc>
        <w:tc>
          <w:tcPr>
            <w:tcW w:w="2400" w:type="dxa"/>
            <w:tcBorders>
              <w:top w:val="single" w:color="000000" w:sz="4" w:space="0"/>
              <w:left w:val="single" w:color="000000" w:sz="4" w:space="0"/>
              <w:bottom w:val="single" w:color="000000" w:sz="4" w:space="0"/>
              <w:right w:val="single" w:color="000000" w:sz="4" w:space="0"/>
            </w:tcBorders>
            <w:vAlign w:val="center"/>
          </w:tcPr>
          <w:p w14:paraId="028C10E0">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30%</w:t>
            </w:r>
          </w:p>
        </w:tc>
      </w:tr>
      <w:tr w14:paraId="5165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541" w:type="dxa"/>
            <w:gridSpan w:val="4"/>
            <w:tcBorders>
              <w:top w:val="single" w:color="000000" w:sz="4" w:space="0"/>
              <w:left w:val="single" w:color="000000" w:sz="4" w:space="0"/>
              <w:bottom w:val="single" w:color="000000" w:sz="4" w:space="0"/>
              <w:right w:val="single" w:color="000000" w:sz="4" w:space="0"/>
            </w:tcBorders>
            <w:vAlign w:val="center"/>
          </w:tcPr>
          <w:p w14:paraId="24049237">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rPr>
              <w:t>合计</w:t>
            </w:r>
          </w:p>
        </w:tc>
        <w:tc>
          <w:tcPr>
            <w:tcW w:w="2400" w:type="dxa"/>
            <w:tcBorders>
              <w:top w:val="single" w:color="000000" w:sz="4" w:space="0"/>
              <w:left w:val="single" w:color="000000" w:sz="4" w:space="0"/>
              <w:bottom w:val="single" w:color="000000" w:sz="4" w:space="0"/>
              <w:right w:val="single" w:color="000000" w:sz="4" w:space="0"/>
            </w:tcBorders>
            <w:vAlign w:val="center"/>
          </w:tcPr>
          <w:p w14:paraId="42A9BFAF">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rPr>
              <w:t>100%</w:t>
            </w:r>
          </w:p>
        </w:tc>
      </w:tr>
    </w:tbl>
    <w:p w14:paraId="6B5BB815">
      <w:pPr>
        <w:spacing w:line="360" w:lineRule="auto"/>
        <w:rPr>
          <w:rFonts w:ascii="黑体" w:hAnsi="黑体" w:eastAsia="黑体"/>
          <w:szCs w:val="21"/>
        </w:rPr>
      </w:pPr>
    </w:p>
    <w:p w14:paraId="5B87B423">
      <w:pPr>
        <w:numPr>
          <w:ilvl w:val="0"/>
          <w:numId w:val="4"/>
        </w:numPr>
        <w:spacing w:line="360" w:lineRule="auto"/>
        <w:rPr>
          <w:rFonts w:ascii="黑体" w:hAnsi="黑体" w:eastAsia="黑体"/>
          <w:b/>
          <w:szCs w:val="21"/>
        </w:rPr>
      </w:pPr>
      <w:r>
        <w:rPr>
          <w:rFonts w:hint="eastAsia" w:ascii="黑体" w:hAnsi="黑体" w:eastAsia="黑体"/>
          <w:b/>
          <w:szCs w:val="21"/>
        </w:rPr>
        <w:t>服务要求</w:t>
      </w:r>
    </w:p>
    <w:p w14:paraId="66121864">
      <w:pPr>
        <w:numPr>
          <w:ilvl w:val="0"/>
          <w:numId w:val="6"/>
        </w:numPr>
        <w:spacing w:line="360" w:lineRule="auto"/>
        <w:rPr>
          <w:rFonts w:ascii="黑体" w:hAnsi="黑体" w:eastAsia="黑体"/>
          <w:b/>
          <w:szCs w:val="21"/>
        </w:rPr>
      </w:pPr>
      <w:r>
        <w:rPr>
          <w:rFonts w:hint="eastAsia" w:ascii="黑体" w:hAnsi="黑体" w:eastAsia="黑体"/>
          <w:b/>
          <w:szCs w:val="21"/>
        </w:rPr>
        <w:t>业务服务要求</w:t>
      </w:r>
    </w:p>
    <w:p w14:paraId="728AA634">
      <w:pPr>
        <w:numPr>
          <w:ilvl w:val="0"/>
          <w:numId w:val="7"/>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按银行业规定开设非结算账户用于接收财政定期资金，接收账户户名确定为“东莞市财政局南城分局”，不得以其他一般户接收资金再转入定期账户。</w:t>
      </w:r>
    </w:p>
    <w:p w14:paraId="3EF8E103">
      <w:pPr>
        <w:numPr>
          <w:ilvl w:val="0"/>
          <w:numId w:val="7"/>
        </w:numPr>
        <w:spacing w:line="360" w:lineRule="auto"/>
        <w:rPr>
          <w:rFonts w:ascii="黑体" w:hAnsi="黑体" w:eastAsia="黑体"/>
          <w:szCs w:val="21"/>
        </w:rPr>
      </w:pPr>
      <w:r>
        <w:rPr>
          <w:rFonts w:hint="eastAsia" w:ascii="黑体" w:hAnsi="黑体" w:eastAsia="黑体"/>
          <w:szCs w:val="21"/>
        </w:rPr>
        <w:t>为保障</w:t>
      </w:r>
      <w:r>
        <w:rPr>
          <w:rFonts w:hint="eastAsia" w:ascii="黑体" w:hAnsi="黑体" w:eastAsia="黑体"/>
          <w:szCs w:val="21"/>
          <w:u w:val="double"/>
        </w:rPr>
        <w:t>采购人</w:t>
      </w:r>
      <w:r>
        <w:rPr>
          <w:rFonts w:hint="eastAsia" w:ascii="黑体" w:hAnsi="黑体" w:eastAsia="黑体"/>
          <w:szCs w:val="21"/>
        </w:rPr>
        <w:t>财政资金安全，</w:t>
      </w:r>
      <w:r>
        <w:rPr>
          <w:rFonts w:hint="eastAsia" w:ascii="黑体" w:hAnsi="黑体" w:eastAsia="黑体"/>
          <w:szCs w:val="21"/>
          <w:u w:val="double"/>
        </w:rPr>
        <w:t>中标人</w:t>
      </w:r>
      <w:r>
        <w:rPr>
          <w:rFonts w:hint="eastAsia" w:ascii="黑体" w:hAnsi="黑体" w:eastAsia="黑体"/>
          <w:szCs w:val="21"/>
        </w:rPr>
        <w:t>承诺该存款账户不开通网上交易功能。</w:t>
      </w:r>
    </w:p>
    <w:p w14:paraId="53EF489B">
      <w:pPr>
        <w:numPr>
          <w:ilvl w:val="0"/>
          <w:numId w:val="7"/>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应接受</w:t>
      </w:r>
      <w:r>
        <w:rPr>
          <w:rFonts w:hint="eastAsia" w:ascii="黑体" w:hAnsi="黑体" w:eastAsia="黑体"/>
          <w:szCs w:val="21"/>
          <w:u w:val="double"/>
        </w:rPr>
        <w:t>采购人</w:t>
      </w:r>
      <w:r>
        <w:rPr>
          <w:rFonts w:hint="eastAsia" w:ascii="黑体" w:hAnsi="黑体" w:eastAsia="黑体"/>
          <w:szCs w:val="21"/>
        </w:rPr>
        <w:t>日常监督管理，保证财政资金安全及确保服务结束后不造成任何影响。</w:t>
      </w:r>
    </w:p>
    <w:p w14:paraId="35F1117A">
      <w:pPr>
        <w:numPr>
          <w:ilvl w:val="0"/>
          <w:numId w:val="7"/>
        </w:numPr>
        <w:spacing w:line="360" w:lineRule="auto"/>
        <w:rPr>
          <w:rFonts w:ascii="黑体" w:hAnsi="黑体" w:eastAsia="黑体"/>
          <w:szCs w:val="21"/>
        </w:rPr>
      </w:pPr>
      <w:r>
        <w:rPr>
          <w:rFonts w:hint="eastAsia" w:ascii="黑体" w:hAnsi="黑体" w:eastAsia="黑体"/>
          <w:szCs w:val="21"/>
        </w:rPr>
        <w:t>根据</w:t>
      </w:r>
      <w:r>
        <w:rPr>
          <w:rFonts w:hint="eastAsia" w:ascii="黑体" w:hAnsi="黑体" w:eastAsia="黑体"/>
          <w:szCs w:val="21"/>
          <w:u w:val="double"/>
        </w:rPr>
        <w:t>采购人</w:t>
      </w:r>
      <w:r>
        <w:rPr>
          <w:rFonts w:hint="eastAsia" w:ascii="黑体" w:hAnsi="黑体" w:eastAsia="黑体"/>
          <w:szCs w:val="21"/>
        </w:rPr>
        <w:t>的指令要求，在规定的时间内反馈定期资金的信息，定期向</w:t>
      </w:r>
      <w:r>
        <w:rPr>
          <w:rFonts w:hint="eastAsia" w:ascii="黑体" w:hAnsi="黑体" w:eastAsia="黑体"/>
          <w:szCs w:val="21"/>
          <w:u w:val="double"/>
        </w:rPr>
        <w:t>采购人</w:t>
      </w:r>
      <w:r>
        <w:rPr>
          <w:rFonts w:hint="eastAsia" w:ascii="黑体" w:hAnsi="黑体" w:eastAsia="黑体"/>
          <w:szCs w:val="21"/>
        </w:rPr>
        <w:t>提供“东莞市财政局南城分局”账户的对账单及回单，并提供实时信息查询服务。</w:t>
      </w:r>
    </w:p>
    <w:p w14:paraId="0A1A7466">
      <w:pPr>
        <w:numPr>
          <w:ilvl w:val="0"/>
          <w:numId w:val="7"/>
        </w:numPr>
        <w:spacing w:line="360" w:lineRule="auto"/>
        <w:rPr>
          <w:rFonts w:ascii="黑体" w:hAnsi="黑体" w:eastAsia="黑体"/>
          <w:szCs w:val="21"/>
        </w:rPr>
      </w:pPr>
      <w:r>
        <w:rPr>
          <w:rFonts w:hint="eastAsia" w:ascii="黑体" w:hAnsi="黑体" w:eastAsia="黑体"/>
          <w:szCs w:val="21"/>
        </w:rPr>
        <w:t>每笔定期存款到期后，</w:t>
      </w:r>
      <w:r>
        <w:rPr>
          <w:rFonts w:hint="eastAsia" w:ascii="黑体" w:hAnsi="黑体" w:eastAsia="黑体"/>
          <w:szCs w:val="21"/>
          <w:u w:val="double"/>
        </w:rPr>
        <w:t>中标人</w:t>
      </w:r>
      <w:r>
        <w:rPr>
          <w:rFonts w:hint="eastAsia" w:ascii="黑体" w:hAnsi="黑体" w:eastAsia="黑体"/>
          <w:szCs w:val="21"/>
        </w:rPr>
        <w:t>按约定利率在到期日向</w:t>
      </w:r>
      <w:r>
        <w:rPr>
          <w:rFonts w:hint="eastAsia" w:ascii="黑体" w:hAnsi="黑体" w:eastAsia="黑体"/>
          <w:szCs w:val="21"/>
          <w:u w:val="double"/>
        </w:rPr>
        <w:t>采购人</w:t>
      </w:r>
      <w:r>
        <w:rPr>
          <w:rFonts w:hint="eastAsia" w:ascii="黑体" w:hAnsi="黑体" w:eastAsia="黑体"/>
          <w:szCs w:val="21"/>
        </w:rPr>
        <w:t>一次性计付利息。</w:t>
      </w:r>
    </w:p>
    <w:p w14:paraId="7B60E674">
      <w:pPr>
        <w:numPr>
          <w:ilvl w:val="0"/>
          <w:numId w:val="7"/>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根据</w:t>
      </w:r>
      <w:r>
        <w:rPr>
          <w:rFonts w:hint="eastAsia" w:ascii="黑体" w:hAnsi="黑体" w:eastAsia="黑体"/>
          <w:szCs w:val="21"/>
          <w:u w:val="double"/>
        </w:rPr>
        <w:t>采购人</w:t>
      </w:r>
      <w:r>
        <w:rPr>
          <w:rFonts w:hint="eastAsia" w:ascii="黑体" w:hAnsi="黑体" w:eastAsia="黑体"/>
          <w:szCs w:val="21"/>
        </w:rPr>
        <w:t>指令及时办理财政定期存款账户</w:t>
      </w:r>
      <w:r>
        <w:rPr>
          <w:rFonts w:hint="eastAsia" w:ascii="黑体" w:hAnsi="黑体" w:eastAsia="黑体"/>
          <w:spacing w:val="-6"/>
          <w:szCs w:val="21"/>
        </w:rPr>
        <w:t>（户名为“东莞市财政局南城分局”）的开立、提前支取、到期支取等业务，</w:t>
      </w:r>
      <w:r>
        <w:rPr>
          <w:rFonts w:hint="eastAsia" w:ascii="黑体" w:hAnsi="黑体" w:eastAsia="黑体"/>
          <w:szCs w:val="21"/>
        </w:rPr>
        <w:t>并将办理情况及时以书面形式报告</w:t>
      </w:r>
      <w:r>
        <w:rPr>
          <w:rFonts w:hint="eastAsia" w:ascii="黑体" w:hAnsi="黑体" w:eastAsia="黑体"/>
          <w:szCs w:val="21"/>
          <w:u w:val="double"/>
        </w:rPr>
        <w:t>采购人</w:t>
      </w:r>
      <w:r>
        <w:rPr>
          <w:rFonts w:hint="eastAsia" w:ascii="黑体" w:hAnsi="黑体" w:eastAsia="黑体"/>
          <w:szCs w:val="21"/>
        </w:rPr>
        <w:t>。</w:t>
      </w:r>
    </w:p>
    <w:p w14:paraId="1DB7D92E">
      <w:pPr>
        <w:numPr>
          <w:ilvl w:val="0"/>
          <w:numId w:val="7"/>
        </w:numPr>
        <w:spacing w:line="360" w:lineRule="auto"/>
        <w:rPr>
          <w:rFonts w:ascii="黑体" w:hAnsi="黑体" w:eastAsia="黑体"/>
          <w:szCs w:val="21"/>
        </w:rPr>
      </w:pPr>
      <w:r>
        <w:rPr>
          <w:rFonts w:hint="eastAsia" w:ascii="黑体" w:hAnsi="黑体" w:eastAsia="黑体"/>
          <w:szCs w:val="21"/>
        </w:rPr>
        <w:t>不得将定期存款账户的资金办理定期存款以外的任何操作，如购买理财产品等。</w:t>
      </w:r>
    </w:p>
    <w:p w14:paraId="557C1AC6">
      <w:pPr>
        <w:numPr>
          <w:ilvl w:val="0"/>
          <w:numId w:val="7"/>
        </w:numPr>
        <w:spacing w:line="360" w:lineRule="auto"/>
        <w:rPr>
          <w:rFonts w:ascii="黑体" w:hAnsi="黑体" w:eastAsia="黑体"/>
          <w:szCs w:val="21"/>
        </w:rPr>
      </w:pPr>
      <w:r>
        <w:rPr>
          <w:rFonts w:hint="eastAsia" w:ascii="黑体" w:hAnsi="黑体" w:eastAsia="黑体"/>
          <w:szCs w:val="21"/>
        </w:rPr>
        <w:t>定期存款准备到期时，</w:t>
      </w:r>
      <w:r>
        <w:rPr>
          <w:rFonts w:hint="eastAsia" w:ascii="黑体" w:hAnsi="黑体" w:eastAsia="黑体"/>
          <w:szCs w:val="21"/>
          <w:u w:val="double"/>
        </w:rPr>
        <w:t>中标人</w:t>
      </w:r>
      <w:r>
        <w:rPr>
          <w:rFonts w:hint="eastAsia" w:ascii="黑体" w:hAnsi="黑体" w:eastAsia="黑体"/>
          <w:szCs w:val="21"/>
        </w:rPr>
        <w:t>应至少提前七个工作日通知</w:t>
      </w:r>
      <w:r>
        <w:rPr>
          <w:rFonts w:hint="eastAsia" w:ascii="黑体" w:hAnsi="黑体" w:eastAsia="黑体"/>
          <w:szCs w:val="21"/>
          <w:u w:val="double"/>
        </w:rPr>
        <w:t>采购人</w:t>
      </w:r>
      <w:r>
        <w:rPr>
          <w:rFonts w:hint="eastAsia" w:ascii="黑体" w:hAnsi="黑体" w:eastAsia="黑体"/>
          <w:szCs w:val="21"/>
        </w:rPr>
        <w:t>，</w:t>
      </w:r>
      <w:r>
        <w:rPr>
          <w:rFonts w:hint="eastAsia" w:ascii="黑体" w:hAnsi="黑体" w:eastAsia="黑体"/>
          <w:szCs w:val="21"/>
          <w:u w:val="double"/>
        </w:rPr>
        <w:t>采购人</w:t>
      </w:r>
      <w:r>
        <w:rPr>
          <w:rFonts w:hint="eastAsia" w:ascii="黑体" w:hAnsi="黑体" w:eastAsia="黑体"/>
          <w:szCs w:val="21"/>
        </w:rPr>
        <w:t>将根据资金使用计划情况确定是否办理续存，每笔定期存款续存期不超过原服务期限；需要收回使用的定期存款，则不再续存，</w:t>
      </w:r>
      <w:r>
        <w:rPr>
          <w:rFonts w:hint="eastAsia" w:ascii="黑体" w:hAnsi="黑体" w:eastAsia="黑体"/>
          <w:szCs w:val="21"/>
          <w:u w:val="double"/>
        </w:rPr>
        <w:t>中标人</w:t>
      </w:r>
      <w:r>
        <w:rPr>
          <w:rFonts w:hint="eastAsia" w:ascii="黑体" w:hAnsi="黑体" w:eastAsia="黑体"/>
          <w:szCs w:val="21"/>
        </w:rPr>
        <w:t>应在到期日将定期存款及所有利息一次性转回财政资金原转出账户或指定账户，不得无故拖延或截留。</w:t>
      </w:r>
    </w:p>
    <w:p w14:paraId="5C2EEEFB">
      <w:pPr>
        <w:numPr>
          <w:ilvl w:val="0"/>
          <w:numId w:val="7"/>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应向</w:t>
      </w:r>
      <w:r>
        <w:rPr>
          <w:rFonts w:hint="eastAsia" w:ascii="黑体" w:hAnsi="黑体" w:eastAsia="黑体"/>
          <w:szCs w:val="21"/>
          <w:u w:val="double"/>
        </w:rPr>
        <w:t>采购人</w:t>
      </w:r>
      <w:r>
        <w:rPr>
          <w:rFonts w:hint="eastAsia" w:ascii="黑体" w:hAnsi="黑体" w:eastAsia="黑体"/>
          <w:szCs w:val="21"/>
        </w:rPr>
        <w:t>出具廉政承诺书，承诺：不向采购相关负责人输送任何利益；不将资金存放与资金存放主体相关负责人员在本行亲属的业绩、收入挂钩。凡发现并经核实</w:t>
      </w:r>
      <w:r>
        <w:rPr>
          <w:rFonts w:hint="eastAsia" w:ascii="黑体" w:hAnsi="黑体" w:eastAsia="黑体"/>
          <w:szCs w:val="21"/>
          <w:u w:val="double"/>
        </w:rPr>
        <w:t>中标人</w:t>
      </w:r>
      <w:r>
        <w:rPr>
          <w:rFonts w:hint="eastAsia" w:ascii="黑体" w:hAnsi="黑体" w:eastAsia="黑体"/>
          <w:szCs w:val="21"/>
        </w:rPr>
        <w:t>未遵守廉政承诺内容的，</w:t>
      </w:r>
      <w:r>
        <w:rPr>
          <w:rFonts w:hint="eastAsia" w:ascii="黑体" w:hAnsi="黑体" w:eastAsia="黑体"/>
          <w:szCs w:val="21"/>
          <w:u w:val="double"/>
        </w:rPr>
        <w:t>采购人</w:t>
      </w:r>
      <w:r>
        <w:rPr>
          <w:rFonts w:hint="eastAsia" w:ascii="黑体" w:hAnsi="黑体" w:eastAsia="黑体"/>
          <w:szCs w:val="21"/>
        </w:rPr>
        <w:t>有权单方面收回资金，并予以通报。</w:t>
      </w:r>
    </w:p>
    <w:p w14:paraId="64ED0F8E">
      <w:pPr>
        <w:numPr>
          <w:ilvl w:val="0"/>
          <w:numId w:val="7"/>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出现重大安全风险事件或经营状况恶化影响资金存放安全的，</w:t>
      </w:r>
      <w:r>
        <w:rPr>
          <w:rFonts w:hint="eastAsia" w:ascii="黑体" w:hAnsi="黑体" w:eastAsia="黑体"/>
          <w:szCs w:val="21"/>
          <w:u w:val="double"/>
        </w:rPr>
        <w:t>采购人</w:t>
      </w:r>
      <w:r>
        <w:rPr>
          <w:rFonts w:hint="eastAsia" w:ascii="黑体" w:hAnsi="黑体" w:eastAsia="黑体"/>
          <w:szCs w:val="21"/>
        </w:rPr>
        <w:t>有权单方面收回资金，</w:t>
      </w:r>
      <w:r>
        <w:rPr>
          <w:rFonts w:hint="eastAsia" w:ascii="黑体" w:hAnsi="黑体" w:eastAsia="黑体"/>
          <w:szCs w:val="21"/>
          <w:u w:val="double"/>
        </w:rPr>
        <w:t>中标人</w:t>
      </w:r>
      <w:r>
        <w:rPr>
          <w:rFonts w:hint="eastAsia" w:ascii="黑体" w:hAnsi="黑体" w:eastAsia="黑体"/>
          <w:szCs w:val="21"/>
        </w:rPr>
        <w:t>须按原约定定期利率给予付息。</w:t>
      </w:r>
    </w:p>
    <w:p w14:paraId="052E90DB">
      <w:pPr>
        <w:numPr>
          <w:ilvl w:val="0"/>
          <w:numId w:val="6"/>
        </w:numPr>
        <w:spacing w:beforeLines="50" w:line="360" w:lineRule="auto"/>
        <w:rPr>
          <w:rFonts w:ascii="黑体" w:hAnsi="黑体" w:eastAsia="黑体"/>
          <w:b/>
          <w:szCs w:val="21"/>
        </w:rPr>
      </w:pPr>
      <w:r>
        <w:rPr>
          <w:rFonts w:hint="eastAsia" w:ascii="黑体" w:hAnsi="黑体" w:eastAsia="黑体"/>
          <w:b/>
          <w:szCs w:val="21"/>
        </w:rPr>
        <w:t>其他服务要求</w:t>
      </w:r>
    </w:p>
    <w:p w14:paraId="6E76A937">
      <w:pPr>
        <w:numPr>
          <w:ilvl w:val="0"/>
          <w:numId w:val="8"/>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根据自身情况，在政策允许范围内，应对</w:t>
      </w:r>
      <w:r>
        <w:rPr>
          <w:rFonts w:hint="eastAsia" w:ascii="黑体" w:hAnsi="黑体" w:eastAsia="黑体"/>
          <w:szCs w:val="21"/>
          <w:u w:val="double"/>
        </w:rPr>
        <w:t>采购人</w:t>
      </w:r>
      <w:r>
        <w:rPr>
          <w:rFonts w:hint="eastAsia" w:ascii="黑体" w:hAnsi="黑体" w:eastAsia="黑体"/>
          <w:szCs w:val="21"/>
        </w:rPr>
        <w:t>转出银行办理定期业务给予相关优惠条件，含定期利率上浮，账户管理费、转账手续费及回单箱管理费用减免等。</w:t>
      </w:r>
    </w:p>
    <w:p w14:paraId="68F70224">
      <w:pPr>
        <w:numPr>
          <w:ilvl w:val="0"/>
          <w:numId w:val="8"/>
        </w:numPr>
        <w:spacing w:line="360" w:lineRule="auto"/>
        <w:rPr>
          <w:rFonts w:ascii="黑体" w:hAnsi="黑体" w:eastAsia="黑体"/>
          <w:szCs w:val="21"/>
        </w:rPr>
      </w:pPr>
      <w:r>
        <w:rPr>
          <w:rFonts w:hint="eastAsia" w:ascii="黑体" w:hAnsi="黑体" w:eastAsia="黑体"/>
          <w:szCs w:val="21"/>
          <w:u w:val="double"/>
        </w:rPr>
        <w:t>中标人</w:t>
      </w:r>
      <w:r>
        <w:rPr>
          <w:rFonts w:hint="eastAsia" w:ascii="黑体" w:hAnsi="黑体" w:eastAsia="黑体"/>
          <w:szCs w:val="21"/>
        </w:rPr>
        <w:t>指定不少于1名熟悉业务的专人负责</w:t>
      </w:r>
      <w:r>
        <w:rPr>
          <w:rFonts w:hint="eastAsia" w:ascii="黑体" w:hAnsi="黑体" w:eastAsia="黑体"/>
          <w:szCs w:val="21"/>
          <w:u w:val="double"/>
        </w:rPr>
        <w:t>采购人</w:t>
      </w:r>
      <w:r>
        <w:rPr>
          <w:rFonts w:hint="eastAsia" w:ascii="黑体" w:hAnsi="黑体" w:eastAsia="黑体"/>
          <w:szCs w:val="21"/>
        </w:rPr>
        <w:t>财政专户资金转出开户银行办理定期业务，提供上门对账、办理业务、核对信息等服务。</w:t>
      </w:r>
    </w:p>
    <w:p w14:paraId="79DBF502">
      <w:pPr>
        <w:numPr>
          <w:ilvl w:val="0"/>
          <w:numId w:val="8"/>
        </w:numPr>
        <w:spacing w:line="360" w:lineRule="auto"/>
        <w:rPr>
          <w:rFonts w:hint="eastAsia" w:ascii="黑体" w:hAnsi="黑体" w:eastAsia="黑体"/>
          <w:szCs w:val="21"/>
          <w:lang w:val="en-US" w:eastAsia="zh-CN"/>
        </w:rPr>
      </w:pPr>
      <w:r>
        <w:rPr>
          <w:rFonts w:hint="default" w:ascii="黑体" w:hAnsi="黑体" w:eastAsia="黑体"/>
          <w:szCs w:val="21"/>
        </w:rPr>
        <w:t>公布中标结果后，如</w:t>
      </w:r>
      <w:r>
        <w:rPr>
          <w:rFonts w:hint="eastAsia" w:ascii="黑体" w:hAnsi="黑体" w:eastAsia="黑体"/>
          <w:szCs w:val="21"/>
        </w:rPr>
        <w:t>某次</w:t>
      </w:r>
      <w:r>
        <w:rPr>
          <w:rFonts w:hint="default" w:ascii="黑体" w:hAnsi="黑体" w:eastAsia="黑体"/>
          <w:szCs w:val="21"/>
        </w:rPr>
        <w:t>个别</w:t>
      </w:r>
      <w:r>
        <w:rPr>
          <w:rFonts w:hint="default" w:ascii="黑体" w:hAnsi="黑体" w:eastAsia="黑体"/>
          <w:szCs w:val="21"/>
          <w:u w:val="double"/>
        </w:rPr>
        <w:t>中标人</w:t>
      </w:r>
      <w:r>
        <w:rPr>
          <w:rFonts w:hint="default" w:ascii="黑体" w:hAnsi="黑体" w:eastAsia="黑体"/>
          <w:szCs w:val="21"/>
        </w:rPr>
        <w:t>无法按照合同要求存放存款，导致能够履约的中标人的分配比例的合计不足100%，余下部分按照中标比例分配到能够履约的</w:t>
      </w:r>
      <w:r>
        <w:rPr>
          <w:rFonts w:hint="default" w:ascii="黑体" w:hAnsi="黑体" w:eastAsia="黑体"/>
          <w:szCs w:val="21"/>
          <w:u w:val="double"/>
        </w:rPr>
        <w:t>中标人</w:t>
      </w:r>
      <w:r>
        <w:rPr>
          <w:rFonts w:hint="default" w:ascii="黑体" w:hAnsi="黑体" w:eastAsia="黑体"/>
          <w:szCs w:val="21"/>
        </w:rPr>
        <w:t>。</w:t>
      </w:r>
      <w:r>
        <w:rPr>
          <w:rFonts w:hint="eastAsia" w:ascii="黑体" w:hAnsi="黑体" w:eastAsia="黑体"/>
          <w:szCs w:val="21"/>
        </w:rPr>
        <w:t>分</w:t>
      </w:r>
      <w:r>
        <w:rPr>
          <w:rFonts w:hint="default" w:ascii="黑体" w:hAnsi="黑体" w:eastAsia="黑体"/>
          <w:szCs w:val="21"/>
        </w:rPr>
        <w:t>配比例取小数点后五位，如依然无法平均分配的，则尾数按排名顺序依次分配。</w:t>
      </w:r>
    </w:p>
    <w:p w14:paraId="19179829">
      <w:pPr>
        <w:spacing w:line="360" w:lineRule="auto"/>
        <w:rPr>
          <w:rFonts w:ascii="黑体" w:hAnsi="黑体" w:eastAsia="黑体"/>
          <w:szCs w:val="21"/>
        </w:rPr>
      </w:pPr>
    </w:p>
    <w:p w14:paraId="626FFB3B">
      <w:pPr>
        <w:pStyle w:val="3"/>
        <w:pageBreakBefore/>
        <w:spacing w:before="300" w:after="240" w:line="360" w:lineRule="auto"/>
        <w:jc w:val="center"/>
        <w:rPr>
          <w:rFonts w:ascii="黑体" w:hAnsi="黑体" w:eastAsia="黑体"/>
          <w:spacing w:val="20"/>
          <w:sz w:val="32"/>
          <w:szCs w:val="32"/>
        </w:rPr>
      </w:pPr>
      <w:bookmarkStart w:id="6" w:name="_Toc23715267"/>
      <w:bookmarkStart w:id="7" w:name="_Toc391627749"/>
      <w:bookmarkStart w:id="8" w:name="_Toc405313953"/>
      <w:r>
        <w:rPr>
          <w:rFonts w:hint="eastAsia" w:ascii="黑体" w:hAnsi="黑体" w:eastAsia="黑体"/>
          <w:spacing w:val="20"/>
          <w:sz w:val="32"/>
          <w:szCs w:val="32"/>
        </w:rPr>
        <w:t>第三部分 投标须知前附表</w:t>
      </w:r>
      <w:bookmarkEnd w:id="6"/>
      <w:bookmarkEnd w:id="7"/>
      <w:bookmarkEnd w:id="8"/>
    </w:p>
    <w:p w14:paraId="0AB57D28">
      <w:pPr>
        <w:tabs>
          <w:tab w:val="left" w:pos="426"/>
        </w:tabs>
        <w:spacing w:afterLines="50" w:line="360" w:lineRule="auto"/>
        <w:ind w:firstLine="420" w:firstLineChars="200"/>
        <w:rPr>
          <w:rFonts w:ascii="黑体" w:hAnsi="黑体" w:eastAsia="黑体"/>
          <w:szCs w:val="21"/>
        </w:rPr>
      </w:pPr>
      <w:r>
        <w:rPr>
          <w:rFonts w:hint="eastAsia" w:ascii="黑体" w:hAnsi="黑体" w:eastAsia="黑体"/>
          <w:szCs w:val="21"/>
        </w:rPr>
        <w:t>本表的条款项号是与投标须知条款项号对应的，或增加的条款，是对第四部分《投标须知》及第六部分《合同书格式》的补充、修改和完善，如果有矛盾的话，应以本表为准。</w:t>
      </w:r>
    </w:p>
    <w:tbl>
      <w:tblPr>
        <w:tblStyle w:val="20"/>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14:paraId="74744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61593D80">
            <w:pPr>
              <w:spacing w:line="360" w:lineRule="exact"/>
              <w:ind w:right="-183"/>
              <w:jc w:val="center"/>
              <w:rPr>
                <w:rFonts w:ascii="黑体" w:hAnsi="黑体" w:eastAsia="黑体"/>
                <w:spacing w:val="20"/>
                <w:szCs w:val="21"/>
              </w:rPr>
            </w:pPr>
            <w:r>
              <w:rPr>
                <w:rFonts w:hint="eastAsia" w:ascii="黑体" w:hAnsi="黑体" w:eastAsia="黑体"/>
                <w:spacing w:val="20"/>
                <w:szCs w:val="21"/>
              </w:rPr>
              <w:t>对应或增加的条款内容</w:t>
            </w:r>
          </w:p>
        </w:tc>
      </w:tr>
      <w:tr w14:paraId="291F8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549E556E">
            <w:pPr>
              <w:spacing w:line="360" w:lineRule="exact"/>
              <w:ind w:right="-183"/>
              <w:rPr>
                <w:rFonts w:ascii="黑体" w:hAnsi="黑体" w:eastAsia="黑体"/>
                <w:szCs w:val="21"/>
              </w:rPr>
            </w:pPr>
            <w:r>
              <w:rPr>
                <w:rFonts w:hint="eastAsia" w:ascii="黑体" w:hAnsi="黑体" w:eastAsia="黑体"/>
                <w:szCs w:val="21"/>
              </w:rPr>
              <w:t>对第四部分《投标须知》的修改及补充：</w:t>
            </w:r>
          </w:p>
        </w:tc>
      </w:tr>
      <w:tr w14:paraId="3325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7588C3AD">
            <w:pPr>
              <w:spacing w:line="360" w:lineRule="exact"/>
              <w:ind w:right="-183"/>
              <w:jc w:val="left"/>
              <w:rPr>
                <w:rFonts w:ascii="黑体" w:hAnsi="黑体" w:eastAsia="黑体"/>
                <w:szCs w:val="21"/>
              </w:rPr>
            </w:pPr>
            <w:r>
              <w:rPr>
                <w:rFonts w:hint="eastAsia" w:ascii="黑体" w:hAnsi="黑体" w:eastAsia="黑体"/>
                <w:szCs w:val="21"/>
              </w:rPr>
              <w:t>一 总则说明</w:t>
            </w:r>
          </w:p>
        </w:tc>
      </w:tr>
      <w:tr w14:paraId="6C940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28" w:type="dxa"/>
            <w:tcBorders>
              <w:top w:val="single" w:color="auto" w:sz="6" w:space="0"/>
              <w:left w:val="single" w:color="auto" w:sz="6" w:space="0"/>
              <w:bottom w:val="single" w:color="auto" w:sz="6" w:space="0"/>
              <w:right w:val="single" w:color="auto" w:sz="4" w:space="0"/>
            </w:tcBorders>
            <w:vAlign w:val="center"/>
          </w:tcPr>
          <w:p w14:paraId="77C00D6B">
            <w:pPr>
              <w:spacing w:line="360" w:lineRule="exact"/>
              <w:ind w:right="-183"/>
              <w:rPr>
                <w:rFonts w:ascii="黑体" w:hAnsi="黑体" w:eastAsia="黑体"/>
                <w:szCs w:val="21"/>
              </w:rPr>
            </w:pPr>
            <w:r>
              <w:rPr>
                <w:rFonts w:hint="eastAsia" w:ascii="黑体" w:hAnsi="黑体" w:eastAsia="黑体"/>
                <w:szCs w:val="21"/>
              </w:rPr>
              <w:t>资金来源：保值增值资金</w:t>
            </w:r>
          </w:p>
        </w:tc>
      </w:tr>
      <w:tr w14:paraId="6B8B8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8528" w:type="dxa"/>
            <w:tcBorders>
              <w:top w:val="single" w:color="auto" w:sz="6" w:space="0"/>
              <w:left w:val="single" w:color="auto" w:sz="6" w:space="0"/>
              <w:bottom w:val="single" w:color="auto" w:sz="6" w:space="0"/>
              <w:right w:val="single" w:color="auto" w:sz="4" w:space="0"/>
            </w:tcBorders>
            <w:vAlign w:val="center"/>
          </w:tcPr>
          <w:p w14:paraId="0DEF92A8">
            <w:pPr>
              <w:spacing w:line="360" w:lineRule="exact"/>
              <w:ind w:right="-183"/>
              <w:rPr>
                <w:rFonts w:ascii="黑体" w:hAnsi="黑体" w:eastAsia="黑体"/>
                <w:szCs w:val="21"/>
              </w:rPr>
            </w:pPr>
            <w:r>
              <w:rPr>
                <w:rFonts w:hint="eastAsia" w:ascii="黑体" w:hAnsi="黑体" w:eastAsia="黑体"/>
                <w:szCs w:val="21"/>
              </w:rPr>
              <w:t>"</w:t>
            </w:r>
            <w:r>
              <w:rPr>
                <w:rFonts w:ascii="黑体" w:hAnsi="黑体" w:eastAsia="黑体"/>
                <w:szCs w:val="21"/>
              </w:rPr>
              <w:t>采购人</w:t>
            </w:r>
            <w:r>
              <w:rPr>
                <w:rFonts w:hint="eastAsia" w:ascii="黑体" w:hAnsi="黑体" w:eastAsia="黑体"/>
                <w:szCs w:val="21"/>
              </w:rPr>
              <w:t>"</w:t>
            </w:r>
            <w:r>
              <w:rPr>
                <w:rFonts w:ascii="黑体" w:hAnsi="黑体" w:eastAsia="黑体"/>
                <w:szCs w:val="21"/>
              </w:rPr>
              <w:t>是指：</w:t>
            </w:r>
            <w:r>
              <w:rPr>
                <w:rFonts w:hint="eastAsia" w:ascii="黑体" w:hAnsi="黑体" w:eastAsia="黑体"/>
                <w:szCs w:val="21"/>
              </w:rPr>
              <w:t>东莞市财政局南城分局</w:t>
            </w:r>
          </w:p>
          <w:p w14:paraId="6127DA44">
            <w:pPr>
              <w:spacing w:line="360" w:lineRule="exact"/>
              <w:ind w:right="-183"/>
              <w:rPr>
                <w:rFonts w:ascii="黑体" w:hAnsi="黑体" w:eastAsia="黑体"/>
                <w:szCs w:val="21"/>
              </w:rPr>
            </w:pPr>
            <w:r>
              <w:rPr>
                <w:rFonts w:hint="eastAsia" w:ascii="黑体" w:hAnsi="黑体" w:eastAsia="黑体"/>
                <w:szCs w:val="21"/>
              </w:rPr>
              <w:t xml:space="preserve">联系人：陈志超先生  </w:t>
            </w:r>
          </w:p>
          <w:p w14:paraId="33F8640B">
            <w:pPr>
              <w:spacing w:line="360" w:lineRule="exact"/>
              <w:ind w:right="-183"/>
              <w:rPr>
                <w:rFonts w:ascii="黑体" w:hAnsi="黑体" w:eastAsia="黑体"/>
                <w:szCs w:val="21"/>
              </w:rPr>
            </w:pPr>
            <w:r>
              <w:rPr>
                <w:rFonts w:hint="eastAsia" w:ascii="黑体" w:hAnsi="黑体" w:eastAsia="黑体"/>
                <w:szCs w:val="21"/>
              </w:rPr>
              <w:t xml:space="preserve">联系方式：0769-22418911 </w:t>
            </w:r>
          </w:p>
          <w:p w14:paraId="6F4AAD76">
            <w:pPr>
              <w:spacing w:line="360" w:lineRule="exact"/>
              <w:ind w:right="-183"/>
              <w:rPr>
                <w:rFonts w:ascii="黑体" w:hAnsi="黑体" w:eastAsia="黑体"/>
                <w:szCs w:val="21"/>
              </w:rPr>
            </w:pPr>
            <w:r>
              <w:rPr>
                <w:rFonts w:hint="eastAsia" w:ascii="黑体" w:hAnsi="黑体" w:eastAsia="黑体"/>
                <w:szCs w:val="21"/>
              </w:rPr>
              <w:t>联系地址：东莞市南城</w:t>
            </w:r>
            <w:r>
              <w:rPr>
                <w:rFonts w:hint="eastAsia" w:ascii="黑体" w:hAnsi="黑体" w:eastAsia="黑体"/>
                <w:szCs w:val="21"/>
                <w:lang w:eastAsia="zh-CN"/>
              </w:rPr>
              <w:t>街道东骏路南段</w:t>
            </w:r>
            <w:r>
              <w:rPr>
                <w:rFonts w:hint="eastAsia" w:ascii="黑体" w:hAnsi="黑体" w:eastAsia="黑体"/>
                <w:szCs w:val="21"/>
              </w:rPr>
              <w:t>22号宏图科技中心</w:t>
            </w:r>
          </w:p>
        </w:tc>
      </w:tr>
      <w:tr w14:paraId="014F8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14DDD1CE">
            <w:pPr>
              <w:spacing w:line="360" w:lineRule="exact"/>
              <w:ind w:right="-183"/>
              <w:rPr>
                <w:rFonts w:ascii="黑体" w:hAnsi="黑体" w:eastAsia="黑体"/>
                <w:szCs w:val="21"/>
              </w:rPr>
            </w:pPr>
            <w:r>
              <w:rPr>
                <w:rFonts w:hint="eastAsia" w:ascii="黑体" w:hAnsi="黑体" w:eastAsia="黑体"/>
                <w:szCs w:val="21"/>
              </w:rPr>
              <w:t xml:space="preserve">二 </w:t>
            </w:r>
            <w:r>
              <w:rPr>
                <w:rFonts w:hint="eastAsia" w:ascii="黑体" w:hAnsi="黑体" w:eastAsia="黑体"/>
                <w:bCs/>
                <w:szCs w:val="21"/>
              </w:rPr>
              <w:t>现场考察</w:t>
            </w:r>
          </w:p>
        </w:tc>
      </w:tr>
      <w:tr w14:paraId="1D691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244BD75E">
            <w:pPr>
              <w:spacing w:line="360" w:lineRule="exact"/>
              <w:ind w:right="-183"/>
              <w:rPr>
                <w:rFonts w:ascii="黑体" w:hAnsi="黑体" w:eastAsia="黑体"/>
                <w:szCs w:val="21"/>
              </w:rPr>
            </w:pPr>
            <w:r>
              <w:rPr>
                <w:rFonts w:hint="eastAsia" w:ascii="黑体" w:hAnsi="黑体" w:eastAsia="黑体"/>
                <w:bCs/>
                <w:szCs w:val="21"/>
                <w:lang w:eastAsia="zh-CN"/>
              </w:rPr>
              <w:t>无须</w:t>
            </w:r>
            <w:r>
              <w:rPr>
                <w:rFonts w:hint="eastAsia" w:ascii="黑体" w:hAnsi="黑体" w:eastAsia="黑体"/>
                <w:bCs/>
                <w:szCs w:val="21"/>
              </w:rPr>
              <w:t>勘察</w:t>
            </w:r>
          </w:p>
        </w:tc>
      </w:tr>
      <w:tr w14:paraId="371AB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3367F2A7">
            <w:pPr>
              <w:spacing w:line="360" w:lineRule="exact"/>
              <w:ind w:right="-183"/>
              <w:rPr>
                <w:rFonts w:ascii="黑体" w:hAnsi="黑体" w:eastAsia="黑体"/>
                <w:bCs/>
                <w:szCs w:val="21"/>
              </w:rPr>
            </w:pPr>
            <w:r>
              <w:rPr>
                <w:rFonts w:hint="eastAsia" w:ascii="黑体" w:hAnsi="黑体" w:eastAsia="黑体"/>
                <w:bCs/>
                <w:szCs w:val="21"/>
              </w:rPr>
              <w:t>三 招标文件的编制</w:t>
            </w:r>
          </w:p>
        </w:tc>
      </w:tr>
      <w:tr w14:paraId="4BDA6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2FE6B2C9">
            <w:pPr>
              <w:spacing w:line="360" w:lineRule="exact"/>
              <w:ind w:right="-183"/>
              <w:rPr>
                <w:rFonts w:ascii="黑体" w:hAnsi="黑体" w:eastAsia="黑体"/>
                <w:bCs/>
                <w:szCs w:val="21"/>
              </w:rPr>
            </w:pPr>
            <w:r>
              <w:rPr>
                <w:rFonts w:hint="eastAsia" w:ascii="黑体" w:hAnsi="黑体" w:eastAsia="黑体"/>
                <w:bCs/>
                <w:szCs w:val="21"/>
              </w:rPr>
              <w:t>投标人所报的投标价在合同执行过程中是固定不变的，不得以任何理由予以变更</w:t>
            </w:r>
          </w:p>
        </w:tc>
      </w:tr>
      <w:tr w14:paraId="4E5B8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3324FA34">
            <w:pPr>
              <w:spacing w:line="360" w:lineRule="exact"/>
              <w:ind w:right="-183"/>
              <w:rPr>
                <w:rFonts w:ascii="黑体" w:hAnsi="黑体" w:eastAsia="黑体"/>
                <w:bCs/>
                <w:szCs w:val="21"/>
              </w:rPr>
            </w:pPr>
            <w:r>
              <w:rPr>
                <w:rFonts w:hint="eastAsia" w:ascii="黑体" w:hAnsi="黑体" w:eastAsia="黑体"/>
                <w:bCs/>
                <w:szCs w:val="21"/>
              </w:rPr>
              <w:t>不允许有备选方案</w:t>
            </w:r>
          </w:p>
        </w:tc>
      </w:tr>
      <w:tr w14:paraId="1E9A5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218424BE">
            <w:pPr>
              <w:spacing w:line="360" w:lineRule="exact"/>
              <w:ind w:right="-183"/>
              <w:rPr>
                <w:rFonts w:ascii="黑体" w:hAnsi="黑体" w:eastAsia="黑体"/>
                <w:bCs/>
                <w:szCs w:val="21"/>
              </w:rPr>
            </w:pPr>
            <w:r>
              <w:rPr>
                <w:rFonts w:hint="eastAsia" w:ascii="黑体" w:hAnsi="黑体" w:eastAsia="黑体"/>
                <w:bCs/>
                <w:szCs w:val="21"/>
              </w:rPr>
              <w:t>不允许附加条件报价</w:t>
            </w:r>
          </w:p>
        </w:tc>
      </w:tr>
      <w:tr w14:paraId="0286F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3B3C676B">
            <w:pPr>
              <w:spacing w:line="360" w:lineRule="exact"/>
              <w:ind w:right="-183"/>
              <w:rPr>
                <w:rFonts w:ascii="黑体" w:hAnsi="黑体" w:eastAsia="黑体"/>
                <w:bCs/>
                <w:szCs w:val="21"/>
                <w:lang w:val="zh-CN"/>
              </w:rPr>
            </w:pPr>
            <w:r>
              <w:rPr>
                <w:rFonts w:hint="eastAsia" w:ascii="黑体" w:hAnsi="黑体" w:eastAsia="黑体"/>
                <w:bCs/>
                <w:szCs w:val="21"/>
                <w:lang w:val="zh-CN"/>
              </w:rPr>
              <w:t>投标有效期：递交投标文件截止日后 90 天</w:t>
            </w:r>
          </w:p>
        </w:tc>
      </w:tr>
      <w:tr w14:paraId="597B2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6A037F1A">
            <w:pPr>
              <w:spacing w:line="360" w:lineRule="exact"/>
              <w:ind w:right="-183"/>
              <w:rPr>
                <w:rFonts w:ascii="黑体" w:hAnsi="黑体" w:eastAsia="黑体"/>
                <w:bCs/>
                <w:szCs w:val="21"/>
                <w:lang w:val="zh-CN"/>
              </w:rPr>
            </w:pPr>
            <w:r>
              <w:rPr>
                <w:rFonts w:hint="eastAsia" w:ascii="黑体" w:hAnsi="黑体" w:eastAsia="黑体"/>
                <w:bCs/>
                <w:szCs w:val="21"/>
                <w:lang w:val="zh-CN"/>
              </w:rPr>
              <w:t>投标文件份数：正本一份（商务技术文件），副本五份（商务技术文件），电子文件一份，唱标信封一个。</w:t>
            </w:r>
          </w:p>
        </w:tc>
      </w:tr>
      <w:tr w14:paraId="6EE70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3EEC5F64">
            <w:pPr>
              <w:spacing w:line="380" w:lineRule="exact"/>
              <w:ind w:right="-4"/>
              <w:rPr>
                <w:rFonts w:ascii="黑体" w:hAnsi="黑体" w:eastAsia="黑体"/>
                <w:szCs w:val="21"/>
                <w:lang w:val="zh-CN"/>
              </w:rPr>
            </w:pPr>
            <w:r>
              <w:rPr>
                <w:rFonts w:hint="eastAsia" w:ascii="黑体" w:hAnsi="黑体" w:eastAsia="黑体"/>
                <w:szCs w:val="21"/>
                <w:lang w:val="zh-CN"/>
              </w:rPr>
              <w:t>五 开标与评标准则</w:t>
            </w:r>
          </w:p>
        </w:tc>
      </w:tr>
      <w:tr w14:paraId="5CF7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76245446">
            <w:pPr>
              <w:spacing w:line="380" w:lineRule="exact"/>
              <w:ind w:right="-4"/>
              <w:rPr>
                <w:rFonts w:ascii="黑体" w:hAnsi="黑体" w:eastAsia="黑体"/>
                <w:szCs w:val="21"/>
                <w:lang w:val="zh-CN"/>
              </w:rPr>
            </w:pPr>
            <w:r>
              <w:rPr>
                <w:rFonts w:hint="eastAsia" w:ascii="黑体" w:hAnsi="黑体" w:eastAsia="黑体"/>
                <w:szCs w:val="21"/>
                <w:lang w:val="zh-CN"/>
              </w:rPr>
              <w:t>评标方法：采用综合评分法，详见第五部分。</w:t>
            </w:r>
          </w:p>
        </w:tc>
      </w:tr>
      <w:tr w14:paraId="56A0E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67E229F2">
            <w:pPr>
              <w:spacing w:line="380" w:lineRule="exact"/>
              <w:jc w:val="left"/>
              <w:rPr>
                <w:rFonts w:ascii="黑体" w:hAnsi="黑体" w:eastAsia="黑体"/>
                <w:szCs w:val="21"/>
                <w:lang w:val="zh-CN"/>
              </w:rPr>
            </w:pPr>
            <w:r>
              <w:rPr>
                <w:rFonts w:hint="eastAsia" w:ascii="黑体" w:hAnsi="黑体" w:eastAsia="黑体"/>
                <w:szCs w:val="21"/>
                <w:lang w:val="zh-CN"/>
              </w:rPr>
              <w:t>六 授予合同</w:t>
            </w:r>
          </w:p>
        </w:tc>
      </w:tr>
      <w:tr w14:paraId="2F264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2ADD633B">
            <w:pPr>
              <w:spacing w:line="380" w:lineRule="exact"/>
              <w:ind w:right="-4"/>
              <w:rPr>
                <w:rFonts w:ascii="黑体" w:hAnsi="黑体" w:eastAsia="黑体"/>
                <w:szCs w:val="21"/>
                <w:lang w:val="zh-CN"/>
              </w:rPr>
            </w:pPr>
            <w:r>
              <w:rPr>
                <w:rFonts w:hint="eastAsia" w:ascii="黑体" w:hAnsi="黑体" w:eastAsia="黑体"/>
                <w:szCs w:val="21"/>
                <w:lang w:val="zh-CN"/>
              </w:rPr>
              <w:t>合同签订时间：自《中标通知书》发出之日起三十日内</w:t>
            </w:r>
          </w:p>
        </w:tc>
      </w:tr>
      <w:tr w14:paraId="2D0DE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76DF6610">
            <w:pPr>
              <w:spacing w:line="380" w:lineRule="exact"/>
              <w:ind w:right="-4"/>
              <w:rPr>
                <w:rFonts w:ascii="黑体" w:hAnsi="黑体" w:eastAsia="黑体"/>
                <w:bCs/>
                <w:szCs w:val="21"/>
              </w:rPr>
            </w:pPr>
            <w:r>
              <w:rPr>
                <w:rFonts w:hint="eastAsia" w:ascii="黑体" w:hAnsi="黑体" w:eastAsia="黑体"/>
                <w:bCs/>
                <w:szCs w:val="21"/>
              </w:rPr>
              <w:t>本项目类型为：</w:t>
            </w:r>
            <w:r>
              <w:rPr>
                <w:rFonts w:hint="eastAsia" w:ascii="黑体" w:hAnsi="黑体" w:eastAsia="黑体"/>
                <w:bCs/>
                <w:szCs w:val="21"/>
                <w:u w:val="single"/>
              </w:rPr>
              <w:t xml:space="preserve">  服务类  </w:t>
            </w:r>
            <w:r>
              <w:rPr>
                <w:rFonts w:hint="eastAsia" w:ascii="黑体" w:hAnsi="黑体" w:eastAsia="黑体"/>
                <w:bCs/>
                <w:szCs w:val="21"/>
              </w:rPr>
              <w:t>。</w:t>
            </w:r>
          </w:p>
        </w:tc>
      </w:tr>
      <w:tr w14:paraId="0B5CF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14:paraId="23A52D35">
            <w:pPr>
              <w:spacing w:line="380" w:lineRule="exact"/>
              <w:ind w:right="-4"/>
              <w:rPr>
                <w:rFonts w:ascii="黑体" w:hAnsi="黑体" w:eastAsia="黑体"/>
                <w:szCs w:val="21"/>
                <w:lang w:val="zh-CN"/>
              </w:rPr>
            </w:pPr>
            <w:r>
              <w:rPr>
                <w:rFonts w:hint="eastAsia" w:ascii="黑体" w:hAnsi="黑体" w:eastAsia="黑体"/>
                <w:szCs w:val="21"/>
                <w:lang w:val="zh-CN"/>
              </w:rPr>
              <w:t>第六部分《合同书格式》仅供参考，合同具体细则以采购人及中标人双方协定为准。</w:t>
            </w:r>
          </w:p>
        </w:tc>
      </w:tr>
    </w:tbl>
    <w:p w14:paraId="06868810">
      <w:pPr>
        <w:pStyle w:val="3"/>
        <w:pageBreakBefore/>
        <w:spacing w:line="360" w:lineRule="auto"/>
        <w:jc w:val="center"/>
        <w:rPr>
          <w:rFonts w:ascii="黑体" w:hAnsi="黑体" w:eastAsia="黑体"/>
          <w:spacing w:val="20"/>
          <w:sz w:val="32"/>
          <w:szCs w:val="32"/>
        </w:rPr>
      </w:pPr>
      <w:bookmarkStart w:id="9" w:name="_Toc391627750"/>
      <w:bookmarkStart w:id="10" w:name="_Toc405313954"/>
      <w:bookmarkStart w:id="11" w:name="_Toc23715268"/>
      <w:r>
        <w:rPr>
          <w:rFonts w:hint="eastAsia" w:ascii="黑体" w:hAnsi="黑体" w:eastAsia="黑体"/>
          <w:spacing w:val="20"/>
          <w:sz w:val="32"/>
          <w:szCs w:val="32"/>
        </w:rPr>
        <w:t>第四部分 投标须知</w:t>
      </w:r>
      <w:bookmarkEnd w:id="9"/>
      <w:bookmarkEnd w:id="10"/>
      <w:bookmarkEnd w:id="11"/>
    </w:p>
    <w:p w14:paraId="718B0413">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总则说明</w:t>
      </w:r>
    </w:p>
    <w:p w14:paraId="04ADDE60">
      <w:pPr>
        <w:pStyle w:val="32"/>
        <w:numPr>
          <w:ilvl w:val="0"/>
          <w:numId w:val="10"/>
        </w:numPr>
        <w:spacing w:line="360" w:lineRule="auto"/>
        <w:ind w:firstLineChars="0"/>
        <w:rPr>
          <w:rFonts w:ascii="黑体" w:hAnsi="黑体" w:eastAsia="黑体"/>
          <w:b/>
        </w:rPr>
      </w:pPr>
      <w:r>
        <w:rPr>
          <w:rFonts w:hint="eastAsia" w:ascii="黑体" w:hAnsi="黑体" w:eastAsia="黑体"/>
          <w:b/>
        </w:rPr>
        <w:t>适用范围</w:t>
      </w:r>
    </w:p>
    <w:p w14:paraId="53CB67B0">
      <w:pPr>
        <w:pStyle w:val="32"/>
        <w:spacing w:line="360" w:lineRule="auto"/>
        <w:ind w:left="420" w:firstLine="0" w:firstLineChars="0"/>
        <w:rPr>
          <w:rFonts w:ascii="黑体" w:hAnsi="黑体" w:eastAsia="黑体"/>
        </w:rPr>
      </w:pPr>
      <w:r>
        <w:rPr>
          <w:rFonts w:hint="eastAsia" w:ascii="黑体" w:hAnsi="黑体" w:eastAsia="黑体"/>
        </w:rPr>
        <w:t>本招标文件适用于本投标邀请中所述项目的采购。</w:t>
      </w:r>
    </w:p>
    <w:p w14:paraId="4DC34601">
      <w:pPr>
        <w:pStyle w:val="32"/>
        <w:numPr>
          <w:ilvl w:val="0"/>
          <w:numId w:val="10"/>
        </w:numPr>
        <w:spacing w:beforeLines="100" w:line="360" w:lineRule="auto"/>
        <w:ind w:firstLineChars="0"/>
        <w:rPr>
          <w:rFonts w:ascii="黑体" w:hAnsi="黑体" w:eastAsia="黑体"/>
          <w:b/>
        </w:rPr>
      </w:pPr>
      <w:r>
        <w:rPr>
          <w:rFonts w:hint="eastAsia" w:ascii="黑体" w:hAnsi="黑体" w:eastAsia="黑体"/>
          <w:b/>
        </w:rPr>
        <w:t>定义</w:t>
      </w:r>
    </w:p>
    <w:p w14:paraId="40A646E3">
      <w:pPr>
        <w:pStyle w:val="32"/>
        <w:numPr>
          <w:ilvl w:val="0"/>
          <w:numId w:val="11"/>
        </w:numPr>
        <w:spacing w:line="360" w:lineRule="auto"/>
        <w:ind w:firstLineChars="0"/>
        <w:rPr>
          <w:rFonts w:ascii="黑体" w:hAnsi="黑体" w:eastAsia="黑体"/>
        </w:rPr>
      </w:pPr>
      <w:r>
        <w:rPr>
          <w:rFonts w:ascii="黑体" w:hAnsi="黑体" w:eastAsia="黑体"/>
        </w:rPr>
        <w:t>“采购人”是指：</w:t>
      </w:r>
      <w:r>
        <w:rPr>
          <w:rFonts w:hint="eastAsia" w:ascii="黑体" w:hAnsi="黑体" w:eastAsia="黑体"/>
          <w:szCs w:val="21"/>
        </w:rPr>
        <w:t>东莞市财政局南城分局</w:t>
      </w:r>
      <w:r>
        <w:rPr>
          <w:rFonts w:hint="eastAsia" w:ascii="黑体" w:hAnsi="黑体" w:eastAsia="黑体"/>
        </w:rPr>
        <w:t>；</w:t>
      </w:r>
    </w:p>
    <w:p w14:paraId="012F28AB">
      <w:pPr>
        <w:pStyle w:val="32"/>
        <w:numPr>
          <w:ilvl w:val="0"/>
          <w:numId w:val="11"/>
        </w:numPr>
        <w:spacing w:line="360" w:lineRule="auto"/>
        <w:ind w:firstLineChars="0"/>
        <w:rPr>
          <w:rFonts w:ascii="黑体" w:hAnsi="黑体" w:eastAsia="黑体"/>
          <w:color w:val="auto"/>
        </w:rPr>
      </w:pPr>
      <w:r>
        <w:rPr>
          <w:rFonts w:ascii="黑体" w:hAnsi="黑体" w:eastAsia="黑体"/>
          <w:color w:val="auto"/>
        </w:rPr>
        <w:t>“合格的投标人”</w:t>
      </w:r>
      <w:r>
        <w:rPr>
          <w:rFonts w:hint="eastAsia" w:ascii="黑体" w:hAnsi="黑体" w:eastAsia="黑体"/>
          <w:color w:val="auto"/>
        </w:rPr>
        <w:t>是指：</w:t>
      </w:r>
      <w:r>
        <w:rPr>
          <w:rFonts w:ascii="黑体" w:hAnsi="黑体" w:eastAsia="黑体"/>
          <w:color w:val="auto"/>
        </w:rPr>
        <w:t>符合招标文件规定的资格要求</w:t>
      </w:r>
      <w:r>
        <w:rPr>
          <w:rFonts w:hint="eastAsia" w:ascii="黑体" w:hAnsi="黑体" w:eastAsia="黑体"/>
          <w:color w:val="auto"/>
        </w:rPr>
        <w:t>及特殊条件要求的银行。</w:t>
      </w:r>
    </w:p>
    <w:p w14:paraId="48AAF759">
      <w:pPr>
        <w:pStyle w:val="32"/>
        <w:numPr>
          <w:ilvl w:val="0"/>
          <w:numId w:val="11"/>
        </w:numPr>
        <w:spacing w:line="360" w:lineRule="auto"/>
        <w:ind w:firstLineChars="0"/>
        <w:rPr>
          <w:rFonts w:ascii="黑体" w:hAnsi="黑体" w:eastAsia="黑体"/>
        </w:rPr>
      </w:pPr>
      <w:r>
        <w:rPr>
          <w:rFonts w:ascii="黑体" w:hAnsi="黑体" w:eastAsia="黑体"/>
        </w:rPr>
        <w:t>“</w:t>
      </w:r>
      <w:r>
        <w:rPr>
          <w:rFonts w:hint="eastAsia" w:ascii="黑体" w:hAnsi="黑体" w:eastAsia="黑体"/>
        </w:rPr>
        <w:t>中标人</w:t>
      </w:r>
      <w:r>
        <w:rPr>
          <w:rFonts w:ascii="黑体" w:hAnsi="黑体" w:eastAsia="黑体"/>
        </w:rPr>
        <w:t>”是指经</w:t>
      </w:r>
      <w:r>
        <w:rPr>
          <w:rFonts w:hint="eastAsia" w:ascii="黑体" w:hAnsi="黑体" w:eastAsia="黑体"/>
        </w:rPr>
        <w:t>法定程序确定</w:t>
      </w:r>
      <w:r>
        <w:rPr>
          <w:rFonts w:ascii="黑体" w:hAnsi="黑体" w:eastAsia="黑体"/>
        </w:rPr>
        <w:t>并</w:t>
      </w:r>
      <w:r>
        <w:rPr>
          <w:rFonts w:hint="eastAsia" w:ascii="黑体" w:hAnsi="黑体" w:eastAsia="黑体"/>
        </w:rPr>
        <w:t>授予</w:t>
      </w:r>
      <w:r>
        <w:rPr>
          <w:rFonts w:ascii="黑体" w:hAnsi="黑体" w:eastAsia="黑体"/>
        </w:rPr>
        <w:t>合同的投标人</w:t>
      </w:r>
      <w:r>
        <w:rPr>
          <w:rFonts w:hint="eastAsia" w:ascii="黑体" w:hAnsi="黑体" w:eastAsia="黑体"/>
        </w:rPr>
        <w:t>。</w:t>
      </w:r>
    </w:p>
    <w:p w14:paraId="4F700BBA">
      <w:pPr>
        <w:pStyle w:val="32"/>
        <w:numPr>
          <w:ilvl w:val="0"/>
          <w:numId w:val="10"/>
        </w:numPr>
        <w:spacing w:beforeLines="100" w:line="360" w:lineRule="auto"/>
        <w:ind w:firstLineChars="0"/>
        <w:rPr>
          <w:rFonts w:ascii="黑体" w:hAnsi="黑体" w:eastAsia="黑体"/>
          <w:b/>
        </w:rPr>
      </w:pPr>
      <w:r>
        <w:rPr>
          <w:rFonts w:hint="eastAsia" w:ascii="黑体" w:hAnsi="黑体" w:eastAsia="黑体"/>
          <w:b/>
        </w:rPr>
        <w:t>合格的货物和服务</w:t>
      </w:r>
    </w:p>
    <w:p w14:paraId="030554CC">
      <w:pPr>
        <w:pStyle w:val="32"/>
        <w:numPr>
          <w:ilvl w:val="0"/>
          <w:numId w:val="12"/>
        </w:numPr>
        <w:spacing w:line="360" w:lineRule="auto"/>
        <w:ind w:firstLineChars="0"/>
        <w:rPr>
          <w:rFonts w:ascii="黑体" w:hAnsi="黑体" w:eastAsia="黑体"/>
          <w:bCs/>
          <w:szCs w:val="21"/>
        </w:rPr>
      </w:pPr>
      <w:r>
        <w:rPr>
          <w:rFonts w:ascii="黑体" w:hAnsi="黑体" w:eastAsia="黑体"/>
          <w:bCs/>
          <w:szCs w:val="21"/>
        </w:rPr>
        <w:t>“</w:t>
      </w:r>
      <w:r>
        <w:rPr>
          <w:rFonts w:hint="eastAsia" w:ascii="黑体" w:hAnsi="黑体" w:eastAsia="黑体"/>
          <w:bCs/>
          <w:szCs w:val="21"/>
        </w:rPr>
        <w:t>货物</w:t>
      </w:r>
      <w:r>
        <w:rPr>
          <w:rFonts w:ascii="黑体" w:hAnsi="黑体" w:eastAsia="黑体"/>
          <w:bCs/>
          <w:szCs w:val="21"/>
        </w:rPr>
        <w:t>”</w:t>
      </w:r>
      <w:r>
        <w:rPr>
          <w:rFonts w:hint="eastAsia" w:ascii="黑体" w:hAnsi="黑体" w:eastAsia="黑体"/>
          <w:bCs/>
          <w:szCs w:val="21"/>
        </w:rPr>
        <w:t>是指投标人制造或组织符合招标文件要求的货物等。投标的货物必须是其合法生产、合法来源的符合国家有关标准要求的货物，并满足招标文件规定的规格、参数、质量、价格、有效期、售后服务等要求；</w:t>
      </w:r>
    </w:p>
    <w:p w14:paraId="06A79568">
      <w:pPr>
        <w:pStyle w:val="32"/>
        <w:numPr>
          <w:ilvl w:val="0"/>
          <w:numId w:val="12"/>
        </w:numPr>
        <w:spacing w:line="360" w:lineRule="auto"/>
        <w:ind w:firstLineChars="0"/>
        <w:rPr>
          <w:rFonts w:ascii="黑体" w:hAnsi="黑体" w:eastAsia="黑体"/>
          <w:bCs/>
          <w:szCs w:val="21"/>
        </w:rPr>
      </w:pPr>
      <w:r>
        <w:rPr>
          <w:rFonts w:ascii="黑体" w:hAnsi="黑体" w:eastAsia="黑体"/>
          <w:bCs/>
          <w:szCs w:val="21"/>
        </w:rPr>
        <w:t>“</w:t>
      </w:r>
      <w:r>
        <w:rPr>
          <w:rFonts w:hint="eastAsia" w:ascii="黑体" w:hAnsi="黑体" w:eastAsia="黑体"/>
          <w:bCs/>
          <w:szCs w:val="21"/>
        </w:rPr>
        <w:t>服务</w:t>
      </w:r>
      <w:r>
        <w:rPr>
          <w:rFonts w:ascii="黑体" w:hAnsi="黑体" w:eastAsia="黑体"/>
          <w:bCs/>
          <w:szCs w:val="21"/>
        </w:rPr>
        <w:t>”</w:t>
      </w:r>
      <w:r>
        <w:rPr>
          <w:rFonts w:hint="eastAsia" w:ascii="黑体" w:hAnsi="黑体" w:eastAsia="黑体"/>
          <w:bCs/>
          <w:szCs w:val="21"/>
        </w:rPr>
        <w:t>是指投标人按招标文件规定完成的全部服务内容，其中包括完成服务所需的货物，及须承担的技术支持、培训和其它伴随服务；</w:t>
      </w:r>
    </w:p>
    <w:p w14:paraId="04F4ACF9">
      <w:pPr>
        <w:pStyle w:val="32"/>
        <w:numPr>
          <w:ilvl w:val="0"/>
          <w:numId w:val="12"/>
        </w:numPr>
        <w:spacing w:line="360" w:lineRule="auto"/>
        <w:ind w:firstLineChars="0"/>
        <w:rPr>
          <w:rFonts w:ascii="黑体" w:hAnsi="黑体" w:eastAsia="黑体"/>
          <w:bCs/>
          <w:szCs w:val="21"/>
        </w:rPr>
      </w:pPr>
      <w:r>
        <w:rPr>
          <w:rFonts w:hint="eastAsia" w:ascii="黑体" w:hAnsi="黑体" w:eastAsia="黑体"/>
          <w:bCs/>
          <w:szCs w:val="21"/>
        </w:rPr>
        <w:t>投标人提供的所有服务，其质量、技术等特征必须符合国家、行业现行法律、法规的相关标准规定及用户需求；</w:t>
      </w:r>
    </w:p>
    <w:p w14:paraId="559B841E">
      <w:pPr>
        <w:pStyle w:val="32"/>
        <w:numPr>
          <w:ilvl w:val="0"/>
          <w:numId w:val="12"/>
        </w:numPr>
        <w:spacing w:line="360" w:lineRule="auto"/>
        <w:ind w:firstLineChars="0"/>
        <w:rPr>
          <w:rFonts w:ascii="黑体" w:hAnsi="黑体" w:eastAsia="黑体"/>
          <w:bCs/>
          <w:spacing w:val="-6"/>
          <w:szCs w:val="21"/>
        </w:rPr>
      </w:pPr>
      <w:r>
        <w:rPr>
          <w:rFonts w:hint="eastAsia" w:ascii="黑体" w:hAnsi="黑体" w:eastAsia="黑体"/>
          <w:bCs/>
          <w:spacing w:val="-6"/>
          <w:szCs w:val="21"/>
        </w:rPr>
        <w:t>采购人有权拒绝接受任何不合格的服务，由此产生的费用及相关后果均由银行自行承担；</w:t>
      </w:r>
    </w:p>
    <w:p w14:paraId="2D24B374">
      <w:pPr>
        <w:pStyle w:val="32"/>
        <w:numPr>
          <w:ilvl w:val="0"/>
          <w:numId w:val="12"/>
        </w:numPr>
        <w:spacing w:line="360" w:lineRule="auto"/>
        <w:ind w:firstLineChars="0"/>
        <w:rPr>
          <w:rFonts w:ascii="黑体" w:hAnsi="黑体" w:eastAsia="黑体"/>
          <w:bCs/>
          <w:szCs w:val="21"/>
        </w:rPr>
      </w:pPr>
      <w:r>
        <w:rPr>
          <w:rFonts w:hint="eastAsia" w:ascii="黑体" w:hAnsi="黑体" w:eastAsia="黑体"/>
          <w:bCs/>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4A643120">
      <w:pPr>
        <w:pStyle w:val="32"/>
        <w:numPr>
          <w:ilvl w:val="0"/>
          <w:numId w:val="10"/>
        </w:numPr>
        <w:spacing w:beforeLines="100" w:line="360" w:lineRule="auto"/>
        <w:ind w:firstLineChars="0"/>
        <w:rPr>
          <w:rFonts w:ascii="黑体" w:hAnsi="黑体" w:eastAsia="黑体"/>
          <w:b/>
        </w:rPr>
      </w:pPr>
      <w:r>
        <w:rPr>
          <w:rFonts w:hint="eastAsia" w:ascii="黑体" w:hAnsi="黑体" w:eastAsia="黑体"/>
          <w:b/>
        </w:rPr>
        <w:t>投标费用</w:t>
      </w:r>
    </w:p>
    <w:p w14:paraId="21FEBA5D">
      <w:pPr>
        <w:pStyle w:val="32"/>
        <w:numPr>
          <w:ilvl w:val="0"/>
          <w:numId w:val="13"/>
        </w:numPr>
        <w:spacing w:line="360" w:lineRule="auto"/>
        <w:ind w:firstLineChars="0"/>
        <w:rPr>
          <w:rFonts w:ascii="黑体" w:hAnsi="黑体" w:eastAsia="黑体"/>
          <w:bCs/>
          <w:szCs w:val="21"/>
        </w:rPr>
      </w:pPr>
      <w:r>
        <w:rPr>
          <w:rFonts w:ascii="黑体" w:hAnsi="黑体" w:eastAsia="黑体"/>
          <w:bCs/>
          <w:szCs w:val="21"/>
        </w:rPr>
        <w:t>投标人应承担所有与准备和参加投标有关的费用。不论投标的结果如何，采购人无义务和责任承担这些费用</w:t>
      </w:r>
      <w:r>
        <w:rPr>
          <w:rFonts w:hint="eastAsia" w:ascii="黑体" w:hAnsi="黑体" w:eastAsia="黑体"/>
          <w:bCs/>
          <w:szCs w:val="21"/>
        </w:rPr>
        <w:t>。</w:t>
      </w:r>
    </w:p>
    <w:p w14:paraId="0649A81C">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招标文件</w:t>
      </w:r>
      <w:bookmarkStart w:id="12" w:name="_Toc357676115"/>
    </w:p>
    <w:p w14:paraId="64C46DB2">
      <w:pPr>
        <w:pStyle w:val="32"/>
        <w:numPr>
          <w:ilvl w:val="0"/>
          <w:numId w:val="10"/>
        </w:numPr>
        <w:spacing w:line="360" w:lineRule="auto"/>
        <w:ind w:firstLineChars="0"/>
        <w:rPr>
          <w:rFonts w:ascii="黑体" w:hAnsi="黑体" w:eastAsia="黑体"/>
          <w:b/>
        </w:rPr>
      </w:pPr>
      <w:r>
        <w:rPr>
          <w:rFonts w:hint="eastAsia" w:ascii="黑体" w:hAnsi="黑体" w:eastAsia="黑体"/>
          <w:b/>
        </w:rPr>
        <w:t>招标文件的编制依据与构成</w:t>
      </w:r>
      <w:bookmarkEnd w:id="12"/>
    </w:p>
    <w:p w14:paraId="21927B53">
      <w:pPr>
        <w:pStyle w:val="32"/>
        <w:numPr>
          <w:ilvl w:val="0"/>
          <w:numId w:val="14"/>
        </w:numPr>
        <w:spacing w:line="360" w:lineRule="auto"/>
        <w:ind w:firstLineChars="0"/>
        <w:rPr>
          <w:rFonts w:ascii="黑体" w:hAnsi="黑体" w:eastAsia="黑体"/>
          <w:bCs/>
          <w:szCs w:val="21"/>
        </w:rPr>
      </w:pPr>
      <w:r>
        <w:rPr>
          <w:rFonts w:hint="eastAsia" w:ascii="黑体" w:hAnsi="黑体" w:eastAsia="黑体"/>
          <w:bCs/>
          <w:szCs w:val="21"/>
        </w:rPr>
        <w:t>要求提供的服务、采购过程和合同条件在招标文件中均有说明。招标文件以中文文字编写。招标文件由下列文件以及在招标过程中发出的澄清、修改和补充文件组成，组成内容如下：</w:t>
      </w:r>
    </w:p>
    <w:p w14:paraId="4C773C5A">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第一部分 投标邀请函</w:t>
      </w:r>
    </w:p>
    <w:p w14:paraId="2FD8B16F">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第二部分 用户需求书</w:t>
      </w:r>
    </w:p>
    <w:p w14:paraId="79049FDD">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第三部分 投标须知前附表</w:t>
      </w:r>
    </w:p>
    <w:p w14:paraId="533480E5">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第四部分 投标须知</w:t>
      </w:r>
    </w:p>
    <w:p w14:paraId="54FDD463">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第五部分 评标方法、步骤、标准</w:t>
      </w:r>
    </w:p>
    <w:p w14:paraId="46894F86">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第六部分 合同书格式</w:t>
      </w:r>
    </w:p>
    <w:p w14:paraId="4F133C51">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第七部分 投标文件格式</w:t>
      </w:r>
    </w:p>
    <w:p w14:paraId="2D54D9F4">
      <w:pPr>
        <w:pStyle w:val="32"/>
        <w:numPr>
          <w:ilvl w:val="0"/>
          <w:numId w:val="15"/>
        </w:numPr>
        <w:spacing w:line="360" w:lineRule="auto"/>
        <w:ind w:firstLineChars="0"/>
        <w:rPr>
          <w:rFonts w:ascii="黑体" w:hAnsi="黑体" w:eastAsia="黑体"/>
          <w:bCs/>
          <w:szCs w:val="21"/>
        </w:rPr>
      </w:pPr>
      <w:r>
        <w:rPr>
          <w:rFonts w:hint="eastAsia" w:ascii="黑体" w:hAnsi="黑体" w:eastAsia="黑体"/>
          <w:bCs/>
          <w:szCs w:val="21"/>
        </w:rPr>
        <w:t>第八部分 在招标过程中由采购人发出的修正和补充文件等</w:t>
      </w:r>
    </w:p>
    <w:p w14:paraId="7F2A8A1D">
      <w:pPr>
        <w:pStyle w:val="32"/>
        <w:numPr>
          <w:ilvl w:val="0"/>
          <w:numId w:val="14"/>
        </w:numPr>
        <w:spacing w:line="360" w:lineRule="auto"/>
        <w:ind w:firstLineChars="0"/>
        <w:rPr>
          <w:rFonts w:ascii="黑体" w:hAnsi="黑体" w:eastAsia="黑体"/>
          <w:bCs/>
          <w:szCs w:val="21"/>
        </w:rPr>
      </w:pPr>
      <w:r>
        <w:rPr>
          <w:rFonts w:hint="eastAsia" w:ascii="黑体" w:hAnsi="黑体" w:eastAsia="黑体"/>
          <w:bCs/>
          <w:szCs w:val="21"/>
        </w:rPr>
        <w:t>投标人应认真阅读、并充分理解招标文件的全部内容（包括所有的补充、修改内容重要事项、格式、条款和服务要求等）。投标人没有按照招标文件要求提交全部资料，或者投标文件没有对招标文件在各方面都作出实质性响应是投标人的风险，有可能导致其投标被拒绝，或被认定为无效投标或被确定为投标无效。</w:t>
      </w:r>
    </w:p>
    <w:p w14:paraId="38F51B3D">
      <w:pPr>
        <w:pStyle w:val="32"/>
        <w:numPr>
          <w:ilvl w:val="0"/>
          <w:numId w:val="14"/>
        </w:numPr>
        <w:spacing w:line="360" w:lineRule="auto"/>
        <w:ind w:firstLineChars="0"/>
        <w:rPr>
          <w:rFonts w:ascii="黑体" w:hAnsi="黑体" w:eastAsia="黑体"/>
          <w:bCs/>
          <w:szCs w:val="21"/>
        </w:rPr>
      </w:pPr>
      <w:r>
        <w:rPr>
          <w:rFonts w:hint="eastAsia" w:ascii="黑体" w:hAnsi="黑体" w:eastAsia="黑体"/>
          <w:bCs/>
          <w:szCs w:val="21"/>
        </w:rPr>
        <w:t>本招标文件的解释权归“东莞市财政局南城分局”所有。</w:t>
      </w:r>
    </w:p>
    <w:p w14:paraId="7BD80F4A">
      <w:pPr>
        <w:pStyle w:val="32"/>
        <w:numPr>
          <w:ilvl w:val="0"/>
          <w:numId w:val="10"/>
        </w:numPr>
        <w:spacing w:beforeLines="100" w:line="360" w:lineRule="auto"/>
        <w:ind w:firstLineChars="0"/>
        <w:rPr>
          <w:rFonts w:ascii="黑体" w:hAnsi="黑体" w:eastAsia="黑体"/>
          <w:b/>
        </w:rPr>
      </w:pPr>
      <w:r>
        <w:rPr>
          <w:rFonts w:hint="eastAsia" w:ascii="黑体" w:hAnsi="黑体" w:eastAsia="黑体"/>
          <w:b/>
        </w:rPr>
        <w:t>招标文件的答疑、澄清或修改</w:t>
      </w:r>
    </w:p>
    <w:p w14:paraId="75D1195F">
      <w:pPr>
        <w:pStyle w:val="32"/>
        <w:numPr>
          <w:ilvl w:val="0"/>
          <w:numId w:val="16"/>
        </w:numPr>
        <w:spacing w:line="360" w:lineRule="auto"/>
        <w:ind w:firstLineChars="0"/>
        <w:rPr>
          <w:rFonts w:ascii="黑体" w:hAnsi="黑体" w:eastAsia="黑体"/>
          <w:bCs/>
          <w:szCs w:val="21"/>
        </w:rPr>
      </w:pPr>
      <w:r>
        <w:rPr>
          <w:rFonts w:hint="eastAsia" w:ascii="黑体" w:hAnsi="黑体" w:eastAsia="黑体"/>
          <w:bCs/>
          <w:color w:val="auto"/>
          <w:szCs w:val="21"/>
        </w:rPr>
        <w:t>除非</w:t>
      </w:r>
      <w:r>
        <w:rPr>
          <w:rFonts w:hint="eastAsia" w:ascii="黑体" w:hAnsi="黑体" w:eastAsia="黑体"/>
          <w:bCs/>
          <w:color w:val="auto"/>
          <w:szCs w:val="21"/>
          <w:u w:val="single"/>
        </w:rPr>
        <w:t xml:space="preserve"> </w:t>
      </w:r>
      <w:r>
        <w:rPr>
          <w:rFonts w:hint="eastAsia" w:ascii="黑体" w:hAnsi="黑体" w:eastAsia="黑体"/>
          <w:b/>
          <w:bCs/>
          <w:color w:val="auto"/>
          <w:szCs w:val="21"/>
          <w:u w:val="single"/>
        </w:rPr>
        <w:t xml:space="preserve">投标须知前附表 </w:t>
      </w:r>
      <w:r>
        <w:rPr>
          <w:rFonts w:hint="eastAsia" w:ascii="黑体" w:hAnsi="黑体" w:eastAsia="黑体"/>
          <w:bCs/>
          <w:color w:val="auto"/>
          <w:szCs w:val="21"/>
        </w:rPr>
        <w:t>中另有规定，</w:t>
      </w:r>
      <w:r>
        <w:rPr>
          <w:rFonts w:hint="eastAsia" w:ascii="黑体" w:hAnsi="黑体" w:eastAsia="黑体"/>
          <w:bCs/>
          <w:szCs w:val="21"/>
        </w:rPr>
        <w:t>不举行项目集中答疑会或现场考察，如举行集中答疑会或现场考察的，则按以下规定：</w:t>
      </w:r>
    </w:p>
    <w:p w14:paraId="59FC4386">
      <w:pPr>
        <w:pStyle w:val="32"/>
        <w:numPr>
          <w:ilvl w:val="0"/>
          <w:numId w:val="17"/>
        </w:numPr>
        <w:spacing w:line="360" w:lineRule="auto"/>
        <w:ind w:firstLineChars="0"/>
        <w:rPr>
          <w:rFonts w:ascii="黑体" w:hAnsi="黑体" w:eastAsia="黑体"/>
          <w:bCs/>
          <w:szCs w:val="21"/>
        </w:rPr>
      </w:pPr>
      <w:r>
        <w:rPr>
          <w:rFonts w:hint="eastAsia" w:ascii="黑体" w:hAnsi="黑体" w:eastAsia="黑体"/>
          <w:bCs/>
          <w:szCs w:val="21"/>
        </w:rPr>
        <w:t>在</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中规定的日期、时间和地点组织公开答疑会或现场考察；</w:t>
      </w:r>
    </w:p>
    <w:p w14:paraId="1DC39B76">
      <w:pPr>
        <w:pStyle w:val="32"/>
        <w:numPr>
          <w:ilvl w:val="0"/>
          <w:numId w:val="17"/>
        </w:numPr>
        <w:spacing w:line="360" w:lineRule="auto"/>
        <w:ind w:firstLineChars="0"/>
        <w:rPr>
          <w:rFonts w:ascii="黑体" w:hAnsi="黑体" w:eastAsia="黑体"/>
          <w:bCs/>
          <w:szCs w:val="21"/>
        </w:rPr>
      </w:pPr>
      <w:r>
        <w:rPr>
          <w:rFonts w:hint="eastAsia" w:ascii="黑体" w:hAnsi="黑体" w:eastAsia="黑体"/>
          <w:bCs/>
          <w:szCs w:val="21"/>
        </w:rPr>
        <w:t>潜在投标人对本项目提出的疑问，需在答疑会或现场考察召开日前至少一个工作日将问题清单以书面形式（加盖公章）提交至采购人，潜在投标人代表于上述的时间和地点出席答疑会或现场考察；</w:t>
      </w:r>
    </w:p>
    <w:p w14:paraId="5918C39E">
      <w:pPr>
        <w:pStyle w:val="32"/>
        <w:numPr>
          <w:ilvl w:val="0"/>
          <w:numId w:val="17"/>
        </w:numPr>
        <w:spacing w:line="360" w:lineRule="auto"/>
        <w:ind w:firstLineChars="0"/>
        <w:rPr>
          <w:rFonts w:ascii="黑体" w:hAnsi="黑体" w:eastAsia="黑体"/>
          <w:bCs/>
          <w:szCs w:val="21"/>
        </w:rPr>
      </w:pPr>
      <w:r>
        <w:rPr>
          <w:rFonts w:hint="eastAsia" w:ascii="黑体" w:hAnsi="黑体" w:eastAsia="黑体"/>
          <w:bCs/>
          <w:szCs w:val="21"/>
        </w:rPr>
        <w:t>投标人如不出席答疑会或现场考察视为对招标文件所有内容无任何异议。</w:t>
      </w:r>
    </w:p>
    <w:p w14:paraId="2F7192E2">
      <w:pPr>
        <w:pStyle w:val="32"/>
        <w:numPr>
          <w:ilvl w:val="0"/>
          <w:numId w:val="17"/>
        </w:numPr>
        <w:spacing w:line="360" w:lineRule="auto"/>
        <w:ind w:firstLineChars="0"/>
        <w:rPr>
          <w:rFonts w:ascii="黑体" w:hAnsi="黑体" w:eastAsia="黑体"/>
          <w:bCs/>
          <w:szCs w:val="21"/>
        </w:rPr>
      </w:pPr>
      <w:r>
        <w:rPr>
          <w:rFonts w:hint="eastAsia" w:ascii="黑体" w:hAnsi="黑体" w:eastAsia="黑体"/>
          <w:bCs/>
          <w:szCs w:val="21"/>
        </w:rPr>
        <w:t>投标人在规定的时间内未对招标文件提出澄清或疑问的，采购人将视其为无异议。对招标文件中描述有歧意或前后不一致的地方，评标委员会有权进行评判，但对同一条款的评判应适用于每个投标人。</w:t>
      </w:r>
    </w:p>
    <w:p w14:paraId="7BB047D7">
      <w:pPr>
        <w:pStyle w:val="32"/>
        <w:numPr>
          <w:ilvl w:val="0"/>
          <w:numId w:val="16"/>
        </w:numPr>
        <w:spacing w:line="360" w:lineRule="auto"/>
        <w:ind w:firstLineChars="0"/>
        <w:rPr>
          <w:rFonts w:ascii="黑体" w:hAnsi="黑体" w:eastAsia="黑体"/>
          <w:bCs/>
          <w:szCs w:val="21"/>
        </w:rPr>
      </w:pPr>
      <w:r>
        <w:rPr>
          <w:rFonts w:ascii="黑体" w:hAnsi="黑体" w:eastAsia="黑体"/>
          <w:bCs/>
          <w:szCs w:val="21"/>
        </w:rPr>
        <w:t>采购人可以对已发出的招标文件进行必要的澄清或者修改。澄清或者修改的内容可能影响投标文件编制的，采购人应当在投标截止时间至少</w:t>
      </w:r>
      <w:r>
        <w:rPr>
          <w:rFonts w:hint="eastAsia" w:ascii="黑体" w:hAnsi="黑体" w:eastAsia="黑体"/>
          <w:bCs/>
          <w:szCs w:val="21"/>
        </w:rPr>
        <w:t>2</w:t>
      </w:r>
      <w:r>
        <w:rPr>
          <w:rFonts w:ascii="黑体" w:hAnsi="黑体" w:eastAsia="黑体"/>
          <w:bCs/>
          <w:szCs w:val="21"/>
        </w:rPr>
        <w:t>日前，以书面形式通知所有获取招标文件的潜在投标人；不足</w:t>
      </w:r>
      <w:r>
        <w:rPr>
          <w:rFonts w:hint="eastAsia" w:ascii="黑体" w:hAnsi="黑体" w:eastAsia="黑体"/>
          <w:bCs/>
          <w:szCs w:val="21"/>
        </w:rPr>
        <w:t>2</w:t>
      </w:r>
      <w:r>
        <w:rPr>
          <w:rFonts w:ascii="黑体" w:hAnsi="黑体" w:eastAsia="黑体"/>
          <w:bCs/>
          <w:szCs w:val="21"/>
        </w:rPr>
        <w:t>日的，采购人应当顺延提交投标文件的截止时间</w:t>
      </w:r>
      <w:r>
        <w:rPr>
          <w:rFonts w:hint="eastAsia" w:ascii="黑体" w:hAnsi="黑体" w:eastAsia="黑体"/>
          <w:bCs/>
          <w:szCs w:val="21"/>
        </w:rPr>
        <w:t>。</w:t>
      </w:r>
    </w:p>
    <w:p w14:paraId="47D94771">
      <w:pPr>
        <w:pStyle w:val="32"/>
        <w:numPr>
          <w:ilvl w:val="0"/>
          <w:numId w:val="16"/>
        </w:numPr>
        <w:spacing w:line="360" w:lineRule="auto"/>
        <w:ind w:firstLineChars="0"/>
        <w:rPr>
          <w:rFonts w:ascii="黑体" w:hAnsi="黑体" w:eastAsia="黑体"/>
          <w:bCs/>
          <w:szCs w:val="21"/>
        </w:rPr>
      </w:pPr>
      <w:r>
        <w:rPr>
          <w:rFonts w:hint="eastAsia" w:ascii="黑体" w:hAnsi="黑体" w:eastAsia="黑体"/>
          <w:bCs/>
          <w:szCs w:val="21"/>
        </w:rPr>
        <w:t>采购人可以视采购具体情况，延长投标截止时间和开标时间，但至少应当在招标文件要求提交投标文件的截止时间2日前，将更变时间书面通知所有招标文件收受人，并在相关采购信息发布媒体上发布变更公告。</w:t>
      </w:r>
    </w:p>
    <w:p w14:paraId="0AD39FD1">
      <w:pPr>
        <w:pStyle w:val="32"/>
        <w:numPr>
          <w:ilvl w:val="0"/>
          <w:numId w:val="16"/>
        </w:numPr>
        <w:spacing w:line="360" w:lineRule="auto"/>
        <w:ind w:firstLineChars="0"/>
        <w:rPr>
          <w:rFonts w:ascii="黑体" w:hAnsi="黑体" w:eastAsia="黑体"/>
          <w:bCs/>
          <w:szCs w:val="21"/>
        </w:rPr>
      </w:pPr>
      <w:r>
        <w:rPr>
          <w:rFonts w:ascii="黑体" w:hAnsi="黑体" w:eastAsia="黑体"/>
          <w:bCs/>
          <w:szCs w:val="21"/>
        </w:rPr>
        <w:t>招标文件的</w:t>
      </w:r>
      <w:r>
        <w:rPr>
          <w:rFonts w:hint="eastAsia" w:ascii="黑体" w:hAnsi="黑体" w:eastAsia="黑体"/>
          <w:bCs/>
          <w:szCs w:val="21"/>
        </w:rPr>
        <w:t>澄清或</w:t>
      </w:r>
      <w:r>
        <w:rPr>
          <w:rFonts w:ascii="黑体" w:hAnsi="黑体" w:eastAsia="黑体"/>
          <w:bCs/>
          <w:szCs w:val="21"/>
        </w:rPr>
        <w:t>修改内容作为招标文件的组成部分，具有约束作用</w:t>
      </w:r>
      <w:r>
        <w:rPr>
          <w:rFonts w:hint="eastAsia" w:ascii="黑体" w:hAnsi="黑体" w:eastAsia="黑体"/>
          <w:bCs/>
          <w:szCs w:val="21"/>
        </w:rPr>
        <w:t>。</w:t>
      </w:r>
      <w:r>
        <w:rPr>
          <w:rFonts w:ascii="黑体" w:hAnsi="黑体" w:eastAsia="黑体"/>
          <w:bCs/>
          <w:szCs w:val="21"/>
        </w:rPr>
        <w:t>当招标文件、招标文件的澄清</w:t>
      </w:r>
      <w:r>
        <w:rPr>
          <w:rFonts w:hint="eastAsia" w:ascii="黑体" w:hAnsi="黑体" w:eastAsia="黑体"/>
          <w:bCs/>
          <w:szCs w:val="21"/>
        </w:rPr>
        <w:t>或</w:t>
      </w:r>
      <w:r>
        <w:rPr>
          <w:rFonts w:ascii="黑体" w:hAnsi="黑体" w:eastAsia="黑体"/>
          <w:bCs/>
          <w:szCs w:val="21"/>
        </w:rPr>
        <w:t>修改等在同一内容的表述上不一致时，以最后发出的书面文件为准。</w:t>
      </w:r>
    </w:p>
    <w:p w14:paraId="4F2524E6">
      <w:pPr>
        <w:pStyle w:val="32"/>
        <w:numPr>
          <w:ilvl w:val="0"/>
          <w:numId w:val="16"/>
        </w:numPr>
        <w:spacing w:line="360" w:lineRule="auto"/>
        <w:ind w:firstLineChars="0"/>
        <w:rPr>
          <w:rFonts w:ascii="黑体" w:hAnsi="黑体" w:eastAsia="黑体"/>
          <w:bCs/>
          <w:szCs w:val="21"/>
        </w:rPr>
      </w:pPr>
      <w:r>
        <w:rPr>
          <w:rFonts w:hint="eastAsia" w:ascii="黑体" w:hAnsi="黑体" w:eastAsia="黑体"/>
          <w:bCs/>
          <w:szCs w:val="21"/>
        </w:rPr>
        <w:t>招标期间，投标人有义务上网查看，公告一经上网发布，即视为送达。</w:t>
      </w:r>
      <w:r>
        <w:rPr>
          <w:rFonts w:ascii="黑体" w:hAnsi="黑体" w:eastAsia="黑体"/>
          <w:bCs/>
          <w:szCs w:val="21"/>
        </w:rPr>
        <w:t>投标人应于收到该</w:t>
      </w:r>
      <w:r>
        <w:rPr>
          <w:rFonts w:hint="eastAsia" w:ascii="黑体" w:hAnsi="黑体" w:eastAsia="黑体"/>
          <w:bCs/>
          <w:szCs w:val="21"/>
        </w:rPr>
        <w:t>澄清或</w:t>
      </w:r>
      <w:r>
        <w:rPr>
          <w:rFonts w:ascii="黑体" w:hAnsi="黑体" w:eastAsia="黑体"/>
          <w:bCs/>
          <w:szCs w:val="21"/>
        </w:rPr>
        <w:t>修改文件的</w:t>
      </w:r>
      <w:r>
        <w:rPr>
          <w:rFonts w:hint="eastAsia" w:ascii="黑体" w:hAnsi="黑体" w:eastAsia="黑体"/>
          <w:bCs/>
          <w:szCs w:val="21"/>
        </w:rPr>
        <w:t>二十四小时</w:t>
      </w:r>
      <w:r>
        <w:rPr>
          <w:rFonts w:ascii="黑体" w:hAnsi="黑体" w:eastAsia="黑体"/>
          <w:bCs/>
          <w:szCs w:val="21"/>
        </w:rPr>
        <w:t>内以书面形式给予确认</w:t>
      </w:r>
      <w:r>
        <w:rPr>
          <w:rFonts w:hint="eastAsia" w:ascii="黑体" w:hAnsi="黑体" w:eastAsia="黑体"/>
          <w:bCs/>
          <w:szCs w:val="21"/>
        </w:rPr>
        <w:t>。</w:t>
      </w:r>
    </w:p>
    <w:p w14:paraId="638C69FD">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投标文件的编制</w:t>
      </w:r>
    </w:p>
    <w:p w14:paraId="33151EFE">
      <w:pPr>
        <w:pStyle w:val="32"/>
        <w:numPr>
          <w:ilvl w:val="0"/>
          <w:numId w:val="10"/>
        </w:numPr>
        <w:spacing w:line="360" w:lineRule="auto"/>
        <w:ind w:firstLineChars="0"/>
        <w:rPr>
          <w:rFonts w:ascii="黑体" w:hAnsi="黑体" w:eastAsia="黑体"/>
          <w:b/>
        </w:rPr>
      </w:pPr>
      <w:r>
        <w:rPr>
          <w:rFonts w:hint="eastAsia" w:ascii="黑体" w:hAnsi="黑体" w:eastAsia="黑体"/>
          <w:b/>
        </w:rPr>
        <w:t>投标的语言</w:t>
      </w:r>
    </w:p>
    <w:p w14:paraId="4190500A">
      <w:pPr>
        <w:pStyle w:val="32"/>
        <w:spacing w:line="360" w:lineRule="auto"/>
        <w:ind w:left="420" w:firstLine="0" w:firstLineChars="0"/>
        <w:rPr>
          <w:rFonts w:ascii="黑体" w:hAnsi="黑体" w:eastAsia="黑体"/>
          <w:bCs/>
          <w:szCs w:val="21"/>
        </w:rPr>
      </w:pPr>
      <w:r>
        <w:rPr>
          <w:rFonts w:hint="eastAsia" w:ascii="黑体" w:hAnsi="黑体" w:eastAsia="黑体"/>
          <w:bCs/>
          <w:szCs w:val="21"/>
        </w:rPr>
        <w:t>投标人提交的投标文件以及投标人与招标采购单位就有关投标的所有来往函电均应使用中文书写。投标人提交的支持资料和己印刷的文献可以用另一种语言，但相应内容应附有中文翻译本，在解释投标文件的修改内容时以中文翻译本为准。对中文翻译有异议的，以权威机构的译本为准。</w:t>
      </w:r>
    </w:p>
    <w:p w14:paraId="330908EE">
      <w:pPr>
        <w:pStyle w:val="32"/>
        <w:numPr>
          <w:ilvl w:val="0"/>
          <w:numId w:val="10"/>
        </w:numPr>
        <w:tabs>
          <w:tab w:val="left" w:pos="426"/>
        </w:tabs>
        <w:spacing w:beforeLines="100" w:line="360" w:lineRule="auto"/>
        <w:ind w:firstLineChars="0"/>
        <w:rPr>
          <w:rFonts w:ascii="黑体" w:hAnsi="黑体" w:eastAsia="黑体"/>
          <w:b/>
        </w:rPr>
      </w:pPr>
      <w:bookmarkStart w:id="13" w:name="_Toc357676120"/>
      <w:r>
        <w:rPr>
          <w:rFonts w:hint="eastAsia" w:ascii="黑体" w:hAnsi="黑体" w:eastAsia="黑体"/>
          <w:b/>
        </w:rPr>
        <w:t>投标文件的构成</w:t>
      </w:r>
      <w:bookmarkEnd w:id="13"/>
    </w:p>
    <w:p w14:paraId="5DA7F43B">
      <w:pPr>
        <w:pStyle w:val="32"/>
        <w:numPr>
          <w:ilvl w:val="0"/>
          <w:numId w:val="18"/>
        </w:numPr>
        <w:spacing w:line="360" w:lineRule="auto"/>
        <w:ind w:firstLineChars="0"/>
        <w:rPr>
          <w:rFonts w:ascii="黑体" w:hAnsi="黑体" w:eastAsia="黑体"/>
          <w:bCs/>
          <w:szCs w:val="21"/>
        </w:rPr>
      </w:pPr>
      <w:r>
        <w:rPr>
          <w:rFonts w:hint="eastAsia" w:ascii="黑体" w:hAnsi="黑体" w:eastAsia="黑体"/>
          <w:bCs/>
          <w:szCs w:val="21"/>
        </w:rPr>
        <w:t>投标人编写的投标文件应包括商务文件、技术文件，编排顺序参见投标文件格式。</w:t>
      </w:r>
    </w:p>
    <w:p w14:paraId="4E31C064">
      <w:pPr>
        <w:pStyle w:val="32"/>
        <w:numPr>
          <w:ilvl w:val="0"/>
          <w:numId w:val="18"/>
        </w:numPr>
        <w:spacing w:line="360" w:lineRule="auto"/>
        <w:ind w:firstLineChars="0"/>
        <w:rPr>
          <w:rFonts w:ascii="黑体" w:hAnsi="黑体" w:eastAsia="黑体"/>
          <w:bCs/>
          <w:szCs w:val="21"/>
        </w:rPr>
      </w:pPr>
      <w:r>
        <w:rPr>
          <w:rFonts w:hint="eastAsia" w:ascii="黑体" w:hAnsi="黑体" w:eastAsia="黑体"/>
          <w:bCs/>
          <w:szCs w:val="21"/>
        </w:rPr>
        <w:t>投标文件的构成应符合法律法规及招标文件的要求。</w:t>
      </w:r>
    </w:p>
    <w:p w14:paraId="4ED3821B">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投标文件的编写</w:t>
      </w:r>
    </w:p>
    <w:p w14:paraId="2CC460DC">
      <w:pPr>
        <w:pStyle w:val="32"/>
        <w:numPr>
          <w:ilvl w:val="0"/>
          <w:numId w:val="19"/>
        </w:numPr>
        <w:spacing w:line="360" w:lineRule="auto"/>
        <w:ind w:firstLineChars="0"/>
        <w:rPr>
          <w:rFonts w:ascii="黑体" w:hAnsi="黑体" w:eastAsia="黑体"/>
          <w:bCs/>
          <w:szCs w:val="21"/>
        </w:rPr>
      </w:pPr>
      <w:r>
        <w:rPr>
          <w:rFonts w:hint="eastAsia" w:ascii="黑体" w:hAnsi="黑体" w:eastAsia="黑体"/>
          <w:bCs/>
          <w:szCs w:val="21"/>
        </w:rPr>
        <w:t>投标人应完整、真实、准确地填写招标文件中提供的投标函、开标一览表以及招标文件中规定的其它所有内容。</w:t>
      </w:r>
    </w:p>
    <w:p w14:paraId="310F4FC6">
      <w:pPr>
        <w:pStyle w:val="32"/>
        <w:numPr>
          <w:ilvl w:val="0"/>
          <w:numId w:val="19"/>
        </w:numPr>
        <w:spacing w:line="360" w:lineRule="auto"/>
        <w:ind w:firstLineChars="0"/>
        <w:rPr>
          <w:rFonts w:ascii="黑体" w:hAnsi="黑体" w:eastAsia="黑体"/>
          <w:bCs/>
          <w:szCs w:val="21"/>
        </w:rPr>
      </w:pPr>
      <w:r>
        <w:rPr>
          <w:rFonts w:hint="eastAsia" w:ascii="黑体" w:hAnsi="黑体" w:eastAsia="黑体"/>
          <w:bCs/>
          <w:szCs w:val="21"/>
        </w:rPr>
        <w:t>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w:t>
      </w:r>
    </w:p>
    <w:p w14:paraId="724CC4DD">
      <w:pPr>
        <w:pStyle w:val="32"/>
        <w:numPr>
          <w:ilvl w:val="0"/>
          <w:numId w:val="19"/>
        </w:numPr>
        <w:spacing w:line="360" w:lineRule="auto"/>
        <w:ind w:firstLineChars="0"/>
        <w:rPr>
          <w:rFonts w:ascii="黑体" w:hAnsi="黑体" w:eastAsia="黑体"/>
          <w:bCs/>
          <w:szCs w:val="21"/>
        </w:rPr>
      </w:pPr>
      <w:r>
        <w:rPr>
          <w:rFonts w:hint="eastAsia" w:ascii="黑体" w:hAnsi="黑体" w:eastAsia="黑体"/>
          <w:bCs/>
          <w:szCs w:val="21"/>
        </w:rPr>
        <w:t>投标人必须对投标文件所提供的全部资料的真实性承担法律责任，并无条件接受招标采购单位及采购监督管理部门等对其中任何资料进行核实的要求。</w:t>
      </w:r>
    </w:p>
    <w:p w14:paraId="0751B0BA">
      <w:pPr>
        <w:pStyle w:val="32"/>
        <w:numPr>
          <w:ilvl w:val="0"/>
          <w:numId w:val="19"/>
        </w:numPr>
        <w:spacing w:line="360" w:lineRule="auto"/>
        <w:ind w:firstLineChars="0"/>
        <w:rPr>
          <w:rFonts w:ascii="黑体" w:hAnsi="黑体" w:eastAsia="黑体"/>
          <w:bCs/>
          <w:szCs w:val="21"/>
        </w:rPr>
      </w:pPr>
      <w:r>
        <w:rPr>
          <w:rFonts w:hint="eastAsia" w:ascii="黑体" w:hAnsi="黑体" w:eastAsia="黑体"/>
          <w:bCs/>
          <w:szCs w:val="21"/>
        </w:rPr>
        <w:t>如果因为投标人的投标文件只填写和提供了本招标文件要求的部分内容和附件，或没有提供招标文件中所要求的全部资料及数据，由此造成的后果和责任由投标人承担。</w:t>
      </w:r>
    </w:p>
    <w:p w14:paraId="311E3C45">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投标报价</w:t>
      </w:r>
    </w:p>
    <w:p w14:paraId="77B8A135">
      <w:pPr>
        <w:pStyle w:val="32"/>
        <w:numPr>
          <w:ilvl w:val="0"/>
          <w:numId w:val="20"/>
        </w:numPr>
        <w:spacing w:line="360" w:lineRule="auto"/>
        <w:ind w:firstLineChars="0"/>
        <w:rPr>
          <w:rFonts w:ascii="黑体" w:hAnsi="黑体" w:eastAsia="黑体"/>
          <w:bCs/>
          <w:szCs w:val="21"/>
        </w:rPr>
      </w:pPr>
      <w:r>
        <w:rPr>
          <w:rFonts w:hint="eastAsia" w:ascii="黑体" w:hAnsi="黑体" w:eastAsia="黑体"/>
          <w:bCs/>
          <w:szCs w:val="21"/>
        </w:rPr>
        <w:t>投标人应按照“第二部分　用户需求书”中采购项目服务要求规定的内容、责任范围进行报价。本项目报价方式为利率水平报价，投标人按《开标一览表》的要求报出利率水平。</w:t>
      </w:r>
    </w:p>
    <w:p w14:paraId="080BD9F6">
      <w:pPr>
        <w:pStyle w:val="32"/>
        <w:numPr>
          <w:ilvl w:val="0"/>
          <w:numId w:val="20"/>
        </w:numPr>
        <w:spacing w:line="360" w:lineRule="auto"/>
        <w:ind w:firstLineChars="0"/>
        <w:rPr>
          <w:rFonts w:ascii="黑体" w:hAnsi="黑体" w:eastAsia="黑体"/>
          <w:bCs/>
          <w:szCs w:val="21"/>
        </w:rPr>
      </w:pPr>
      <w:r>
        <w:rPr>
          <w:rFonts w:hint="eastAsia" w:ascii="黑体" w:hAnsi="黑体" w:eastAsia="黑体"/>
          <w:bCs/>
          <w:szCs w:val="21"/>
        </w:rPr>
        <w:t>投标人在中标并签署合同后，服务期限内出现的任何遗漏，均由中标人负责，采购人将不再支付任何费用。</w:t>
      </w:r>
    </w:p>
    <w:p w14:paraId="0DB1FE38">
      <w:pPr>
        <w:pStyle w:val="32"/>
        <w:numPr>
          <w:ilvl w:val="0"/>
          <w:numId w:val="20"/>
        </w:numPr>
        <w:spacing w:line="360" w:lineRule="auto"/>
        <w:ind w:firstLineChars="0"/>
        <w:rPr>
          <w:rFonts w:ascii="黑体" w:hAnsi="黑体" w:eastAsia="黑体"/>
          <w:bCs/>
          <w:szCs w:val="21"/>
        </w:rPr>
      </w:pPr>
      <w:r>
        <w:rPr>
          <w:rFonts w:hint="eastAsia" w:ascii="黑体" w:hAnsi="黑体" w:eastAsia="黑体"/>
          <w:bCs/>
          <w:szCs w:val="21"/>
        </w:rPr>
        <w:t>除</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中另有规定，投标人所报的投标价在合同执行过程中是固定不变的，不得以任何理由予以变更。任何包含价格调整要求的投标被认为是非实质性响应投标而予以拒绝。</w:t>
      </w:r>
    </w:p>
    <w:p w14:paraId="4458E5D4">
      <w:pPr>
        <w:pStyle w:val="32"/>
        <w:numPr>
          <w:ilvl w:val="0"/>
          <w:numId w:val="20"/>
        </w:numPr>
        <w:spacing w:line="360" w:lineRule="auto"/>
        <w:ind w:firstLineChars="0"/>
        <w:rPr>
          <w:rFonts w:ascii="黑体" w:hAnsi="黑体" w:eastAsia="黑体"/>
          <w:bCs/>
          <w:szCs w:val="21"/>
        </w:rPr>
      </w:pPr>
      <w:r>
        <w:rPr>
          <w:rFonts w:hint="eastAsia" w:ascii="黑体" w:hAnsi="黑体" w:eastAsia="黑体"/>
          <w:bCs/>
          <w:szCs w:val="21"/>
        </w:rPr>
        <w:t>除</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中允许有备选方案外，本次招标不接受选择性报价，否则将被视为无效投标。</w:t>
      </w:r>
    </w:p>
    <w:p w14:paraId="7148FFFB">
      <w:pPr>
        <w:pStyle w:val="32"/>
        <w:numPr>
          <w:ilvl w:val="0"/>
          <w:numId w:val="20"/>
        </w:numPr>
        <w:spacing w:line="360" w:lineRule="auto"/>
        <w:ind w:firstLineChars="0"/>
        <w:rPr>
          <w:rFonts w:ascii="黑体" w:hAnsi="黑体" w:eastAsia="黑体"/>
          <w:bCs/>
          <w:szCs w:val="21"/>
        </w:rPr>
      </w:pPr>
      <w:r>
        <w:rPr>
          <w:rFonts w:hint="eastAsia" w:ascii="黑体" w:hAnsi="黑体" w:eastAsia="黑体"/>
          <w:bCs/>
          <w:szCs w:val="21"/>
        </w:rPr>
        <w:t>除</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另有规定外，本次招标不接受具有附加条件的报价，否则将被视为无效投标。</w:t>
      </w:r>
    </w:p>
    <w:p w14:paraId="2744FA3F">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投标货币</w:t>
      </w:r>
    </w:p>
    <w:p w14:paraId="1DBBE6E9">
      <w:pPr>
        <w:pStyle w:val="32"/>
        <w:spacing w:line="360" w:lineRule="auto"/>
        <w:ind w:left="420" w:firstLine="0" w:firstLineChars="0"/>
        <w:rPr>
          <w:rFonts w:ascii="黑体" w:hAnsi="黑体" w:eastAsia="黑体"/>
          <w:bCs/>
          <w:szCs w:val="21"/>
        </w:rPr>
      </w:pPr>
      <w:r>
        <w:rPr>
          <w:rFonts w:hint="eastAsia" w:ascii="黑体" w:hAnsi="黑体" w:eastAsia="黑体"/>
          <w:bCs/>
          <w:szCs w:val="21"/>
        </w:rPr>
        <w:t>投标货币以人民币标价，以其它货币标价的投标将予以拒绝。</w:t>
      </w:r>
    </w:p>
    <w:p w14:paraId="32725455">
      <w:pPr>
        <w:pStyle w:val="32"/>
        <w:numPr>
          <w:ilvl w:val="0"/>
          <w:numId w:val="10"/>
        </w:numPr>
        <w:tabs>
          <w:tab w:val="left" w:pos="426"/>
        </w:tabs>
        <w:spacing w:beforeLines="100" w:line="360" w:lineRule="auto"/>
        <w:ind w:firstLineChars="0"/>
        <w:rPr>
          <w:rFonts w:ascii="黑体" w:hAnsi="黑体" w:eastAsia="黑体"/>
          <w:b/>
        </w:rPr>
      </w:pPr>
      <w:bookmarkStart w:id="14" w:name="_Toc357676125"/>
      <w:r>
        <w:rPr>
          <w:rFonts w:hint="eastAsia" w:ascii="黑体" w:hAnsi="黑体" w:eastAsia="黑体"/>
          <w:b/>
        </w:rPr>
        <w:t>证明投标人合格和资格的文件</w:t>
      </w:r>
      <w:bookmarkEnd w:id="14"/>
    </w:p>
    <w:p w14:paraId="3B4B42C4">
      <w:pPr>
        <w:pStyle w:val="32"/>
        <w:numPr>
          <w:ilvl w:val="0"/>
          <w:numId w:val="21"/>
        </w:numPr>
        <w:spacing w:line="360" w:lineRule="auto"/>
        <w:ind w:firstLineChars="0"/>
        <w:rPr>
          <w:rFonts w:ascii="黑体" w:hAnsi="黑体" w:eastAsia="黑体"/>
          <w:bCs/>
          <w:szCs w:val="21"/>
        </w:rPr>
      </w:pPr>
      <w:r>
        <w:rPr>
          <w:rFonts w:hint="eastAsia" w:ascii="黑体" w:hAnsi="黑体" w:eastAsia="黑体"/>
          <w:bCs/>
          <w:szCs w:val="21"/>
        </w:rPr>
        <w:t>投标人应提交证明其有资格参加投标和中标后有能力履行合同的文件，并作为其投标文件的一部分。</w:t>
      </w:r>
    </w:p>
    <w:p w14:paraId="32FD3F68">
      <w:pPr>
        <w:pStyle w:val="32"/>
        <w:numPr>
          <w:ilvl w:val="0"/>
          <w:numId w:val="21"/>
        </w:numPr>
        <w:spacing w:line="360" w:lineRule="auto"/>
        <w:ind w:firstLineChars="0"/>
        <w:rPr>
          <w:rFonts w:ascii="黑体" w:hAnsi="黑体" w:eastAsia="黑体"/>
          <w:bCs/>
          <w:szCs w:val="21"/>
        </w:rPr>
      </w:pPr>
      <w:r>
        <w:rPr>
          <w:rFonts w:hint="eastAsia" w:ascii="黑体" w:hAnsi="黑体" w:eastAsia="黑体"/>
          <w:bCs/>
          <w:szCs w:val="21"/>
        </w:rPr>
        <w:t>投标人提交的资格证明文件应证明其满足本须知定义的合格投标人。</w:t>
      </w:r>
    </w:p>
    <w:p w14:paraId="07BDE823">
      <w:pPr>
        <w:pStyle w:val="32"/>
        <w:numPr>
          <w:ilvl w:val="0"/>
          <w:numId w:val="10"/>
        </w:numPr>
        <w:tabs>
          <w:tab w:val="left" w:pos="426"/>
        </w:tabs>
        <w:spacing w:beforeLines="100" w:line="360" w:lineRule="auto"/>
        <w:ind w:firstLineChars="0"/>
        <w:rPr>
          <w:rFonts w:ascii="黑体" w:hAnsi="黑体" w:eastAsia="黑体"/>
          <w:b/>
        </w:rPr>
      </w:pPr>
      <w:bookmarkStart w:id="15" w:name="_Toc357676126"/>
      <w:r>
        <w:rPr>
          <w:rFonts w:hint="eastAsia" w:ascii="黑体" w:hAnsi="黑体" w:eastAsia="黑体"/>
          <w:b/>
        </w:rPr>
        <w:t>证明服务的合格性和符合招标文件规定的文件</w:t>
      </w:r>
      <w:bookmarkEnd w:id="15"/>
    </w:p>
    <w:p w14:paraId="0BC298DF">
      <w:pPr>
        <w:pStyle w:val="32"/>
        <w:numPr>
          <w:ilvl w:val="0"/>
          <w:numId w:val="22"/>
        </w:numPr>
        <w:spacing w:line="360" w:lineRule="auto"/>
        <w:ind w:firstLineChars="0"/>
        <w:rPr>
          <w:rFonts w:ascii="黑体" w:hAnsi="黑体" w:eastAsia="黑体"/>
          <w:bCs/>
          <w:szCs w:val="21"/>
        </w:rPr>
      </w:pPr>
      <w:r>
        <w:rPr>
          <w:rFonts w:hint="eastAsia" w:ascii="黑体" w:hAnsi="黑体" w:eastAsia="黑体"/>
          <w:bCs/>
          <w:szCs w:val="21"/>
        </w:rPr>
        <w:t>投标人应提交证明文件，证明其拟投标的服务的合格性符合招标文件规定。该证明文件作为投标文件的一部分。</w:t>
      </w:r>
    </w:p>
    <w:p w14:paraId="60EF19D6">
      <w:pPr>
        <w:pStyle w:val="32"/>
        <w:numPr>
          <w:ilvl w:val="0"/>
          <w:numId w:val="22"/>
        </w:numPr>
        <w:spacing w:line="360" w:lineRule="auto"/>
        <w:ind w:firstLineChars="0"/>
        <w:rPr>
          <w:rFonts w:ascii="黑体" w:hAnsi="黑体" w:eastAsia="黑体"/>
          <w:bCs/>
          <w:szCs w:val="21"/>
        </w:rPr>
      </w:pPr>
      <w:r>
        <w:rPr>
          <w:rFonts w:hint="eastAsia" w:ascii="黑体" w:hAnsi="黑体" w:eastAsia="黑体"/>
          <w:bCs/>
          <w:szCs w:val="21"/>
        </w:rPr>
        <w:t>证明服务与招标文件的要求相一致的文件，可以是文字资料、图纸和数据，它包括：</w:t>
      </w:r>
    </w:p>
    <w:p w14:paraId="03C4296D">
      <w:pPr>
        <w:pStyle w:val="32"/>
        <w:numPr>
          <w:ilvl w:val="0"/>
          <w:numId w:val="23"/>
        </w:numPr>
        <w:spacing w:line="360" w:lineRule="auto"/>
        <w:ind w:firstLineChars="0"/>
        <w:rPr>
          <w:rFonts w:ascii="黑体" w:hAnsi="黑体" w:eastAsia="黑体"/>
          <w:bCs/>
          <w:szCs w:val="21"/>
        </w:rPr>
      </w:pPr>
      <w:r>
        <w:rPr>
          <w:rFonts w:hint="eastAsia" w:ascii="黑体" w:hAnsi="黑体" w:eastAsia="黑体"/>
          <w:bCs/>
          <w:szCs w:val="21"/>
        </w:rPr>
        <w:t>服务主要内容、方案、质量、标准指标等的详细说明；</w:t>
      </w:r>
    </w:p>
    <w:p w14:paraId="490CE2C0">
      <w:pPr>
        <w:pStyle w:val="32"/>
        <w:numPr>
          <w:ilvl w:val="0"/>
          <w:numId w:val="23"/>
        </w:numPr>
        <w:spacing w:line="360" w:lineRule="auto"/>
        <w:ind w:firstLineChars="0"/>
        <w:rPr>
          <w:rFonts w:ascii="黑体" w:hAnsi="黑体" w:eastAsia="黑体"/>
          <w:bCs/>
          <w:szCs w:val="21"/>
        </w:rPr>
      </w:pPr>
      <w:r>
        <w:rPr>
          <w:rFonts w:hint="eastAsia" w:ascii="黑体" w:hAnsi="黑体" w:eastAsia="黑体"/>
          <w:bCs/>
          <w:szCs w:val="21"/>
        </w:rPr>
        <w:t>对照招标文件服务内容与要求，逐条说明所提供服务已对招标文件的服务内容与要求作出了实质性的响应，并申明与服务内容与要求条文的偏差和例外。特别对有具体参数要求的指标，投标人须提供所投服务的具体参数值。投标人在阐述时应注意招标文件的服务内容、要求和标准。投标人在投标中要实质上满足或超过招标文件的要求。</w:t>
      </w:r>
    </w:p>
    <w:p w14:paraId="4011A84F">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投标有效期</w:t>
      </w:r>
    </w:p>
    <w:p w14:paraId="608DF607">
      <w:pPr>
        <w:pStyle w:val="32"/>
        <w:numPr>
          <w:ilvl w:val="0"/>
          <w:numId w:val="24"/>
        </w:numPr>
        <w:spacing w:line="360" w:lineRule="auto"/>
        <w:ind w:firstLineChars="0"/>
        <w:rPr>
          <w:rFonts w:ascii="黑体" w:hAnsi="黑体" w:eastAsia="黑体"/>
          <w:bCs/>
          <w:spacing w:val="-2"/>
          <w:szCs w:val="21"/>
        </w:rPr>
      </w:pPr>
      <w:r>
        <w:rPr>
          <w:rFonts w:hint="eastAsia" w:ascii="黑体" w:hAnsi="黑体" w:eastAsia="黑体"/>
          <w:bCs/>
          <w:spacing w:val="-2"/>
          <w:szCs w:val="21"/>
        </w:rPr>
        <w:t>投标应自</w:t>
      </w:r>
      <w:r>
        <w:rPr>
          <w:rFonts w:hint="eastAsia" w:ascii="黑体" w:hAnsi="黑体" w:eastAsia="黑体"/>
          <w:b/>
          <w:bCs/>
          <w:szCs w:val="21"/>
          <w:u w:val="single"/>
        </w:rPr>
        <w:t>投标邀请函</w:t>
      </w:r>
      <w:r>
        <w:rPr>
          <w:rFonts w:hint="eastAsia" w:ascii="黑体" w:hAnsi="黑体" w:eastAsia="黑体"/>
          <w:bCs/>
          <w:spacing w:val="-2"/>
          <w:szCs w:val="21"/>
        </w:rPr>
        <w:t>中规定的投标文件递交截止时间起，并在</w:t>
      </w:r>
      <w:r>
        <w:rPr>
          <w:rFonts w:hint="eastAsia" w:ascii="黑体" w:hAnsi="黑体" w:eastAsia="黑体"/>
          <w:bCs/>
          <w:spacing w:val="-2"/>
          <w:szCs w:val="21"/>
          <w:u w:val="single"/>
        </w:rPr>
        <w:t xml:space="preserve"> </w:t>
      </w:r>
      <w:r>
        <w:rPr>
          <w:rFonts w:hint="eastAsia" w:ascii="黑体" w:hAnsi="黑体" w:eastAsia="黑体"/>
          <w:b/>
          <w:bCs/>
          <w:spacing w:val="-2"/>
          <w:szCs w:val="21"/>
          <w:u w:val="single"/>
        </w:rPr>
        <w:t xml:space="preserve">投标须知前附表 </w:t>
      </w:r>
      <w:r>
        <w:rPr>
          <w:rFonts w:hint="eastAsia" w:ascii="黑体" w:hAnsi="黑体" w:eastAsia="黑体"/>
          <w:bCs/>
          <w:spacing w:val="-2"/>
          <w:szCs w:val="21"/>
        </w:rPr>
        <w:t>中所述期限内保持有效。投标有效期不足的投标将被视为非实质性响应，视为无效投标。</w:t>
      </w:r>
    </w:p>
    <w:p w14:paraId="0B9F132A">
      <w:pPr>
        <w:pStyle w:val="32"/>
        <w:numPr>
          <w:ilvl w:val="0"/>
          <w:numId w:val="10"/>
        </w:numPr>
        <w:tabs>
          <w:tab w:val="left" w:pos="426"/>
        </w:tabs>
        <w:spacing w:beforeLines="100" w:line="360" w:lineRule="auto"/>
        <w:ind w:firstLineChars="0"/>
        <w:rPr>
          <w:rFonts w:ascii="黑体" w:hAnsi="黑体" w:eastAsia="黑体"/>
          <w:b/>
        </w:rPr>
      </w:pPr>
      <w:bookmarkStart w:id="16" w:name="_Toc357676129"/>
      <w:r>
        <w:rPr>
          <w:rFonts w:hint="eastAsia" w:ascii="黑体" w:hAnsi="黑体" w:eastAsia="黑体"/>
          <w:b/>
        </w:rPr>
        <w:t>投标文件的式样和签署</w:t>
      </w:r>
      <w:bookmarkEnd w:id="16"/>
    </w:p>
    <w:p w14:paraId="786570EB">
      <w:pPr>
        <w:pStyle w:val="32"/>
        <w:numPr>
          <w:ilvl w:val="0"/>
          <w:numId w:val="25"/>
        </w:numPr>
        <w:spacing w:afterLines="50" w:line="360" w:lineRule="auto"/>
        <w:ind w:firstLineChars="0"/>
        <w:rPr>
          <w:rFonts w:ascii="黑体" w:hAnsi="黑体" w:eastAsia="黑体"/>
          <w:bCs/>
          <w:szCs w:val="21"/>
        </w:rPr>
      </w:pPr>
      <w:r>
        <w:rPr>
          <w:rFonts w:hint="eastAsia" w:ascii="黑体" w:hAnsi="黑体" w:eastAsia="黑体"/>
          <w:bCs/>
          <w:szCs w:val="21"/>
        </w:rPr>
        <w:t>投标文件的式样：投标人应准备一份投标文件</w:t>
      </w:r>
      <w:r>
        <w:rPr>
          <w:rFonts w:hint="eastAsia" w:ascii="黑体" w:hAnsi="黑体" w:eastAsia="黑体"/>
          <w:szCs w:val="21"/>
          <w:lang w:val="zh-CN"/>
        </w:rPr>
        <w:t>（商务技术文件）</w:t>
      </w:r>
      <w:r>
        <w:rPr>
          <w:rFonts w:hint="eastAsia" w:ascii="黑体" w:hAnsi="黑体" w:eastAsia="黑体"/>
          <w:bCs/>
          <w:szCs w:val="21"/>
        </w:rPr>
        <w:t>正本、电子文件、唱标信封和</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中规定数目的副本</w:t>
      </w:r>
      <w:r>
        <w:rPr>
          <w:rFonts w:hint="eastAsia" w:ascii="黑体" w:hAnsi="黑体" w:eastAsia="黑体"/>
          <w:szCs w:val="21"/>
          <w:lang w:val="zh-CN"/>
        </w:rPr>
        <w:t>（商务技术文件）</w:t>
      </w:r>
      <w:r>
        <w:rPr>
          <w:rFonts w:hint="eastAsia" w:ascii="黑体" w:hAnsi="黑体" w:eastAsia="黑体"/>
          <w:bCs/>
          <w:szCs w:val="21"/>
        </w:rPr>
        <w:t>，投标文件的副本可采用正本的复印件。每套投标文件须清楚地标明“正本”或“副本”。若副本与正本不符，以正本为准，装订如下：</w:t>
      </w: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25"/>
        <w:gridCol w:w="2550"/>
        <w:gridCol w:w="3742"/>
      </w:tblGrid>
      <w:tr w14:paraId="53FD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1" w:type="dxa"/>
            <w:vAlign w:val="center"/>
          </w:tcPr>
          <w:p w14:paraId="4AFC673C">
            <w:pPr>
              <w:spacing w:line="360" w:lineRule="auto"/>
              <w:jc w:val="center"/>
              <w:rPr>
                <w:rFonts w:ascii="黑体" w:hAnsi="黑体" w:eastAsia="黑体" w:cs="宋体"/>
                <w:szCs w:val="21"/>
              </w:rPr>
            </w:pPr>
            <w:r>
              <w:rPr>
                <w:rFonts w:hint="eastAsia" w:ascii="黑体" w:hAnsi="黑体" w:eastAsia="黑体" w:cs="宋体"/>
                <w:szCs w:val="21"/>
              </w:rPr>
              <w:t>序号</w:t>
            </w:r>
          </w:p>
        </w:tc>
        <w:tc>
          <w:tcPr>
            <w:tcW w:w="1525" w:type="dxa"/>
            <w:vAlign w:val="center"/>
          </w:tcPr>
          <w:p w14:paraId="16330161">
            <w:pPr>
              <w:spacing w:line="360" w:lineRule="auto"/>
              <w:jc w:val="center"/>
              <w:rPr>
                <w:rFonts w:ascii="黑体" w:hAnsi="黑体" w:eastAsia="黑体" w:cs="宋体"/>
                <w:szCs w:val="21"/>
              </w:rPr>
            </w:pPr>
            <w:r>
              <w:rPr>
                <w:rFonts w:hint="eastAsia" w:ascii="黑体" w:hAnsi="黑体" w:eastAsia="黑体" w:cs="宋体"/>
                <w:szCs w:val="21"/>
              </w:rPr>
              <w:t>投标文件名称</w:t>
            </w:r>
          </w:p>
        </w:tc>
        <w:tc>
          <w:tcPr>
            <w:tcW w:w="2550" w:type="dxa"/>
            <w:vAlign w:val="center"/>
          </w:tcPr>
          <w:p w14:paraId="701643C7">
            <w:pPr>
              <w:spacing w:line="360" w:lineRule="auto"/>
              <w:jc w:val="center"/>
              <w:rPr>
                <w:rFonts w:ascii="黑体" w:hAnsi="黑体" w:eastAsia="黑体" w:cs="宋体"/>
                <w:szCs w:val="21"/>
              </w:rPr>
            </w:pPr>
            <w:r>
              <w:rPr>
                <w:rFonts w:hint="eastAsia" w:ascii="黑体" w:hAnsi="黑体" w:eastAsia="黑体" w:cs="宋体"/>
                <w:szCs w:val="21"/>
              </w:rPr>
              <w:t>装订</w:t>
            </w:r>
          </w:p>
        </w:tc>
        <w:tc>
          <w:tcPr>
            <w:tcW w:w="3742" w:type="dxa"/>
            <w:vAlign w:val="center"/>
          </w:tcPr>
          <w:p w14:paraId="0D99B07C">
            <w:pPr>
              <w:spacing w:line="360" w:lineRule="auto"/>
              <w:jc w:val="center"/>
              <w:rPr>
                <w:rFonts w:ascii="黑体" w:hAnsi="黑体" w:eastAsia="黑体" w:cs="宋体"/>
                <w:szCs w:val="21"/>
              </w:rPr>
            </w:pPr>
            <w:r>
              <w:rPr>
                <w:rFonts w:hint="eastAsia" w:ascii="黑体" w:hAnsi="黑体" w:eastAsia="黑体" w:cs="宋体"/>
                <w:szCs w:val="21"/>
              </w:rPr>
              <w:t>备注</w:t>
            </w:r>
          </w:p>
        </w:tc>
      </w:tr>
      <w:tr w14:paraId="47F2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1" w:type="dxa"/>
            <w:vAlign w:val="center"/>
          </w:tcPr>
          <w:p w14:paraId="775DBA2A">
            <w:pPr>
              <w:spacing w:line="360" w:lineRule="auto"/>
              <w:jc w:val="center"/>
              <w:rPr>
                <w:rFonts w:ascii="黑体" w:hAnsi="黑体" w:eastAsia="黑体" w:cs="宋体"/>
                <w:szCs w:val="21"/>
              </w:rPr>
            </w:pPr>
            <w:r>
              <w:rPr>
                <w:rFonts w:hint="eastAsia" w:ascii="黑体" w:hAnsi="黑体" w:eastAsia="黑体" w:cs="宋体"/>
                <w:szCs w:val="21"/>
              </w:rPr>
              <w:t>1</w:t>
            </w:r>
          </w:p>
        </w:tc>
        <w:tc>
          <w:tcPr>
            <w:tcW w:w="1525" w:type="dxa"/>
            <w:vAlign w:val="center"/>
          </w:tcPr>
          <w:p w14:paraId="361DBA41">
            <w:pPr>
              <w:spacing w:line="360" w:lineRule="auto"/>
              <w:jc w:val="center"/>
              <w:rPr>
                <w:rFonts w:ascii="黑体" w:hAnsi="黑体" w:eastAsia="黑体" w:cs="宋体"/>
                <w:szCs w:val="21"/>
              </w:rPr>
            </w:pPr>
            <w:r>
              <w:rPr>
                <w:rFonts w:hint="eastAsia" w:ascii="黑体" w:hAnsi="黑体" w:eastAsia="黑体" w:cs="宋体"/>
                <w:szCs w:val="21"/>
              </w:rPr>
              <w:t>唱标信封</w:t>
            </w:r>
          </w:p>
        </w:tc>
        <w:tc>
          <w:tcPr>
            <w:tcW w:w="2550" w:type="dxa"/>
            <w:vMerge w:val="restart"/>
            <w:vAlign w:val="center"/>
          </w:tcPr>
          <w:p w14:paraId="55037E45">
            <w:pPr>
              <w:spacing w:line="360" w:lineRule="auto"/>
              <w:jc w:val="center"/>
              <w:rPr>
                <w:rFonts w:ascii="黑体" w:hAnsi="黑体" w:eastAsia="黑体" w:cs="宋体"/>
                <w:szCs w:val="21"/>
              </w:rPr>
            </w:pPr>
            <w:r>
              <w:rPr>
                <w:rFonts w:hint="eastAsia" w:ascii="黑体" w:hAnsi="黑体" w:eastAsia="黑体" w:cs="宋体"/>
                <w:szCs w:val="21"/>
              </w:rPr>
              <w:t>独立装订、合并密封</w:t>
            </w:r>
          </w:p>
        </w:tc>
        <w:tc>
          <w:tcPr>
            <w:tcW w:w="3742" w:type="dxa"/>
            <w:vAlign w:val="center"/>
          </w:tcPr>
          <w:p w14:paraId="7EB688A0">
            <w:pPr>
              <w:spacing w:line="360" w:lineRule="auto"/>
              <w:ind w:firstLine="210" w:firstLineChars="100"/>
              <w:jc w:val="center"/>
              <w:rPr>
                <w:rFonts w:ascii="黑体" w:hAnsi="黑体" w:eastAsia="黑体" w:cs="宋体"/>
                <w:szCs w:val="21"/>
              </w:rPr>
            </w:pPr>
            <w:r>
              <w:rPr>
                <w:rFonts w:hint="eastAsia" w:ascii="黑体" w:hAnsi="黑体" w:eastAsia="黑体" w:cs="宋体"/>
                <w:szCs w:val="21"/>
              </w:rPr>
              <w:t>含投标函、开标一览表等，详见招标文件第七部分第三唱标信封之唱标信封内装</w:t>
            </w:r>
          </w:p>
        </w:tc>
      </w:tr>
      <w:tr w14:paraId="249C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4BE56D73">
            <w:pPr>
              <w:spacing w:line="360" w:lineRule="auto"/>
              <w:jc w:val="center"/>
              <w:rPr>
                <w:rFonts w:ascii="黑体" w:hAnsi="黑体" w:eastAsia="黑体" w:cs="宋体"/>
                <w:szCs w:val="21"/>
              </w:rPr>
            </w:pPr>
            <w:r>
              <w:rPr>
                <w:rFonts w:hint="eastAsia" w:ascii="黑体" w:hAnsi="黑体" w:eastAsia="黑体" w:cs="宋体"/>
                <w:szCs w:val="21"/>
              </w:rPr>
              <w:t>2</w:t>
            </w:r>
          </w:p>
        </w:tc>
        <w:tc>
          <w:tcPr>
            <w:tcW w:w="1525" w:type="dxa"/>
            <w:vAlign w:val="center"/>
          </w:tcPr>
          <w:p w14:paraId="64C09851">
            <w:pPr>
              <w:spacing w:line="360" w:lineRule="auto"/>
              <w:jc w:val="center"/>
              <w:rPr>
                <w:rFonts w:ascii="黑体" w:hAnsi="黑体" w:eastAsia="黑体" w:cs="宋体"/>
                <w:szCs w:val="21"/>
              </w:rPr>
            </w:pPr>
            <w:r>
              <w:rPr>
                <w:rFonts w:hint="eastAsia" w:ascii="黑体" w:hAnsi="黑体" w:eastAsia="黑体" w:cs="宋体"/>
                <w:szCs w:val="21"/>
              </w:rPr>
              <w:t>电子文件</w:t>
            </w:r>
          </w:p>
        </w:tc>
        <w:tc>
          <w:tcPr>
            <w:tcW w:w="2550" w:type="dxa"/>
            <w:vMerge w:val="continue"/>
            <w:vAlign w:val="center"/>
          </w:tcPr>
          <w:p w14:paraId="16999AEB">
            <w:pPr>
              <w:spacing w:line="360" w:lineRule="auto"/>
              <w:jc w:val="center"/>
              <w:rPr>
                <w:rFonts w:ascii="黑体" w:hAnsi="黑体" w:eastAsia="黑体" w:cs="宋体"/>
                <w:szCs w:val="21"/>
              </w:rPr>
            </w:pPr>
          </w:p>
        </w:tc>
        <w:tc>
          <w:tcPr>
            <w:tcW w:w="3742" w:type="dxa"/>
            <w:vAlign w:val="center"/>
          </w:tcPr>
          <w:p w14:paraId="529A34BC">
            <w:pPr>
              <w:spacing w:line="360" w:lineRule="auto"/>
              <w:ind w:firstLine="210" w:firstLineChars="100"/>
              <w:jc w:val="center"/>
              <w:rPr>
                <w:rFonts w:ascii="黑体" w:hAnsi="黑体" w:eastAsia="黑体" w:cs="宋体"/>
                <w:szCs w:val="21"/>
              </w:rPr>
            </w:pPr>
            <w:r>
              <w:rPr>
                <w:rFonts w:hint="eastAsia" w:ascii="黑体" w:hAnsi="黑体" w:eastAsia="黑体" w:cs="宋体"/>
                <w:szCs w:val="21"/>
              </w:rPr>
              <w:t>商务技术文件</w:t>
            </w:r>
          </w:p>
        </w:tc>
      </w:tr>
      <w:tr w14:paraId="4FE8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3A156B87">
            <w:pPr>
              <w:spacing w:line="360" w:lineRule="auto"/>
              <w:jc w:val="center"/>
              <w:rPr>
                <w:rFonts w:ascii="黑体" w:hAnsi="黑体" w:eastAsia="黑体" w:cs="宋体"/>
                <w:szCs w:val="21"/>
              </w:rPr>
            </w:pPr>
            <w:r>
              <w:rPr>
                <w:rFonts w:hint="eastAsia" w:ascii="黑体" w:hAnsi="黑体" w:eastAsia="黑体" w:cs="宋体"/>
                <w:szCs w:val="21"/>
              </w:rPr>
              <w:t>3</w:t>
            </w:r>
          </w:p>
        </w:tc>
        <w:tc>
          <w:tcPr>
            <w:tcW w:w="1525" w:type="dxa"/>
            <w:vAlign w:val="center"/>
          </w:tcPr>
          <w:p w14:paraId="5F368007">
            <w:pPr>
              <w:spacing w:line="360" w:lineRule="auto"/>
              <w:jc w:val="center"/>
              <w:rPr>
                <w:rFonts w:ascii="黑体" w:hAnsi="黑体" w:eastAsia="黑体" w:cs="宋体"/>
                <w:spacing w:val="-6"/>
                <w:szCs w:val="21"/>
              </w:rPr>
            </w:pPr>
            <w:r>
              <w:rPr>
                <w:rFonts w:hint="eastAsia" w:ascii="黑体" w:hAnsi="黑体" w:eastAsia="黑体" w:cs="宋体"/>
                <w:spacing w:val="-6"/>
                <w:szCs w:val="21"/>
              </w:rPr>
              <w:t>商务技术文件</w:t>
            </w:r>
          </w:p>
        </w:tc>
        <w:tc>
          <w:tcPr>
            <w:tcW w:w="2550" w:type="dxa"/>
            <w:vAlign w:val="center"/>
          </w:tcPr>
          <w:p w14:paraId="700A6B51">
            <w:pPr>
              <w:spacing w:line="360" w:lineRule="auto"/>
              <w:jc w:val="center"/>
              <w:rPr>
                <w:rFonts w:ascii="黑体" w:hAnsi="黑体" w:eastAsia="黑体" w:cs="宋体"/>
                <w:szCs w:val="21"/>
              </w:rPr>
            </w:pPr>
            <w:r>
              <w:rPr>
                <w:rFonts w:hint="eastAsia" w:ascii="黑体" w:hAnsi="黑体" w:eastAsia="黑体" w:cs="宋体"/>
                <w:szCs w:val="21"/>
              </w:rPr>
              <w:t>独立装订成册、合并密封</w:t>
            </w:r>
          </w:p>
        </w:tc>
        <w:tc>
          <w:tcPr>
            <w:tcW w:w="3742" w:type="dxa"/>
            <w:vAlign w:val="center"/>
          </w:tcPr>
          <w:p w14:paraId="40A7DC39">
            <w:pPr>
              <w:spacing w:line="360" w:lineRule="auto"/>
              <w:jc w:val="center"/>
              <w:rPr>
                <w:rFonts w:ascii="黑体" w:hAnsi="黑体" w:eastAsia="黑体" w:cs="宋体"/>
                <w:szCs w:val="21"/>
              </w:rPr>
            </w:pPr>
            <w:r>
              <w:rPr>
                <w:rFonts w:hint="eastAsia" w:ascii="黑体" w:hAnsi="黑体" w:eastAsia="黑体" w:cs="宋体"/>
                <w:szCs w:val="21"/>
              </w:rPr>
              <w:t>含正、副本</w:t>
            </w:r>
          </w:p>
        </w:tc>
      </w:tr>
    </w:tbl>
    <w:p w14:paraId="5E7455C7">
      <w:pPr>
        <w:pStyle w:val="32"/>
        <w:numPr>
          <w:ilvl w:val="0"/>
          <w:numId w:val="25"/>
        </w:numPr>
        <w:spacing w:line="360" w:lineRule="auto"/>
        <w:ind w:firstLineChars="0"/>
        <w:rPr>
          <w:rFonts w:ascii="黑体" w:hAnsi="黑体" w:eastAsia="黑体"/>
          <w:bCs/>
          <w:szCs w:val="21"/>
        </w:rPr>
      </w:pPr>
      <w:r>
        <w:rPr>
          <w:rFonts w:ascii="黑体" w:hAnsi="黑体" w:eastAsia="黑体"/>
          <w:bCs/>
          <w:szCs w:val="21"/>
        </w:rPr>
        <w:t>电子文件用MS WORD/EXCEL 2003</w:t>
      </w:r>
      <w:r>
        <w:rPr>
          <w:rFonts w:hint="eastAsia" w:ascii="黑体" w:hAnsi="黑体" w:eastAsia="黑体"/>
          <w:bCs/>
          <w:szCs w:val="21"/>
        </w:rPr>
        <w:t>或以上</w:t>
      </w:r>
      <w:r>
        <w:rPr>
          <w:rFonts w:ascii="黑体" w:hAnsi="黑体" w:eastAsia="黑体"/>
          <w:bCs/>
          <w:szCs w:val="21"/>
        </w:rPr>
        <w:t>简体中文版制作，内容包括：由投标人自行制作的与正本文件一致的所有文件。电子文件</w:t>
      </w:r>
      <w:r>
        <w:rPr>
          <w:rFonts w:hint="eastAsia" w:ascii="黑体" w:hAnsi="黑体" w:eastAsia="黑体"/>
          <w:bCs/>
          <w:szCs w:val="21"/>
        </w:rPr>
        <w:t>由</w:t>
      </w:r>
      <w:r>
        <w:rPr>
          <w:rFonts w:ascii="黑体" w:hAnsi="黑体" w:eastAsia="黑体"/>
          <w:bCs/>
          <w:szCs w:val="21"/>
        </w:rPr>
        <w:t>CD-R光盘</w:t>
      </w:r>
      <w:r>
        <w:rPr>
          <w:rFonts w:hint="eastAsia" w:ascii="黑体" w:hAnsi="黑体" w:eastAsia="黑体"/>
          <w:bCs/>
          <w:szCs w:val="21"/>
        </w:rPr>
        <w:t>或优盘</w:t>
      </w:r>
      <w:r>
        <w:rPr>
          <w:rFonts w:ascii="黑体" w:hAnsi="黑体" w:eastAsia="黑体"/>
          <w:bCs/>
          <w:szCs w:val="21"/>
        </w:rPr>
        <w:t>储存</w:t>
      </w:r>
      <w:r>
        <w:rPr>
          <w:rFonts w:hint="eastAsia" w:ascii="黑体" w:hAnsi="黑体" w:eastAsia="黑体"/>
          <w:bCs/>
          <w:szCs w:val="21"/>
        </w:rPr>
        <w:t>，放在唱标信封内。</w:t>
      </w:r>
    </w:p>
    <w:p w14:paraId="407E0DEB">
      <w:pPr>
        <w:pStyle w:val="32"/>
        <w:numPr>
          <w:ilvl w:val="0"/>
          <w:numId w:val="25"/>
        </w:numPr>
        <w:spacing w:line="360" w:lineRule="auto"/>
        <w:ind w:firstLineChars="0"/>
        <w:rPr>
          <w:rFonts w:ascii="黑体" w:hAnsi="黑体" w:eastAsia="黑体"/>
          <w:bCs/>
          <w:szCs w:val="21"/>
        </w:rPr>
      </w:pPr>
      <w:r>
        <w:rPr>
          <w:rFonts w:hint="eastAsia" w:ascii="黑体" w:hAnsi="黑体" w:eastAsia="黑体"/>
          <w:bCs/>
          <w:szCs w:val="21"/>
        </w:rPr>
        <w:t>投标文件的签署：</w:t>
      </w:r>
    </w:p>
    <w:p w14:paraId="620E0F96">
      <w:pPr>
        <w:pStyle w:val="32"/>
        <w:numPr>
          <w:ilvl w:val="0"/>
          <w:numId w:val="26"/>
        </w:numPr>
        <w:spacing w:line="360" w:lineRule="auto"/>
        <w:ind w:firstLineChars="0"/>
        <w:rPr>
          <w:rFonts w:ascii="黑体" w:hAnsi="黑体" w:eastAsia="黑体"/>
          <w:bCs/>
          <w:szCs w:val="21"/>
        </w:rPr>
      </w:pPr>
      <w:r>
        <w:rPr>
          <w:rFonts w:hint="eastAsia" w:ascii="黑体" w:hAnsi="黑体" w:eastAsia="黑体"/>
          <w:bCs/>
          <w:szCs w:val="21"/>
        </w:rPr>
        <w:t>投标文件的正本需打印或用不褪色墨水书写，投标文件要求签名的由法定(负责人)代表人或经其正式授权的代表签字，投标文件要求盖章的需加盖投标人公章，副本可由正本复印而成，与正本具有同等法律效力。授权代表须将以书面形式出具的《法定(负责人)代表人授权委托书》附在投标文件中；</w:t>
      </w:r>
    </w:p>
    <w:p w14:paraId="39C6698A">
      <w:pPr>
        <w:pStyle w:val="32"/>
        <w:numPr>
          <w:ilvl w:val="0"/>
          <w:numId w:val="26"/>
        </w:numPr>
        <w:spacing w:line="360" w:lineRule="auto"/>
        <w:ind w:firstLineChars="0"/>
        <w:rPr>
          <w:rFonts w:ascii="黑体" w:hAnsi="黑体" w:eastAsia="黑体"/>
          <w:bCs/>
          <w:szCs w:val="21"/>
        </w:rPr>
      </w:pPr>
      <w:r>
        <w:rPr>
          <w:rFonts w:hint="eastAsia" w:ascii="黑体" w:hAnsi="黑体" w:eastAsia="黑体"/>
          <w:bCs/>
          <w:szCs w:val="21"/>
        </w:rPr>
        <w:t>投标文件中的任何重要的插字、涂改和增删，必须由法定(负责人)代表人或经其正式授权的代表在旁边签署。</w:t>
      </w:r>
    </w:p>
    <w:p w14:paraId="3BED0EE4">
      <w:pPr>
        <w:pStyle w:val="32"/>
        <w:numPr>
          <w:ilvl w:val="0"/>
          <w:numId w:val="25"/>
        </w:numPr>
        <w:spacing w:line="360" w:lineRule="auto"/>
        <w:ind w:firstLineChars="0"/>
        <w:rPr>
          <w:rFonts w:ascii="黑体" w:hAnsi="黑体" w:eastAsia="黑体"/>
          <w:bCs/>
          <w:szCs w:val="21"/>
        </w:rPr>
      </w:pPr>
      <w:r>
        <w:rPr>
          <w:rFonts w:hint="eastAsia" w:ascii="黑体" w:hAnsi="黑体" w:eastAsia="黑体"/>
          <w:bCs/>
          <w:szCs w:val="21"/>
        </w:rPr>
        <w:t>投标文件的“正本”及所有“副本”的封面及骑缝均须由投标人加盖投标人公章。</w:t>
      </w:r>
    </w:p>
    <w:p w14:paraId="502CE9FC">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投标文件的递交</w:t>
      </w:r>
    </w:p>
    <w:p w14:paraId="5A8076A6">
      <w:pPr>
        <w:pStyle w:val="32"/>
        <w:numPr>
          <w:ilvl w:val="0"/>
          <w:numId w:val="10"/>
        </w:numPr>
        <w:tabs>
          <w:tab w:val="left" w:pos="426"/>
        </w:tabs>
        <w:spacing w:line="360" w:lineRule="auto"/>
        <w:ind w:firstLineChars="0"/>
        <w:rPr>
          <w:rFonts w:ascii="黑体" w:hAnsi="黑体" w:eastAsia="黑体"/>
          <w:b/>
        </w:rPr>
      </w:pPr>
      <w:bookmarkStart w:id="17" w:name="_Toc357676131"/>
      <w:r>
        <w:rPr>
          <w:rFonts w:hint="eastAsia" w:ascii="黑体" w:hAnsi="黑体" w:eastAsia="黑体"/>
          <w:b/>
        </w:rPr>
        <w:t>投标文件的密封和标记</w:t>
      </w:r>
      <w:bookmarkEnd w:id="17"/>
    </w:p>
    <w:p w14:paraId="5E5141E2">
      <w:pPr>
        <w:pStyle w:val="32"/>
        <w:spacing w:line="360" w:lineRule="auto"/>
        <w:ind w:left="420" w:firstLine="0" w:firstLineChars="0"/>
        <w:rPr>
          <w:rFonts w:ascii="黑体" w:hAnsi="黑体" w:eastAsia="黑体"/>
          <w:bCs/>
          <w:szCs w:val="21"/>
        </w:rPr>
      </w:pPr>
      <w:r>
        <w:rPr>
          <w:rFonts w:hint="eastAsia" w:ascii="黑体" w:hAnsi="黑体" w:eastAsia="黑体"/>
          <w:bCs/>
          <w:szCs w:val="21"/>
        </w:rPr>
        <w:t>为方便开标唱标，投标人应将投标函、开标一览表、法定(负责人)代表人身份证明书或法定(负责人)代表人授权委托书、电子文件单独一起密封提交，并在信封上标明“唱标信封”的字样。投标人应将投标文件商务技术文件（含正、副本）一起密封，且在信封上标明“商务技术文件</w:t>
      </w:r>
      <w:r>
        <w:rPr>
          <w:rFonts w:ascii="黑体" w:hAnsi="黑体" w:eastAsia="黑体"/>
          <w:bCs/>
          <w:szCs w:val="21"/>
        </w:rPr>
        <w:t>”</w:t>
      </w:r>
      <w:r>
        <w:rPr>
          <w:rFonts w:hint="eastAsia" w:ascii="黑体" w:hAnsi="黑体" w:eastAsia="黑体"/>
          <w:bCs/>
          <w:szCs w:val="21"/>
        </w:rPr>
        <w:t>的字样。</w:t>
      </w:r>
    </w:p>
    <w:p w14:paraId="09DA2E54">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投标文件封装</w:t>
      </w:r>
    </w:p>
    <w:p w14:paraId="1E0E7E9E">
      <w:pPr>
        <w:pStyle w:val="32"/>
        <w:numPr>
          <w:ilvl w:val="0"/>
          <w:numId w:val="27"/>
        </w:numPr>
        <w:spacing w:line="360" w:lineRule="auto"/>
        <w:ind w:firstLineChars="0"/>
        <w:rPr>
          <w:rFonts w:ascii="黑体" w:hAnsi="黑体" w:eastAsia="黑体"/>
          <w:bCs/>
          <w:szCs w:val="21"/>
        </w:rPr>
      </w:pPr>
      <w:r>
        <w:rPr>
          <w:rFonts w:hint="eastAsia" w:ascii="黑体" w:hAnsi="黑体" w:eastAsia="黑体"/>
          <w:bCs/>
          <w:szCs w:val="21"/>
        </w:rPr>
        <w:t>投标人应将投标文件用信封密封，并加盖投标人公章；</w:t>
      </w:r>
    </w:p>
    <w:p w14:paraId="24729E1E">
      <w:pPr>
        <w:pStyle w:val="32"/>
        <w:numPr>
          <w:ilvl w:val="0"/>
          <w:numId w:val="27"/>
        </w:numPr>
        <w:spacing w:line="360" w:lineRule="auto"/>
        <w:ind w:firstLineChars="0"/>
        <w:rPr>
          <w:rFonts w:ascii="黑体" w:hAnsi="黑体" w:eastAsia="黑体"/>
          <w:bCs/>
          <w:szCs w:val="21"/>
        </w:rPr>
      </w:pPr>
      <w:r>
        <w:rPr>
          <w:rFonts w:hint="eastAsia" w:ascii="黑体" w:hAnsi="黑体" w:eastAsia="黑体"/>
          <w:bCs/>
          <w:szCs w:val="21"/>
        </w:rPr>
        <w:t>包装封套均应注明：</w:t>
      </w:r>
    </w:p>
    <w:p w14:paraId="4756DE60">
      <w:pPr>
        <w:pStyle w:val="32"/>
        <w:spacing w:line="360" w:lineRule="auto"/>
        <w:ind w:left="420" w:firstLine="0" w:firstLineChars="0"/>
        <w:rPr>
          <w:rFonts w:ascii="黑体" w:hAnsi="黑体" w:eastAsia="黑体"/>
          <w:szCs w:val="21"/>
          <w:u w:val="single"/>
        </w:rPr>
      </w:pPr>
      <w:r>
        <w:rPr>
          <w:rFonts w:hint="eastAsia" w:ascii="黑体" w:hAnsi="黑体" w:eastAsia="黑体"/>
          <w:bCs/>
          <w:szCs w:val="21"/>
        </w:rPr>
        <w:t>收件人名称：</w:t>
      </w:r>
      <w:r>
        <w:rPr>
          <w:rFonts w:ascii="黑体" w:hAnsi="黑体" w:eastAsia="黑体"/>
          <w:szCs w:val="21"/>
          <w:u w:val="single"/>
        </w:rPr>
        <w:t>东莞市</w:t>
      </w:r>
      <w:r>
        <w:rPr>
          <w:rFonts w:hint="eastAsia" w:ascii="黑体" w:hAnsi="黑体" w:eastAsia="黑体"/>
          <w:szCs w:val="21"/>
          <w:u w:val="single"/>
        </w:rPr>
        <w:t xml:space="preserve">财政局南城分局         </w:t>
      </w:r>
    </w:p>
    <w:p w14:paraId="6C8B2E15">
      <w:pPr>
        <w:pStyle w:val="32"/>
        <w:spacing w:line="360" w:lineRule="auto"/>
        <w:ind w:left="420" w:firstLine="0" w:firstLineChars="0"/>
        <w:rPr>
          <w:rFonts w:ascii="黑体" w:hAnsi="黑体" w:eastAsia="黑体"/>
          <w:bCs/>
          <w:szCs w:val="21"/>
        </w:rPr>
      </w:pPr>
      <w:r>
        <w:rPr>
          <w:rFonts w:hint="eastAsia" w:ascii="黑体" w:hAnsi="黑体" w:eastAsia="黑体"/>
          <w:szCs w:val="21"/>
        </w:rPr>
        <w:t>投标人名称：</w:t>
      </w:r>
      <w:r>
        <w:rPr>
          <w:rFonts w:hint="eastAsia" w:ascii="黑体" w:hAnsi="黑体" w:eastAsia="黑体"/>
          <w:szCs w:val="21"/>
          <w:u w:val="single"/>
        </w:rPr>
        <w:t xml:space="preserve">                                   </w:t>
      </w:r>
    </w:p>
    <w:p w14:paraId="34C371C9">
      <w:pPr>
        <w:pStyle w:val="32"/>
        <w:spacing w:line="360" w:lineRule="auto"/>
        <w:ind w:left="420" w:firstLine="0" w:firstLineChars="0"/>
        <w:rPr>
          <w:rFonts w:ascii="黑体" w:hAnsi="黑体" w:eastAsia="黑体"/>
          <w:bCs/>
          <w:szCs w:val="21"/>
        </w:rPr>
      </w:pPr>
      <w:r>
        <w:rPr>
          <w:rFonts w:hint="eastAsia" w:ascii="黑体" w:hAnsi="黑体" w:eastAsia="黑体"/>
          <w:bCs/>
          <w:szCs w:val="21"/>
        </w:rPr>
        <w:t>项目名称：</w:t>
      </w:r>
      <w:r>
        <w:rPr>
          <w:rFonts w:hint="eastAsia" w:ascii="黑体" w:hAnsi="黑体" w:eastAsia="黑体"/>
          <w:bCs/>
          <w:szCs w:val="21"/>
          <w:u w:val="single"/>
        </w:rPr>
        <w:t xml:space="preserve">         （详见投标邀请函）          </w:t>
      </w:r>
    </w:p>
    <w:p w14:paraId="511871D9">
      <w:pPr>
        <w:pStyle w:val="32"/>
        <w:spacing w:line="360" w:lineRule="auto"/>
        <w:ind w:left="420" w:firstLine="0" w:firstLineChars="0"/>
        <w:rPr>
          <w:rFonts w:ascii="黑体" w:hAnsi="黑体" w:eastAsia="黑体"/>
          <w:bCs/>
          <w:szCs w:val="21"/>
        </w:rPr>
      </w:pPr>
      <w:r>
        <w:rPr>
          <w:rFonts w:hint="eastAsia" w:ascii="黑体" w:hAnsi="黑体" w:eastAsia="黑体"/>
          <w:bCs/>
          <w:szCs w:val="21"/>
        </w:rPr>
        <w:t>项目编号：</w:t>
      </w:r>
      <w:r>
        <w:rPr>
          <w:rFonts w:hint="eastAsia" w:ascii="黑体" w:hAnsi="黑体" w:eastAsia="黑体"/>
          <w:bCs/>
          <w:szCs w:val="21"/>
          <w:u w:val="single"/>
        </w:rPr>
        <w:t xml:space="preserve">         （详见投标邀请函）          </w:t>
      </w:r>
    </w:p>
    <w:p w14:paraId="1A51933C">
      <w:pPr>
        <w:pStyle w:val="32"/>
        <w:spacing w:line="360" w:lineRule="auto"/>
        <w:ind w:left="420" w:firstLine="0" w:firstLineChars="0"/>
        <w:rPr>
          <w:rFonts w:ascii="黑体" w:hAnsi="黑体" w:eastAsia="黑体"/>
          <w:bCs/>
          <w:szCs w:val="21"/>
        </w:rPr>
      </w:pPr>
      <w:r>
        <w:rPr>
          <w:rFonts w:hint="eastAsia" w:ascii="黑体" w:hAnsi="黑体" w:eastAsia="黑体"/>
          <w:bCs/>
          <w:szCs w:val="21"/>
        </w:rPr>
        <w:t>注明：“</w:t>
      </w:r>
      <w:r>
        <w:rPr>
          <w:rFonts w:hint="eastAsia" w:ascii="黑体" w:hAnsi="黑体" w:eastAsia="黑体"/>
          <w:bCs/>
          <w:szCs w:val="21"/>
          <w:u w:val="single"/>
        </w:rPr>
        <w:t xml:space="preserve">于   年  月  日北京时间   ：  </w:t>
      </w:r>
      <w:r>
        <w:rPr>
          <w:rFonts w:hint="eastAsia" w:ascii="黑体" w:hAnsi="黑体" w:eastAsia="黑体"/>
          <w:bCs/>
          <w:szCs w:val="21"/>
        </w:rPr>
        <w:t>（详见投标邀请函）之前不得启封”的字样。</w:t>
      </w:r>
    </w:p>
    <w:p w14:paraId="13BDF78E">
      <w:pPr>
        <w:pStyle w:val="32"/>
        <w:numPr>
          <w:ilvl w:val="0"/>
          <w:numId w:val="27"/>
        </w:numPr>
        <w:spacing w:line="360" w:lineRule="auto"/>
        <w:ind w:firstLineChars="0"/>
        <w:rPr>
          <w:rFonts w:ascii="黑体" w:hAnsi="黑体" w:eastAsia="黑体"/>
          <w:bCs/>
          <w:szCs w:val="21"/>
        </w:rPr>
      </w:pPr>
      <w:r>
        <w:rPr>
          <w:rFonts w:hint="eastAsia" w:ascii="黑体" w:hAnsi="黑体" w:eastAsia="黑体"/>
          <w:bCs/>
          <w:szCs w:val="21"/>
        </w:rPr>
        <w:t>如果未按本须知上款要求加写标记和密封，采购代人对误投或提前启封概不负责。</w:t>
      </w:r>
    </w:p>
    <w:p w14:paraId="4C4FA963">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投标截止期</w:t>
      </w:r>
    </w:p>
    <w:p w14:paraId="0CF76D05">
      <w:pPr>
        <w:pStyle w:val="32"/>
        <w:numPr>
          <w:ilvl w:val="0"/>
          <w:numId w:val="28"/>
        </w:numPr>
        <w:spacing w:line="360" w:lineRule="auto"/>
        <w:ind w:firstLineChars="0"/>
        <w:rPr>
          <w:rFonts w:ascii="黑体" w:hAnsi="黑体" w:eastAsia="黑体"/>
          <w:bCs/>
          <w:szCs w:val="21"/>
        </w:rPr>
      </w:pPr>
      <w:r>
        <w:rPr>
          <w:rFonts w:hint="eastAsia" w:ascii="黑体" w:hAnsi="黑体" w:eastAsia="黑体"/>
          <w:bCs/>
          <w:szCs w:val="21"/>
        </w:rPr>
        <w:t>投标人应在不迟于</w:t>
      </w:r>
      <w:r>
        <w:rPr>
          <w:rFonts w:hint="eastAsia" w:ascii="黑体" w:hAnsi="黑体" w:eastAsia="黑体"/>
          <w:b/>
          <w:bCs/>
          <w:szCs w:val="21"/>
          <w:u w:val="single"/>
        </w:rPr>
        <w:t>投标邀请函</w:t>
      </w:r>
      <w:r>
        <w:rPr>
          <w:rFonts w:hint="eastAsia" w:ascii="黑体" w:hAnsi="黑体" w:eastAsia="黑体"/>
          <w:bCs/>
          <w:szCs w:val="21"/>
        </w:rPr>
        <w:t>中规定的截止日期和时间将投标文件递交至采购人，递交地点应是</w:t>
      </w:r>
      <w:r>
        <w:rPr>
          <w:rFonts w:hint="eastAsia" w:ascii="黑体" w:hAnsi="黑体" w:eastAsia="黑体"/>
          <w:b/>
          <w:bCs/>
          <w:szCs w:val="21"/>
          <w:u w:val="single"/>
        </w:rPr>
        <w:t>投标邀请函</w:t>
      </w:r>
      <w:r>
        <w:rPr>
          <w:rFonts w:hint="eastAsia" w:ascii="黑体" w:hAnsi="黑体" w:eastAsia="黑体"/>
          <w:bCs/>
          <w:szCs w:val="21"/>
        </w:rPr>
        <w:t>中指明的地址。</w:t>
      </w:r>
    </w:p>
    <w:p w14:paraId="1E9F5AD3">
      <w:pPr>
        <w:pStyle w:val="32"/>
        <w:numPr>
          <w:ilvl w:val="0"/>
          <w:numId w:val="28"/>
        </w:numPr>
        <w:spacing w:line="360" w:lineRule="auto"/>
        <w:ind w:firstLineChars="0"/>
        <w:rPr>
          <w:rFonts w:ascii="黑体" w:hAnsi="黑体" w:eastAsia="黑体"/>
          <w:bCs/>
          <w:szCs w:val="21"/>
        </w:rPr>
      </w:pPr>
      <w:r>
        <w:rPr>
          <w:rFonts w:hint="eastAsia" w:ascii="黑体" w:hAnsi="黑体" w:eastAsia="黑体"/>
          <w:bCs/>
          <w:szCs w:val="21"/>
        </w:rPr>
        <w:t>为使投标人准备投标时有充分时间对招标文件的修改部分进行研究，采购人可适当推迟投标截止期，但应发布公告并书面通知所有购买招标文件的潜在投标人。在此情况下，采购单位和投标人受投标截止期制约的所有权利和义务均应延长至新的截止期。</w:t>
      </w:r>
    </w:p>
    <w:p w14:paraId="200C1EC7">
      <w:pPr>
        <w:pStyle w:val="32"/>
        <w:numPr>
          <w:ilvl w:val="0"/>
          <w:numId w:val="28"/>
        </w:numPr>
        <w:spacing w:line="360" w:lineRule="auto"/>
        <w:ind w:firstLineChars="0"/>
        <w:rPr>
          <w:rFonts w:ascii="黑体" w:hAnsi="黑体" w:eastAsia="黑体"/>
          <w:bCs/>
          <w:szCs w:val="21"/>
        </w:rPr>
      </w:pPr>
      <w:r>
        <w:rPr>
          <w:rFonts w:hint="eastAsia" w:ascii="黑体" w:hAnsi="黑体" w:eastAsia="黑体"/>
          <w:bCs/>
          <w:szCs w:val="21"/>
        </w:rPr>
        <w:t>采购人将拒绝在规定的投标截止期后收到的任何投标文件。</w:t>
      </w:r>
    </w:p>
    <w:p w14:paraId="6B993F66">
      <w:pPr>
        <w:pStyle w:val="32"/>
        <w:numPr>
          <w:ilvl w:val="0"/>
          <w:numId w:val="10"/>
        </w:numPr>
        <w:tabs>
          <w:tab w:val="left" w:pos="426"/>
        </w:tabs>
        <w:spacing w:beforeLines="100" w:line="360" w:lineRule="auto"/>
        <w:ind w:firstLineChars="0"/>
        <w:rPr>
          <w:rFonts w:ascii="黑体" w:hAnsi="黑体" w:eastAsia="黑体"/>
          <w:b/>
        </w:rPr>
      </w:pPr>
      <w:bookmarkStart w:id="18" w:name="_Toc357676133"/>
      <w:r>
        <w:rPr>
          <w:rFonts w:hint="eastAsia" w:ascii="黑体" w:hAnsi="黑体" w:eastAsia="黑体"/>
          <w:b/>
        </w:rPr>
        <w:t>投标文件的修改和撤回</w:t>
      </w:r>
      <w:bookmarkEnd w:id="18"/>
    </w:p>
    <w:p w14:paraId="133CF117">
      <w:pPr>
        <w:pStyle w:val="32"/>
        <w:numPr>
          <w:ilvl w:val="0"/>
          <w:numId w:val="29"/>
        </w:numPr>
        <w:autoSpaceDE w:val="0"/>
        <w:autoSpaceDN w:val="0"/>
        <w:adjustRightInd w:val="0"/>
        <w:snapToGrid w:val="0"/>
        <w:spacing w:line="360" w:lineRule="auto"/>
        <w:ind w:firstLineChars="0"/>
        <w:jc w:val="left"/>
        <w:rPr>
          <w:rFonts w:ascii="黑体" w:hAnsi="黑体" w:eastAsia="黑体"/>
          <w:bCs/>
          <w:szCs w:val="21"/>
        </w:rPr>
      </w:pPr>
      <w:r>
        <w:rPr>
          <w:rFonts w:hint="eastAsia" w:ascii="黑体" w:hAnsi="黑体" w:eastAsia="黑体"/>
          <w:bCs/>
          <w:spacing w:val="-2"/>
          <w:szCs w:val="21"/>
        </w:rPr>
        <w:t>投</w:t>
      </w:r>
      <w:r>
        <w:rPr>
          <w:rFonts w:hint="eastAsia" w:ascii="黑体" w:hAnsi="黑体" w:eastAsia="黑体"/>
          <w:bCs/>
          <w:szCs w:val="21"/>
        </w:rPr>
        <w:t>标人在投标截止时间前，可以对所递交的投标文件进行补充、修改或者撤回，并书面通知采购人。补充、修改的内容应当按照采购文件要求签署、盖章，密封后，作为投标文件的组成部分。</w:t>
      </w:r>
    </w:p>
    <w:p w14:paraId="03D6C20B">
      <w:pPr>
        <w:pStyle w:val="32"/>
        <w:numPr>
          <w:ilvl w:val="0"/>
          <w:numId w:val="29"/>
        </w:numPr>
        <w:autoSpaceDE w:val="0"/>
        <w:autoSpaceDN w:val="0"/>
        <w:adjustRightInd w:val="0"/>
        <w:snapToGrid w:val="0"/>
        <w:spacing w:line="360" w:lineRule="auto"/>
        <w:ind w:firstLineChars="0"/>
        <w:jc w:val="left"/>
        <w:rPr>
          <w:rFonts w:ascii="黑体" w:hAnsi="黑体" w:eastAsia="黑体"/>
          <w:bCs/>
          <w:szCs w:val="21"/>
        </w:rPr>
      </w:pPr>
      <w:r>
        <w:rPr>
          <w:rFonts w:hint="eastAsia" w:ascii="黑体" w:hAnsi="黑体" w:eastAsia="黑体"/>
          <w:bCs/>
          <w:szCs w:val="21"/>
        </w:rPr>
        <w:t>在投标截止时间之后，投标人不得对其投标文件做任何修改和补充。</w:t>
      </w:r>
    </w:p>
    <w:p w14:paraId="439682D1">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开标与评标准则</w:t>
      </w:r>
    </w:p>
    <w:p w14:paraId="7E90EDDE">
      <w:pPr>
        <w:pStyle w:val="32"/>
        <w:numPr>
          <w:ilvl w:val="0"/>
          <w:numId w:val="10"/>
        </w:numPr>
        <w:tabs>
          <w:tab w:val="left" w:pos="426"/>
        </w:tabs>
        <w:spacing w:line="360" w:lineRule="auto"/>
        <w:ind w:firstLineChars="0"/>
        <w:rPr>
          <w:rFonts w:ascii="黑体" w:hAnsi="黑体" w:eastAsia="黑体"/>
          <w:b/>
          <w:highlight w:val="none"/>
        </w:rPr>
      </w:pPr>
      <w:r>
        <w:rPr>
          <w:rFonts w:hint="eastAsia" w:ascii="黑体" w:hAnsi="黑体" w:eastAsia="黑体"/>
          <w:b/>
          <w:highlight w:val="none"/>
        </w:rPr>
        <w:t>开标</w:t>
      </w:r>
    </w:p>
    <w:p w14:paraId="0C908E0A">
      <w:pPr>
        <w:pStyle w:val="32"/>
        <w:numPr>
          <w:ilvl w:val="0"/>
          <w:numId w:val="30"/>
        </w:numPr>
        <w:spacing w:line="360" w:lineRule="auto"/>
        <w:ind w:firstLineChars="0"/>
        <w:rPr>
          <w:rFonts w:ascii="黑体" w:hAnsi="黑体" w:eastAsia="黑体"/>
          <w:bCs/>
          <w:color w:val="auto"/>
          <w:szCs w:val="21"/>
          <w:highlight w:val="none"/>
        </w:rPr>
      </w:pPr>
      <w:r>
        <w:rPr>
          <w:rFonts w:hint="eastAsia" w:ascii="黑体" w:hAnsi="黑体" w:eastAsia="黑体"/>
          <w:bCs/>
          <w:color w:val="auto"/>
          <w:szCs w:val="21"/>
          <w:highlight w:val="none"/>
        </w:rPr>
        <w:t>投标人不足</w:t>
      </w:r>
      <w:r>
        <w:rPr>
          <w:rFonts w:hint="eastAsia" w:ascii="黑体" w:hAnsi="黑体" w:eastAsia="黑体"/>
          <w:bCs/>
          <w:color w:val="auto"/>
          <w:szCs w:val="21"/>
          <w:highlight w:val="none"/>
          <w:lang w:val="en-US" w:eastAsia="zh-CN"/>
        </w:rPr>
        <w:t>16家</w:t>
      </w:r>
      <w:r>
        <w:rPr>
          <w:rFonts w:hint="eastAsia" w:ascii="黑体" w:hAnsi="黑体" w:eastAsia="黑体"/>
          <w:bCs/>
          <w:color w:val="auto"/>
          <w:szCs w:val="21"/>
          <w:highlight w:val="none"/>
        </w:rPr>
        <w:t>的，不得开标。</w:t>
      </w:r>
    </w:p>
    <w:p w14:paraId="0EC22946">
      <w:pPr>
        <w:pStyle w:val="32"/>
        <w:numPr>
          <w:ilvl w:val="0"/>
          <w:numId w:val="30"/>
        </w:numPr>
        <w:spacing w:line="360" w:lineRule="auto"/>
        <w:ind w:firstLineChars="0"/>
        <w:rPr>
          <w:rFonts w:hint="eastAsia" w:ascii="黑体" w:hAnsi="黑体" w:eastAsia="黑体"/>
          <w:bCs/>
          <w:color w:val="auto"/>
          <w:szCs w:val="21"/>
          <w:highlight w:val="none"/>
        </w:rPr>
      </w:pPr>
      <w:r>
        <w:rPr>
          <w:rFonts w:hint="eastAsia" w:ascii="黑体" w:hAnsi="黑体" w:eastAsia="黑体"/>
          <w:bCs/>
          <w:color w:val="auto"/>
          <w:szCs w:val="21"/>
          <w:highlight w:val="none"/>
          <w:lang w:eastAsia="zh-CN"/>
        </w:rPr>
        <w:t>本次采购不组织现场唱标，投标</w:t>
      </w:r>
      <w:r>
        <w:rPr>
          <w:rFonts w:hint="eastAsia" w:ascii="黑体" w:hAnsi="黑体" w:eastAsia="黑体"/>
          <w:bCs/>
          <w:color w:val="auto"/>
          <w:szCs w:val="21"/>
          <w:highlight w:val="none"/>
        </w:rPr>
        <w:t>人授权代表</w:t>
      </w:r>
      <w:r>
        <w:rPr>
          <w:rFonts w:hint="eastAsia" w:ascii="黑体" w:hAnsi="黑体" w:eastAsia="黑体"/>
          <w:bCs/>
          <w:color w:val="auto"/>
          <w:szCs w:val="21"/>
          <w:highlight w:val="none"/>
          <w:lang w:val="en-US" w:eastAsia="zh-CN"/>
        </w:rPr>
        <w:t>（</w:t>
      </w:r>
      <w:r>
        <w:rPr>
          <w:rFonts w:hint="eastAsia" w:ascii="黑体" w:hAnsi="黑体" w:eastAsia="黑体"/>
          <w:bCs/>
          <w:color w:val="auto"/>
          <w:szCs w:val="21"/>
          <w:highlight w:val="none"/>
        </w:rPr>
        <w:t>携带有效身份证</w:t>
      </w:r>
      <w:r>
        <w:rPr>
          <w:rFonts w:hint="eastAsia" w:ascii="黑体" w:hAnsi="黑体" w:eastAsia="黑体"/>
          <w:bCs/>
          <w:color w:val="auto"/>
          <w:szCs w:val="21"/>
          <w:highlight w:val="none"/>
          <w:lang w:val="en-US" w:eastAsia="zh-CN"/>
        </w:rPr>
        <w:t>）</w:t>
      </w:r>
      <w:r>
        <w:rPr>
          <w:rFonts w:hint="eastAsia" w:ascii="黑体" w:hAnsi="黑体" w:eastAsia="黑体"/>
          <w:bCs/>
          <w:color w:val="auto"/>
          <w:szCs w:val="21"/>
          <w:highlight w:val="none"/>
          <w:lang w:eastAsia="zh-CN"/>
        </w:rPr>
        <w:t>递交投标文件后即可离开，唱标结果将与中标结果一并公示</w:t>
      </w:r>
      <w:r>
        <w:rPr>
          <w:rFonts w:hint="eastAsia" w:ascii="黑体" w:hAnsi="黑体" w:eastAsia="黑体"/>
          <w:bCs/>
          <w:color w:val="auto"/>
          <w:szCs w:val="21"/>
          <w:highlight w:val="none"/>
        </w:rPr>
        <w:t>。</w:t>
      </w:r>
    </w:p>
    <w:p w14:paraId="5CC5C9AF">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评标委员会和评标方法</w:t>
      </w:r>
    </w:p>
    <w:p w14:paraId="4509D30D">
      <w:pPr>
        <w:pStyle w:val="32"/>
        <w:numPr>
          <w:ilvl w:val="0"/>
          <w:numId w:val="31"/>
        </w:numPr>
        <w:spacing w:line="360" w:lineRule="auto"/>
        <w:ind w:firstLineChars="0"/>
        <w:rPr>
          <w:rFonts w:ascii="黑体" w:hAnsi="黑体" w:eastAsia="黑体"/>
          <w:bCs/>
          <w:szCs w:val="21"/>
        </w:rPr>
      </w:pPr>
      <w:r>
        <w:rPr>
          <w:rFonts w:hint="eastAsia" w:ascii="黑体" w:hAnsi="黑体" w:eastAsia="黑体"/>
          <w:bCs/>
          <w:szCs w:val="21"/>
        </w:rPr>
        <w:t>评标由参考采购法律、法规、规章、政策的规定，组建的评标委员会负责。</w:t>
      </w:r>
    </w:p>
    <w:p w14:paraId="24D9BC75">
      <w:pPr>
        <w:pStyle w:val="32"/>
        <w:numPr>
          <w:ilvl w:val="0"/>
          <w:numId w:val="31"/>
        </w:numPr>
        <w:spacing w:line="360" w:lineRule="auto"/>
        <w:ind w:firstLineChars="0"/>
        <w:rPr>
          <w:rFonts w:ascii="黑体" w:hAnsi="黑体" w:eastAsia="黑体"/>
          <w:bCs/>
          <w:color w:val="0070C0"/>
          <w:szCs w:val="21"/>
        </w:rPr>
      </w:pPr>
      <w:r>
        <w:rPr>
          <w:rFonts w:hint="eastAsia" w:ascii="黑体" w:hAnsi="黑体" w:eastAsia="黑体"/>
          <w:bCs/>
          <w:color w:val="auto"/>
          <w:szCs w:val="21"/>
        </w:rPr>
        <w:t>评标委员会由采</w:t>
      </w:r>
      <w:r>
        <w:rPr>
          <w:rFonts w:hint="eastAsia" w:ascii="黑体" w:hAnsi="黑体" w:eastAsia="黑体"/>
          <w:bCs/>
          <w:szCs w:val="21"/>
        </w:rPr>
        <w:t>购人代表和评审专家组成，成员人数应为5人以上单数。</w:t>
      </w:r>
    </w:p>
    <w:p w14:paraId="103DF919">
      <w:pPr>
        <w:pStyle w:val="32"/>
        <w:numPr>
          <w:ilvl w:val="0"/>
          <w:numId w:val="31"/>
        </w:numPr>
        <w:spacing w:line="360" w:lineRule="auto"/>
        <w:ind w:firstLineChars="0"/>
        <w:rPr>
          <w:rFonts w:ascii="黑体" w:hAnsi="黑体" w:eastAsia="黑体"/>
          <w:bCs/>
          <w:szCs w:val="21"/>
        </w:rPr>
      </w:pPr>
      <w:r>
        <w:rPr>
          <w:rFonts w:hint="eastAsia" w:ascii="黑体" w:hAnsi="黑体" w:eastAsia="黑体"/>
          <w:bCs/>
          <w:szCs w:val="21"/>
        </w:rPr>
        <w:t>评标委员会将按照招标文件确定的评标方法进行评标。评标委员会对投标文件的评审分为符合性检查和商务技术评审。</w:t>
      </w:r>
    </w:p>
    <w:p w14:paraId="2AC7A569">
      <w:pPr>
        <w:pStyle w:val="32"/>
        <w:numPr>
          <w:ilvl w:val="0"/>
          <w:numId w:val="31"/>
        </w:numPr>
        <w:spacing w:line="360" w:lineRule="auto"/>
        <w:ind w:firstLineChars="0"/>
        <w:rPr>
          <w:rFonts w:ascii="黑体" w:hAnsi="黑体" w:eastAsia="黑体"/>
          <w:bCs/>
          <w:szCs w:val="21"/>
        </w:rPr>
      </w:pPr>
      <w:r>
        <w:rPr>
          <w:rFonts w:hint="eastAsia" w:ascii="黑体" w:hAnsi="黑体" w:eastAsia="黑体"/>
          <w:bCs/>
          <w:szCs w:val="21"/>
        </w:rPr>
        <w:t>本次评标采用</w:t>
      </w:r>
      <w:r>
        <w:rPr>
          <w:rFonts w:hint="eastAsia" w:ascii="黑体" w:hAnsi="黑体" w:eastAsia="黑体"/>
          <w:b/>
          <w:bCs/>
          <w:szCs w:val="21"/>
          <w:u w:val="single"/>
        </w:rPr>
        <w:t xml:space="preserve"> 投标须知前附表 </w:t>
      </w:r>
      <w:r>
        <w:rPr>
          <w:rFonts w:hint="eastAsia" w:ascii="黑体" w:hAnsi="黑体" w:eastAsia="黑体"/>
          <w:bCs/>
          <w:szCs w:val="21"/>
        </w:rPr>
        <w:t>中选定的方法，具体见招标文件第五部分“评标方法、步骤、标准”。</w:t>
      </w:r>
    </w:p>
    <w:p w14:paraId="31F6483E">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投标文件的初审</w:t>
      </w:r>
    </w:p>
    <w:p w14:paraId="5FD09743">
      <w:pPr>
        <w:pStyle w:val="32"/>
        <w:numPr>
          <w:ilvl w:val="0"/>
          <w:numId w:val="32"/>
        </w:numPr>
        <w:spacing w:line="360" w:lineRule="auto"/>
        <w:ind w:firstLineChars="0"/>
        <w:rPr>
          <w:rFonts w:ascii="黑体" w:hAnsi="黑体" w:eastAsia="黑体"/>
          <w:bCs/>
          <w:szCs w:val="21"/>
        </w:rPr>
      </w:pPr>
      <w:r>
        <w:rPr>
          <w:rFonts w:hint="eastAsia" w:ascii="黑体" w:hAnsi="黑体" w:eastAsia="黑体"/>
          <w:bCs/>
          <w:szCs w:val="21"/>
        </w:rPr>
        <w:t>资格性审查：开标结束后，由采购人按招标文件的规定，对投标人的资格进行审查；</w:t>
      </w:r>
      <w:r>
        <w:rPr>
          <w:rFonts w:ascii="黑体" w:hAnsi="黑体" w:eastAsia="黑体"/>
          <w:bCs/>
          <w:szCs w:val="21"/>
        </w:rPr>
        <w:t xml:space="preserve"> </w:t>
      </w:r>
    </w:p>
    <w:p w14:paraId="661003DC">
      <w:pPr>
        <w:pStyle w:val="32"/>
        <w:numPr>
          <w:ilvl w:val="0"/>
          <w:numId w:val="32"/>
        </w:numPr>
        <w:spacing w:line="360" w:lineRule="auto"/>
        <w:ind w:firstLineChars="0"/>
        <w:rPr>
          <w:rFonts w:ascii="黑体" w:hAnsi="黑体" w:eastAsia="黑体"/>
          <w:bCs/>
          <w:szCs w:val="21"/>
        </w:rPr>
      </w:pPr>
      <w:r>
        <w:rPr>
          <w:rFonts w:hint="eastAsia" w:ascii="黑体" w:hAnsi="黑体" w:eastAsia="黑体"/>
          <w:bCs/>
          <w:szCs w:val="21"/>
        </w:rPr>
        <w:t>符合性审查：评标委员会对符合资格的投标人的投标文件进行符合性审查，以确定其是否满足招标文件实质性要求。</w:t>
      </w:r>
    </w:p>
    <w:p w14:paraId="698E8F8E">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投标文件的澄清</w:t>
      </w:r>
    </w:p>
    <w:p w14:paraId="270A11DD">
      <w:pPr>
        <w:pStyle w:val="32"/>
        <w:numPr>
          <w:ilvl w:val="0"/>
          <w:numId w:val="33"/>
        </w:numPr>
        <w:spacing w:line="360" w:lineRule="auto"/>
        <w:ind w:firstLineChars="0"/>
        <w:rPr>
          <w:rFonts w:ascii="黑体" w:hAnsi="黑体" w:eastAsia="黑体"/>
          <w:bCs/>
          <w:szCs w:val="21"/>
        </w:rPr>
      </w:pPr>
      <w:r>
        <w:rPr>
          <w:rFonts w:hint="eastAsia" w:ascii="黑体" w:hAnsi="黑体" w:eastAsia="黑体"/>
          <w:bCs/>
          <w:szCs w:val="21"/>
        </w:rPr>
        <w:t>评标期间，对于投标文件中含义不明确、同类问题表述不一致或者有明显文字和计算错误的内容，评标委员会以书面的形式要求投标人作出必要的澄清、说明或者补正。</w:t>
      </w:r>
    </w:p>
    <w:p w14:paraId="7046ED3B">
      <w:pPr>
        <w:pStyle w:val="32"/>
        <w:numPr>
          <w:ilvl w:val="0"/>
          <w:numId w:val="33"/>
        </w:numPr>
        <w:spacing w:line="360" w:lineRule="auto"/>
        <w:ind w:firstLineChars="0"/>
        <w:rPr>
          <w:rFonts w:ascii="黑体" w:hAnsi="黑体" w:eastAsia="黑体"/>
          <w:bCs/>
          <w:szCs w:val="21"/>
        </w:rPr>
      </w:pPr>
      <w:r>
        <w:rPr>
          <w:rFonts w:hint="eastAsia" w:ascii="黑体" w:hAnsi="黑体" w:eastAsia="黑体"/>
          <w:bCs/>
          <w:szCs w:val="21"/>
        </w:rPr>
        <w:t>投标人的澄清、说明或者补正采用书面形式，并加盖公章，或者由法定(负责人)代表人或其授权的代表签字。投标人的澄清、说明或者补正不得超出投标文件的范围或者改变投标文件的实质性内容。</w:t>
      </w:r>
    </w:p>
    <w:p w14:paraId="3A987A13">
      <w:pPr>
        <w:pStyle w:val="32"/>
        <w:numPr>
          <w:ilvl w:val="0"/>
          <w:numId w:val="33"/>
        </w:numPr>
        <w:spacing w:line="360" w:lineRule="auto"/>
        <w:ind w:firstLineChars="0"/>
        <w:rPr>
          <w:rFonts w:ascii="黑体" w:hAnsi="黑体" w:eastAsia="黑体"/>
          <w:bCs/>
          <w:szCs w:val="21"/>
        </w:rPr>
      </w:pPr>
      <w:r>
        <w:rPr>
          <w:rFonts w:hint="eastAsia" w:ascii="黑体" w:hAnsi="黑体" w:eastAsia="黑体"/>
          <w:bCs/>
          <w:szCs w:val="21"/>
        </w:rPr>
        <w:t>投标人的澄清文件是其投标文件的组成部分。</w:t>
      </w:r>
    </w:p>
    <w:p w14:paraId="0CFBB257">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投标文件详细评价</w:t>
      </w:r>
    </w:p>
    <w:p w14:paraId="1C6C431F">
      <w:pPr>
        <w:pStyle w:val="32"/>
        <w:spacing w:line="360" w:lineRule="auto"/>
        <w:ind w:left="420" w:firstLine="0" w:firstLineChars="0"/>
        <w:rPr>
          <w:rFonts w:ascii="黑体" w:hAnsi="黑体" w:eastAsia="黑体"/>
          <w:bCs/>
          <w:szCs w:val="21"/>
        </w:rPr>
      </w:pPr>
      <w:r>
        <w:rPr>
          <w:rFonts w:hint="eastAsia" w:ascii="黑体" w:hAnsi="黑体" w:eastAsia="黑体"/>
          <w:bCs/>
          <w:szCs w:val="21"/>
        </w:rPr>
        <w:t>评标委员会将对通过符合性审查的投标文件进行详细评价和比较。</w:t>
      </w:r>
    </w:p>
    <w:p w14:paraId="7AD312F1">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定标原则与授标</w:t>
      </w:r>
    </w:p>
    <w:p w14:paraId="37D0F529">
      <w:pPr>
        <w:pStyle w:val="32"/>
        <w:numPr>
          <w:ilvl w:val="0"/>
          <w:numId w:val="34"/>
        </w:numPr>
        <w:spacing w:line="360" w:lineRule="auto"/>
        <w:ind w:firstLineChars="0"/>
        <w:rPr>
          <w:rFonts w:ascii="黑体" w:hAnsi="黑体" w:eastAsia="黑体"/>
          <w:bCs/>
          <w:szCs w:val="21"/>
        </w:rPr>
      </w:pPr>
      <w:r>
        <w:rPr>
          <w:rFonts w:hint="eastAsia" w:ascii="黑体" w:hAnsi="黑体" w:eastAsia="黑体"/>
          <w:bCs/>
          <w:szCs w:val="21"/>
        </w:rPr>
        <w:t>评标委员会按照招标文件确定的评标方法、步骤、标准，对投标文件进行评审，提出书面评标报告。</w:t>
      </w:r>
    </w:p>
    <w:p w14:paraId="1875D3B8">
      <w:pPr>
        <w:pStyle w:val="32"/>
        <w:numPr>
          <w:ilvl w:val="0"/>
          <w:numId w:val="34"/>
        </w:numPr>
        <w:spacing w:line="360" w:lineRule="auto"/>
        <w:ind w:firstLineChars="0"/>
        <w:rPr>
          <w:rFonts w:ascii="黑体" w:hAnsi="黑体" w:eastAsia="黑体"/>
          <w:bCs/>
          <w:szCs w:val="21"/>
        </w:rPr>
      </w:pPr>
      <w:r>
        <w:rPr>
          <w:rFonts w:hint="eastAsia" w:ascii="黑体" w:hAnsi="黑体" w:eastAsia="黑体"/>
          <w:bCs/>
          <w:szCs w:val="21"/>
        </w:rPr>
        <w:t>采用综合评分法的，评审后得分由</w:t>
      </w:r>
      <w:r>
        <w:rPr>
          <w:rFonts w:hint="eastAsia" w:ascii="黑体" w:hAnsi="黑体" w:eastAsia="黑体"/>
          <w:bCs/>
          <w:szCs w:val="21"/>
          <w:highlight w:val="none"/>
        </w:rPr>
        <w:t>高到低顺序排列；得分相同的，</w:t>
      </w:r>
      <w:r>
        <w:rPr>
          <w:rFonts w:hint="eastAsia" w:ascii="黑体" w:hAnsi="黑体" w:eastAsia="黑体"/>
          <w:bCs/>
          <w:spacing w:val="-2"/>
          <w:szCs w:val="21"/>
          <w:highlight w:val="none"/>
        </w:rPr>
        <w:t>综合得分相同的，按</w:t>
      </w:r>
      <w:r>
        <w:rPr>
          <w:rFonts w:hint="eastAsia" w:ascii="黑体" w:hAnsi="黑体" w:eastAsia="黑体"/>
          <w:bCs/>
          <w:spacing w:val="-2"/>
          <w:szCs w:val="21"/>
          <w:highlight w:val="none"/>
          <w:lang w:eastAsia="zh-CN"/>
        </w:rPr>
        <w:t>商务技术评分表备注第二条执行</w:t>
      </w:r>
      <w:r>
        <w:rPr>
          <w:rFonts w:hint="eastAsia" w:ascii="黑体" w:hAnsi="黑体" w:eastAsia="黑体"/>
          <w:bCs/>
          <w:szCs w:val="21"/>
          <w:highlight w:val="none"/>
        </w:rPr>
        <w:t>。按规定推荐综合得分排名第一的投标人为第一中标候选人，排名第二的投标人为第二中标候选人</w:t>
      </w:r>
      <w:r>
        <w:rPr>
          <w:rFonts w:hint="eastAsia" w:ascii="黑体" w:hAnsi="黑体" w:eastAsia="黑体"/>
          <w:bCs/>
          <w:szCs w:val="21"/>
        </w:rPr>
        <w:t>，以此类推。</w:t>
      </w:r>
    </w:p>
    <w:p w14:paraId="511DB6FC">
      <w:pPr>
        <w:pStyle w:val="32"/>
        <w:numPr>
          <w:ilvl w:val="0"/>
          <w:numId w:val="34"/>
        </w:numPr>
        <w:spacing w:line="360" w:lineRule="auto"/>
        <w:ind w:firstLineChars="0"/>
        <w:rPr>
          <w:rFonts w:ascii="黑体" w:hAnsi="黑体" w:eastAsia="黑体"/>
          <w:bCs/>
          <w:szCs w:val="21"/>
        </w:rPr>
      </w:pPr>
      <w:r>
        <w:rPr>
          <w:rFonts w:hint="eastAsia" w:ascii="黑体" w:hAnsi="黑体" w:eastAsia="黑体"/>
          <w:bCs/>
          <w:szCs w:val="21"/>
        </w:rPr>
        <w:t>采购人在评标结束后2个工作日内根据评标报告确定的中标候选人名单中按顺序确定中标人。</w:t>
      </w:r>
    </w:p>
    <w:p w14:paraId="0697BD94">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询问、质疑</w:t>
      </w:r>
    </w:p>
    <w:p w14:paraId="7C7D743C">
      <w:pPr>
        <w:pStyle w:val="32"/>
        <w:numPr>
          <w:ilvl w:val="0"/>
          <w:numId w:val="35"/>
        </w:numPr>
        <w:spacing w:line="360" w:lineRule="auto"/>
        <w:ind w:firstLineChars="0"/>
        <w:rPr>
          <w:rFonts w:ascii="黑体" w:hAnsi="黑体" w:eastAsia="黑体"/>
          <w:bCs/>
          <w:szCs w:val="21"/>
        </w:rPr>
      </w:pPr>
      <w:r>
        <w:rPr>
          <w:rFonts w:hint="eastAsia" w:ascii="黑体" w:hAnsi="黑体" w:eastAsia="黑体"/>
          <w:bCs/>
          <w:szCs w:val="21"/>
        </w:rPr>
        <w:t>询问</w:t>
      </w:r>
    </w:p>
    <w:p w14:paraId="02EDC845">
      <w:pPr>
        <w:pStyle w:val="32"/>
        <w:numPr>
          <w:ilvl w:val="0"/>
          <w:numId w:val="36"/>
        </w:numPr>
        <w:spacing w:line="360" w:lineRule="auto"/>
        <w:ind w:firstLineChars="0"/>
        <w:rPr>
          <w:rFonts w:ascii="黑体" w:hAnsi="黑体" w:eastAsia="黑体"/>
          <w:bCs/>
          <w:szCs w:val="21"/>
        </w:rPr>
      </w:pPr>
      <w:r>
        <w:rPr>
          <w:rFonts w:hint="eastAsia" w:ascii="黑体" w:hAnsi="黑体" w:eastAsia="黑体"/>
          <w:bCs/>
          <w:szCs w:val="21"/>
        </w:rPr>
        <w:t>银行对采购活动事项有疑问的，可以向采购人提出询问，询问可以口头方式提出，也可以书面方式提出。</w:t>
      </w:r>
    </w:p>
    <w:p w14:paraId="20C9D1BE">
      <w:pPr>
        <w:pStyle w:val="32"/>
        <w:numPr>
          <w:ilvl w:val="0"/>
          <w:numId w:val="36"/>
        </w:numPr>
        <w:spacing w:line="360" w:lineRule="auto"/>
        <w:ind w:firstLineChars="0"/>
        <w:rPr>
          <w:rFonts w:ascii="黑体" w:hAnsi="黑体" w:eastAsia="黑体"/>
          <w:bCs/>
          <w:szCs w:val="21"/>
        </w:rPr>
      </w:pPr>
      <w:r>
        <w:rPr>
          <w:rFonts w:hint="eastAsia" w:ascii="黑体" w:hAnsi="黑体" w:eastAsia="黑体"/>
          <w:bCs/>
          <w:szCs w:val="21"/>
        </w:rPr>
        <w:t>如采用书面方式提出询问，银行为自然人的，询问函应当由本人签字；银行为法人(负责人)或者其他组织的，应当由法定</w:t>
      </w:r>
      <w:r>
        <w:rPr>
          <w:rFonts w:hint="eastAsia" w:ascii="黑体" w:hAnsi="黑体" w:eastAsia="黑体"/>
          <w:szCs w:val="21"/>
        </w:rPr>
        <w:t>(负责人)</w:t>
      </w:r>
      <w:r>
        <w:rPr>
          <w:rFonts w:hint="eastAsia" w:ascii="黑体" w:hAnsi="黑体" w:eastAsia="黑体"/>
          <w:bCs/>
          <w:szCs w:val="21"/>
        </w:rPr>
        <w:t>代表人、主要负责人或授权代表签字或者盖章，并加盖公章。响应银行递交询问函时非法定</w:t>
      </w:r>
      <w:r>
        <w:rPr>
          <w:rFonts w:hint="eastAsia" w:ascii="黑体" w:hAnsi="黑体" w:eastAsia="黑体"/>
          <w:szCs w:val="21"/>
        </w:rPr>
        <w:t>(负责人)</w:t>
      </w:r>
      <w:r>
        <w:rPr>
          <w:rFonts w:hint="eastAsia" w:ascii="黑体" w:hAnsi="黑体" w:eastAsia="黑体"/>
          <w:bCs/>
          <w:szCs w:val="21"/>
        </w:rPr>
        <w:t>代表人亲自办理的需提供法定</w:t>
      </w:r>
      <w:r>
        <w:rPr>
          <w:rFonts w:hint="eastAsia" w:ascii="黑体" w:hAnsi="黑体" w:eastAsia="黑体"/>
          <w:szCs w:val="21"/>
        </w:rPr>
        <w:t>(负责人)</w:t>
      </w:r>
      <w:r>
        <w:rPr>
          <w:rFonts w:hint="eastAsia" w:ascii="黑体" w:hAnsi="黑体" w:eastAsia="黑体"/>
          <w:bCs/>
          <w:szCs w:val="21"/>
        </w:rPr>
        <w:t>代表人授权委托书（应载明授权代表的姓名或者名称、代理事项、具体权限、期限和相关事项）及授权代表身份证复印件。</w:t>
      </w:r>
    </w:p>
    <w:p w14:paraId="08CE064E">
      <w:pPr>
        <w:pStyle w:val="32"/>
        <w:numPr>
          <w:ilvl w:val="0"/>
          <w:numId w:val="36"/>
        </w:numPr>
        <w:spacing w:line="360" w:lineRule="auto"/>
        <w:ind w:firstLineChars="0"/>
        <w:rPr>
          <w:rFonts w:ascii="黑体" w:hAnsi="黑体" w:eastAsia="黑体"/>
          <w:bCs/>
          <w:szCs w:val="21"/>
        </w:rPr>
      </w:pPr>
      <w:r>
        <w:rPr>
          <w:rFonts w:hint="eastAsia" w:ascii="黑体" w:hAnsi="黑体" w:eastAsia="黑体"/>
          <w:bCs/>
          <w:szCs w:val="21"/>
        </w:rPr>
        <w:t>采购人在三个工作日内对银行提出的询问作出答复。</w:t>
      </w:r>
    </w:p>
    <w:p w14:paraId="465B4B35">
      <w:pPr>
        <w:pStyle w:val="32"/>
        <w:numPr>
          <w:ilvl w:val="0"/>
          <w:numId w:val="35"/>
        </w:numPr>
        <w:spacing w:line="360" w:lineRule="auto"/>
        <w:ind w:firstLineChars="0"/>
        <w:rPr>
          <w:rFonts w:ascii="黑体" w:hAnsi="黑体" w:eastAsia="黑体"/>
          <w:bCs/>
          <w:szCs w:val="21"/>
        </w:rPr>
      </w:pPr>
      <w:r>
        <w:rPr>
          <w:rFonts w:hint="eastAsia" w:ascii="黑体" w:hAnsi="黑体" w:eastAsia="黑体"/>
          <w:bCs/>
          <w:szCs w:val="21"/>
        </w:rPr>
        <w:t>质疑</w:t>
      </w:r>
    </w:p>
    <w:p w14:paraId="347751E9">
      <w:pPr>
        <w:pStyle w:val="32"/>
        <w:numPr>
          <w:ilvl w:val="0"/>
          <w:numId w:val="37"/>
        </w:numPr>
        <w:spacing w:line="360" w:lineRule="auto"/>
        <w:ind w:firstLineChars="0"/>
        <w:rPr>
          <w:rFonts w:ascii="黑体" w:hAnsi="黑体" w:eastAsia="黑体"/>
          <w:bCs/>
          <w:szCs w:val="21"/>
        </w:rPr>
      </w:pPr>
      <w:r>
        <w:rPr>
          <w:rFonts w:hint="eastAsia" w:ascii="黑体" w:hAnsi="黑体" w:eastAsia="黑体"/>
          <w:bCs/>
          <w:szCs w:val="21"/>
        </w:rPr>
        <w:t>投</w:t>
      </w:r>
      <w:r>
        <w:rPr>
          <w:rFonts w:hint="eastAsia" w:ascii="黑体" w:hAnsi="黑体" w:eastAsia="黑体"/>
          <w:bCs/>
          <w:spacing w:val="-2"/>
          <w:szCs w:val="21"/>
        </w:rPr>
        <w:t>标人认为采购文件、采购过程和中标结果使自己的权益受到损害的，可以在知道或应知其权益受到损害之日起7个工作日内，以书面形式向采购人提出质疑。</w:t>
      </w:r>
    </w:p>
    <w:p w14:paraId="0D2A53A6">
      <w:pPr>
        <w:pStyle w:val="32"/>
        <w:numPr>
          <w:ilvl w:val="0"/>
          <w:numId w:val="37"/>
        </w:numPr>
        <w:spacing w:line="360" w:lineRule="auto"/>
        <w:ind w:firstLineChars="0"/>
        <w:rPr>
          <w:rFonts w:ascii="黑体" w:hAnsi="黑体" w:eastAsia="黑体"/>
          <w:bCs/>
          <w:szCs w:val="21"/>
        </w:rPr>
      </w:pPr>
      <w:r>
        <w:rPr>
          <w:rFonts w:hint="eastAsia" w:ascii="黑体" w:hAnsi="黑体" w:eastAsia="黑体"/>
          <w:bCs/>
          <w:szCs w:val="21"/>
        </w:rPr>
        <w:t>提出质疑的银行应当是参与所质疑项目采购活动的银行。</w:t>
      </w:r>
    </w:p>
    <w:p w14:paraId="2E2DDEB4">
      <w:pPr>
        <w:pStyle w:val="32"/>
        <w:numPr>
          <w:ilvl w:val="0"/>
          <w:numId w:val="37"/>
        </w:numPr>
        <w:spacing w:line="360" w:lineRule="auto"/>
        <w:ind w:firstLineChars="0"/>
        <w:rPr>
          <w:rFonts w:ascii="黑体" w:hAnsi="黑体" w:eastAsia="黑体"/>
          <w:bCs/>
          <w:szCs w:val="21"/>
        </w:rPr>
      </w:pPr>
      <w:r>
        <w:rPr>
          <w:rFonts w:hint="eastAsia" w:ascii="黑体" w:hAnsi="黑体" w:eastAsia="黑体"/>
          <w:bCs/>
          <w:szCs w:val="21"/>
        </w:rPr>
        <w:t>提交要求：</w:t>
      </w:r>
    </w:p>
    <w:p w14:paraId="72924CC2">
      <w:pPr>
        <w:pStyle w:val="32"/>
        <w:numPr>
          <w:ilvl w:val="0"/>
          <w:numId w:val="38"/>
        </w:numPr>
        <w:spacing w:line="360" w:lineRule="auto"/>
        <w:ind w:firstLineChars="0"/>
        <w:rPr>
          <w:rFonts w:ascii="黑体" w:hAnsi="黑体" w:eastAsia="黑体"/>
          <w:bCs/>
          <w:szCs w:val="21"/>
        </w:rPr>
      </w:pPr>
      <w:r>
        <w:rPr>
          <w:rFonts w:hint="eastAsia" w:ascii="黑体" w:hAnsi="黑体" w:eastAsia="黑体"/>
          <w:bCs/>
          <w:szCs w:val="21"/>
        </w:rPr>
        <w:t>以书面形式向采购人一次性提出针对同一采购程序环节的质疑。</w:t>
      </w:r>
    </w:p>
    <w:p w14:paraId="32EF9C5E">
      <w:pPr>
        <w:pStyle w:val="32"/>
        <w:numPr>
          <w:ilvl w:val="0"/>
          <w:numId w:val="38"/>
        </w:numPr>
        <w:spacing w:line="360" w:lineRule="auto"/>
        <w:ind w:firstLineChars="0"/>
        <w:rPr>
          <w:rFonts w:ascii="黑体" w:hAnsi="黑体" w:eastAsia="黑体"/>
          <w:bCs/>
          <w:szCs w:val="21"/>
        </w:rPr>
      </w:pPr>
      <w:r>
        <w:rPr>
          <w:rFonts w:hint="eastAsia" w:ascii="黑体" w:hAnsi="黑体" w:eastAsia="黑体"/>
          <w:bCs/>
          <w:szCs w:val="21"/>
        </w:rPr>
        <w:t>质疑函内容：应包括银行的姓名或者名称、地址、邮编、联系人及联系电话；质疑项目的名称及编号；具体且明确的质疑事项和与质疑事项相关的请求；事实依据、必要的法律依据、提出质疑的日期。银行为自然人的，质疑函应当由本人签字；银行为法人</w:t>
      </w:r>
      <w:r>
        <w:rPr>
          <w:rFonts w:hint="eastAsia" w:ascii="黑体" w:hAnsi="黑体" w:eastAsia="黑体"/>
          <w:szCs w:val="21"/>
        </w:rPr>
        <w:t>(负责人)</w:t>
      </w:r>
      <w:r>
        <w:rPr>
          <w:rFonts w:hint="eastAsia" w:ascii="黑体" w:hAnsi="黑体" w:eastAsia="黑体"/>
          <w:bCs/>
          <w:szCs w:val="21"/>
        </w:rPr>
        <w:t>或者其他组织的，应当由法定</w:t>
      </w:r>
      <w:r>
        <w:rPr>
          <w:rFonts w:hint="eastAsia" w:ascii="黑体" w:hAnsi="黑体" w:eastAsia="黑体"/>
          <w:szCs w:val="21"/>
        </w:rPr>
        <w:t>(负责人)</w:t>
      </w:r>
      <w:r>
        <w:rPr>
          <w:rFonts w:hint="eastAsia" w:ascii="黑体" w:hAnsi="黑体" w:eastAsia="黑体"/>
          <w:bCs/>
          <w:szCs w:val="21"/>
        </w:rPr>
        <w:t>代表人、主要负责人或授权代表签字或者盖章，并加盖公章。响应银行递交质疑函时非法定</w:t>
      </w:r>
      <w:r>
        <w:rPr>
          <w:rFonts w:hint="eastAsia" w:ascii="黑体" w:hAnsi="黑体" w:eastAsia="黑体"/>
          <w:szCs w:val="21"/>
        </w:rPr>
        <w:t>(负责人)</w:t>
      </w:r>
      <w:r>
        <w:rPr>
          <w:rFonts w:hint="eastAsia" w:ascii="黑体" w:hAnsi="黑体" w:eastAsia="黑体"/>
          <w:bCs/>
          <w:szCs w:val="21"/>
        </w:rPr>
        <w:t>代表人亲自办理的需提供法定</w:t>
      </w:r>
      <w:r>
        <w:rPr>
          <w:rFonts w:hint="eastAsia" w:ascii="黑体" w:hAnsi="黑体" w:eastAsia="黑体"/>
          <w:szCs w:val="21"/>
        </w:rPr>
        <w:t>(负责人)</w:t>
      </w:r>
      <w:r>
        <w:rPr>
          <w:rFonts w:hint="eastAsia" w:ascii="黑体" w:hAnsi="黑体" w:eastAsia="黑体"/>
          <w:bCs/>
          <w:szCs w:val="21"/>
        </w:rPr>
        <w:t>代表人授权委托书（应载明授权代表的姓名或者名称、代理事项、具体权限、期限和相关事项）及授权代表身份证复印件。</w:t>
      </w:r>
    </w:p>
    <w:p w14:paraId="42917D4A">
      <w:pPr>
        <w:pStyle w:val="32"/>
        <w:numPr>
          <w:ilvl w:val="0"/>
          <w:numId w:val="38"/>
        </w:numPr>
        <w:spacing w:line="360" w:lineRule="auto"/>
        <w:ind w:firstLineChars="0"/>
        <w:rPr>
          <w:rFonts w:ascii="黑体" w:hAnsi="黑体" w:eastAsia="黑体"/>
          <w:bCs/>
          <w:szCs w:val="21"/>
        </w:rPr>
      </w:pPr>
      <w:r>
        <w:rPr>
          <w:rFonts w:hint="eastAsia" w:ascii="黑体" w:hAnsi="黑体" w:eastAsia="黑体"/>
          <w:bCs/>
          <w:szCs w:val="21"/>
        </w:rPr>
        <w:t>采购人在收到投标人的书面质疑后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r>
        <w:rPr>
          <w:rFonts w:hint="eastAsia" w:ascii="黑体" w:hAnsi="黑体" w:eastAsia="黑体"/>
          <w:bCs/>
          <w:color w:val="auto"/>
          <w:szCs w:val="21"/>
        </w:rPr>
        <w:t>。银行捏造事实、提供虚假材料或者以非法手段取得证明材料不能作为质疑的证明材料。</w:t>
      </w:r>
    </w:p>
    <w:p w14:paraId="541C456F">
      <w:pPr>
        <w:pStyle w:val="32"/>
        <w:numPr>
          <w:ilvl w:val="0"/>
          <w:numId w:val="38"/>
        </w:numPr>
        <w:spacing w:line="360" w:lineRule="auto"/>
        <w:ind w:firstLineChars="0"/>
        <w:rPr>
          <w:rFonts w:ascii="黑体" w:hAnsi="黑体" w:eastAsia="黑体"/>
          <w:bCs/>
          <w:szCs w:val="21"/>
        </w:rPr>
      </w:pPr>
      <w:r>
        <w:rPr>
          <w:rFonts w:hint="eastAsia" w:ascii="黑体" w:hAnsi="黑体" w:eastAsia="黑体"/>
          <w:bCs/>
          <w:szCs w:val="21"/>
        </w:rPr>
        <w:t>采购人接收以书面形式递交的质疑函，接收质疑函的联系人、联系方式和通讯地址（详见第一部分《投标邀请函》中相关信息对应内容）</w:t>
      </w:r>
    </w:p>
    <w:p w14:paraId="7933CB55">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中标通知书</w:t>
      </w:r>
    </w:p>
    <w:p w14:paraId="5F70178F">
      <w:pPr>
        <w:pStyle w:val="32"/>
        <w:numPr>
          <w:ilvl w:val="0"/>
          <w:numId w:val="39"/>
        </w:numPr>
        <w:spacing w:line="360" w:lineRule="auto"/>
        <w:ind w:firstLineChars="0"/>
        <w:rPr>
          <w:rFonts w:ascii="黑体" w:hAnsi="黑体" w:eastAsia="黑体"/>
          <w:bCs/>
          <w:szCs w:val="21"/>
        </w:rPr>
      </w:pPr>
      <w:r>
        <w:rPr>
          <w:rFonts w:hint="eastAsia" w:ascii="黑体" w:hAnsi="黑体" w:eastAsia="黑体"/>
          <w:bCs/>
          <w:szCs w:val="21"/>
        </w:rPr>
        <w:t>采购人应当自中标银行确定之日起2个工作日内在相关采购信息发布媒体上公告中标结果和发出中标通知书，公告期为1个工作日。</w:t>
      </w:r>
    </w:p>
    <w:p w14:paraId="2C6DEA72">
      <w:pPr>
        <w:pStyle w:val="32"/>
        <w:numPr>
          <w:ilvl w:val="0"/>
          <w:numId w:val="39"/>
        </w:numPr>
        <w:spacing w:line="360" w:lineRule="auto"/>
        <w:ind w:firstLineChars="0"/>
        <w:rPr>
          <w:rFonts w:ascii="黑体" w:hAnsi="黑体" w:eastAsia="黑体"/>
          <w:bCs/>
          <w:szCs w:val="21"/>
        </w:rPr>
      </w:pPr>
      <w:r>
        <w:rPr>
          <w:rFonts w:hint="eastAsia" w:ascii="黑体" w:hAnsi="黑体" w:eastAsia="黑体"/>
          <w:bCs/>
          <w:szCs w:val="21"/>
        </w:rPr>
        <w:t>《中标通知书》对中标人和采购人具有同等法律效力。</w:t>
      </w:r>
    </w:p>
    <w:p w14:paraId="562441DB">
      <w:pPr>
        <w:pStyle w:val="32"/>
        <w:numPr>
          <w:ilvl w:val="0"/>
          <w:numId w:val="39"/>
        </w:numPr>
        <w:spacing w:line="360" w:lineRule="auto"/>
        <w:ind w:firstLineChars="0"/>
        <w:rPr>
          <w:rFonts w:ascii="黑体" w:hAnsi="黑体" w:eastAsia="黑体"/>
          <w:bCs/>
          <w:szCs w:val="21"/>
        </w:rPr>
      </w:pPr>
      <w:r>
        <w:rPr>
          <w:rFonts w:hint="eastAsia" w:ascii="黑体" w:hAnsi="黑体" w:eastAsia="黑体"/>
          <w:bCs/>
          <w:szCs w:val="21"/>
        </w:rPr>
        <w:t>中标通知书发出后，采购人不得违法改变中标结果，中标人无正当理由不得放弃中标。</w:t>
      </w:r>
    </w:p>
    <w:p w14:paraId="2F43C662">
      <w:pPr>
        <w:pStyle w:val="32"/>
        <w:numPr>
          <w:ilvl w:val="0"/>
          <w:numId w:val="39"/>
        </w:numPr>
        <w:spacing w:line="360" w:lineRule="auto"/>
        <w:ind w:firstLineChars="0"/>
        <w:rPr>
          <w:rFonts w:ascii="黑体" w:hAnsi="黑体" w:eastAsia="黑体"/>
          <w:bCs/>
          <w:szCs w:val="21"/>
        </w:rPr>
      </w:pPr>
      <w:r>
        <w:rPr>
          <w:rFonts w:hint="eastAsia" w:ascii="黑体" w:hAnsi="黑体" w:eastAsia="黑体"/>
          <w:bCs/>
          <w:szCs w:val="21"/>
        </w:rPr>
        <w:t>《中标通知书》将作为授予合同资格的合法依据，是合同的一个组成部分。</w:t>
      </w:r>
    </w:p>
    <w:p w14:paraId="74B1745F">
      <w:pPr>
        <w:pStyle w:val="32"/>
        <w:numPr>
          <w:ilvl w:val="0"/>
          <w:numId w:val="9"/>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授予合同</w:t>
      </w:r>
    </w:p>
    <w:p w14:paraId="6C407F32">
      <w:pPr>
        <w:pStyle w:val="32"/>
        <w:numPr>
          <w:ilvl w:val="0"/>
          <w:numId w:val="10"/>
        </w:numPr>
        <w:tabs>
          <w:tab w:val="left" w:pos="426"/>
        </w:tabs>
        <w:spacing w:line="360" w:lineRule="auto"/>
        <w:ind w:firstLineChars="0"/>
        <w:rPr>
          <w:rFonts w:ascii="黑体" w:hAnsi="黑体" w:eastAsia="黑体"/>
          <w:b/>
        </w:rPr>
      </w:pPr>
      <w:r>
        <w:rPr>
          <w:rFonts w:hint="eastAsia" w:ascii="黑体" w:hAnsi="黑体" w:eastAsia="黑体"/>
          <w:b/>
        </w:rPr>
        <w:t>合同的订立</w:t>
      </w:r>
    </w:p>
    <w:p w14:paraId="53B13B18">
      <w:pPr>
        <w:pStyle w:val="32"/>
        <w:numPr>
          <w:ilvl w:val="0"/>
          <w:numId w:val="40"/>
        </w:numPr>
        <w:spacing w:line="360" w:lineRule="auto"/>
        <w:ind w:firstLineChars="0"/>
        <w:rPr>
          <w:rFonts w:ascii="黑体" w:hAnsi="黑体" w:eastAsia="黑体"/>
          <w:bCs/>
          <w:szCs w:val="21"/>
        </w:rPr>
      </w:pPr>
      <w:r>
        <w:rPr>
          <w:rFonts w:hint="eastAsia" w:ascii="黑体" w:hAnsi="黑体" w:eastAsia="黑体"/>
          <w:bCs/>
          <w:szCs w:val="21"/>
        </w:rPr>
        <w:t>除非</w:t>
      </w:r>
      <w:r>
        <w:rPr>
          <w:rFonts w:hint="eastAsia" w:ascii="黑体" w:hAnsi="黑体" w:eastAsia="黑体"/>
          <w:bCs/>
          <w:szCs w:val="21"/>
          <w:u w:val="single"/>
        </w:rPr>
        <w:t xml:space="preserve"> </w:t>
      </w:r>
      <w:r>
        <w:rPr>
          <w:rFonts w:hint="eastAsia" w:ascii="黑体" w:hAnsi="黑体" w:eastAsia="黑体"/>
          <w:b/>
          <w:bCs/>
          <w:szCs w:val="21"/>
          <w:u w:val="single"/>
        </w:rPr>
        <w:t xml:space="preserve">投标须知前附表 </w:t>
      </w:r>
      <w:r>
        <w:rPr>
          <w:rFonts w:hint="eastAsia" w:ascii="黑体" w:hAnsi="黑体" w:eastAsia="黑体"/>
          <w:bCs/>
          <w:szCs w:val="21"/>
        </w:rPr>
        <w:t>另有规定，采购人应当自《中标通知书》发出之日起三十日内，按照招标文件和中标人投标文件的约定，与中标人签订书面合同。所签订的合同不得对招标文件确定的事项和中标人投标文件作实质性修改。</w:t>
      </w:r>
    </w:p>
    <w:p w14:paraId="26173F44">
      <w:pPr>
        <w:pStyle w:val="32"/>
        <w:numPr>
          <w:ilvl w:val="0"/>
          <w:numId w:val="40"/>
        </w:numPr>
        <w:spacing w:line="360" w:lineRule="auto"/>
        <w:ind w:firstLineChars="0"/>
        <w:rPr>
          <w:rFonts w:ascii="黑体" w:hAnsi="黑体" w:eastAsia="黑体"/>
          <w:bCs/>
          <w:szCs w:val="21"/>
        </w:rPr>
      </w:pPr>
      <w:r>
        <w:rPr>
          <w:rFonts w:hint="eastAsia" w:ascii="黑体" w:hAnsi="黑体" w:eastAsia="黑体"/>
          <w:bCs/>
          <w:szCs w:val="21"/>
        </w:rPr>
        <w:t>采购人不得向中标人提出任何不合理的要求作为签订合同的条件。</w:t>
      </w:r>
    </w:p>
    <w:p w14:paraId="1D181497">
      <w:pPr>
        <w:pStyle w:val="32"/>
        <w:numPr>
          <w:ilvl w:val="0"/>
          <w:numId w:val="40"/>
        </w:numPr>
        <w:spacing w:line="360" w:lineRule="auto"/>
        <w:ind w:firstLineChars="0"/>
        <w:rPr>
          <w:rFonts w:ascii="黑体" w:hAnsi="黑体" w:eastAsia="黑体"/>
          <w:bCs/>
          <w:szCs w:val="21"/>
        </w:rPr>
      </w:pPr>
      <w:r>
        <w:rPr>
          <w:rFonts w:hint="eastAsia" w:ascii="黑体" w:hAnsi="黑体" w:eastAsia="黑体"/>
          <w:bCs/>
          <w:szCs w:val="21"/>
        </w:rPr>
        <w:t>中标人领取招标文件至投标有效期结束期间，采购人及中标人关于本项目的各类澄清、修改及补充文件均视为采购合同的有效组成部分。</w:t>
      </w:r>
    </w:p>
    <w:p w14:paraId="2A3AE402">
      <w:pPr>
        <w:pStyle w:val="32"/>
        <w:numPr>
          <w:ilvl w:val="0"/>
          <w:numId w:val="40"/>
        </w:numPr>
        <w:spacing w:line="360" w:lineRule="auto"/>
        <w:ind w:firstLineChars="0"/>
        <w:rPr>
          <w:rFonts w:ascii="黑体" w:hAnsi="黑体" w:eastAsia="黑体"/>
          <w:bCs/>
          <w:szCs w:val="21"/>
        </w:rPr>
      </w:pPr>
      <w:r>
        <w:rPr>
          <w:rFonts w:ascii="黑体" w:hAnsi="黑体" w:eastAsia="黑体"/>
          <w:bCs/>
          <w:szCs w:val="21"/>
        </w:rPr>
        <w:t>中标</w:t>
      </w:r>
      <w:r>
        <w:rPr>
          <w:rFonts w:hint="eastAsia" w:ascii="黑体" w:hAnsi="黑体" w:eastAsia="黑体"/>
          <w:bCs/>
          <w:szCs w:val="21"/>
        </w:rPr>
        <w:t>人</w:t>
      </w:r>
      <w:r>
        <w:rPr>
          <w:rFonts w:ascii="黑体" w:hAnsi="黑体" w:eastAsia="黑体"/>
          <w:bCs/>
          <w:szCs w:val="21"/>
        </w:rPr>
        <w:t>拒绝与采购人签订合同的，采购人可以按照评审报告推荐的中标候选人名单排序，确定下一候选人为中标</w:t>
      </w:r>
      <w:r>
        <w:rPr>
          <w:rFonts w:hint="eastAsia" w:ascii="黑体" w:hAnsi="黑体" w:eastAsia="黑体"/>
          <w:bCs/>
          <w:szCs w:val="21"/>
        </w:rPr>
        <w:t>人</w:t>
      </w:r>
      <w:r>
        <w:rPr>
          <w:rFonts w:ascii="黑体" w:hAnsi="黑体" w:eastAsia="黑体"/>
          <w:bCs/>
          <w:szCs w:val="21"/>
        </w:rPr>
        <w:t>，也可以重新开展采购活动。</w:t>
      </w:r>
    </w:p>
    <w:p w14:paraId="27DEF18C">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合同的履行</w:t>
      </w:r>
    </w:p>
    <w:p w14:paraId="038A7990">
      <w:pPr>
        <w:pStyle w:val="32"/>
        <w:numPr>
          <w:ilvl w:val="0"/>
          <w:numId w:val="41"/>
        </w:numPr>
        <w:spacing w:line="360" w:lineRule="auto"/>
        <w:ind w:firstLineChars="0"/>
        <w:rPr>
          <w:rFonts w:ascii="黑体" w:hAnsi="黑体" w:eastAsia="黑体"/>
          <w:bCs/>
          <w:szCs w:val="21"/>
        </w:rPr>
      </w:pPr>
      <w:r>
        <w:rPr>
          <w:rFonts w:hint="eastAsia" w:ascii="黑体" w:hAnsi="黑体" w:eastAsia="黑体"/>
          <w:bCs/>
          <w:szCs w:val="21"/>
        </w:rPr>
        <w:t>采购人和中标人应当根据合同的约定依法履行合同义务。</w:t>
      </w:r>
    </w:p>
    <w:p w14:paraId="193021A3">
      <w:pPr>
        <w:pStyle w:val="32"/>
        <w:numPr>
          <w:ilvl w:val="0"/>
          <w:numId w:val="41"/>
        </w:numPr>
        <w:spacing w:line="360" w:lineRule="auto"/>
        <w:ind w:firstLineChars="0"/>
        <w:rPr>
          <w:rFonts w:ascii="黑体" w:hAnsi="黑体" w:eastAsia="黑体"/>
          <w:bCs/>
          <w:szCs w:val="21"/>
        </w:rPr>
      </w:pPr>
      <w:r>
        <w:rPr>
          <w:rFonts w:hint="eastAsia" w:ascii="黑体" w:hAnsi="黑体" w:eastAsia="黑体"/>
          <w:bCs/>
          <w:szCs w:val="21"/>
        </w:rPr>
        <w:t>采购合同订立后，合同各方不得擅自变更、中止或者终止合同。</w:t>
      </w:r>
    </w:p>
    <w:p w14:paraId="45CFAF4C">
      <w:pPr>
        <w:pStyle w:val="32"/>
        <w:numPr>
          <w:ilvl w:val="0"/>
          <w:numId w:val="41"/>
        </w:numPr>
        <w:spacing w:line="360" w:lineRule="auto"/>
        <w:ind w:firstLineChars="0"/>
        <w:rPr>
          <w:rFonts w:ascii="黑体" w:hAnsi="黑体" w:eastAsia="黑体"/>
          <w:bCs/>
          <w:szCs w:val="21"/>
        </w:rPr>
      </w:pPr>
      <w:r>
        <w:rPr>
          <w:rFonts w:hint="eastAsia" w:ascii="黑体" w:hAnsi="黑体" w:eastAsia="黑体"/>
          <w:bCs/>
          <w:szCs w:val="21"/>
        </w:rPr>
        <w:t>采购合同履行中，采购人需追加与合同标的相同的货物、工程或者服务的，在不改变合同其他条款的前提下，可以与银行签订补充合同，但所补充合同的采购金额不得超过原合同采购金额的百分之十。签订补充合同的必须按规定备案。</w:t>
      </w:r>
    </w:p>
    <w:p w14:paraId="049F13E2">
      <w:pPr>
        <w:pStyle w:val="32"/>
        <w:numPr>
          <w:ilvl w:val="0"/>
          <w:numId w:val="10"/>
        </w:numPr>
        <w:tabs>
          <w:tab w:val="left" w:pos="426"/>
        </w:tabs>
        <w:spacing w:beforeLines="100" w:line="360" w:lineRule="auto"/>
        <w:ind w:firstLineChars="0"/>
        <w:rPr>
          <w:rFonts w:ascii="黑体" w:hAnsi="黑体" w:eastAsia="黑体"/>
          <w:b/>
        </w:rPr>
      </w:pPr>
      <w:bookmarkStart w:id="19" w:name="_Toc357676146"/>
      <w:r>
        <w:rPr>
          <w:rFonts w:hint="eastAsia" w:ascii="黑体" w:hAnsi="黑体" w:eastAsia="黑体"/>
          <w:b/>
        </w:rPr>
        <w:t>接受和拒绝任何或所有投标的权力</w:t>
      </w:r>
      <w:bookmarkEnd w:id="19"/>
    </w:p>
    <w:p w14:paraId="4260A8AA">
      <w:pPr>
        <w:pStyle w:val="32"/>
        <w:spacing w:line="360" w:lineRule="auto"/>
        <w:ind w:left="420" w:firstLine="0" w:firstLineChars="0"/>
        <w:rPr>
          <w:rFonts w:ascii="黑体" w:hAnsi="黑体" w:eastAsia="黑体"/>
          <w:bCs/>
          <w:szCs w:val="21"/>
        </w:rPr>
      </w:pPr>
      <w:r>
        <w:rPr>
          <w:rFonts w:hint="eastAsia" w:ascii="黑体" w:hAnsi="黑体" w:eastAsia="黑体"/>
          <w:bCs/>
          <w:szCs w:val="21"/>
        </w:rPr>
        <w:t>在特殊情况下，采购人保留在投标之前拒绝任何投标以及宣布招标程序无效或拒绝所有投标的权力。</w:t>
      </w:r>
    </w:p>
    <w:p w14:paraId="3BC45317">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招标文件符号说明</w:t>
      </w:r>
    </w:p>
    <w:p w14:paraId="23971B52">
      <w:pPr>
        <w:pStyle w:val="32"/>
        <w:spacing w:line="360" w:lineRule="auto"/>
        <w:ind w:left="420" w:firstLine="0" w:firstLineChars="0"/>
        <w:rPr>
          <w:rFonts w:ascii="黑体" w:hAnsi="黑体" w:eastAsia="黑体"/>
          <w:bCs/>
          <w:szCs w:val="21"/>
        </w:rPr>
      </w:pPr>
      <w:r>
        <w:rPr>
          <w:rFonts w:hint="eastAsia" w:ascii="黑体" w:hAnsi="黑体" w:eastAsia="黑体"/>
          <w:bCs/>
          <w:szCs w:val="21"/>
        </w:rPr>
        <w:t>招标文件中，带“★”符号的内容为必须响应条款，偏离将导致废标；带“▲”符号的内容为用户需求重点技术参数，若未能响应，则在评标过程中根据评审内容作扣分处理。</w:t>
      </w:r>
    </w:p>
    <w:p w14:paraId="53BFD6DA">
      <w:pPr>
        <w:pStyle w:val="32"/>
        <w:numPr>
          <w:ilvl w:val="0"/>
          <w:numId w:val="10"/>
        </w:numPr>
        <w:tabs>
          <w:tab w:val="left" w:pos="426"/>
        </w:tabs>
        <w:spacing w:beforeLines="100" w:line="360" w:lineRule="auto"/>
        <w:ind w:firstLineChars="0"/>
        <w:rPr>
          <w:rFonts w:ascii="黑体" w:hAnsi="黑体" w:eastAsia="黑体"/>
          <w:b/>
        </w:rPr>
      </w:pPr>
      <w:r>
        <w:rPr>
          <w:rFonts w:hint="eastAsia" w:ascii="黑体" w:hAnsi="黑体" w:eastAsia="黑体"/>
          <w:b/>
        </w:rPr>
        <w:t>适用法律</w:t>
      </w:r>
    </w:p>
    <w:p w14:paraId="66F9E062">
      <w:pPr>
        <w:pStyle w:val="32"/>
        <w:spacing w:line="360" w:lineRule="auto"/>
        <w:ind w:left="420" w:firstLine="0" w:firstLineChars="0"/>
        <w:rPr>
          <w:rFonts w:ascii="黑体" w:hAnsi="黑体" w:eastAsia="黑体"/>
          <w:bCs/>
          <w:szCs w:val="21"/>
        </w:rPr>
      </w:pPr>
      <w:r>
        <w:rPr>
          <w:rFonts w:hint="eastAsia" w:ascii="黑体" w:hAnsi="黑体" w:eastAsia="黑体"/>
          <w:bCs/>
          <w:szCs w:val="21"/>
        </w:rPr>
        <w:t>采购人及投标人的一切招标投标活动均参考适用《中华人民共和国政府采购法》、《中华人民共和国政府采购法实施条例》及其配套的法规、规章、政策。</w:t>
      </w:r>
    </w:p>
    <w:p w14:paraId="6350A687">
      <w:pPr>
        <w:pStyle w:val="32"/>
        <w:spacing w:line="360" w:lineRule="auto"/>
        <w:ind w:firstLine="0" w:firstLineChars="0"/>
        <w:rPr>
          <w:rFonts w:ascii="黑体" w:hAnsi="黑体" w:eastAsia="黑体"/>
          <w:bCs/>
          <w:szCs w:val="21"/>
        </w:rPr>
      </w:pPr>
    </w:p>
    <w:p w14:paraId="09932036">
      <w:pPr>
        <w:pStyle w:val="3"/>
        <w:pageBreakBefore/>
        <w:spacing w:line="360" w:lineRule="auto"/>
        <w:jc w:val="center"/>
        <w:rPr>
          <w:rFonts w:ascii="黑体" w:hAnsi="黑体" w:eastAsia="黑体"/>
          <w:spacing w:val="20"/>
          <w:sz w:val="32"/>
          <w:szCs w:val="32"/>
        </w:rPr>
      </w:pPr>
      <w:bookmarkStart w:id="20" w:name="_Toc23715269"/>
      <w:bookmarkStart w:id="21" w:name="_Toc391627751"/>
      <w:bookmarkStart w:id="22" w:name="_Toc405313955"/>
      <w:r>
        <w:rPr>
          <w:rFonts w:hint="eastAsia" w:ascii="黑体" w:hAnsi="黑体" w:eastAsia="黑体"/>
          <w:spacing w:val="20"/>
          <w:sz w:val="32"/>
          <w:szCs w:val="32"/>
        </w:rPr>
        <w:t>第五部分 评标方法、步骤、标准</w:t>
      </w:r>
      <w:bookmarkEnd w:id="20"/>
      <w:bookmarkEnd w:id="21"/>
      <w:bookmarkEnd w:id="22"/>
    </w:p>
    <w:p w14:paraId="6237E40D">
      <w:pPr>
        <w:spacing w:line="360" w:lineRule="auto"/>
        <w:ind w:firstLine="420" w:firstLineChars="200"/>
        <w:rPr>
          <w:rFonts w:ascii="黑体" w:hAnsi="黑体" w:eastAsia="黑体"/>
          <w:bCs/>
          <w:szCs w:val="21"/>
        </w:rPr>
      </w:pPr>
      <w:r>
        <w:rPr>
          <w:rFonts w:hint="eastAsia" w:ascii="黑体" w:hAnsi="黑体" w:eastAsia="黑体"/>
          <w:bCs/>
          <w:szCs w:val="21"/>
        </w:rPr>
        <w:t>参考</w:t>
      </w:r>
      <w:r>
        <w:rPr>
          <w:rFonts w:hint="eastAsia" w:ascii="黑体" w:hAnsi="黑体" w:eastAsia="黑体"/>
          <w:szCs w:val="21"/>
        </w:rPr>
        <w:t>《中华人民共和国政府采购法》、《中华人民共和国政府采购法实施条例》、广东省实施《中华人民共和国政府采购法》办法、财政部《政府采购货物和服务招标投标管理办法》</w:t>
      </w:r>
      <w:r>
        <w:rPr>
          <w:rFonts w:hint="eastAsia" w:ascii="黑体" w:hAnsi="黑体" w:eastAsia="黑体"/>
          <w:bCs/>
          <w:szCs w:val="21"/>
        </w:rPr>
        <w:t>及相关法律、法规的规定确定以下评标方法、步骤及标准：</w:t>
      </w:r>
    </w:p>
    <w:p w14:paraId="5315FB17">
      <w:pPr>
        <w:pStyle w:val="32"/>
        <w:numPr>
          <w:ilvl w:val="0"/>
          <w:numId w:val="42"/>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总则</w:t>
      </w:r>
    </w:p>
    <w:p w14:paraId="2452976F">
      <w:pPr>
        <w:pStyle w:val="32"/>
        <w:numPr>
          <w:ilvl w:val="0"/>
          <w:numId w:val="43"/>
        </w:numPr>
        <w:spacing w:line="360" w:lineRule="auto"/>
        <w:ind w:firstLineChars="0"/>
        <w:rPr>
          <w:rFonts w:ascii="黑体" w:hAnsi="黑体" w:eastAsia="黑体"/>
          <w:b/>
          <w:bCs/>
          <w:szCs w:val="21"/>
        </w:rPr>
      </w:pPr>
      <w:r>
        <w:rPr>
          <w:rFonts w:hint="eastAsia" w:ascii="黑体" w:hAnsi="黑体" w:eastAsia="黑体"/>
          <w:b/>
          <w:bCs/>
          <w:szCs w:val="21"/>
        </w:rPr>
        <w:t>评标委员会</w:t>
      </w:r>
    </w:p>
    <w:p w14:paraId="27B0B01A">
      <w:pPr>
        <w:pStyle w:val="32"/>
        <w:numPr>
          <w:ilvl w:val="0"/>
          <w:numId w:val="44"/>
        </w:numPr>
        <w:spacing w:line="360" w:lineRule="auto"/>
        <w:ind w:firstLineChars="0"/>
        <w:rPr>
          <w:rFonts w:ascii="黑体" w:hAnsi="黑体" w:eastAsia="黑体"/>
          <w:bCs/>
          <w:szCs w:val="21"/>
        </w:rPr>
      </w:pPr>
      <w:r>
        <w:rPr>
          <w:rFonts w:hint="eastAsia" w:ascii="黑体" w:hAnsi="黑体" w:eastAsia="黑体"/>
          <w:bCs/>
          <w:szCs w:val="21"/>
        </w:rPr>
        <w:t>本次招标依法组建评标委员会。</w:t>
      </w:r>
    </w:p>
    <w:p w14:paraId="150F1E70">
      <w:pPr>
        <w:pStyle w:val="32"/>
        <w:numPr>
          <w:ilvl w:val="0"/>
          <w:numId w:val="44"/>
        </w:numPr>
        <w:spacing w:line="360" w:lineRule="auto"/>
        <w:ind w:firstLineChars="0"/>
        <w:rPr>
          <w:rFonts w:ascii="黑体" w:hAnsi="黑体" w:eastAsia="黑体"/>
          <w:bCs/>
          <w:szCs w:val="21"/>
        </w:rPr>
      </w:pPr>
      <w:r>
        <w:rPr>
          <w:rFonts w:hint="eastAsia" w:ascii="黑体" w:hAnsi="黑体" w:eastAsia="黑体"/>
          <w:bCs/>
          <w:szCs w:val="21"/>
        </w:rPr>
        <w:t>评审专家（不含采购人代表）有下列情形之一的，受到邀请应主动提出回避，采购当事人也可以要求该评审专家回避：</w:t>
      </w:r>
    </w:p>
    <w:p w14:paraId="313392DF">
      <w:pPr>
        <w:pStyle w:val="32"/>
        <w:numPr>
          <w:ilvl w:val="0"/>
          <w:numId w:val="45"/>
        </w:numPr>
        <w:spacing w:line="360" w:lineRule="auto"/>
        <w:ind w:firstLineChars="0"/>
        <w:rPr>
          <w:rFonts w:ascii="黑体" w:hAnsi="黑体" w:eastAsia="黑体"/>
          <w:bCs/>
          <w:szCs w:val="21"/>
        </w:rPr>
      </w:pPr>
      <w:r>
        <w:rPr>
          <w:rFonts w:hint="eastAsia" w:ascii="黑体" w:hAnsi="黑体" w:eastAsia="黑体"/>
          <w:bCs/>
          <w:szCs w:val="21"/>
        </w:rPr>
        <w:t>参加采购活动前三年内，与银行存在劳动关系,或者担任过银行的董事、监事,或者是银行的控股股东或实际控制人；</w:t>
      </w:r>
    </w:p>
    <w:p w14:paraId="30ADB2BC">
      <w:pPr>
        <w:pStyle w:val="32"/>
        <w:numPr>
          <w:ilvl w:val="0"/>
          <w:numId w:val="45"/>
        </w:numPr>
        <w:spacing w:line="360" w:lineRule="auto"/>
        <w:ind w:firstLineChars="0"/>
        <w:rPr>
          <w:rFonts w:ascii="黑体" w:hAnsi="黑体" w:eastAsia="黑体"/>
          <w:bCs/>
          <w:szCs w:val="21"/>
        </w:rPr>
      </w:pPr>
      <w:r>
        <w:rPr>
          <w:rFonts w:hint="eastAsia" w:ascii="黑体" w:hAnsi="黑体" w:eastAsia="黑体"/>
          <w:bCs/>
          <w:szCs w:val="21"/>
        </w:rPr>
        <w:t>与银行的法定代表人或者负责人有夫妻、直系血亲、三代以内旁系血亲或者近姻亲关系；</w:t>
      </w:r>
    </w:p>
    <w:p w14:paraId="1C8291D2">
      <w:pPr>
        <w:pStyle w:val="32"/>
        <w:numPr>
          <w:ilvl w:val="0"/>
          <w:numId w:val="45"/>
        </w:numPr>
        <w:spacing w:line="360" w:lineRule="auto"/>
        <w:ind w:firstLineChars="0"/>
        <w:rPr>
          <w:rFonts w:ascii="黑体" w:hAnsi="黑体" w:eastAsia="黑体"/>
          <w:bCs/>
          <w:szCs w:val="21"/>
        </w:rPr>
      </w:pPr>
      <w:r>
        <w:rPr>
          <w:rFonts w:hint="eastAsia" w:ascii="黑体" w:hAnsi="黑体" w:eastAsia="黑体"/>
          <w:bCs/>
          <w:szCs w:val="21"/>
        </w:rPr>
        <w:t>与银行有其他可能影响采购活动公平、公正进行的关系；</w:t>
      </w:r>
    </w:p>
    <w:p w14:paraId="334639BC">
      <w:pPr>
        <w:pStyle w:val="32"/>
        <w:numPr>
          <w:ilvl w:val="0"/>
          <w:numId w:val="45"/>
        </w:numPr>
        <w:spacing w:line="360" w:lineRule="auto"/>
        <w:ind w:firstLineChars="0"/>
        <w:rPr>
          <w:rFonts w:ascii="黑体" w:hAnsi="黑体" w:eastAsia="黑体"/>
          <w:bCs/>
          <w:szCs w:val="21"/>
        </w:rPr>
      </w:pPr>
      <w:r>
        <w:rPr>
          <w:rFonts w:hint="eastAsia" w:ascii="黑体" w:hAnsi="黑体" w:eastAsia="黑体"/>
          <w:bCs/>
          <w:szCs w:val="21"/>
        </w:rPr>
        <w:t>就该采购项目招标文件征询过意见的。</w:t>
      </w:r>
    </w:p>
    <w:p w14:paraId="5CFCBB11">
      <w:pPr>
        <w:pStyle w:val="32"/>
        <w:numPr>
          <w:ilvl w:val="0"/>
          <w:numId w:val="44"/>
        </w:numPr>
        <w:spacing w:line="360" w:lineRule="auto"/>
        <w:ind w:firstLineChars="0"/>
        <w:rPr>
          <w:rFonts w:ascii="黑体" w:hAnsi="黑体" w:eastAsia="黑体"/>
          <w:bCs/>
          <w:szCs w:val="21"/>
        </w:rPr>
      </w:pPr>
      <w:r>
        <w:rPr>
          <w:rFonts w:hint="eastAsia" w:ascii="黑体" w:hAnsi="黑体" w:eastAsia="黑体"/>
          <w:bCs/>
          <w:szCs w:val="21"/>
        </w:rPr>
        <w:t>评标委员会将按照招标文件确定的评标方法进行评标。</w:t>
      </w:r>
      <w:r>
        <w:rPr>
          <w:rFonts w:ascii="黑体" w:hAnsi="黑体" w:eastAsia="黑体"/>
          <w:bCs/>
          <w:szCs w:val="21"/>
        </w:rPr>
        <w:t>对招标文件中描述有歧义或前后不一致的地方，评标委员会有权</w:t>
      </w:r>
      <w:r>
        <w:rPr>
          <w:rFonts w:hint="eastAsia" w:ascii="黑体" w:hAnsi="黑体" w:eastAsia="黑体"/>
          <w:bCs/>
          <w:szCs w:val="21"/>
        </w:rPr>
        <w:t>按法律法规的规定</w:t>
      </w:r>
      <w:r>
        <w:rPr>
          <w:rFonts w:ascii="黑体" w:hAnsi="黑体" w:eastAsia="黑体"/>
          <w:bCs/>
          <w:szCs w:val="21"/>
        </w:rPr>
        <w:t>进行评判，但对同一条款的评判应适用于每个投标人</w:t>
      </w:r>
      <w:r>
        <w:rPr>
          <w:rFonts w:hint="eastAsia" w:ascii="黑体" w:hAnsi="黑体" w:eastAsia="黑体"/>
          <w:bCs/>
          <w:szCs w:val="21"/>
        </w:rPr>
        <w:t>。</w:t>
      </w:r>
    </w:p>
    <w:p w14:paraId="4ED4E74E">
      <w:pPr>
        <w:pStyle w:val="32"/>
        <w:numPr>
          <w:ilvl w:val="0"/>
          <w:numId w:val="44"/>
        </w:numPr>
        <w:spacing w:line="360" w:lineRule="auto"/>
        <w:ind w:firstLineChars="0"/>
        <w:rPr>
          <w:rFonts w:ascii="黑体" w:hAnsi="黑体" w:eastAsia="黑体"/>
          <w:bCs/>
          <w:szCs w:val="21"/>
        </w:rPr>
      </w:pPr>
      <w:r>
        <w:rPr>
          <w:rFonts w:hint="eastAsia" w:ascii="黑体" w:hAnsi="黑体" w:eastAsia="黑体"/>
          <w:bCs/>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BBC937F">
      <w:pPr>
        <w:pStyle w:val="32"/>
        <w:numPr>
          <w:ilvl w:val="0"/>
          <w:numId w:val="44"/>
        </w:numPr>
        <w:spacing w:line="360" w:lineRule="auto"/>
        <w:ind w:firstLineChars="0"/>
        <w:rPr>
          <w:rFonts w:ascii="黑体" w:hAnsi="黑体" w:eastAsia="黑体"/>
          <w:bCs/>
          <w:spacing w:val="-4"/>
          <w:szCs w:val="21"/>
        </w:rPr>
      </w:pPr>
      <w:r>
        <w:rPr>
          <w:rFonts w:hint="eastAsia" w:ascii="黑体" w:hAnsi="黑体" w:eastAsia="黑体"/>
          <w:bCs/>
          <w:szCs w:val="21"/>
        </w:rPr>
        <w:t>参</w:t>
      </w:r>
      <w:r>
        <w:rPr>
          <w:rFonts w:hint="eastAsia" w:ascii="黑体" w:hAnsi="黑体" w:eastAsia="黑体"/>
          <w:bCs/>
          <w:spacing w:val="-2"/>
          <w:szCs w:val="21"/>
        </w:rPr>
        <w:t>与评标工作的所有人员必须遵守</w:t>
      </w:r>
      <w:r>
        <w:rPr>
          <w:rFonts w:hint="eastAsia" w:ascii="黑体" w:hAnsi="黑体" w:eastAsia="黑体"/>
          <w:spacing w:val="-2"/>
          <w:szCs w:val="21"/>
        </w:rPr>
        <w:t>《中华人民共和国政府采购法》、《中华人民共和国政府采购法实施条例》、广东省实施《中华人民共和国政府采购法》办法、财政部《政府采购货物和服务招标投标管理办法》</w:t>
      </w:r>
      <w:r>
        <w:rPr>
          <w:rFonts w:hint="eastAsia" w:ascii="黑体" w:hAnsi="黑体" w:eastAsia="黑体"/>
          <w:bCs/>
          <w:spacing w:val="-2"/>
          <w:szCs w:val="21"/>
        </w:rPr>
        <w:t>及相关法律、法规的规定，以确保评标的公平、公正。</w:t>
      </w:r>
    </w:p>
    <w:p w14:paraId="38CDABF2">
      <w:pPr>
        <w:pStyle w:val="32"/>
        <w:numPr>
          <w:ilvl w:val="0"/>
          <w:numId w:val="43"/>
        </w:numPr>
        <w:spacing w:beforeLines="100" w:line="360" w:lineRule="auto"/>
        <w:ind w:firstLineChars="0"/>
        <w:rPr>
          <w:rFonts w:ascii="黑体" w:hAnsi="黑体" w:eastAsia="黑体"/>
          <w:b/>
          <w:bCs/>
          <w:szCs w:val="21"/>
        </w:rPr>
      </w:pPr>
      <w:r>
        <w:rPr>
          <w:rFonts w:hint="eastAsia" w:ascii="黑体" w:hAnsi="黑体" w:eastAsia="黑体"/>
          <w:b/>
          <w:bCs/>
          <w:szCs w:val="21"/>
        </w:rPr>
        <w:t>评标方法</w:t>
      </w:r>
    </w:p>
    <w:p w14:paraId="6275D790">
      <w:pPr>
        <w:pStyle w:val="32"/>
        <w:numPr>
          <w:ilvl w:val="0"/>
          <w:numId w:val="46"/>
        </w:numPr>
        <w:spacing w:line="360" w:lineRule="auto"/>
        <w:ind w:firstLineChars="0"/>
        <w:rPr>
          <w:rFonts w:ascii="黑体" w:hAnsi="黑体" w:eastAsia="黑体"/>
          <w:bCs/>
          <w:szCs w:val="21"/>
        </w:rPr>
      </w:pPr>
      <w:r>
        <w:rPr>
          <w:rFonts w:hint="eastAsia" w:ascii="黑体" w:hAnsi="黑体" w:eastAsia="黑体"/>
          <w:bCs/>
          <w:szCs w:val="21"/>
        </w:rPr>
        <w:t>本次评标采用</w:t>
      </w:r>
      <w:r>
        <w:rPr>
          <w:rFonts w:hint="eastAsia" w:ascii="黑体" w:hAnsi="黑体" w:eastAsia="黑体"/>
          <w:b/>
          <w:bCs/>
          <w:szCs w:val="21"/>
        </w:rPr>
        <w:t>综合评分法</w:t>
      </w:r>
      <w:r>
        <w:rPr>
          <w:rFonts w:hint="eastAsia" w:ascii="黑体" w:hAnsi="黑体" w:eastAsia="黑体"/>
          <w:bCs/>
          <w:szCs w:val="21"/>
        </w:rPr>
        <w:t>；综合评分法，是指投标文件满足招标文件全部实质性要求，且按照评审因素的量化指标评审得分最高的投标人为中标候选人的评标方法。综合得分为商务技术得分。</w:t>
      </w:r>
    </w:p>
    <w:p w14:paraId="51561BD9">
      <w:pPr>
        <w:pStyle w:val="32"/>
        <w:numPr>
          <w:ilvl w:val="0"/>
          <w:numId w:val="46"/>
        </w:numPr>
        <w:spacing w:line="360" w:lineRule="auto"/>
        <w:ind w:firstLineChars="0"/>
        <w:rPr>
          <w:rFonts w:ascii="黑体" w:hAnsi="黑体" w:eastAsia="黑体"/>
          <w:bCs/>
          <w:szCs w:val="21"/>
        </w:rPr>
      </w:pPr>
      <w:r>
        <w:rPr>
          <w:rFonts w:hint="eastAsia" w:ascii="黑体" w:hAnsi="黑体" w:eastAsia="黑体"/>
          <w:bCs/>
          <w:szCs w:val="21"/>
        </w:rPr>
        <w:t>各项得分按四舍五入原则精确到小数点后两位。</w:t>
      </w:r>
    </w:p>
    <w:p w14:paraId="429674AD">
      <w:pPr>
        <w:pStyle w:val="32"/>
        <w:numPr>
          <w:ilvl w:val="0"/>
          <w:numId w:val="43"/>
        </w:numPr>
        <w:spacing w:beforeLines="100" w:line="360" w:lineRule="auto"/>
        <w:ind w:firstLineChars="0"/>
        <w:rPr>
          <w:rFonts w:ascii="黑体" w:hAnsi="黑体" w:eastAsia="黑体"/>
          <w:bCs/>
          <w:szCs w:val="21"/>
        </w:rPr>
      </w:pPr>
      <w:r>
        <w:rPr>
          <w:rFonts w:hint="eastAsia" w:ascii="黑体" w:hAnsi="黑体" w:eastAsia="黑体"/>
          <w:b/>
          <w:bCs/>
          <w:szCs w:val="21"/>
        </w:rPr>
        <w:t>评标步骤</w:t>
      </w:r>
    </w:p>
    <w:p w14:paraId="668CE8EC">
      <w:pPr>
        <w:pStyle w:val="32"/>
        <w:spacing w:line="360" w:lineRule="auto"/>
        <w:ind w:left="420" w:firstLine="0" w:firstLineChars="0"/>
        <w:rPr>
          <w:rFonts w:ascii="黑体" w:hAnsi="黑体" w:eastAsia="黑体"/>
          <w:bCs/>
          <w:szCs w:val="21"/>
          <w:highlight w:val="none"/>
        </w:rPr>
      </w:pPr>
      <w:r>
        <w:rPr>
          <w:rFonts w:hint="eastAsia" w:ascii="黑体" w:hAnsi="黑体" w:eastAsia="黑体"/>
          <w:bCs/>
          <w:szCs w:val="21"/>
          <w:highlight w:val="none"/>
        </w:rPr>
        <w:t>采购人先对投标人进行资格性审查【详见《资格性审查表》（附表一）】，通过资格性审查的投标人由评标委员会对其投标文件进行符合性评审，再进行商务技术详细评审。只有通过符合性审查的投标才能进入详细的评审及参与综合得分排名。最后评标委员会出具评标报告，并排序</w:t>
      </w:r>
      <w:r>
        <w:rPr>
          <w:rFonts w:hint="eastAsia" w:ascii="黑体" w:hAnsi="黑体" w:eastAsia="黑体"/>
          <w:bCs/>
          <w:spacing w:val="-2"/>
          <w:szCs w:val="21"/>
          <w:highlight w:val="none"/>
        </w:rPr>
        <w:t>推荐十</w:t>
      </w:r>
      <w:r>
        <w:rPr>
          <w:rFonts w:hint="eastAsia" w:ascii="黑体" w:hAnsi="黑体" w:eastAsia="黑体"/>
          <w:bCs/>
          <w:spacing w:val="-2"/>
          <w:szCs w:val="21"/>
          <w:highlight w:val="none"/>
          <w:lang w:eastAsia="zh-CN"/>
        </w:rPr>
        <w:t>八</w:t>
      </w:r>
      <w:r>
        <w:rPr>
          <w:rFonts w:hint="eastAsia" w:ascii="黑体" w:hAnsi="黑体" w:eastAsia="黑体"/>
          <w:bCs/>
          <w:spacing w:val="-2"/>
          <w:szCs w:val="21"/>
          <w:highlight w:val="none"/>
        </w:rPr>
        <w:t>名候选人，前十</w:t>
      </w:r>
      <w:r>
        <w:rPr>
          <w:rFonts w:hint="eastAsia" w:ascii="黑体" w:hAnsi="黑体" w:eastAsia="黑体"/>
          <w:bCs/>
          <w:spacing w:val="-2"/>
          <w:szCs w:val="21"/>
          <w:highlight w:val="none"/>
          <w:lang w:eastAsia="zh-CN"/>
        </w:rPr>
        <w:t>六</w:t>
      </w:r>
      <w:r>
        <w:rPr>
          <w:rFonts w:hint="eastAsia" w:ascii="黑体" w:hAnsi="黑体" w:eastAsia="黑体"/>
          <w:bCs/>
          <w:spacing w:val="-2"/>
          <w:szCs w:val="21"/>
          <w:highlight w:val="none"/>
        </w:rPr>
        <w:t>名为中标候选人，后两名为候补中标候选人</w:t>
      </w:r>
      <w:r>
        <w:rPr>
          <w:rFonts w:hint="eastAsia" w:ascii="黑体" w:hAnsi="黑体" w:eastAsia="黑体"/>
          <w:bCs/>
          <w:szCs w:val="21"/>
          <w:highlight w:val="none"/>
        </w:rPr>
        <w:t>。</w:t>
      </w:r>
    </w:p>
    <w:p w14:paraId="2B8E916A">
      <w:pPr>
        <w:pStyle w:val="32"/>
        <w:numPr>
          <w:ilvl w:val="0"/>
          <w:numId w:val="43"/>
        </w:numPr>
        <w:spacing w:beforeLines="100" w:line="360" w:lineRule="auto"/>
        <w:ind w:firstLineChars="0"/>
        <w:rPr>
          <w:rFonts w:ascii="黑体" w:hAnsi="黑体" w:eastAsia="黑体"/>
          <w:b/>
          <w:bCs/>
          <w:szCs w:val="21"/>
        </w:rPr>
      </w:pPr>
      <w:r>
        <w:rPr>
          <w:rFonts w:hint="eastAsia" w:ascii="黑体" w:hAnsi="黑体" w:eastAsia="黑体"/>
          <w:b/>
          <w:bCs/>
          <w:szCs w:val="21"/>
        </w:rPr>
        <w:t>评分及其统计</w:t>
      </w:r>
    </w:p>
    <w:p w14:paraId="07209DA6">
      <w:pPr>
        <w:pStyle w:val="32"/>
        <w:spacing w:line="360" w:lineRule="auto"/>
        <w:ind w:left="420" w:firstLine="0" w:firstLineChars="0"/>
        <w:rPr>
          <w:rFonts w:ascii="黑体" w:hAnsi="黑体" w:eastAsia="黑体"/>
          <w:bCs/>
          <w:szCs w:val="21"/>
        </w:rPr>
      </w:pPr>
      <w:r>
        <w:rPr>
          <w:rFonts w:hint="eastAsia" w:ascii="黑体" w:hAnsi="黑体" w:eastAsia="黑体"/>
          <w:bCs/>
          <w:szCs w:val="21"/>
        </w:rPr>
        <w:t>按照评标程序、评分标准以及权重分配的规定，评标委员会各成员分别首先就各个投标人的商务状况、技术状况及其对招标文件要求的响应情况进行评议和比较，评出其商务评分和技术评分。各评委商务技术评分的算术平均值即为该投标人的商务技术得分（即综合得分）</w:t>
      </w:r>
      <w:r>
        <w:rPr>
          <w:rFonts w:hint="eastAsia" w:ascii="黑体" w:hAnsi="黑体" w:eastAsia="黑体"/>
          <w:bCs/>
          <w:szCs w:val="21"/>
          <w:lang w:eastAsia="zh-CN"/>
        </w:rPr>
        <w:t>，</w:t>
      </w:r>
      <w:r>
        <w:rPr>
          <w:rFonts w:hint="eastAsia" w:ascii="黑体" w:hAnsi="黑体" w:eastAsia="黑体"/>
          <w:bCs/>
          <w:szCs w:val="21"/>
        </w:rPr>
        <w:t>将各综合得分由高到低顺序排列，综合得分最高的投标人为第一中标候选人，综合得分次高的投标人为第二中标候选人，以此类推。</w:t>
      </w:r>
    </w:p>
    <w:p w14:paraId="734CB4BD">
      <w:pPr>
        <w:pStyle w:val="32"/>
        <w:numPr>
          <w:ilvl w:val="0"/>
          <w:numId w:val="42"/>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商务技术初步评审</w:t>
      </w:r>
    </w:p>
    <w:p w14:paraId="708202B5">
      <w:pPr>
        <w:pStyle w:val="32"/>
        <w:numPr>
          <w:ilvl w:val="0"/>
          <w:numId w:val="43"/>
        </w:numPr>
        <w:spacing w:line="360" w:lineRule="auto"/>
        <w:ind w:firstLineChars="0"/>
        <w:rPr>
          <w:rFonts w:ascii="黑体" w:hAnsi="黑体" w:eastAsia="黑体"/>
          <w:bCs/>
          <w:szCs w:val="21"/>
        </w:rPr>
      </w:pPr>
      <w:r>
        <w:rPr>
          <w:rFonts w:hint="eastAsia" w:ascii="黑体" w:hAnsi="黑体" w:eastAsia="黑体"/>
          <w:bCs/>
          <w:szCs w:val="21"/>
        </w:rPr>
        <w:t>评标委员会按照《符合性审查表》（附表二）内容对投标文件进行符合性审查，只有对《符合性审查表》所列各项作出实质性响应的投标文件才能通过符合性审查。对是否实质性响应招标文件的要求有争议的投标，评标委员会将以记名方式表决，被认为响应的得票超过半数的投标人有资格进入下一阶段的评审，否则将被淘汰。</w:t>
      </w:r>
    </w:p>
    <w:p w14:paraId="69163BD6">
      <w:pPr>
        <w:pStyle w:val="32"/>
        <w:numPr>
          <w:ilvl w:val="0"/>
          <w:numId w:val="43"/>
        </w:numPr>
        <w:spacing w:beforeLines="100" w:line="360" w:lineRule="auto"/>
        <w:ind w:firstLineChars="0"/>
        <w:rPr>
          <w:rFonts w:ascii="黑体" w:hAnsi="黑体" w:eastAsia="黑体"/>
          <w:b/>
          <w:bCs/>
          <w:szCs w:val="21"/>
        </w:rPr>
      </w:pPr>
      <w:r>
        <w:rPr>
          <w:rFonts w:hint="eastAsia" w:ascii="黑体" w:hAnsi="黑体" w:eastAsia="黑体"/>
          <w:b/>
          <w:bCs/>
          <w:szCs w:val="21"/>
        </w:rPr>
        <w:t>无效投标的认定</w:t>
      </w:r>
    </w:p>
    <w:p w14:paraId="114BB7CE">
      <w:pPr>
        <w:pStyle w:val="32"/>
        <w:spacing w:line="360" w:lineRule="auto"/>
        <w:ind w:left="420" w:firstLine="0" w:firstLineChars="0"/>
        <w:rPr>
          <w:rFonts w:ascii="黑体" w:hAnsi="黑体" w:eastAsia="黑体"/>
          <w:bCs/>
          <w:szCs w:val="21"/>
        </w:rPr>
      </w:pPr>
      <w:r>
        <w:rPr>
          <w:rFonts w:hint="eastAsia" w:ascii="黑体" w:hAnsi="黑体" w:eastAsia="黑体"/>
          <w:bCs/>
          <w:szCs w:val="21"/>
        </w:rPr>
        <w:t>按《资格性审查表》（附表一）和《符合性审查表》（附表二）所列各项，投标文件不满足招标文件要求的，将被认定为无效投标。</w:t>
      </w:r>
    </w:p>
    <w:p w14:paraId="38239530">
      <w:pPr>
        <w:pStyle w:val="32"/>
        <w:numPr>
          <w:ilvl w:val="0"/>
          <w:numId w:val="42"/>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详细评审</w:t>
      </w:r>
    </w:p>
    <w:p w14:paraId="15D1F006">
      <w:pPr>
        <w:pStyle w:val="32"/>
        <w:numPr>
          <w:ilvl w:val="0"/>
          <w:numId w:val="43"/>
        </w:numPr>
        <w:tabs>
          <w:tab w:val="left" w:pos="426"/>
        </w:tabs>
        <w:spacing w:line="360" w:lineRule="auto"/>
        <w:ind w:firstLineChars="0"/>
        <w:rPr>
          <w:rFonts w:ascii="黑体" w:hAnsi="黑体" w:eastAsia="黑体"/>
          <w:bCs/>
          <w:szCs w:val="21"/>
        </w:rPr>
      </w:pPr>
      <w:r>
        <w:rPr>
          <w:rFonts w:hint="eastAsia" w:ascii="黑体" w:hAnsi="黑体" w:eastAsia="黑体"/>
          <w:bCs/>
          <w:szCs w:val="21"/>
        </w:rPr>
        <w:t>详细评审是对通过初步评审的投标进行商务、技术(服务方案)的评审。详见商务技术评审表（附表三）。</w:t>
      </w:r>
    </w:p>
    <w:p w14:paraId="11575218">
      <w:pPr>
        <w:pStyle w:val="32"/>
        <w:numPr>
          <w:ilvl w:val="0"/>
          <w:numId w:val="42"/>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商务技术评分权重分配</w:t>
      </w:r>
    </w:p>
    <w:tbl>
      <w:tblPr>
        <w:tblStyle w:val="20"/>
        <w:tblW w:w="85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54"/>
        <w:gridCol w:w="4574"/>
      </w:tblGrid>
      <w:tr w14:paraId="74487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954" w:type="dxa"/>
            <w:vAlign w:val="center"/>
          </w:tcPr>
          <w:p w14:paraId="30DEFD09">
            <w:pPr>
              <w:jc w:val="center"/>
              <w:rPr>
                <w:rFonts w:ascii="黑体" w:hAnsi="黑体" w:eastAsia="黑体"/>
              </w:rPr>
            </w:pPr>
            <w:r>
              <w:rPr>
                <w:rFonts w:hint="eastAsia" w:ascii="黑体" w:hAnsi="黑体" w:eastAsia="黑体"/>
              </w:rPr>
              <w:t>评分项目</w:t>
            </w:r>
          </w:p>
        </w:tc>
        <w:tc>
          <w:tcPr>
            <w:tcW w:w="4574" w:type="dxa"/>
            <w:vAlign w:val="center"/>
          </w:tcPr>
          <w:p w14:paraId="7EA854DB">
            <w:pPr>
              <w:jc w:val="center"/>
              <w:rPr>
                <w:rFonts w:ascii="黑体" w:hAnsi="黑体" w:eastAsia="黑体"/>
              </w:rPr>
            </w:pPr>
            <w:r>
              <w:rPr>
                <w:rFonts w:hint="eastAsia" w:ascii="黑体" w:hAnsi="黑体" w:eastAsia="黑体"/>
              </w:rPr>
              <w:t>商务技术</w:t>
            </w:r>
          </w:p>
        </w:tc>
      </w:tr>
      <w:tr w14:paraId="6EC93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954" w:type="dxa"/>
            <w:vAlign w:val="center"/>
          </w:tcPr>
          <w:p w14:paraId="72CEFB0D">
            <w:pPr>
              <w:jc w:val="center"/>
              <w:rPr>
                <w:rFonts w:ascii="黑体" w:hAnsi="黑体" w:eastAsia="黑体"/>
              </w:rPr>
            </w:pPr>
            <w:r>
              <w:rPr>
                <w:rFonts w:hint="eastAsia" w:ascii="黑体" w:hAnsi="黑体" w:eastAsia="黑体"/>
              </w:rPr>
              <w:t>权重</w:t>
            </w:r>
          </w:p>
        </w:tc>
        <w:tc>
          <w:tcPr>
            <w:tcW w:w="4574" w:type="dxa"/>
            <w:vAlign w:val="center"/>
          </w:tcPr>
          <w:p w14:paraId="2D6C5D16">
            <w:pPr>
              <w:jc w:val="center"/>
              <w:rPr>
                <w:rFonts w:ascii="黑体" w:hAnsi="黑体" w:eastAsia="黑体"/>
              </w:rPr>
            </w:pPr>
            <w:r>
              <w:rPr>
                <w:rFonts w:hint="eastAsia" w:ascii="黑体" w:hAnsi="黑体" w:eastAsia="黑体"/>
              </w:rPr>
              <w:t>100%</w:t>
            </w:r>
          </w:p>
        </w:tc>
      </w:tr>
      <w:tr w14:paraId="4CDAD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954" w:type="dxa"/>
            <w:vAlign w:val="center"/>
          </w:tcPr>
          <w:p w14:paraId="4AD7FE47">
            <w:pPr>
              <w:jc w:val="center"/>
              <w:rPr>
                <w:rFonts w:ascii="黑体" w:hAnsi="黑体" w:eastAsia="黑体"/>
              </w:rPr>
            </w:pPr>
            <w:r>
              <w:rPr>
                <w:rFonts w:hint="eastAsia" w:ascii="黑体" w:hAnsi="黑体" w:eastAsia="黑体"/>
              </w:rPr>
              <w:t>总分值</w:t>
            </w:r>
          </w:p>
        </w:tc>
        <w:tc>
          <w:tcPr>
            <w:tcW w:w="4574" w:type="dxa"/>
            <w:vAlign w:val="center"/>
          </w:tcPr>
          <w:p w14:paraId="1376BB0A">
            <w:pPr>
              <w:jc w:val="center"/>
              <w:rPr>
                <w:rFonts w:ascii="黑体" w:hAnsi="黑体" w:eastAsia="黑体"/>
              </w:rPr>
            </w:pPr>
            <w:r>
              <w:rPr>
                <w:rFonts w:hint="eastAsia" w:ascii="黑体" w:hAnsi="黑体" w:eastAsia="黑体"/>
              </w:rPr>
              <w:t>100分</w:t>
            </w:r>
          </w:p>
        </w:tc>
      </w:tr>
    </w:tbl>
    <w:p w14:paraId="2E0FF781">
      <w:pPr>
        <w:pStyle w:val="32"/>
        <w:numPr>
          <w:ilvl w:val="0"/>
          <w:numId w:val="47"/>
        </w:numPr>
        <w:spacing w:beforeLines="50" w:line="360" w:lineRule="auto"/>
        <w:ind w:firstLineChars="0"/>
        <w:rPr>
          <w:rFonts w:ascii="黑体" w:hAnsi="黑体" w:eastAsia="黑体"/>
          <w:bCs/>
          <w:szCs w:val="21"/>
        </w:rPr>
      </w:pPr>
      <w:r>
        <w:rPr>
          <w:rFonts w:hint="eastAsia" w:ascii="黑体" w:hAnsi="黑体" w:eastAsia="黑体"/>
          <w:bCs/>
          <w:szCs w:val="21"/>
        </w:rPr>
        <w:t>综合得分＝商务技术得分</w:t>
      </w:r>
    </w:p>
    <w:p w14:paraId="1B4AE867">
      <w:pPr>
        <w:pStyle w:val="32"/>
        <w:numPr>
          <w:ilvl w:val="0"/>
          <w:numId w:val="42"/>
        </w:numPr>
        <w:spacing w:beforeLines="100" w:line="360" w:lineRule="auto"/>
        <w:ind w:firstLineChars="0"/>
        <w:rPr>
          <w:rFonts w:ascii="黑体" w:hAnsi="黑体" w:eastAsia="黑体"/>
          <w:b/>
          <w:bCs/>
          <w:sz w:val="24"/>
          <w:szCs w:val="24"/>
        </w:rPr>
      </w:pPr>
      <w:r>
        <w:rPr>
          <w:rFonts w:hint="eastAsia" w:ascii="黑体" w:hAnsi="黑体" w:eastAsia="黑体"/>
          <w:b/>
          <w:bCs/>
          <w:sz w:val="24"/>
          <w:szCs w:val="24"/>
        </w:rPr>
        <w:t>中标候选人</w:t>
      </w:r>
    </w:p>
    <w:p w14:paraId="72C27546">
      <w:pPr>
        <w:pStyle w:val="32"/>
        <w:numPr>
          <w:ilvl w:val="0"/>
          <w:numId w:val="48"/>
        </w:numPr>
        <w:spacing w:line="360" w:lineRule="auto"/>
        <w:ind w:firstLineChars="0"/>
        <w:rPr>
          <w:rFonts w:ascii="黑体" w:hAnsi="黑体" w:eastAsia="黑体"/>
          <w:bCs/>
          <w:szCs w:val="21"/>
          <w:highlight w:val="none"/>
        </w:rPr>
      </w:pPr>
      <w:r>
        <w:rPr>
          <w:rFonts w:hint="eastAsia" w:ascii="黑体" w:hAnsi="黑体" w:eastAsia="黑体"/>
          <w:bCs/>
          <w:szCs w:val="21"/>
          <w:highlight w:val="none"/>
        </w:rPr>
        <w:t>评标委员会将出具评标报告，并排序推荐</w:t>
      </w:r>
      <w:r>
        <w:rPr>
          <w:rFonts w:hint="eastAsia" w:ascii="黑体" w:hAnsi="黑体" w:eastAsia="黑体"/>
          <w:bCs/>
          <w:spacing w:val="-2"/>
          <w:szCs w:val="21"/>
          <w:highlight w:val="none"/>
          <w:lang w:eastAsia="zh-CN"/>
        </w:rPr>
        <w:t>十八</w:t>
      </w:r>
      <w:r>
        <w:rPr>
          <w:rFonts w:hint="eastAsia" w:ascii="黑体" w:hAnsi="黑体" w:eastAsia="黑体"/>
          <w:bCs/>
          <w:spacing w:val="-2"/>
          <w:szCs w:val="21"/>
          <w:highlight w:val="none"/>
        </w:rPr>
        <w:t>名候选人，前十</w:t>
      </w:r>
      <w:r>
        <w:rPr>
          <w:rFonts w:hint="eastAsia" w:ascii="黑体" w:hAnsi="黑体" w:eastAsia="黑体"/>
          <w:bCs/>
          <w:spacing w:val="-2"/>
          <w:szCs w:val="21"/>
          <w:highlight w:val="none"/>
          <w:lang w:eastAsia="zh-CN"/>
        </w:rPr>
        <w:t>六</w:t>
      </w:r>
      <w:r>
        <w:rPr>
          <w:rFonts w:hint="eastAsia" w:ascii="黑体" w:hAnsi="黑体" w:eastAsia="黑体"/>
          <w:bCs/>
          <w:spacing w:val="-2"/>
          <w:szCs w:val="21"/>
          <w:highlight w:val="none"/>
        </w:rPr>
        <w:t>名为中标候选人，后两名为候补中标候选人</w:t>
      </w:r>
      <w:r>
        <w:rPr>
          <w:rFonts w:hint="eastAsia" w:ascii="黑体" w:hAnsi="黑体" w:eastAsia="黑体"/>
          <w:bCs/>
          <w:szCs w:val="21"/>
          <w:highlight w:val="none"/>
        </w:rPr>
        <w:t>。</w:t>
      </w:r>
    </w:p>
    <w:p w14:paraId="1AA64C97">
      <w:pPr>
        <w:pStyle w:val="32"/>
        <w:numPr>
          <w:ilvl w:val="0"/>
          <w:numId w:val="49"/>
        </w:numPr>
        <w:spacing w:line="360" w:lineRule="auto"/>
        <w:ind w:firstLineChars="0"/>
        <w:rPr>
          <w:rFonts w:ascii="黑体" w:hAnsi="黑体" w:eastAsia="黑体"/>
          <w:bCs/>
          <w:spacing w:val="-2"/>
          <w:szCs w:val="21"/>
          <w:highlight w:val="none"/>
        </w:rPr>
      </w:pPr>
      <w:r>
        <w:rPr>
          <w:rFonts w:hint="eastAsia" w:ascii="黑体" w:hAnsi="黑体" w:eastAsia="黑体"/>
          <w:bCs/>
          <w:spacing w:val="-2"/>
          <w:szCs w:val="21"/>
          <w:highlight w:val="none"/>
        </w:rPr>
        <w:t>推荐中标候选投标人名单：本项目推荐十</w:t>
      </w:r>
      <w:r>
        <w:rPr>
          <w:rFonts w:hint="eastAsia" w:ascii="黑体" w:hAnsi="黑体" w:eastAsia="黑体"/>
          <w:bCs/>
          <w:spacing w:val="-2"/>
          <w:szCs w:val="21"/>
          <w:highlight w:val="none"/>
          <w:lang w:eastAsia="zh-CN"/>
        </w:rPr>
        <w:t>八</w:t>
      </w:r>
      <w:r>
        <w:rPr>
          <w:rFonts w:hint="eastAsia" w:ascii="黑体" w:hAnsi="黑体" w:eastAsia="黑体"/>
          <w:bCs/>
          <w:spacing w:val="-2"/>
          <w:szCs w:val="21"/>
          <w:highlight w:val="none"/>
        </w:rPr>
        <w:t>名候选人，前十</w:t>
      </w:r>
      <w:r>
        <w:rPr>
          <w:rFonts w:hint="eastAsia" w:ascii="黑体" w:hAnsi="黑体" w:eastAsia="黑体"/>
          <w:bCs/>
          <w:spacing w:val="-2"/>
          <w:szCs w:val="21"/>
          <w:highlight w:val="none"/>
          <w:lang w:eastAsia="zh-CN"/>
        </w:rPr>
        <w:t>六</w:t>
      </w:r>
      <w:r>
        <w:rPr>
          <w:rFonts w:hint="eastAsia" w:ascii="黑体" w:hAnsi="黑体" w:eastAsia="黑体"/>
          <w:bCs/>
          <w:spacing w:val="-2"/>
          <w:szCs w:val="21"/>
          <w:highlight w:val="none"/>
        </w:rPr>
        <w:t>名为中标候选人，后两名为候补中标候选人。将各有效投标人的综合得分由高到低顺序排列。综合得分相同的，按</w:t>
      </w:r>
      <w:r>
        <w:rPr>
          <w:rFonts w:hint="eastAsia" w:ascii="黑体" w:hAnsi="黑体" w:eastAsia="黑体"/>
          <w:bCs/>
          <w:spacing w:val="-2"/>
          <w:szCs w:val="21"/>
          <w:highlight w:val="none"/>
          <w:lang w:eastAsia="zh-CN"/>
        </w:rPr>
        <w:t>商务技术评分表备注第二条执行</w:t>
      </w:r>
      <w:r>
        <w:rPr>
          <w:rFonts w:hint="eastAsia" w:ascii="黑体" w:hAnsi="黑体" w:eastAsia="黑体"/>
          <w:bCs/>
          <w:spacing w:val="-2"/>
          <w:szCs w:val="21"/>
          <w:highlight w:val="none"/>
        </w:rPr>
        <w:t>。排名第一的投标人为第一中标候选人，排名第二的投标人为第二中标候选人，以此类推。</w:t>
      </w:r>
    </w:p>
    <w:p w14:paraId="17F1B1FE">
      <w:pPr>
        <w:pStyle w:val="32"/>
        <w:numPr>
          <w:ilvl w:val="0"/>
          <w:numId w:val="49"/>
        </w:numPr>
        <w:spacing w:line="360" w:lineRule="auto"/>
        <w:ind w:firstLineChars="0"/>
        <w:rPr>
          <w:rFonts w:ascii="黑体" w:hAnsi="黑体" w:eastAsia="黑体"/>
          <w:bCs/>
          <w:szCs w:val="21"/>
        </w:rPr>
      </w:pPr>
      <w:r>
        <w:rPr>
          <w:rFonts w:hint="eastAsia" w:ascii="黑体" w:hAnsi="黑体" w:eastAsia="黑体"/>
          <w:bCs/>
          <w:szCs w:val="21"/>
        </w:rPr>
        <w:t>如果推荐的中标候选人放弃中标资格，或因不可抗力无法签订合同，则采购人可按推荐的</w:t>
      </w:r>
      <w:r>
        <w:rPr>
          <w:rFonts w:hint="eastAsia" w:ascii="黑体" w:hAnsi="黑体" w:eastAsia="黑体"/>
          <w:bCs/>
          <w:spacing w:val="-2"/>
          <w:szCs w:val="21"/>
        </w:rPr>
        <w:t>候补中标候选人</w:t>
      </w:r>
      <w:r>
        <w:rPr>
          <w:rFonts w:hint="eastAsia" w:ascii="黑体" w:hAnsi="黑体" w:eastAsia="黑体"/>
          <w:bCs/>
          <w:szCs w:val="21"/>
        </w:rPr>
        <w:t>排名顺序依次确定中标人，亦可决定组织重新招标。</w:t>
      </w:r>
    </w:p>
    <w:p w14:paraId="1F8AACDD">
      <w:pPr>
        <w:pStyle w:val="32"/>
        <w:numPr>
          <w:ilvl w:val="0"/>
          <w:numId w:val="49"/>
        </w:numPr>
        <w:spacing w:line="360" w:lineRule="auto"/>
        <w:ind w:firstLineChars="0"/>
        <w:rPr>
          <w:rFonts w:ascii="黑体" w:hAnsi="黑体" w:eastAsia="黑体"/>
          <w:bCs/>
          <w:szCs w:val="21"/>
        </w:rPr>
      </w:pPr>
      <w:r>
        <w:rPr>
          <w:rFonts w:hint="eastAsia" w:ascii="黑体" w:hAnsi="黑体" w:eastAsia="黑体"/>
          <w:bCs/>
          <w:szCs w:val="21"/>
        </w:rPr>
        <w:t>如果推荐的中标候选人在合同签订前经采购人查证、或以其他方式取证证实其投标资料造假而被取消中标资格的，则采购人可按推荐的</w:t>
      </w:r>
      <w:r>
        <w:rPr>
          <w:rFonts w:hint="eastAsia" w:ascii="黑体" w:hAnsi="黑体" w:eastAsia="黑体"/>
          <w:bCs/>
          <w:spacing w:val="-2"/>
          <w:szCs w:val="21"/>
        </w:rPr>
        <w:t>候补中标候选人</w:t>
      </w:r>
      <w:r>
        <w:rPr>
          <w:rFonts w:hint="eastAsia" w:ascii="黑体" w:hAnsi="黑体" w:eastAsia="黑体"/>
          <w:bCs/>
          <w:szCs w:val="21"/>
        </w:rPr>
        <w:t>排名顺序依次确定中标人，亦可决定组织重新招标。</w:t>
      </w:r>
    </w:p>
    <w:p w14:paraId="2E3BED58">
      <w:pPr>
        <w:pStyle w:val="32"/>
        <w:numPr>
          <w:ilvl w:val="0"/>
          <w:numId w:val="49"/>
        </w:numPr>
        <w:spacing w:line="360" w:lineRule="auto"/>
        <w:ind w:firstLineChars="0"/>
        <w:rPr>
          <w:rFonts w:ascii="黑体" w:hAnsi="黑体" w:eastAsia="黑体"/>
          <w:bCs/>
          <w:szCs w:val="21"/>
        </w:rPr>
      </w:pPr>
      <w:r>
        <w:rPr>
          <w:rFonts w:hint="eastAsia" w:ascii="黑体" w:hAnsi="黑体" w:eastAsia="黑体"/>
          <w:bCs/>
          <w:szCs w:val="21"/>
        </w:rPr>
        <w:t>根据评标委员会的评标结果，采购人依法确定中标人，也可以事先授权评标委员会直接确定中标人。</w:t>
      </w:r>
    </w:p>
    <w:p w14:paraId="0DA74039">
      <w:pPr>
        <w:pStyle w:val="32"/>
        <w:pageBreakBefore/>
        <w:numPr>
          <w:ilvl w:val="0"/>
          <w:numId w:val="50"/>
        </w:numPr>
        <w:spacing w:beforeLines="50" w:afterLines="100" w:line="360" w:lineRule="auto"/>
        <w:ind w:left="422" w:hanging="422" w:hangingChars="200"/>
        <w:rPr>
          <w:rFonts w:ascii="黑体" w:hAnsi="黑体" w:eastAsia="黑体"/>
          <w:b/>
          <w:bCs/>
          <w:szCs w:val="21"/>
        </w:rPr>
      </w:pPr>
      <w:r>
        <w:rPr>
          <w:rFonts w:hint="eastAsia" w:ascii="黑体" w:hAnsi="黑体" w:eastAsia="黑体"/>
          <w:b/>
          <w:bCs/>
          <w:szCs w:val="21"/>
        </w:rPr>
        <w:t>附表一 资格性审查表</w:t>
      </w:r>
      <w:r>
        <w:rPr>
          <w:rFonts w:hint="eastAsia" w:ascii="黑体" w:hAnsi="黑体" w:eastAsia="黑体"/>
          <w:bCs/>
          <w:szCs w:val="21"/>
        </w:rPr>
        <w:t>（注：本表无需投标人填写）</w:t>
      </w:r>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284"/>
        <w:gridCol w:w="1110"/>
        <w:gridCol w:w="1110"/>
        <w:gridCol w:w="1109"/>
      </w:tblGrid>
      <w:tr w14:paraId="54CE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14:paraId="2872E772">
            <w:pPr>
              <w:spacing w:line="360" w:lineRule="auto"/>
              <w:jc w:val="center"/>
              <w:rPr>
                <w:rFonts w:ascii="黑体" w:hAnsi="黑体" w:eastAsia="黑体"/>
                <w:bCs/>
                <w:szCs w:val="21"/>
              </w:rPr>
            </w:pPr>
            <w:r>
              <w:rPr>
                <w:rFonts w:hint="eastAsia" w:ascii="黑体" w:hAnsi="黑体" w:eastAsia="黑体"/>
                <w:bCs/>
                <w:szCs w:val="21"/>
              </w:rPr>
              <w:t>序号</w:t>
            </w:r>
          </w:p>
        </w:tc>
        <w:tc>
          <w:tcPr>
            <w:tcW w:w="4284" w:type="dxa"/>
            <w:tcBorders>
              <w:bottom w:val="single" w:color="auto" w:sz="4" w:space="0"/>
              <w:tl2br w:val="single" w:color="auto" w:sz="4" w:space="0"/>
            </w:tcBorders>
            <w:vAlign w:val="top"/>
          </w:tcPr>
          <w:p w14:paraId="602D1151">
            <w:pPr>
              <w:spacing w:line="360" w:lineRule="auto"/>
              <w:ind w:left="210" w:hanging="210" w:hangingChars="100"/>
              <w:rPr>
                <w:rFonts w:ascii="黑体" w:hAnsi="黑体" w:eastAsia="黑体"/>
                <w:bCs/>
                <w:szCs w:val="21"/>
              </w:rPr>
            </w:pPr>
            <w:r>
              <w:rPr>
                <w:rFonts w:hint="eastAsia" w:ascii="黑体" w:hAnsi="黑体" w:eastAsia="黑体"/>
                <w:bCs/>
                <w:szCs w:val="21"/>
              </w:rPr>
              <w:t xml:space="preserve">                               投标人</w:t>
            </w:r>
          </w:p>
          <w:p w14:paraId="20887E55">
            <w:pPr>
              <w:spacing w:line="360" w:lineRule="auto"/>
              <w:ind w:firstLine="105" w:firstLineChars="50"/>
              <w:rPr>
                <w:rFonts w:ascii="黑体" w:hAnsi="黑体" w:eastAsia="黑体"/>
                <w:bCs/>
                <w:szCs w:val="21"/>
              </w:rPr>
            </w:pPr>
            <w:r>
              <w:rPr>
                <w:rFonts w:hint="eastAsia" w:ascii="黑体" w:hAnsi="黑体" w:eastAsia="黑体"/>
                <w:bCs/>
                <w:szCs w:val="21"/>
              </w:rPr>
              <w:t>审查内容</w:t>
            </w:r>
          </w:p>
        </w:tc>
        <w:tc>
          <w:tcPr>
            <w:tcW w:w="1110" w:type="dxa"/>
            <w:vAlign w:val="center"/>
          </w:tcPr>
          <w:p w14:paraId="5C984BBD">
            <w:pPr>
              <w:spacing w:line="360" w:lineRule="auto"/>
              <w:jc w:val="center"/>
              <w:rPr>
                <w:rFonts w:ascii="黑体" w:hAnsi="黑体" w:eastAsia="黑体"/>
                <w:bCs/>
                <w:szCs w:val="21"/>
              </w:rPr>
            </w:pPr>
            <w:r>
              <w:rPr>
                <w:rFonts w:hint="eastAsia" w:ascii="黑体" w:hAnsi="黑体" w:eastAsia="黑体"/>
                <w:bCs/>
                <w:szCs w:val="21"/>
              </w:rPr>
              <w:t>投标人A</w:t>
            </w:r>
          </w:p>
        </w:tc>
        <w:tc>
          <w:tcPr>
            <w:tcW w:w="1110" w:type="dxa"/>
            <w:vAlign w:val="center"/>
          </w:tcPr>
          <w:p w14:paraId="2C109D3D">
            <w:pPr>
              <w:spacing w:line="360" w:lineRule="auto"/>
              <w:jc w:val="center"/>
              <w:rPr>
                <w:rFonts w:ascii="黑体" w:hAnsi="黑体" w:eastAsia="黑体"/>
                <w:bCs/>
                <w:szCs w:val="21"/>
              </w:rPr>
            </w:pPr>
            <w:r>
              <w:rPr>
                <w:rFonts w:hint="eastAsia" w:ascii="黑体" w:hAnsi="黑体" w:eastAsia="黑体"/>
                <w:bCs/>
                <w:szCs w:val="21"/>
              </w:rPr>
              <w:t>投标人B</w:t>
            </w:r>
          </w:p>
        </w:tc>
        <w:tc>
          <w:tcPr>
            <w:tcW w:w="1109" w:type="dxa"/>
            <w:vAlign w:val="center"/>
          </w:tcPr>
          <w:p w14:paraId="7434B14E">
            <w:pPr>
              <w:spacing w:line="360" w:lineRule="auto"/>
              <w:jc w:val="center"/>
              <w:rPr>
                <w:rFonts w:ascii="黑体" w:hAnsi="黑体" w:eastAsia="黑体"/>
                <w:bCs/>
                <w:szCs w:val="21"/>
              </w:rPr>
            </w:pPr>
            <w:r>
              <w:rPr>
                <w:rFonts w:ascii="Arial" w:hAnsi="Arial" w:eastAsia="黑体" w:cs="Arial"/>
                <w:bCs/>
                <w:szCs w:val="21"/>
              </w:rPr>
              <w:t>…</w:t>
            </w:r>
          </w:p>
        </w:tc>
      </w:tr>
      <w:tr w14:paraId="78C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5" w:type="dxa"/>
            <w:vAlign w:val="center"/>
          </w:tcPr>
          <w:p w14:paraId="36D1516D">
            <w:pPr>
              <w:spacing w:line="360" w:lineRule="auto"/>
              <w:jc w:val="center"/>
              <w:rPr>
                <w:rFonts w:ascii="黑体" w:hAnsi="黑体" w:eastAsia="黑体"/>
                <w:bCs/>
                <w:szCs w:val="21"/>
              </w:rPr>
            </w:pPr>
            <w:r>
              <w:rPr>
                <w:rFonts w:hint="eastAsia" w:ascii="黑体" w:hAnsi="黑体" w:eastAsia="黑体"/>
                <w:bCs/>
                <w:szCs w:val="21"/>
              </w:rPr>
              <w:t>1</w:t>
            </w:r>
          </w:p>
        </w:tc>
        <w:tc>
          <w:tcPr>
            <w:tcW w:w="4284" w:type="dxa"/>
            <w:vAlign w:val="center"/>
          </w:tcPr>
          <w:p w14:paraId="2440C74A">
            <w:pPr>
              <w:jc w:val="left"/>
              <w:rPr>
                <w:rFonts w:ascii="黑体" w:hAnsi="黑体" w:eastAsia="黑体"/>
                <w:szCs w:val="21"/>
              </w:rPr>
            </w:pPr>
            <w:r>
              <w:rPr>
                <w:rFonts w:hint="eastAsia" w:ascii="黑体" w:hAnsi="黑体" w:eastAsia="黑体"/>
                <w:szCs w:val="21"/>
              </w:rPr>
              <w:t>符合“合格投标人资格要求”</w:t>
            </w:r>
          </w:p>
        </w:tc>
        <w:tc>
          <w:tcPr>
            <w:tcW w:w="1110" w:type="dxa"/>
            <w:vAlign w:val="center"/>
          </w:tcPr>
          <w:p w14:paraId="4F9A32CF">
            <w:pPr>
              <w:spacing w:line="360" w:lineRule="auto"/>
              <w:jc w:val="center"/>
              <w:rPr>
                <w:rFonts w:ascii="黑体" w:hAnsi="黑体" w:eastAsia="黑体"/>
                <w:bCs/>
                <w:szCs w:val="21"/>
              </w:rPr>
            </w:pPr>
          </w:p>
        </w:tc>
        <w:tc>
          <w:tcPr>
            <w:tcW w:w="1110" w:type="dxa"/>
            <w:vAlign w:val="center"/>
          </w:tcPr>
          <w:p w14:paraId="09776BC2">
            <w:pPr>
              <w:spacing w:line="360" w:lineRule="auto"/>
              <w:jc w:val="center"/>
              <w:rPr>
                <w:rFonts w:ascii="黑体" w:hAnsi="黑体" w:eastAsia="黑体"/>
                <w:bCs/>
                <w:szCs w:val="21"/>
              </w:rPr>
            </w:pPr>
          </w:p>
        </w:tc>
        <w:tc>
          <w:tcPr>
            <w:tcW w:w="1109" w:type="dxa"/>
            <w:vAlign w:val="center"/>
          </w:tcPr>
          <w:p w14:paraId="2D8BCB71">
            <w:pPr>
              <w:spacing w:line="360" w:lineRule="auto"/>
              <w:jc w:val="center"/>
              <w:rPr>
                <w:rFonts w:ascii="黑体" w:hAnsi="黑体" w:eastAsia="黑体"/>
                <w:bCs/>
                <w:szCs w:val="21"/>
              </w:rPr>
            </w:pPr>
          </w:p>
        </w:tc>
      </w:tr>
      <w:tr w14:paraId="4C33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199" w:type="dxa"/>
            <w:gridSpan w:val="2"/>
            <w:vAlign w:val="center"/>
          </w:tcPr>
          <w:p w14:paraId="53C4123B">
            <w:pPr>
              <w:spacing w:line="360" w:lineRule="auto"/>
              <w:jc w:val="center"/>
              <w:rPr>
                <w:rFonts w:ascii="黑体" w:hAnsi="黑体" w:eastAsia="黑体"/>
                <w:szCs w:val="21"/>
              </w:rPr>
            </w:pPr>
            <w:r>
              <w:rPr>
                <w:rFonts w:hint="eastAsia" w:ascii="黑体" w:hAnsi="黑体" w:eastAsia="黑体"/>
                <w:szCs w:val="21"/>
              </w:rPr>
              <w:t>结论</w:t>
            </w:r>
          </w:p>
        </w:tc>
        <w:tc>
          <w:tcPr>
            <w:tcW w:w="1110" w:type="dxa"/>
            <w:vAlign w:val="center"/>
          </w:tcPr>
          <w:p w14:paraId="6379B8D2">
            <w:pPr>
              <w:spacing w:line="360" w:lineRule="auto"/>
              <w:jc w:val="center"/>
              <w:rPr>
                <w:rFonts w:ascii="黑体" w:hAnsi="黑体" w:eastAsia="黑体"/>
                <w:b/>
                <w:bCs/>
                <w:szCs w:val="21"/>
              </w:rPr>
            </w:pPr>
          </w:p>
        </w:tc>
        <w:tc>
          <w:tcPr>
            <w:tcW w:w="1110" w:type="dxa"/>
            <w:vAlign w:val="center"/>
          </w:tcPr>
          <w:p w14:paraId="13CB0E29">
            <w:pPr>
              <w:spacing w:line="360" w:lineRule="auto"/>
              <w:jc w:val="center"/>
              <w:rPr>
                <w:rFonts w:ascii="黑体" w:hAnsi="黑体" w:eastAsia="黑体"/>
                <w:b/>
                <w:bCs/>
                <w:szCs w:val="21"/>
              </w:rPr>
            </w:pPr>
          </w:p>
        </w:tc>
        <w:tc>
          <w:tcPr>
            <w:tcW w:w="1109" w:type="dxa"/>
            <w:vAlign w:val="center"/>
          </w:tcPr>
          <w:p w14:paraId="139003C3">
            <w:pPr>
              <w:spacing w:line="360" w:lineRule="auto"/>
              <w:jc w:val="center"/>
              <w:rPr>
                <w:rFonts w:ascii="黑体" w:hAnsi="黑体" w:eastAsia="黑体"/>
                <w:b/>
                <w:bCs/>
                <w:szCs w:val="21"/>
              </w:rPr>
            </w:pPr>
          </w:p>
        </w:tc>
      </w:tr>
      <w:tr w14:paraId="4500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8" w:type="dxa"/>
            <w:gridSpan w:val="5"/>
            <w:vAlign w:val="center"/>
          </w:tcPr>
          <w:p w14:paraId="50FE5267">
            <w:pPr>
              <w:spacing w:line="360" w:lineRule="auto"/>
              <w:jc w:val="left"/>
              <w:rPr>
                <w:rFonts w:ascii="黑体" w:hAnsi="黑体" w:eastAsia="黑体"/>
                <w:bCs/>
                <w:szCs w:val="21"/>
              </w:rPr>
            </w:pPr>
            <w:r>
              <w:rPr>
                <w:rFonts w:hint="eastAsia" w:ascii="黑体" w:hAnsi="黑体" w:eastAsia="黑体"/>
                <w:bCs/>
                <w:szCs w:val="21"/>
              </w:rPr>
              <w:t>不通过原因说明：</w:t>
            </w:r>
          </w:p>
        </w:tc>
      </w:tr>
      <w:tr w14:paraId="12DF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28" w:type="dxa"/>
            <w:gridSpan w:val="5"/>
            <w:vAlign w:val="center"/>
          </w:tcPr>
          <w:p w14:paraId="7D66A2DF">
            <w:pPr>
              <w:spacing w:line="360" w:lineRule="auto"/>
              <w:jc w:val="left"/>
              <w:rPr>
                <w:rFonts w:ascii="黑体" w:hAnsi="黑体" w:eastAsia="黑体"/>
                <w:bCs/>
                <w:szCs w:val="21"/>
              </w:rPr>
            </w:pPr>
            <w:r>
              <w:rPr>
                <w:rFonts w:hint="eastAsia" w:ascii="黑体" w:hAnsi="黑体" w:eastAsia="黑体"/>
                <w:bCs/>
                <w:szCs w:val="21"/>
              </w:rPr>
              <w:t>采购人签署：</w:t>
            </w:r>
          </w:p>
        </w:tc>
      </w:tr>
    </w:tbl>
    <w:p w14:paraId="3495E6DF">
      <w:pPr>
        <w:pStyle w:val="32"/>
        <w:numPr>
          <w:ilvl w:val="0"/>
          <w:numId w:val="51"/>
        </w:numPr>
        <w:spacing w:beforeLines="50" w:line="360" w:lineRule="auto"/>
        <w:ind w:firstLineChars="0"/>
        <w:rPr>
          <w:rFonts w:ascii="黑体" w:hAnsi="黑体" w:eastAsia="黑体"/>
          <w:b/>
          <w:bCs/>
          <w:szCs w:val="21"/>
        </w:rPr>
      </w:pPr>
      <w:r>
        <w:rPr>
          <w:rFonts w:hint="eastAsia" w:ascii="黑体" w:hAnsi="黑体" w:eastAsia="黑体"/>
          <w:b/>
          <w:bCs/>
          <w:szCs w:val="21"/>
        </w:rPr>
        <w:t>注明：</w:t>
      </w:r>
    </w:p>
    <w:p w14:paraId="55178423">
      <w:pPr>
        <w:pStyle w:val="32"/>
        <w:numPr>
          <w:ilvl w:val="0"/>
          <w:numId w:val="52"/>
        </w:numPr>
        <w:spacing w:line="360" w:lineRule="auto"/>
        <w:ind w:firstLineChars="0"/>
        <w:rPr>
          <w:rFonts w:ascii="黑体" w:hAnsi="黑体" w:eastAsia="黑体"/>
          <w:bCs/>
          <w:szCs w:val="21"/>
        </w:rPr>
      </w:pPr>
      <w:r>
        <w:rPr>
          <w:rFonts w:hint="eastAsia" w:ascii="黑体" w:hAnsi="黑体" w:eastAsia="黑体"/>
          <w:bCs/>
          <w:szCs w:val="21"/>
        </w:rPr>
        <w:t>采购人对投标人是否满足要求逐条标注评审意见，“是”标记为“○”，“否”标记为“×”；</w:t>
      </w:r>
    </w:p>
    <w:p w14:paraId="7662218C">
      <w:pPr>
        <w:pStyle w:val="32"/>
        <w:numPr>
          <w:ilvl w:val="0"/>
          <w:numId w:val="52"/>
        </w:numPr>
        <w:spacing w:line="360" w:lineRule="auto"/>
        <w:ind w:firstLineChars="0"/>
        <w:rPr>
          <w:rFonts w:ascii="黑体" w:hAnsi="黑体" w:eastAsia="黑体"/>
          <w:bCs/>
          <w:szCs w:val="21"/>
        </w:rPr>
      </w:pPr>
      <w:r>
        <w:rPr>
          <w:rFonts w:hint="eastAsia" w:ascii="黑体" w:hAnsi="黑体" w:eastAsia="黑体"/>
          <w:bCs/>
          <w:szCs w:val="21"/>
        </w:rPr>
        <w:t>评审结论栏统一填写为“通过”或“不通过” ，出现一个“×”为“不通过”；</w:t>
      </w:r>
    </w:p>
    <w:p w14:paraId="4B44494F">
      <w:pPr>
        <w:pStyle w:val="32"/>
        <w:numPr>
          <w:ilvl w:val="0"/>
          <w:numId w:val="52"/>
        </w:numPr>
        <w:spacing w:line="360" w:lineRule="auto"/>
        <w:ind w:firstLineChars="0"/>
        <w:rPr>
          <w:rFonts w:ascii="黑体" w:hAnsi="黑体" w:eastAsia="黑体"/>
          <w:bCs/>
          <w:szCs w:val="21"/>
        </w:rPr>
      </w:pPr>
      <w:r>
        <w:rPr>
          <w:rFonts w:hint="eastAsia" w:ascii="黑体" w:hAnsi="黑体" w:eastAsia="黑体"/>
          <w:bCs/>
          <w:szCs w:val="21"/>
        </w:rPr>
        <w:t>对结论为“不通过”的投标，要说明原因。</w:t>
      </w:r>
    </w:p>
    <w:p w14:paraId="4008B176">
      <w:pPr>
        <w:pStyle w:val="32"/>
        <w:spacing w:line="360" w:lineRule="auto"/>
        <w:ind w:left="420" w:firstLine="0" w:firstLineChars="0"/>
        <w:rPr>
          <w:rFonts w:ascii="黑体" w:hAnsi="黑体" w:eastAsia="黑体"/>
          <w:bCs/>
          <w:szCs w:val="21"/>
        </w:rPr>
      </w:pPr>
    </w:p>
    <w:p w14:paraId="5D55C34A">
      <w:pPr>
        <w:pStyle w:val="32"/>
        <w:pageBreakBefore/>
        <w:numPr>
          <w:ilvl w:val="0"/>
          <w:numId w:val="50"/>
        </w:numPr>
        <w:spacing w:beforeLines="50" w:afterLines="100" w:line="360" w:lineRule="auto"/>
        <w:ind w:left="422" w:hanging="422" w:hangingChars="200"/>
        <w:rPr>
          <w:rFonts w:ascii="黑体" w:hAnsi="黑体" w:eastAsia="黑体"/>
          <w:b/>
          <w:bCs/>
          <w:szCs w:val="21"/>
        </w:rPr>
      </w:pPr>
      <w:r>
        <w:rPr>
          <w:rFonts w:hint="eastAsia" w:ascii="黑体" w:hAnsi="黑体" w:eastAsia="黑体"/>
          <w:b/>
          <w:bCs/>
          <w:szCs w:val="21"/>
        </w:rPr>
        <w:t>附表二  符合性审查表</w:t>
      </w:r>
      <w:r>
        <w:rPr>
          <w:rFonts w:hint="eastAsia" w:ascii="黑体" w:hAnsi="黑体" w:eastAsia="黑体"/>
          <w:bCs/>
          <w:szCs w:val="21"/>
        </w:rPr>
        <w:t>（注：本表无需投标人填写）</w:t>
      </w:r>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284"/>
        <w:gridCol w:w="1110"/>
        <w:gridCol w:w="1110"/>
        <w:gridCol w:w="1109"/>
      </w:tblGrid>
      <w:tr w14:paraId="4374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14:paraId="27BEDA9B">
            <w:pPr>
              <w:spacing w:line="360" w:lineRule="auto"/>
              <w:jc w:val="center"/>
              <w:rPr>
                <w:rFonts w:ascii="黑体" w:hAnsi="黑体" w:eastAsia="黑体"/>
                <w:bCs/>
                <w:szCs w:val="21"/>
              </w:rPr>
            </w:pPr>
            <w:r>
              <w:rPr>
                <w:rFonts w:hint="eastAsia" w:ascii="黑体" w:hAnsi="黑体" w:eastAsia="黑体"/>
                <w:bCs/>
                <w:szCs w:val="21"/>
              </w:rPr>
              <w:t>序号</w:t>
            </w:r>
          </w:p>
        </w:tc>
        <w:tc>
          <w:tcPr>
            <w:tcW w:w="4284" w:type="dxa"/>
            <w:tcBorders>
              <w:bottom w:val="single" w:color="auto" w:sz="4" w:space="0"/>
              <w:tl2br w:val="single" w:color="auto" w:sz="4" w:space="0"/>
            </w:tcBorders>
            <w:vAlign w:val="top"/>
          </w:tcPr>
          <w:p w14:paraId="3B6357BD">
            <w:pPr>
              <w:spacing w:line="360" w:lineRule="auto"/>
              <w:ind w:left="210" w:hanging="210" w:hangingChars="100"/>
              <w:rPr>
                <w:rFonts w:ascii="黑体" w:hAnsi="黑体" w:eastAsia="黑体"/>
                <w:bCs/>
                <w:szCs w:val="21"/>
              </w:rPr>
            </w:pPr>
            <w:r>
              <w:rPr>
                <w:rFonts w:hint="eastAsia" w:ascii="黑体" w:hAnsi="黑体" w:eastAsia="黑体"/>
                <w:bCs/>
                <w:szCs w:val="21"/>
              </w:rPr>
              <w:t xml:space="preserve">                               投标人</w:t>
            </w:r>
          </w:p>
          <w:p w14:paraId="2E2BE187">
            <w:pPr>
              <w:spacing w:line="360" w:lineRule="auto"/>
              <w:ind w:firstLine="105" w:firstLineChars="50"/>
              <w:rPr>
                <w:rFonts w:ascii="黑体" w:hAnsi="黑体" w:eastAsia="黑体"/>
                <w:bCs/>
                <w:szCs w:val="21"/>
              </w:rPr>
            </w:pPr>
            <w:r>
              <w:rPr>
                <w:rFonts w:hint="eastAsia" w:ascii="黑体" w:hAnsi="黑体" w:eastAsia="黑体"/>
                <w:bCs/>
                <w:szCs w:val="21"/>
              </w:rPr>
              <w:t>审查内容</w:t>
            </w:r>
          </w:p>
        </w:tc>
        <w:tc>
          <w:tcPr>
            <w:tcW w:w="1110" w:type="dxa"/>
            <w:vAlign w:val="center"/>
          </w:tcPr>
          <w:p w14:paraId="49F1F79E">
            <w:pPr>
              <w:spacing w:line="360" w:lineRule="auto"/>
              <w:jc w:val="center"/>
              <w:rPr>
                <w:rFonts w:ascii="黑体" w:hAnsi="黑体" w:eastAsia="黑体"/>
                <w:bCs/>
                <w:szCs w:val="21"/>
              </w:rPr>
            </w:pPr>
            <w:r>
              <w:rPr>
                <w:rFonts w:hint="eastAsia" w:ascii="黑体" w:hAnsi="黑体" w:eastAsia="黑体"/>
                <w:bCs/>
                <w:szCs w:val="21"/>
              </w:rPr>
              <w:t>投标人A</w:t>
            </w:r>
          </w:p>
        </w:tc>
        <w:tc>
          <w:tcPr>
            <w:tcW w:w="1110" w:type="dxa"/>
            <w:vAlign w:val="center"/>
          </w:tcPr>
          <w:p w14:paraId="2B18873D">
            <w:pPr>
              <w:spacing w:line="360" w:lineRule="auto"/>
              <w:jc w:val="center"/>
              <w:rPr>
                <w:rFonts w:ascii="黑体" w:hAnsi="黑体" w:eastAsia="黑体"/>
                <w:bCs/>
                <w:szCs w:val="21"/>
              </w:rPr>
            </w:pPr>
            <w:r>
              <w:rPr>
                <w:rFonts w:hint="eastAsia" w:ascii="黑体" w:hAnsi="黑体" w:eastAsia="黑体"/>
                <w:bCs/>
                <w:szCs w:val="21"/>
              </w:rPr>
              <w:t>投标人B</w:t>
            </w:r>
          </w:p>
        </w:tc>
        <w:tc>
          <w:tcPr>
            <w:tcW w:w="1109" w:type="dxa"/>
            <w:vAlign w:val="center"/>
          </w:tcPr>
          <w:p w14:paraId="05D10FCD">
            <w:pPr>
              <w:spacing w:line="360" w:lineRule="auto"/>
              <w:jc w:val="center"/>
              <w:rPr>
                <w:rFonts w:ascii="黑体" w:hAnsi="黑体" w:eastAsia="黑体"/>
                <w:bCs/>
                <w:szCs w:val="21"/>
              </w:rPr>
            </w:pPr>
            <w:r>
              <w:rPr>
                <w:rFonts w:hint="eastAsia" w:ascii="黑体" w:hAnsi="黑体" w:eastAsia="黑体"/>
                <w:bCs/>
                <w:szCs w:val="21"/>
              </w:rPr>
              <w:t>投标人C</w:t>
            </w:r>
          </w:p>
        </w:tc>
      </w:tr>
      <w:tr w14:paraId="09D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5" w:type="dxa"/>
            <w:vAlign w:val="center"/>
          </w:tcPr>
          <w:p w14:paraId="375EAD6B">
            <w:pPr>
              <w:spacing w:line="360" w:lineRule="auto"/>
              <w:jc w:val="center"/>
              <w:rPr>
                <w:rFonts w:ascii="黑体" w:hAnsi="黑体" w:eastAsia="黑体"/>
                <w:bCs/>
                <w:szCs w:val="21"/>
                <w:highlight w:val="yellow"/>
              </w:rPr>
            </w:pPr>
            <w:r>
              <w:rPr>
                <w:rFonts w:hint="eastAsia" w:ascii="黑体" w:hAnsi="黑体" w:eastAsia="黑体"/>
                <w:bCs/>
                <w:szCs w:val="21"/>
              </w:rPr>
              <w:t>1</w:t>
            </w:r>
          </w:p>
        </w:tc>
        <w:tc>
          <w:tcPr>
            <w:tcW w:w="4284" w:type="dxa"/>
            <w:vAlign w:val="center"/>
          </w:tcPr>
          <w:p w14:paraId="4D514DD2">
            <w:pPr>
              <w:spacing w:line="360" w:lineRule="auto"/>
              <w:jc w:val="left"/>
              <w:rPr>
                <w:rFonts w:ascii="黑体" w:hAnsi="黑体" w:eastAsia="黑体"/>
                <w:szCs w:val="21"/>
              </w:rPr>
            </w:pPr>
            <w:r>
              <w:rPr>
                <w:rFonts w:hint="eastAsia" w:ascii="黑体" w:hAnsi="黑体" w:eastAsia="黑体"/>
                <w:szCs w:val="21"/>
              </w:rPr>
              <w:t>法人(负责人)授权委托证明</w:t>
            </w:r>
          </w:p>
          <w:p w14:paraId="2637DC7F">
            <w:pPr>
              <w:spacing w:line="360" w:lineRule="auto"/>
              <w:jc w:val="left"/>
              <w:rPr>
                <w:rFonts w:ascii="黑体" w:hAnsi="黑体" w:eastAsia="黑体"/>
                <w:b/>
                <w:bCs/>
                <w:szCs w:val="21"/>
                <w:highlight w:val="yellow"/>
              </w:rPr>
            </w:pPr>
            <w:r>
              <w:rPr>
                <w:rFonts w:hint="eastAsia" w:ascii="黑体" w:hAnsi="黑体" w:eastAsia="黑体"/>
                <w:szCs w:val="21"/>
              </w:rPr>
              <w:t>(投标人代表为法定(负责人)代表人的除外)</w:t>
            </w:r>
          </w:p>
        </w:tc>
        <w:tc>
          <w:tcPr>
            <w:tcW w:w="1110" w:type="dxa"/>
            <w:vAlign w:val="center"/>
          </w:tcPr>
          <w:p w14:paraId="56752AB5">
            <w:pPr>
              <w:spacing w:line="360" w:lineRule="auto"/>
              <w:jc w:val="center"/>
              <w:rPr>
                <w:rFonts w:ascii="黑体" w:hAnsi="黑体" w:eastAsia="黑体"/>
                <w:b/>
                <w:bCs/>
                <w:szCs w:val="21"/>
                <w:highlight w:val="yellow"/>
              </w:rPr>
            </w:pPr>
          </w:p>
        </w:tc>
        <w:tc>
          <w:tcPr>
            <w:tcW w:w="1110" w:type="dxa"/>
            <w:vAlign w:val="center"/>
          </w:tcPr>
          <w:p w14:paraId="4431F986">
            <w:pPr>
              <w:spacing w:line="360" w:lineRule="auto"/>
              <w:jc w:val="center"/>
              <w:rPr>
                <w:rFonts w:ascii="黑体" w:hAnsi="黑体" w:eastAsia="黑体"/>
                <w:b/>
                <w:bCs/>
                <w:szCs w:val="21"/>
                <w:highlight w:val="yellow"/>
              </w:rPr>
            </w:pPr>
          </w:p>
        </w:tc>
        <w:tc>
          <w:tcPr>
            <w:tcW w:w="1109" w:type="dxa"/>
            <w:vAlign w:val="center"/>
          </w:tcPr>
          <w:p w14:paraId="3CD7CDD3">
            <w:pPr>
              <w:spacing w:line="360" w:lineRule="auto"/>
              <w:jc w:val="center"/>
              <w:rPr>
                <w:rFonts w:ascii="黑体" w:hAnsi="黑体" w:eastAsia="黑体"/>
                <w:b/>
                <w:bCs/>
                <w:szCs w:val="21"/>
                <w:highlight w:val="yellow"/>
              </w:rPr>
            </w:pPr>
          </w:p>
        </w:tc>
      </w:tr>
      <w:tr w14:paraId="140A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10C458D">
            <w:pPr>
              <w:spacing w:line="360" w:lineRule="auto"/>
              <w:jc w:val="center"/>
              <w:rPr>
                <w:rFonts w:ascii="黑体" w:hAnsi="黑体" w:eastAsia="黑体"/>
                <w:bCs/>
                <w:szCs w:val="21"/>
              </w:rPr>
            </w:pPr>
            <w:r>
              <w:rPr>
                <w:rFonts w:hint="eastAsia" w:ascii="黑体" w:hAnsi="黑体" w:eastAsia="黑体"/>
                <w:bCs/>
                <w:szCs w:val="21"/>
              </w:rPr>
              <w:t>2</w:t>
            </w:r>
          </w:p>
        </w:tc>
        <w:tc>
          <w:tcPr>
            <w:tcW w:w="4284" w:type="dxa"/>
            <w:vAlign w:val="center"/>
          </w:tcPr>
          <w:p w14:paraId="65BADE64">
            <w:pPr>
              <w:spacing w:line="360" w:lineRule="auto"/>
              <w:jc w:val="left"/>
              <w:rPr>
                <w:rFonts w:ascii="黑体" w:hAnsi="黑体" w:eastAsia="黑体"/>
                <w:szCs w:val="21"/>
              </w:rPr>
            </w:pPr>
            <w:r>
              <w:rPr>
                <w:rFonts w:hint="eastAsia" w:ascii="黑体" w:hAnsi="黑体" w:eastAsia="黑体"/>
                <w:szCs w:val="21"/>
              </w:rPr>
              <w:t>投标函（投标的有效期）</w:t>
            </w:r>
          </w:p>
        </w:tc>
        <w:tc>
          <w:tcPr>
            <w:tcW w:w="1110" w:type="dxa"/>
            <w:vAlign w:val="center"/>
          </w:tcPr>
          <w:p w14:paraId="6C55978B">
            <w:pPr>
              <w:spacing w:line="360" w:lineRule="auto"/>
              <w:jc w:val="center"/>
              <w:rPr>
                <w:rFonts w:ascii="黑体" w:hAnsi="黑体" w:eastAsia="黑体"/>
                <w:b/>
                <w:bCs/>
                <w:szCs w:val="21"/>
              </w:rPr>
            </w:pPr>
          </w:p>
        </w:tc>
        <w:tc>
          <w:tcPr>
            <w:tcW w:w="1110" w:type="dxa"/>
            <w:vAlign w:val="center"/>
          </w:tcPr>
          <w:p w14:paraId="2EE969CA">
            <w:pPr>
              <w:spacing w:line="360" w:lineRule="auto"/>
              <w:jc w:val="center"/>
              <w:rPr>
                <w:rFonts w:ascii="黑体" w:hAnsi="黑体" w:eastAsia="黑体"/>
                <w:b/>
                <w:bCs/>
                <w:szCs w:val="21"/>
              </w:rPr>
            </w:pPr>
          </w:p>
        </w:tc>
        <w:tc>
          <w:tcPr>
            <w:tcW w:w="1109" w:type="dxa"/>
            <w:vAlign w:val="center"/>
          </w:tcPr>
          <w:p w14:paraId="59854C12">
            <w:pPr>
              <w:spacing w:line="360" w:lineRule="auto"/>
              <w:jc w:val="center"/>
              <w:rPr>
                <w:rFonts w:ascii="黑体" w:hAnsi="黑体" w:eastAsia="黑体"/>
                <w:b/>
                <w:bCs/>
                <w:szCs w:val="21"/>
              </w:rPr>
            </w:pPr>
          </w:p>
        </w:tc>
      </w:tr>
      <w:tr w14:paraId="0C9F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15" w:type="dxa"/>
            <w:vAlign w:val="center"/>
          </w:tcPr>
          <w:p w14:paraId="226478CE">
            <w:pPr>
              <w:spacing w:line="360" w:lineRule="auto"/>
              <w:jc w:val="center"/>
              <w:rPr>
                <w:rFonts w:ascii="黑体" w:hAnsi="黑体" w:eastAsia="黑体"/>
                <w:bCs/>
                <w:szCs w:val="21"/>
              </w:rPr>
            </w:pPr>
            <w:r>
              <w:rPr>
                <w:rFonts w:hint="eastAsia" w:ascii="黑体" w:hAnsi="黑体" w:eastAsia="黑体"/>
                <w:bCs/>
                <w:szCs w:val="21"/>
              </w:rPr>
              <w:t>3</w:t>
            </w:r>
          </w:p>
        </w:tc>
        <w:tc>
          <w:tcPr>
            <w:tcW w:w="4284" w:type="dxa"/>
            <w:vAlign w:val="center"/>
          </w:tcPr>
          <w:p w14:paraId="32302F4E">
            <w:pPr>
              <w:spacing w:line="360" w:lineRule="auto"/>
              <w:jc w:val="left"/>
              <w:rPr>
                <w:rFonts w:ascii="黑体" w:hAnsi="黑体" w:eastAsia="黑体"/>
                <w:szCs w:val="21"/>
              </w:rPr>
            </w:pPr>
            <w:r>
              <w:rPr>
                <w:rFonts w:hint="eastAsia" w:ascii="黑体" w:hAnsi="黑体" w:eastAsia="黑体"/>
                <w:szCs w:val="21"/>
              </w:rPr>
              <w:t>投标文件的式样、签署、盖章符合招标文件要求</w:t>
            </w:r>
          </w:p>
        </w:tc>
        <w:tc>
          <w:tcPr>
            <w:tcW w:w="1110" w:type="dxa"/>
            <w:vAlign w:val="center"/>
          </w:tcPr>
          <w:p w14:paraId="4BB1AD9A">
            <w:pPr>
              <w:spacing w:line="360" w:lineRule="auto"/>
              <w:jc w:val="center"/>
              <w:rPr>
                <w:rFonts w:ascii="黑体" w:hAnsi="黑体" w:eastAsia="黑体"/>
                <w:b/>
                <w:bCs/>
                <w:szCs w:val="21"/>
              </w:rPr>
            </w:pPr>
          </w:p>
        </w:tc>
        <w:tc>
          <w:tcPr>
            <w:tcW w:w="1110" w:type="dxa"/>
            <w:vAlign w:val="center"/>
          </w:tcPr>
          <w:p w14:paraId="5A237DB9">
            <w:pPr>
              <w:spacing w:line="360" w:lineRule="auto"/>
              <w:jc w:val="center"/>
              <w:rPr>
                <w:rFonts w:ascii="黑体" w:hAnsi="黑体" w:eastAsia="黑体"/>
                <w:b/>
                <w:bCs/>
                <w:szCs w:val="21"/>
              </w:rPr>
            </w:pPr>
          </w:p>
        </w:tc>
        <w:tc>
          <w:tcPr>
            <w:tcW w:w="1109" w:type="dxa"/>
            <w:vAlign w:val="center"/>
          </w:tcPr>
          <w:p w14:paraId="0FE6F7FE">
            <w:pPr>
              <w:spacing w:line="360" w:lineRule="auto"/>
              <w:jc w:val="center"/>
              <w:rPr>
                <w:rFonts w:ascii="黑体" w:hAnsi="黑体" w:eastAsia="黑体"/>
                <w:b/>
                <w:bCs/>
                <w:szCs w:val="21"/>
              </w:rPr>
            </w:pPr>
          </w:p>
        </w:tc>
      </w:tr>
      <w:tr w14:paraId="5778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15" w:type="dxa"/>
            <w:vAlign w:val="center"/>
          </w:tcPr>
          <w:p w14:paraId="436B697E">
            <w:pPr>
              <w:spacing w:line="360" w:lineRule="auto"/>
              <w:jc w:val="center"/>
              <w:rPr>
                <w:rFonts w:ascii="黑体" w:hAnsi="黑体" w:eastAsia="黑体"/>
                <w:bCs/>
                <w:szCs w:val="21"/>
              </w:rPr>
            </w:pPr>
            <w:r>
              <w:rPr>
                <w:rFonts w:hint="eastAsia" w:ascii="黑体" w:hAnsi="黑体" w:eastAsia="黑体"/>
                <w:bCs/>
                <w:szCs w:val="21"/>
              </w:rPr>
              <w:t>4</w:t>
            </w:r>
          </w:p>
        </w:tc>
        <w:tc>
          <w:tcPr>
            <w:tcW w:w="4284" w:type="dxa"/>
            <w:vAlign w:val="center"/>
          </w:tcPr>
          <w:p w14:paraId="0C90BDC8">
            <w:pPr>
              <w:spacing w:line="360" w:lineRule="auto"/>
              <w:jc w:val="left"/>
              <w:rPr>
                <w:rFonts w:ascii="黑体" w:hAnsi="黑体" w:eastAsia="黑体"/>
                <w:bCs/>
                <w:szCs w:val="21"/>
              </w:rPr>
            </w:pPr>
            <w:r>
              <w:rPr>
                <w:rFonts w:hint="eastAsia" w:ascii="黑体" w:hAnsi="黑体" w:eastAsia="黑体"/>
                <w:bCs/>
                <w:szCs w:val="21"/>
              </w:rPr>
              <w:t>用户需求书当中的★条款满足要求</w:t>
            </w:r>
          </w:p>
          <w:p w14:paraId="290D2D3B">
            <w:pPr>
              <w:spacing w:line="360" w:lineRule="auto"/>
              <w:jc w:val="left"/>
              <w:rPr>
                <w:rFonts w:ascii="黑体" w:hAnsi="黑体" w:eastAsia="黑体"/>
                <w:szCs w:val="21"/>
              </w:rPr>
            </w:pPr>
            <w:r>
              <w:rPr>
                <w:rFonts w:hint="eastAsia" w:ascii="黑体" w:hAnsi="黑体" w:eastAsia="黑体"/>
                <w:bCs/>
                <w:szCs w:val="21"/>
              </w:rPr>
              <w:t>(若本项目无★条款，此项通过)</w:t>
            </w:r>
          </w:p>
        </w:tc>
        <w:tc>
          <w:tcPr>
            <w:tcW w:w="1110" w:type="dxa"/>
            <w:vAlign w:val="center"/>
          </w:tcPr>
          <w:p w14:paraId="01D0FA34">
            <w:pPr>
              <w:spacing w:line="360" w:lineRule="auto"/>
              <w:jc w:val="center"/>
              <w:rPr>
                <w:rFonts w:ascii="黑体" w:hAnsi="黑体" w:eastAsia="黑体"/>
                <w:b/>
                <w:bCs/>
                <w:szCs w:val="21"/>
              </w:rPr>
            </w:pPr>
          </w:p>
        </w:tc>
        <w:tc>
          <w:tcPr>
            <w:tcW w:w="1110" w:type="dxa"/>
            <w:vAlign w:val="center"/>
          </w:tcPr>
          <w:p w14:paraId="15790BAD">
            <w:pPr>
              <w:spacing w:line="360" w:lineRule="auto"/>
              <w:jc w:val="center"/>
              <w:rPr>
                <w:rFonts w:ascii="黑体" w:hAnsi="黑体" w:eastAsia="黑体"/>
                <w:b/>
                <w:bCs/>
                <w:szCs w:val="21"/>
              </w:rPr>
            </w:pPr>
          </w:p>
        </w:tc>
        <w:tc>
          <w:tcPr>
            <w:tcW w:w="1109" w:type="dxa"/>
            <w:vAlign w:val="center"/>
          </w:tcPr>
          <w:p w14:paraId="200E81E5">
            <w:pPr>
              <w:spacing w:line="360" w:lineRule="auto"/>
              <w:jc w:val="center"/>
              <w:rPr>
                <w:rFonts w:ascii="黑体" w:hAnsi="黑体" w:eastAsia="黑体"/>
                <w:b/>
                <w:bCs/>
                <w:szCs w:val="21"/>
              </w:rPr>
            </w:pPr>
          </w:p>
        </w:tc>
      </w:tr>
      <w:tr w14:paraId="19B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15" w:type="dxa"/>
            <w:vAlign w:val="center"/>
          </w:tcPr>
          <w:p w14:paraId="62A4D5CE">
            <w:pPr>
              <w:spacing w:line="360" w:lineRule="auto"/>
              <w:jc w:val="center"/>
              <w:rPr>
                <w:rFonts w:ascii="黑体" w:hAnsi="黑体" w:eastAsia="黑体"/>
                <w:bCs/>
                <w:szCs w:val="21"/>
              </w:rPr>
            </w:pPr>
          </w:p>
        </w:tc>
        <w:tc>
          <w:tcPr>
            <w:tcW w:w="4284" w:type="dxa"/>
            <w:vAlign w:val="center"/>
          </w:tcPr>
          <w:p w14:paraId="467E0994">
            <w:pPr>
              <w:spacing w:line="360" w:lineRule="auto"/>
              <w:jc w:val="left"/>
              <w:rPr>
                <w:rFonts w:ascii="黑体" w:hAnsi="黑体" w:eastAsia="黑体"/>
                <w:bCs/>
                <w:szCs w:val="21"/>
              </w:rPr>
            </w:pPr>
          </w:p>
        </w:tc>
        <w:tc>
          <w:tcPr>
            <w:tcW w:w="1110" w:type="dxa"/>
            <w:vAlign w:val="center"/>
          </w:tcPr>
          <w:p w14:paraId="280326C3">
            <w:pPr>
              <w:spacing w:line="360" w:lineRule="auto"/>
              <w:jc w:val="center"/>
              <w:rPr>
                <w:rFonts w:ascii="黑体" w:hAnsi="黑体" w:eastAsia="黑体"/>
                <w:b/>
                <w:bCs/>
                <w:szCs w:val="21"/>
              </w:rPr>
            </w:pPr>
          </w:p>
        </w:tc>
        <w:tc>
          <w:tcPr>
            <w:tcW w:w="1110" w:type="dxa"/>
            <w:vAlign w:val="center"/>
          </w:tcPr>
          <w:p w14:paraId="7CAE5047">
            <w:pPr>
              <w:spacing w:line="360" w:lineRule="auto"/>
              <w:jc w:val="center"/>
              <w:rPr>
                <w:rFonts w:ascii="黑体" w:hAnsi="黑体" w:eastAsia="黑体"/>
                <w:b/>
                <w:bCs/>
                <w:szCs w:val="21"/>
              </w:rPr>
            </w:pPr>
          </w:p>
        </w:tc>
        <w:tc>
          <w:tcPr>
            <w:tcW w:w="1109" w:type="dxa"/>
            <w:vAlign w:val="center"/>
          </w:tcPr>
          <w:p w14:paraId="2D8E3403">
            <w:pPr>
              <w:spacing w:line="360" w:lineRule="auto"/>
              <w:jc w:val="center"/>
              <w:rPr>
                <w:rFonts w:ascii="黑体" w:hAnsi="黑体" w:eastAsia="黑体"/>
                <w:b/>
                <w:bCs/>
                <w:szCs w:val="21"/>
              </w:rPr>
            </w:pPr>
          </w:p>
        </w:tc>
      </w:tr>
      <w:tr w14:paraId="5453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199" w:type="dxa"/>
            <w:gridSpan w:val="2"/>
            <w:vAlign w:val="center"/>
          </w:tcPr>
          <w:p w14:paraId="1734B50D">
            <w:pPr>
              <w:spacing w:line="360" w:lineRule="auto"/>
              <w:jc w:val="center"/>
              <w:rPr>
                <w:rFonts w:ascii="黑体" w:hAnsi="黑体" w:eastAsia="黑体"/>
                <w:szCs w:val="21"/>
              </w:rPr>
            </w:pPr>
            <w:r>
              <w:rPr>
                <w:rFonts w:hint="eastAsia" w:ascii="黑体" w:hAnsi="黑体" w:eastAsia="黑体"/>
                <w:szCs w:val="21"/>
              </w:rPr>
              <w:t>结论</w:t>
            </w:r>
          </w:p>
        </w:tc>
        <w:tc>
          <w:tcPr>
            <w:tcW w:w="1110" w:type="dxa"/>
            <w:vAlign w:val="center"/>
          </w:tcPr>
          <w:p w14:paraId="763467B3">
            <w:pPr>
              <w:spacing w:line="360" w:lineRule="auto"/>
              <w:jc w:val="center"/>
              <w:rPr>
                <w:rFonts w:ascii="黑体" w:hAnsi="黑体" w:eastAsia="黑体"/>
                <w:b/>
                <w:bCs/>
                <w:szCs w:val="21"/>
              </w:rPr>
            </w:pPr>
          </w:p>
        </w:tc>
        <w:tc>
          <w:tcPr>
            <w:tcW w:w="1110" w:type="dxa"/>
            <w:vAlign w:val="center"/>
          </w:tcPr>
          <w:p w14:paraId="6485CA31">
            <w:pPr>
              <w:spacing w:line="360" w:lineRule="auto"/>
              <w:jc w:val="center"/>
              <w:rPr>
                <w:rFonts w:ascii="黑体" w:hAnsi="黑体" w:eastAsia="黑体"/>
                <w:b/>
                <w:bCs/>
                <w:szCs w:val="21"/>
              </w:rPr>
            </w:pPr>
          </w:p>
        </w:tc>
        <w:tc>
          <w:tcPr>
            <w:tcW w:w="1109" w:type="dxa"/>
            <w:vAlign w:val="center"/>
          </w:tcPr>
          <w:p w14:paraId="4E1C05DF">
            <w:pPr>
              <w:spacing w:line="360" w:lineRule="auto"/>
              <w:jc w:val="center"/>
              <w:rPr>
                <w:rFonts w:ascii="黑体" w:hAnsi="黑体" w:eastAsia="黑体"/>
                <w:b/>
                <w:bCs/>
                <w:szCs w:val="21"/>
              </w:rPr>
            </w:pPr>
          </w:p>
        </w:tc>
      </w:tr>
      <w:tr w14:paraId="6172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8" w:type="dxa"/>
            <w:gridSpan w:val="5"/>
            <w:vAlign w:val="center"/>
          </w:tcPr>
          <w:p w14:paraId="28C629C2">
            <w:pPr>
              <w:spacing w:line="360" w:lineRule="auto"/>
              <w:jc w:val="left"/>
              <w:rPr>
                <w:rFonts w:ascii="黑体" w:hAnsi="黑体" w:eastAsia="黑体"/>
                <w:bCs/>
                <w:szCs w:val="21"/>
              </w:rPr>
            </w:pPr>
            <w:r>
              <w:rPr>
                <w:rFonts w:hint="eastAsia" w:ascii="黑体" w:hAnsi="黑体" w:eastAsia="黑体"/>
                <w:bCs/>
                <w:szCs w:val="21"/>
              </w:rPr>
              <w:t>不通过原因说明：</w:t>
            </w:r>
          </w:p>
        </w:tc>
      </w:tr>
      <w:tr w14:paraId="3034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28" w:type="dxa"/>
            <w:gridSpan w:val="5"/>
            <w:vAlign w:val="center"/>
          </w:tcPr>
          <w:p w14:paraId="3B43793B">
            <w:pPr>
              <w:spacing w:line="360" w:lineRule="auto"/>
              <w:jc w:val="left"/>
              <w:rPr>
                <w:rFonts w:ascii="黑体" w:hAnsi="黑体" w:eastAsia="黑体"/>
                <w:bCs/>
                <w:szCs w:val="21"/>
              </w:rPr>
            </w:pPr>
            <w:r>
              <w:rPr>
                <w:rFonts w:hint="eastAsia" w:ascii="黑体" w:hAnsi="黑体" w:eastAsia="黑体"/>
                <w:bCs/>
                <w:szCs w:val="21"/>
              </w:rPr>
              <w:t>评委签署：</w:t>
            </w:r>
          </w:p>
        </w:tc>
      </w:tr>
    </w:tbl>
    <w:p w14:paraId="0A14DB05">
      <w:pPr>
        <w:pStyle w:val="32"/>
        <w:numPr>
          <w:ilvl w:val="0"/>
          <w:numId w:val="51"/>
        </w:numPr>
        <w:spacing w:beforeLines="50" w:line="360" w:lineRule="auto"/>
        <w:ind w:firstLineChars="0"/>
        <w:rPr>
          <w:rFonts w:ascii="黑体" w:hAnsi="黑体" w:eastAsia="黑体"/>
          <w:b/>
          <w:bCs/>
          <w:szCs w:val="21"/>
        </w:rPr>
      </w:pPr>
      <w:r>
        <w:rPr>
          <w:rFonts w:hint="eastAsia" w:ascii="黑体" w:hAnsi="黑体" w:eastAsia="黑体"/>
          <w:b/>
          <w:bCs/>
          <w:szCs w:val="21"/>
        </w:rPr>
        <w:t>注明：</w:t>
      </w:r>
    </w:p>
    <w:p w14:paraId="3C4D087E">
      <w:pPr>
        <w:pStyle w:val="32"/>
        <w:numPr>
          <w:ilvl w:val="0"/>
          <w:numId w:val="53"/>
        </w:numPr>
        <w:spacing w:line="360" w:lineRule="auto"/>
        <w:ind w:firstLineChars="0"/>
        <w:rPr>
          <w:rFonts w:ascii="黑体" w:hAnsi="黑体" w:eastAsia="黑体"/>
          <w:bCs/>
          <w:szCs w:val="21"/>
        </w:rPr>
      </w:pPr>
      <w:r>
        <w:rPr>
          <w:rFonts w:hint="eastAsia" w:ascii="黑体" w:hAnsi="黑体" w:eastAsia="黑体"/>
          <w:bCs/>
          <w:szCs w:val="21"/>
        </w:rPr>
        <w:t>评审时评委对投标人是否满足要求逐条标注评审意见，“是”标记为“○”，“否”标记为“×”；</w:t>
      </w:r>
    </w:p>
    <w:p w14:paraId="43465F3A">
      <w:pPr>
        <w:pStyle w:val="32"/>
        <w:numPr>
          <w:ilvl w:val="0"/>
          <w:numId w:val="53"/>
        </w:numPr>
        <w:spacing w:line="360" w:lineRule="auto"/>
        <w:ind w:firstLineChars="0"/>
        <w:rPr>
          <w:rFonts w:ascii="黑体" w:hAnsi="黑体" w:eastAsia="黑体"/>
          <w:bCs/>
          <w:szCs w:val="21"/>
        </w:rPr>
      </w:pPr>
      <w:r>
        <w:rPr>
          <w:rFonts w:hint="eastAsia" w:ascii="黑体" w:hAnsi="黑体" w:eastAsia="黑体"/>
          <w:bCs/>
          <w:szCs w:val="21"/>
        </w:rPr>
        <w:t>评审结论栏统一填写为“通过”或“不通过” ，出现一个“×”为“不通过”；</w:t>
      </w:r>
    </w:p>
    <w:p w14:paraId="2F3D48CE">
      <w:pPr>
        <w:pStyle w:val="32"/>
        <w:numPr>
          <w:ilvl w:val="0"/>
          <w:numId w:val="53"/>
        </w:numPr>
        <w:spacing w:line="360" w:lineRule="auto"/>
        <w:ind w:firstLineChars="0"/>
        <w:rPr>
          <w:rFonts w:ascii="黑体" w:hAnsi="黑体" w:eastAsia="黑体"/>
          <w:bCs/>
          <w:szCs w:val="21"/>
        </w:rPr>
      </w:pPr>
      <w:r>
        <w:rPr>
          <w:rFonts w:hint="eastAsia" w:ascii="黑体" w:hAnsi="黑体" w:eastAsia="黑体"/>
          <w:bCs/>
          <w:szCs w:val="21"/>
        </w:rPr>
        <w:t>对结论为“不通过”的投标，要说明原因。</w:t>
      </w:r>
    </w:p>
    <w:p w14:paraId="1F45EC1F">
      <w:pPr>
        <w:pStyle w:val="32"/>
        <w:pageBreakBefore/>
        <w:numPr>
          <w:ilvl w:val="0"/>
          <w:numId w:val="50"/>
        </w:numPr>
        <w:spacing w:beforeLines="50" w:afterLines="50" w:line="360" w:lineRule="auto"/>
        <w:ind w:left="422" w:hanging="422" w:hangingChars="200"/>
        <w:rPr>
          <w:rFonts w:ascii="黑体" w:hAnsi="黑体" w:eastAsia="黑体"/>
          <w:b/>
          <w:bCs/>
          <w:szCs w:val="21"/>
        </w:rPr>
      </w:pPr>
      <w:r>
        <w:rPr>
          <w:rFonts w:hint="eastAsia" w:ascii="黑体" w:hAnsi="黑体" w:eastAsia="黑体"/>
          <w:b/>
          <w:bCs/>
          <w:szCs w:val="21"/>
        </w:rPr>
        <w:t>附表三  商务技术评审表</w:t>
      </w:r>
    </w:p>
    <w:tbl>
      <w:tblPr>
        <w:tblStyle w:val="20"/>
        <w:tblW w:w="91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728"/>
        <w:gridCol w:w="1816"/>
        <w:gridCol w:w="733"/>
        <w:gridCol w:w="5470"/>
      </w:tblGrid>
      <w:tr w14:paraId="6CEF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198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序号</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FAD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评审项目</w:t>
            </w:r>
          </w:p>
        </w:tc>
        <w:tc>
          <w:tcPr>
            <w:tcW w:w="8019" w:type="dxa"/>
            <w:gridSpan w:val="3"/>
            <w:tcBorders>
              <w:top w:val="single" w:color="000000" w:sz="4" w:space="0"/>
              <w:left w:val="single" w:color="000000" w:sz="4" w:space="0"/>
              <w:bottom w:val="single" w:color="000000" w:sz="4" w:space="0"/>
              <w:right w:val="single" w:color="000000" w:sz="4" w:space="0"/>
            </w:tcBorders>
            <w:noWrap w:val="0"/>
            <w:vAlign w:val="center"/>
          </w:tcPr>
          <w:p w14:paraId="7C429B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评分标准</w:t>
            </w:r>
          </w:p>
        </w:tc>
      </w:tr>
      <w:tr w14:paraId="6E5D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59FF6">
            <w:pPr>
              <w:jc w:val="center"/>
              <w:rPr>
                <w:rFonts w:hint="default" w:ascii="Times New Roman" w:hAnsi="Times New Roman" w:eastAsia="宋体" w:cs="Times New Roman"/>
                <w:b/>
                <w:bCs/>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1B8F8">
            <w:pPr>
              <w:jc w:val="center"/>
              <w:rPr>
                <w:rFonts w:hint="default" w:ascii="Times New Roman" w:hAnsi="Times New Roman" w:eastAsia="宋体" w:cs="Times New Roman"/>
                <w:b/>
                <w:bCs/>
                <w:i w:val="0"/>
                <w:iCs w:val="0"/>
                <w:color w:val="000000"/>
                <w:sz w:val="20"/>
                <w:szCs w:val="20"/>
                <w:highlight w:val="none"/>
                <w:u w:val="none"/>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48419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评审内容</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41138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分值</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9B5F3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评分标准说明</w:t>
            </w:r>
          </w:p>
        </w:tc>
      </w:tr>
      <w:tr w14:paraId="3991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7A5A17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9F29CB1">
            <w:pPr>
              <w:jc w:val="center"/>
              <w:rPr>
                <w:rFonts w:hint="default" w:ascii="Times New Roman" w:hAnsi="Times New Roman" w:eastAsia="宋体" w:cs="Times New Roman"/>
                <w:b/>
                <w:bCs/>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426FC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25</w:t>
            </w:r>
            <w:r>
              <w:rPr>
                <w:rFonts w:hint="eastAsia" w:cs="Times New Roman"/>
                <w:i w:val="0"/>
                <w:iCs w:val="0"/>
                <w:color w:val="000000"/>
                <w:kern w:val="0"/>
                <w:sz w:val="20"/>
                <w:szCs w:val="20"/>
                <w:highlight w:val="none"/>
                <w:u w:val="none"/>
                <w:lang w:val="en-US" w:eastAsia="zh-CN" w:bidi="ar"/>
              </w:rPr>
              <w:t>.00</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7D7E0CD">
            <w:pPr>
              <w:jc w:val="center"/>
              <w:rPr>
                <w:rFonts w:hint="default" w:ascii="Times New Roman" w:hAnsi="Times New Roman" w:eastAsia="宋体" w:cs="Times New Roman"/>
                <w:b/>
                <w:bCs/>
                <w:i w:val="0"/>
                <w:iCs w:val="0"/>
                <w:color w:val="000000"/>
                <w:sz w:val="20"/>
                <w:szCs w:val="20"/>
                <w:highlight w:val="none"/>
                <w:u w:val="none"/>
              </w:rPr>
            </w:pPr>
          </w:p>
        </w:tc>
      </w:tr>
      <w:tr w14:paraId="4DC8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16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807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经营状况指标（</w:t>
            </w:r>
            <w:r>
              <w:rPr>
                <w:rFonts w:hint="eastAsia" w:cs="Times New Roman"/>
                <w:i w:val="0"/>
                <w:iCs w:val="0"/>
                <w:color w:val="000000"/>
                <w:kern w:val="0"/>
                <w:sz w:val="20"/>
                <w:szCs w:val="20"/>
                <w:highlight w:val="none"/>
                <w:u w:val="none"/>
                <w:lang w:val="en-US" w:eastAsia="zh-CN" w:bidi="ar"/>
              </w:rPr>
              <w:t>25</w:t>
            </w:r>
            <w:r>
              <w:rPr>
                <w:rFonts w:hint="default" w:ascii="Times New Roman" w:hAnsi="Times New Roman" w:eastAsia="宋体" w:cs="Times New Roman"/>
                <w:i w:val="0"/>
                <w:iCs w:val="0"/>
                <w:color w:val="000000"/>
                <w:kern w:val="0"/>
                <w:sz w:val="20"/>
                <w:szCs w:val="20"/>
                <w:highlight w:val="none"/>
                <w:u w:val="none"/>
                <w:lang w:val="en-US" w:eastAsia="zh-CN" w:bidi="ar"/>
              </w:rPr>
              <w:t>分）</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66E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存贷比</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834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5AD71ED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根据各投标人在莞机构存贷比数值由高到低排序，第一得5分，从第二开始依次递减0.2分，减至0分为止。</w:t>
            </w:r>
          </w:p>
        </w:tc>
      </w:tr>
      <w:tr w14:paraId="5CF0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8CC70">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7BA02">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618D9">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FB08B">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1CF7623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数据来源：以《东莞市银行业监测月报》（东莞市银行业协会编）的数据为准，统计截止时间为最新月份，未提供不得分。</w:t>
            </w:r>
          </w:p>
        </w:tc>
      </w:tr>
      <w:tr w14:paraId="051D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CB1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0A9DE">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00B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网点设置情况</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306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5D6681B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总行设置在南城，得5分；分行设置在南城，得4分；有网点设置在南城，得2分。</w:t>
            </w:r>
          </w:p>
        </w:tc>
      </w:tr>
      <w:tr w14:paraId="039C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05CA9">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ED6D6">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7EA72">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E4276">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16B391E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数据来源：以《东莞市银行业监测月报》（东莞市银行业协会编）的数据为准，统计截止时间为最新月份，未提供不得分。</w:t>
            </w:r>
          </w:p>
        </w:tc>
      </w:tr>
      <w:tr w14:paraId="2FC3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9EC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14589">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E81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资本充足率</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D0F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5.00</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CA34B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根据各投标人总行的资本充足率数值由高到低排序，第一得5分，从第二开始依次递减0.25分，减至0分为止。</w:t>
            </w:r>
          </w:p>
        </w:tc>
      </w:tr>
      <w:tr w14:paraId="0006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B4400">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12634">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671E3">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01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6FFEFEE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数据来源：由会计师事务所出具的总行发出的上一年度报告，未提供不得分。</w:t>
            </w:r>
          </w:p>
        </w:tc>
      </w:tr>
      <w:tr w14:paraId="678B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720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FAD23">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1E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不良贷款率</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B33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5.00</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7C132D5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根据各投标人总行的不良贷款率数值由低到高排序，第一得5分，从第二开始依次递减0.25分，减至0分为止。</w:t>
            </w:r>
          </w:p>
        </w:tc>
      </w:tr>
      <w:tr w14:paraId="4D65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B0AA8">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EABF1">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E4904">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00D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608D974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数据来源：由会计师事务所出具的总行发出的上一年度报告，未提供不得分。</w:t>
            </w:r>
          </w:p>
        </w:tc>
      </w:tr>
      <w:tr w14:paraId="427F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716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797E8">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4DB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银行业机构综合评估情况</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628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5.00</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5C8097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根据各投标人最新年度银行业机构评估综合评级结果，A且综合评分90分（含）以上的得5分，A且综合评分85分（含）至90分（不含）得2.5分，B+及其他不得分。</w:t>
            </w:r>
          </w:p>
        </w:tc>
      </w:tr>
      <w:tr w14:paraId="05A5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53B1E">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34F91">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D6DB1">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78B61">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7C6B04A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数据来源：以中国人民银行东莞市分行提供的书面文件为准，未提供不得分。</w:t>
            </w:r>
          </w:p>
        </w:tc>
      </w:tr>
      <w:tr w14:paraId="1616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5882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二</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48EF982C">
            <w:pPr>
              <w:jc w:val="center"/>
              <w:rPr>
                <w:rFonts w:hint="default" w:ascii="Times New Roman" w:hAnsi="Times New Roman" w:eastAsia="宋体" w:cs="Times New Roman"/>
                <w:b/>
                <w:bCs/>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BBF85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eastAsia" w:cs="Times New Roman"/>
                <w:b/>
                <w:bCs/>
                <w:i w:val="0"/>
                <w:iCs w:val="0"/>
                <w:color w:val="000000"/>
                <w:kern w:val="0"/>
                <w:sz w:val="20"/>
                <w:szCs w:val="20"/>
                <w:highlight w:val="none"/>
                <w:u w:val="none"/>
                <w:lang w:val="en-US" w:eastAsia="zh-CN" w:bidi="ar"/>
              </w:rPr>
              <w:t>25</w:t>
            </w: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34FB5298">
            <w:pPr>
              <w:jc w:val="left"/>
              <w:rPr>
                <w:rFonts w:hint="default" w:ascii="Times New Roman" w:hAnsi="Times New Roman" w:eastAsia="宋体" w:cs="Times New Roman"/>
                <w:b/>
                <w:bCs/>
                <w:i w:val="0"/>
                <w:iCs w:val="0"/>
                <w:color w:val="000000"/>
                <w:sz w:val="20"/>
                <w:szCs w:val="20"/>
                <w:highlight w:val="none"/>
                <w:u w:val="none"/>
              </w:rPr>
            </w:pPr>
          </w:p>
        </w:tc>
      </w:tr>
      <w:tr w14:paraId="4A4B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03B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6</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4BD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利率水平指标（</w:t>
            </w:r>
            <w:r>
              <w:rPr>
                <w:rFonts w:hint="eastAsia" w:cs="Times New Roman"/>
                <w:i w:val="0"/>
                <w:iCs w:val="0"/>
                <w:color w:val="000000"/>
                <w:kern w:val="0"/>
                <w:sz w:val="20"/>
                <w:szCs w:val="20"/>
                <w:highlight w:val="none"/>
                <w:u w:val="none"/>
                <w:lang w:val="en-US" w:eastAsia="zh-CN" w:bidi="ar"/>
              </w:rPr>
              <w:t>25</w:t>
            </w:r>
            <w:r>
              <w:rPr>
                <w:rFonts w:hint="default" w:ascii="Times New Roman" w:hAnsi="Times New Roman" w:eastAsia="宋体" w:cs="Times New Roman"/>
                <w:i w:val="0"/>
                <w:iCs w:val="0"/>
                <w:color w:val="000000"/>
                <w:kern w:val="0"/>
                <w:sz w:val="20"/>
                <w:szCs w:val="20"/>
                <w:highlight w:val="none"/>
                <w:u w:val="none"/>
                <w:lang w:val="en-US" w:eastAsia="zh-CN" w:bidi="ar"/>
              </w:rPr>
              <w:t>分）</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1AE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定期存款收益率</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C6D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25</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C81DA9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定期存款利率为自律机制制定的存款利率上限，上浮情况为基准利率+基点。根据各投标人半年期和一年期定期存款的利率上浮报价评分，权重各占50%。</w:t>
            </w:r>
          </w:p>
          <w:p w14:paraId="76E24F2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单项利率报价最高得1</w:t>
            </w:r>
            <w:r>
              <w:rPr>
                <w:rFonts w:hint="eastAsia" w:cs="Times New Roman"/>
                <w:i w:val="0"/>
                <w:iCs w:val="0"/>
                <w:color w:val="000000"/>
                <w:sz w:val="20"/>
                <w:szCs w:val="20"/>
                <w:highlight w:val="none"/>
                <w:u w:val="none"/>
                <w:lang w:val="en-US" w:eastAsia="zh-CN"/>
              </w:rPr>
              <w:t>2.5</w:t>
            </w:r>
            <w:r>
              <w:rPr>
                <w:rFonts w:hint="default" w:ascii="Times New Roman" w:hAnsi="Times New Roman" w:eastAsia="宋体" w:cs="Times New Roman"/>
                <w:i w:val="0"/>
                <w:iCs w:val="0"/>
                <w:color w:val="000000"/>
                <w:sz w:val="20"/>
                <w:szCs w:val="20"/>
                <w:highlight w:val="none"/>
                <w:u w:val="none"/>
              </w:rPr>
              <w:t>分，每少5个BP（基点）减0.25分，不足5个BP的不做减分计算。</w:t>
            </w:r>
          </w:p>
          <w:p w14:paraId="6BDC67C8">
            <w:pPr>
              <w:keepNext w:val="0"/>
              <w:keepLines w:val="0"/>
              <w:widowControl/>
              <w:suppressLineNumbers w:val="0"/>
              <w:jc w:val="left"/>
              <w:textAlignment w:val="center"/>
              <w:rPr>
                <w:rFonts w:hint="eastAsia" w:cs="Times New Roman"/>
                <w:i w:val="0"/>
                <w:iCs w:val="0"/>
                <w:color w:val="000000"/>
                <w:sz w:val="20"/>
                <w:szCs w:val="20"/>
                <w:highlight w:val="none"/>
                <w:u w:val="none"/>
                <w:lang w:eastAsia="zh-CN"/>
              </w:rPr>
            </w:pPr>
            <w:r>
              <w:rPr>
                <w:rFonts w:hint="eastAsia" w:cs="Times New Roman"/>
                <w:i w:val="0"/>
                <w:iCs w:val="0"/>
                <w:color w:val="000000"/>
                <w:sz w:val="20"/>
                <w:szCs w:val="20"/>
                <w:highlight w:val="none"/>
                <w:u w:val="none"/>
                <w:lang w:eastAsia="zh-CN"/>
              </w:rPr>
              <w:t>★投标人申报的存款利率须符合国家利率政策规定及市场利率定价自律机制自律管理要求，低于东莞各存期的人民币存款利率上限的视为无效报价。</w:t>
            </w:r>
          </w:p>
          <w:p w14:paraId="3F8A81C1">
            <w:pPr>
              <w:keepNext w:val="0"/>
              <w:keepLines w:val="0"/>
              <w:widowControl/>
              <w:suppressLineNumbers w:val="0"/>
              <w:jc w:val="left"/>
              <w:textAlignment w:val="center"/>
              <w:rPr>
                <w:rFonts w:hint="eastAsia" w:cs="Times New Roman"/>
                <w:i w:val="0"/>
                <w:iCs w:val="0"/>
                <w:color w:val="000000"/>
                <w:sz w:val="20"/>
                <w:szCs w:val="20"/>
                <w:highlight w:val="none"/>
                <w:u w:val="none"/>
                <w:lang w:eastAsia="zh-CN"/>
              </w:rPr>
            </w:pPr>
            <w:r>
              <w:rPr>
                <w:rFonts w:hint="eastAsia" w:cs="Times New Roman"/>
                <w:i w:val="0"/>
                <w:iCs w:val="0"/>
                <w:color w:val="000000"/>
                <w:sz w:val="20"/>
                <w:szCs w:val="20"/>
                <w:highlight w:val="none"/>
                <w:u w:val="none"/>
                <w:lang w:eastAsia="zh-CN"/>
              </w:rPr>
              <w:t>如遇存款基准利率调整，合同期内，投标人在投标时所承诺的存款基准利率随之调整，与人民银行公布的基准利率保持一致。</w:t>
            </w:r>
          </w:p>
          <w:p w14:paraId="3C56D56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sz w:val="20"/>
                <w:szCs w:val="20"/>
                <w:highlight w:val="none"/>
                <w:u w:val="none"/>
                <w:lang w:eastAsia="zh-CN"/>
              </w:rPr>
              <w:t>如遇东莞人民币存款利率上限调整，合同期内，投标人在投标时所承诺的存款利率上浮幅度随之调整，与东莞人民币存款利率上限保持一致。</w:t>
            </w:r>
          </w:p>
        </w:tc>
      </w:tr>
      <w:tr w14:paraId="6557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A0391">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ED777">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93BD2">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DF76B">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66D8547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数据来源：由投标人自己填报。</w:t>
            </w:r>
          </w:p>
        </w:tc>
      </w:tr>
      <w:tr w14:paraId="75D4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1F7244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2F64C963">
            <w:pPr>
              <w:jc w:val="center"/>
              <w:rPr>
                <w:rFonts w:hint="default" w:ascii="Times New Roman" w:hAnsi="Times New Roman" w:eastAsia="宋体" w:cs="Times New Roman"/>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91BBD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eastAsia" w:cs="Times New Roman"/>
                <w:b/>
                <w:bCs/>
                <w:i w:val="0"/>
                <w:iCs w:val="0"/>
                <w:color w:val="000000"/>
                <w:kern w:val="0"/>
                <w:sz w:val="20"/>
                <w:szCs w:val="20"/>
                <w:highlight w:val="none"/>
                <w:u w:val="none"/>
                <w:lang w:val="en-US" w:eastAsia="zh-CN" w:bidi="ar"/>
              </w:rPr>
              <w:t>10</w:t>
            </w: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16BEA1F6">
            <w:pPr>
              <w:jc w:val="left"/>
              <w:rPr>
                <w:rFonts w:hint="default" w:ascii="Times New Roman" w:hAnsi="Times New Roman" w:eastAsia="宋体" w:cs="Times New Roman"/>
                <w:b/>
                <w:bCs/>
                <w:i w:val="0"/>
                <w:iCs w:val="0"/>
                <w:color w:val="000000"/>
                <w:sz w:val="20"/>
                <w:szCs w:val="20"/>
                <w:highlight w:val="none"/>
                <w:u w:val="none"/>
              </w:rPr>
            </w:pPr>
          </w:p>
        </w:tc>
      </w:tr>
      <w:tr w14:paraId="1E1E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3DA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CD5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服务水平指标（1</w:t>
            </w:r>
            <w:r>
              <w:rPr>
                <w:rFonts w:hint="eastAsia" w:cs="Times New Roman"/>
                <w:i w:val="0"/>
                <w:iCs w:val="0"/>
                <w:color w:val="000000"/>
                <w:kern w:val="0"/>
                <w:sz w:val="20"/>
                <w:szCs w:val="20"/>
                <w:highlight w:val="none"/>
                <w:u w:val="none"/>
                <w:lang w:val="en-US" w:eastAsia="zh-CN" w:bidi="ar"/>
              </w:rPr>
              <w:t>0</w:t>
            </w:r>
            <w:r>
              <w:rPr>
                <w:rFonts w:hint="default" w:ascii="Times New Roman" w:hAnsi="Times New Roman" w:eastAsia="宋体" w:cs="Times New Roman"/>
                <w:i w:val="0"/>
                <w:iCs w:val="0"/>
                <w:color w:val="000000"/>
                <w:kern w:val="0"/>
                <w:sz w:val="20"/>
                <w:szCs w:val="20"/>
                <w:highlight w:val="none"/>
                <w:u w:val="none"/>
                <w:lang w:val="en-US" w:eastAsia="zh-CN" w:bidi="ar"/>
              </w:rPr>
              <w:t>分）</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754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本地化服务</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057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2</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7C57B82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根据投标人承诺的服务内容，由评标委员会成员评定。</w:t>
            </w:r>
          </w:p>
        </w:tc>
      </w:tr>
      <w:tr w14:paraId="21A6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635A7">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389DE">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2FD35">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4328A">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36F68FC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数据来源：由投标人出示提供相关服务的承诺函</w:t>
            </w:r>
          </w:p>
        </w:tc>
      </w:tr>
      <w:tr w14:paraId="5F12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150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8</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2A5E1">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E0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网点业务能力素质情况</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561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2</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9F136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根据投标人承诺的服务内容，由评标委员会成员评定。</w:t>
            </w:r>
          </w:p>
        </w:tc>
      </w:tr>
      <w:tr w14:paraId="10CA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B284C">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80FBB">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E9D98">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76512">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19B5F6B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数据来源：由投标人出示提供相关服务的承诺函</w:t>
            </w:r>
          </w:p>
        </w:tc>
      </w:tr>
      <w:tr w14:paraId="0168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AFC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9</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7497A">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632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业务办理便捷性</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E15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3</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398AB7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根据投标人承诺的服务内容，由评标委员会成员评定。</w:t>
            </w:r>
          </w:p>
        </w:tc>
      </w:tr>
      <w:tr w14:paraId="4CD4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8A332">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403B4">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2EBA6">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12748">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43718D4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数据来源：由投标人出示提供相关服务的承诺函</w:t>
            </w:r>
          </w:p>
        </w:tc>
      </w:tr>
      <w:tr w14:paraId="7CA8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8A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10</w:t>
            </w: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EEB65">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376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应急响应</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264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3</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0BF777D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根据投标人承诺的服务内容，由评标委员会成员评定。</w:t>
            </w:r>
          </w:p>
        </w:tc>
      </w:tr>
      <w:tr w14:paraId="2B89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16EE8">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C637A">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445D8">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31DFC">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4CCFD51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数据来源：由投标人出示提供相关服务的承诺函</w:t>
            </w:r>
          </w:p>
        </w:tc>
      </w:tr>
      <w:tr w14:paraId="5A4A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AF507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095EB46">
            <w:pPr>
              <w:jc w:val="center"/>
              <w:rPr>
                <w:rFonts w:hint="default" w:ascii="Times New Roman" w:hAnsi="Times New Roman" w:eastAsia="宋体" w:cs="Times New Roman"/>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51E58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30.00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5CED4818">
            <w:pPr>
              <w:jc w:val="left"/>
              <w:rPr>
                <w:rFonts w:hint="default" w:ascii="Times New Roman" w:hAnsi="Times New Roman" w:eastAsia="宋体" w:cs="Times New Roman"/>
                <w:b/>
                <w:bCs/>
                <w:i w:val="0"/>
                <w:iCs w:val="0"/>
                <w:color w:val="000000"/>
                <w:sz w:val="20"/>
                <w:szCs w:val="20"/>
                <w:highlight w:val="none"/>
                <w:u w:val="none"/>
              </w:rPr>
            </w:pPr>
          </w:p>
        </w:tc>
      </w:tr>
      <w:tr w14:paraId="5037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4A2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11</w:t>
            </w:r>
          </w:p>
        </w:tc>
        <w:tc>
          <w:tcPr>
            <w:tcW w:w="728" w:type="dxa"/>
            <w:vMerge w:val="restart"/>
            <w:tcBorders>
              <w:top w:val="single" w:color="000000" w:sz="4" w:space="0"/>
              <w:left w:val="single" w:color="000000" w:sz="4" w:space="0"/>
              <w:right w:val="single" w:color="000000" w:sz="4" w:space="0"/>
            </w:tcBorders>
            <w:noWrap w:val="0"/>
            <w:vAlign w:val="center"/>
          </w:tcPr>
          <w:p w14:paraId="7CF7464D">
            <w:pPr>
              <w:jc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sz w:val="20"/>
                <w:szCs w:val="20"/>
                <w:highlight w:val="none"/>
                <w:u w:val="none"/>
              </w:rPr>
              <w:t>地方经济贡献（30分</w:t>
            </w:r>
          </w:p>
          <w:p w14:paraId="5B059454">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7F3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税收贡献</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132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12</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6E974DF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根据各投标人在南城纳税规模的规模排名（由高到低排序）进行评分，第一名得6分，从第二名开始依次递减0.3分，减至0分为止。</w:t>
            </w:r>
          </w:p>
        </w:tc>
      </w:tr>
      <w:tr w14:paraId="5521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9BA62">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right w:val="single" w:color="000000" w:sz="4" w:space="0"/>
            </w:tcBorders>
            <w:noWrap w:val="0"/>
            <w:vAlign w:val="center"/>
          </w:tcPr>
          <w:p w14:paraId="5D59AD05">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74114">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72E3F">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7E277B3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数据来源：以国家税务总局东莞市税务局提供的书面文件为准，统计时间为上一年度1月1日至12月31日，未提供不得分。</w:t>
            </w:r>
          </w:p>
        </w:tc>
      </w:tr>
      <w:tr w14:paraId="3022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590BF">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right w:val="single" w:color="000000" w:sz="4" w:space="0"/>
            </w:tcBorders>
            <w:noWrap w:val="0"/>
            <w:vAlign w:val="center"/>
          </w:tcPr>
          <w:p w14:paraId="2DFA53B2">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4BE50">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FF090">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320D324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根据银行2025年度纳税总额的同比增速情况排名（由高到低排序）进行评分，第一名得6分，从第二名开始依次递减0.3分，减至0分为止。</w:t>
            </w:r>
          </w:p>
        </w:tc>
      </w:tr>
      <w:tr w14:paraId="0C96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4C825">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right w:val="single" w:color="000000" w:sz="4" w:space="0"/>
            </w:tcBorders>
            <w:noWrap w:val="0"/>
            <w:vAlign w:val="center"/>
          </w:tcPr>
          <w:p w14:paraId="16529482">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95B1">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D612D">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0C1FF3C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数据来源：以国家税务总局东莞市税务局提供的书面文件为准，统计时间为上一年度1月1日至12月31日，未提供不得分。</w:t>
            </w:r>
          </w:p>
        </w:tc>
      </w:tr>
      <w:tr w14:paraId="5C90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99F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12</w:t>
            </w:r>
          </w:p>
        </w:tc>
        <w:tc>
          <w:tcPr>
            <w:tcW w:w="728" w:type="dxa"/>
            <w:vMerge w:val="continue"/>
            <w:tcBorders>
              <w:left w:val="single" w:color="000000" w:sz="4" w:space="0"/>
              <w:right w:val="single" w:color="000000" w:sz="4" w:space="0"/>
            </w:tcBorders>
            <w:shd w:val="clear" w:color="auto" w:fill="auto"/>
            <w:noWrap w:val="0"/>
            <w:vAlign w:val="center"/>
          </w:tcPr>
          <w:p w14:paraId="55ED5962">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3FD942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南城）利息净收入同比增速</w:t>
            </w:r>
          </w:p>
          <w:p w14:paraId="053BE4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733"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0D76D9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cs="Times New Roman"/>
                <w:i w:val="0"/>
                <w:iCs w:val="0"/>
                <w:color w:val="000000"/>
                <w:kern w:val="0"/>
                <w:sz w:val="20"/>
                <w:szCs w:val="20"/>
                <w:highlight w:val="none"/>
                <w:u w:val="none"/>
                <w:lang w:val="en-US" w:eastAsia="zh-CN" w:bidi="ar"/>
              </w:rPr>
              <w:t>6</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p w14:paraId="004AD5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ED00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2025年1至12月按人行存贷统计口径纳入南城统计范围的利息净收入同比增速，排名（由高到低排序）进行评分，第一名得6分，从第二名开始依次递减0.3分，减至0分为止。</w:t>
            </w:r>
          </w:p>
        </w:tc>
      </w:tr>
      <w:tr w14:paraId="4201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8B76D">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right w:val="single" w:color="000000" w:sz="4" w:space="0"/>
            </w:tcBorders>
            <w:noWrap w:val="0"/>
            <w:vAlign w:val="center"/>
          </w:tcPr>
          <w:p w14:paraId="686CAC5F">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nil"/>
              <w:right w:val="single" w:color="000000" w:sz="4" w:space="0"/>
            </w:tcBorders>
            <w:noWrap w:val="0"/>
            <w:vAlign w:val="center"/>
          </w:tcPr>
          <w:p w14:paraId="3491367D">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nil"/>
              <w:right w:val="single" w:color="000000" w:sz="4" w:space="0"/>
            </w:tcBorders>
            <w:noWrap w:val="0"/>
            <w:vAlign w:val="center"/>
          </w:tcPr>
          <w:p w14:paraId="07F278E4">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FFD1E">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0"/>
                <w:szCs w:val="20"/>
                <w:highlight w:val="none"/>
                <w:u w:val="none"/>
                <w:lang w:val="en-US" w:eastAsia="zh-CN" w:bidi="ar-SA"/>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数据来源：以中国人民银行东莞市分行提供的书面文件为准，未提供不得分。</w:t>
            </w:r>
          </w:p>
        </w:tc>
      </w:tr>
      <w:tr w14:paraId="6048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1EC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13</w:t>
            </w:r>
          </w:p>
        </w:tc>
        <w:tc>
          <w:tcPr>
            <w:tcW w:w="728" w:type="dxa"/>
            <w:vMerge w:val="continue"/>
            <w:tcBorders>
              <w:left w:val="single" w:color="000000" w:sz="4" w:space="0"/>
              <w:right w:val="single" w:color="000000" w:sz="4" w:space="0"/>
            </w:tcBorders>
            <w:shd w:val="clear" w:color="auto" w:fill="auto"/>
            <w:noWrap w:val="0"/>
            <w:vAlign w:val="center"/>
          </w:tcPr>
          <w:p w14:paraId="1DB70363">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4ABF2A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（南城）手续费及佣金净收入同比增速</w:t>
            </w:r>
          </w:p>
        </w:tc>
        <w:tc>
          <w:tcPr>
            <w:tcW w:w="733"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1778EF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cs="Times New Roman"/>
                <w:i w:val="0"/>
                <w:iCs w:val="0"/>
                <w:color w:val="000000"/>
                <w:kern w:val="0"/>
                <w:sz w:val="20"/>
                <w:szCs w:val="20"/>
                <w:highlight w:val="none"/>
                <w:u w:val="none"/>
                <w:lang w:val="en-US" w:eastAsia="zh-CN" w:bidi="ar"/>
              </w:rPr>
              <w:t>6</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p w14:paraId="439B96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3E61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2025年1至12月按人行存贷统计口径纳入南城统计范围的手续费及佣金净收入同比增速，排名（由高到低排序）进行评分，第一名得6分，从第二名开始依次递减0.3分，减至0分为止。</w:t>
            </w:r>
          </w:p>
        </w:tc>
      </w:tr>
      <w:tr w14:paraId="50F7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CC9E1">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right w:val="single" w:color="000000" w:sz="4" w:space="0"/>
            </w:tcBorders>
            <w:noWrap w:val="0"/>
            <w:vAlign w:val="center"/>
          </w:tcPr>
          <w:p w14:paraId="2807D1A1">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nil"/>
              <w:right w:val="single" w:color="000000" w:sz="4" w:space="0"/>
            </w:tcBorders>
            <w:noWrap w:val="0"/>
            <w:vAlign w:val="center"/>
          </w:tcPr>
          <w:p w14:paraId="215AF20E">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nil"/>
              <w:right w:val="single" w:color="000000" w:sz="4" w:space="0"/>
            </w:tcBorders>
            <w:noWrap w:val="0"/>
            <w:vAlign w:val="center"/>
          </w:tcPr>
          <w:p w14:paraId="019E1C2A">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DF2A8">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0"/>
                <w:szCs w:val="20"/>
                <w:highlight w:val="none"/>
                <w:u w:val="none"/>
                <w:lang w:val="en-US" w:eastAsia="zh-CN" w:bidi="ar-SA"/>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数据来源：以中国人民银行东莞市分行提供的书面文件为准，未提供不得分。</w:t>
            </w:r>
          </w:p>
        </w:tc>
      </w:tr>
      <w:tr w14:paraId="592D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31F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14</w:t>
            </w:r>
          </w:p>
        </w:tc>
        <w:tc>
          <w:tcPr>
            <w:tcW w:w="728" w:type="dxa"/>
            <w:vMerge w:val="continue"/>
            <w:tcBorders>
              <w:left w:val="single" w:color="000000" w:sz="4" w:space="0"/>
              <w:right w:val="single" w:color="000000" w:sz="4" w:space="0"/>
            </w:tcBorders>
            <w:shd w:val="clear" w:color="auto" w:fill="auto"/>
            <w:noWrap w:val="0"/>
            <w:vAlign w:val="center"/>
          </w:tcPr>
          <w:p w14:paraId="1DA1E1BD">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4C3A9A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（南城）贷款余额平均增速</w:t>
            </w:r>
          </w:p>
        </w:tc>
        <w:tc>
          <w:tcPr>
            <w:tcW w:w="733"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48B813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cs="Times New Roman"/>
                <w:i w:val="0"/>
                <w:iCs w:val="0"/>
                <w:color w:val="000000"/>
                <w:kern w:val="0"/>
                <w:sz w:val="20"/>
                <w:szCs w:val="20"/>
                <w:highlight w:val="none"/>
                <w:u w:val="none"/>
                <w:lang w:val="en-US" w:eastAsia="zh-CN" w:bidi="ar"/>
              </w:rPr>
              <w:t>6</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p w14:paraId="0ADB8B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73A3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（2025年1至12月每月末贷款余额合计/12-2024年1至12月每月末贷款余额合计/12)/（2024年1至12月每月末贷款余额合计/12)*100%，排名（由高到低排序）进行评分，第一名得6分，从第二名开始依次递减0.3分，减至0分为止。</w:t>
            </w:r>
          </w:p>
        </w:tc>
      </w:tr>
      <w:tr w14:paraId="5F21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CAE37">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left w:val="single" w:color="000000" w:sz="4" w:space="0"/>
              <w:bottom w:val="single" w:color="000000" w:sz="4" w:space="0"/>
              <w:right w:val="single" w:color="000000" w:sz="4" w:space="0"/>
            </w:tcBorders>
            <w:noWrap w:val="0"/>
            <w:vAlign w:val="center"/>
          </w:tcPr>
          <w:p w14:paraId="05B90CA6">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nil"/>
              <w:right w:val="single" w:color="000000" w:sz="4" w:space="0"/>
            </w:tcBorders>
            <w:noWrap w:val="0"/>
            <w:vAlign w:val="center"/>
          </w:tcPr>
          <w:p w14:paraId="3F7DD2A0">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nil"/>
              <w:right w:val="single" w:color="000000" w:sz="4" w:space="0"/>
            </w:tcBorders>
            <w:noWrap w:val="0"/>
            <w:vAlign w:val="center"/>
          </w:tcPr>
          <w:p w14:paraId="4682C20D">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B64C9">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0"/>
                <w:szCs w:val="20"/>
                <w:highlight w:val="none"/>
                <w:u w:val="none"/>
                <w:lang w:val="en-US" w:eastAsia="zh-CN" w:bidi="ar-SA"/>
              </w:rPr>
            </w:pPr>
            <w:r>
              <w:rPr>
                <w:rFonts w:hint="default" w:ascii="Times New Roman" w:hAnsi="Times New Roman" w:eastAsia="宋体" w:cs="Times New Roman"/>
                <w:b/>
                <w:bCs/>
                <w:i w:val="0"/>
                <w:iCs w:val="0"/>
                <w:color w:val="000000"/>
                <w:kern w:val="0"/>
                <w:sz w:val="20"/>
                <w:szCs w:val="20"/>
                <w:highlight w:val="none"/>
                <w:u w:val="none"/>
                <w:lang w:val="en-US" w:eastAsia="zh-CN" w:bidi="ar"/>
              </w:rPr>
              <w:t>数据来源：以中国人民银行东莞市分行提供的书面文件为准，未提供不得分。</w:t>
            </w:r>
          </w:p>
        </w:tc>
      </w:tr>
      <w:tr w14:paraId="623C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32051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五</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6787C15E">
            <w:pPr>
              <w:jc w:val="center"/>
              <w:rPr>
                <w:rFonts w:hint="default" w:ascii="Times New Roman" w:hAnsi="Times New Roman" w:eastAsia="宋体" w:cs="Times New Roman"/>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679FD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eastAsia" w:cs="Times New Roman"/>
                <w:b/>
                <w:bCs/>
                <w:i w:val="0"/>
                <w:iCs w:val="0"/>
                <w:color w:val="000000"/>
                <w:kern w:val="0"/>
                <w:sz w:val="20"/>
                <w:szCs w:val="20"/>
                <w:highlight w:val="none"/>
                <w:u w:val="none"/>
                <w:lang w:val="en-US" w:eastAsia="zh-CN" w:bidi="ar"/>
              </w:rPr>
              <w:t>10</w:t>
            </w: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226A83DB">
            <w:pPr>
              <w:jc w:val="both"/>
              <w:rPr>
                <w:rFonts w:hint="default" w:ascii="Times New Roman" w:hAnsi="Times New Roman" w:eastAsia="宋体" w:cs="Times New Roman"/>
                <w:b/>
                <w:bCs/>
                <w:i w:val="0"/>
                <w:iCs w:val="0"/>
                <w:color w:val="000000"/>
                <w:sz w:val="20"/>
                <w:szCs w:val="20"/>
                <w:highlight w:val="none"/>
                <w:u w:val="none"/>
              </w:rPr>
            </w:pPr>
          </w:p>
        </w:tc>
      </w:tr>
      <w:tr w14:paraId="2B41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F51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cs="Times New Roman"/>
                <w:i w:val="0"/>
                <w:iCs w:val="0"/>
                <w:color w:val="000000"/>
                <w:kern w:val="0"/>
                <w:sz w:val="20"/>
                <w:szCs w:val="20"/>
                <w:highlight w:val="none"/>
                <w:u w:val="none"/>
                <w:lang w:val="en-US" w:eastAsia="zh-CN" w:bidi="ar"/>
              </w:rPr>
              <w:t>5</w:t>
            </w:r>
          </w:p>
        </w:tc>
        <w:tc>
          <w:tcPr>
            <w:tcW w:w="728" w:type="dxa"/>
            <w:vMerge w:val="restart"/>
            <w:tcBorders>
              <w:top w:val="nil"/>
              <w:left w:val="single" w:color="000000" w:sz="4" w:space="0"/>
              <w:bottom w:val="single" w:color="000000" w:sz="4" w:space="0"/>
              <w:right w:val="single" w:color="000000" w:sz="4" w:space="0"/>
            </w:tcBorders>
            <w:noWrap w:val="0"/>
            <w:vAlign w:val="center"/>
          </w:tcPr>
          <w:p w14:paraId="3EB1FF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增值服务指标（</w:t>
            </w:r>
            <w:r>
              <w:rPr>
                <w:rFonts w:hint="eastAsia" w:cs="Times New Roman"/>
                <w:i w:val="0"/>
                <w:iCs w:val="0"/>
                <w:color w:val="000000"/>
                <w:kern w:val="0"/>
                <w:sz w:val="20"/>
                <w:szCs w:val="20"/>
                <w:highlight w:val="none"/>
                <w:u w:val="none"/>
                <w:lang w:val="en-US" w:eastAsia="zh-CN" w:bidi="ar"/>
              </w:rPr>
              <w:t>10</w:t>
            </w:r>
            <w:r>
              <w:rPr>
                <w:rFonts w:hint="default" w:ascii="Times New Roman" w:hAnsi="Times New Roman" w:eastAsia="宋体" w:cs="Times New Roman"/>
                <w:i w:val="0"/>
                <w:iCs w:val="0"/>
                <w:color w:val="000000"/>
                <w:kern w:val="0"/>
                <w:sz w:val="20"/>
                <w:szCs w:val="20"/>
                <w:highlight w:val="none"/>
                <w:u w:val="none"/>
                <w:lang w:val="en-US" w:eastAsia="zh-CN" w:bidi="ar"/>
              </w:rPr>
              <w:t>分）</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AB4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提供增值服务（如专项债服务）</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60B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10</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.00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65E1D9B2">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每项服务加2分，最高加10分</w:t>
            </w:r>
          </w:p>
        </w:tc>
      </w:tr>
      <w:tr w14:paraId="0D8E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FCA46">
            <w:pPr>
              <w:jc w:val="center"/>
              <w:rPr>
                <w:rFonts w:hint="default" w:ascii="Times New Roman" w:hAnsi="Times New Roman" w:eastAsia="宋体" w:cs="Times New Roman"/>
                <w:i w:val="0"/>
                <w:iCs w:val="0"/>
                <w:color w:val="000000"/>
                <w:sz w:val="20"/>
                <w:szCs w:val="20"/>
                <w:highlight w:val="none"/>
                <w:u w:val="none"/>
              </w:rPr>
            </w:pPr>
          </w:p>
        </w:tc>
        <w:tc>
          <w:tcPr>
            <w:tcW w:w="728" w:type="dxa"/>
            <w:vMerge w:val="continue"/>
            <w:tcBorders>
              <w:top w:val="nil"/>
              <w:left w:val="single" w:color="000000" w:sz="4" w:space="0"/>
              <w:bottom w:val="single" w:color="000000" w:sz="4" w:space="0"/>
              <w:right w:val="single" w:color="000000" w:sz="4" w:space="0"/>
            </w:tcBorders>
            <w:noWrap w:val="0"/>
            <w:vAlign w:val="center"/>
          </w:tcPr>
          <w:p w14:paraId="3B366783">
            <w:pPr>
              <w:jc w:val="center"/>
              <w:rPr>
                <w:rFonts w:hint="default" w:ascii="Times New Roman" w:hAnsi="Times New Roman" w:eastAsia="宋体" w:cs="Times New Roman"/>
                <w:i w:val="0"/>
                <w:iCs w:val="0"/>
                <w:color w:val="000000"/>
                <w:sz w:val="20"/>
                <w:szCs w:val="20"/>
                <w:highlight w:val="none"/>
                <w:u w:val="none"/>
              </w:rPr>
            </w:pP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A4ED7">
            <w:pPr>
              <w:jc w:val="center"/>
              <w:rPr>
                <w:rFonts w:hint="default" w:ascii="Times New Roman" w:hAnsi="Times New Roman" w:eastAsia="宋体" w:cs="Times New Roman"/>
                <w:i w:val="0"/>
                <w:iCs w:val="0"/>
                <w:color w:val="000000"/>
                <w:sz w:val="20"/>
                <w:szCs w:val="20"/>
                <w:highlight w:val="none"/>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CFAB8">
            <w:pPr>
              <w:jc w:val="center"/>
              <w:rPr>
                <w:rFonts w:hint="default" w:ascii="Times New Roman" w:hAnsi="Times New Roman" w:eastAsia="宋体" w:cs="Times New Roman"/>
                <w:i w:val="0"/>
                <w:iCs w:val="0"/>
                <w:color w:val="000000"/>
                <w:sz w:val="20"/>
                <w:szCs w:val="20"/>
                <w:highlight w:val="none"/>
                <w:u w:val="none"/>
              </w:rPr>
            </w:pP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0F64CDA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 数据来源：由投标人自己填报。</w:t>
            </w:r>
          </w:p>
        </w:tc>
      </w:tr>
      <w:tr w14:paraId="2FE8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20094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六</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29DDE9F">
            <w:pPr>
              <w:jc w:val="center"/>
              <w:rPr>
                <w:rFonts w:hint="default" w:ascii="Times New Roman" w:hAnsi="Times New Roman" w:eastAsia="宋体" w:cs="Times New Roman"/>
                <w:i w:val="0"/>
                <w:iCs w:val="0"/>
                <w:color w:val="000000"/>
                <w:sz w:val="20"/>
                <w:szCs w:val="20"/>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C5112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一票否决</w:t>
            </w: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06C33B1F">
            <w:pPr>
              <w:jc w:val="both"/>
              <w:rPr>
                <w:rFonts w:hint="default" w:ascii="Times New Roman" w:hAnsi="Times New Roman" w:eastAsia="宋体" w:cs="Times New Roman"/>
                <w:b/>
                <w:bCs/>
                <w:i w:val="0"/>
                <w:iCs w:val="0"/>
                <w:color w:val="000000"/>
                <w:sz w:val="20"/>
                <w:szCs w:val="20"/>
                <w:highlight w:val="none"/>
                <w:u w:val="none"/>
              </w:rPr>
            </w:pPr>
          </w:p>
        </w:tc>
      </w:tr>
      <w:tr w14:paraId="07A9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17" w:type="dxa"/>
            <w:tcBorders>
              <w:top w:val="single" w:color="000000" w:sz="4" w:space="0"/>
              <w:left w:val="single" w:color="000000" w:sz="4" w:space="0"/>
              <w:bottom w:val="single" w:color="000000" w:sz="4" w:space="0"/>
              <w:right w:val="single" w:color="000000" w:sz="4" w:space="0"/>
            </w:tcBorders>
            <w:noWrap w:val="0"/>
            <w:vAlign w:val="center"/>
          </w:tcPr>
          <w:p w14:paraId="51D0A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sz w:val="20"/>
              </w:rPr>
              <mc:AlternateContent>
                <mc:Choice Requires="wps">
                  <w:drawing>
                    <wp:anchor distT="0" distB="0" distL="114300" distR="114300" simplePos="0" relativeHeight="251659264" behindDoc="0" locked="0" layoutInCell="1" allowOverlap="1">
                      <wp:simplePos x="0" y="0"/>
                      <wp:positionH relativeFrom="column">
                        <wp:posOffset>-655955</wp:posOffset>
                      </wp:positionH>
                      <wp:positionV relativeFrom="paragraph">
                        <wp:posOffset>1096010</wp:posOffset>
                      </wp:positionV>
                      <wp:extent cx="6572250" cy="2926080"/>
                      <wp:effectExtent l="0" t="0" r="0" b="7620"/>
                      <wp:wrapNone/>
                      <wp:docPr id="1" name="文本框 1"/>
                      <wp:cNvGraphicFramePr/>
                      <a:graphic xmlns:a="http://schemas.openxmlformats.org/drawingml/2006/main">
                        <a:graphicData uri="http://schemas.microsoft.com/office/word/2010/wordprocessingShape">
                          <wps:wsp>
                            <wps:cNvSpPr txBox="1"/>
                            <wps:spPr>
                              <a:xfrm>
                                <a:off x="485140" y="4566920"/>
                                <a:ext cx="6572250" cy="2926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464BAC">
                                  <w:pPr>
                                    <w:pStyle w:val="33"/>
                                    <w:keepNext w:val="0"/>
                                    <w:keepLines w:val="0"/>
                                    <w:pageBreakBefore w:val="0"/>
                                    <w:widowControl/>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olor w:val="auto"/>
                                      <w:highlight w:val="none"/>
                                    </w:rPr>
                                  </w:pPr>
                                  <w:r>
                                    <w:rPr>
                                      <w:rFonts w:hint="default" w:ascii="Times New Roman" w:hAnsi="Times New Roman"/>
                                      <w:color w:val="auto"/>
                                      <w:highlight w:val="none"/>
                                    </w:rPr>
                                    <w:t>备注：</w:t>
                                  </w:r>
                                  <w:r>
                                    <w:rPr>
                                      <w:rFonts w:hint="eastAsia" w:ascii="Times New Roman" w:hAnsi="Times New Roman"/>
                                      <w:color w:val="auto"/>
                                      <w:highlight w:val="none"/>
                                      <w:lang w:val="en-US" w:eastAsia="zh-CN"/>
                                    </w:rPr>
                                    <w:t>1、</w:t>
                                  </w:r>
                                  <w:r>
                                    <w:rPr>
                                      <w:rFonts w:hint="default" w:ascii="Times New Roman" w:hAnsi="Times New Roman"/>
                                      <w:color w:val="auto"/>
                                      <w:highlight w:val="none"/>
                                    </w:rPr>
                                    <w:t>关于投标人无项目数据的情况说明</w:t>
                                  </w:r>
                                </w:p>
                                <w:p w14:paraId="30DE5150">
                                  <w:pPr>
                                    <w:pStyle w:val="33"/>
                                    <w:keepNext w:val="0"/>
                                    <w:keepLines w:val="0"/>
                                    <w:pageBreakBefore w:val="0"/>
                                    <w:widowControl/>
                                    <w:kinsoku/>
                                    <w:wordWrap/>
                                    <w:overflowPunct/>
                                    <w:topLinePunct w:val="0"/>
                                    <w:autoSpaceDE/>
                                    <w:autoSpaceDN/>
                                    <w:bidi w:val="0"/>
                                    <w:adjustRightInd/>
                                    <w:snapToGrid/>
                                    <w:spacing w:line="540" w:lineRule="exact"/>
                                    <w:ind w:left="0" w:leftChars="0" w:firstLine="480" w:firstLineChars="200"/>
                                    <w:textAlignment w:val="auto"/>
                                    <w:rPr>
                                      <w:rFonts w:hint="eastAsia" w:ascii="Times New Roman" w:hAnsi="Times New Roman"/>
                                      <w:color w:val="auto"/>
                                      <w:highlight w:val="none"/>
                                      <w:lang w:eastAsia="zh-CN"/>
                                    </w:rPr>
                                  </w:pPr>
                                  <w:r>
                                    <w:rPr>
                                      <w:rFonts w:hint="default" w:ascii="Times New Roman" w:hAnsi="Times New Roman"/>
                                      <w:color w:val="auto"/>
                                      <w:highlight w:val="none"/>
                                    </w:rPr>
                                    <w:t>若投标人在评分标准的一项或多项评分指标中未提供数据，该投标人的该评分指标对应评分为0</w:t>
                                  </w:r>
                                  <w:r>
                                    <w:rPr>
                                      <w:rFonts w:hint="eastAsia" w:ascii="Times New Roman" w:hAnsi="Times New Roman"/>
                                      <w:color w:val="auto"/>
                                      <w:highlight w:val="none"/>
                                      <w:lang w:eastAsia="zh-CN"/>
                                    </w:rPr>
                                    <w:t>。</w:t>
                                  </w:r>
                                </w:p>
                                <w:p w14:paraId="681A9152">
                                  <w:pPr>
                                    <w:pStyle w:val="33"/>
                                    <w:keepNext w:val="0"/>
                                    <w:keepLines w:val="0"/>
                                    <w:pageBreakBefore w:val="0"/>
                                    <w:widowControl/>
                                    <w:numPr>
                                      <w:ilvl w:val="0"/>
                                      <w:numId w:val="54"/>
                                    </w:numPr>
                                    <w:kinsoku/>
                                    <w:wordWrap/>
                                    <w:overflowPunct/>
                                    <w:topLinePunct w:val="0"/>
                                    <w:autoSpaceDE/>
                                    <w:autoSpaceDN/>
                                    <w:bidi w:val="0"/>
                                    <w:adjustRightInd/>
                                    <w:snapToGrid/>
                                    <w:spacing w:line="540" w:lineRule="exact"/>
                                    <w:ind w:left="0" w:leftChars="0" w:firstLine="480" w:firstLineChars="200"/>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关于评分排名的情况说明</w:t>
                                  </w:r>
                                </w:p>
                                <w:p w14:paraId="3BA1939A">
                                  <w:pPr>
                                    <w:pStyle w:val="33"/>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若综合得分相同，则得分相同的投标人按地方经济贡献的得分由高到低进行排序；综合得分</w:t>
                                  </w:r>
                                </w:p>
                                <w:p w14:paraId="3A4EB857">
                                  <w:pPr>
                                    <w:pStyle w:val="33"/>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相同且地方经济贡献得分相同的，按经营状况的得分由高到低排序；综合得分、地方经济贡献、经营状况得分相同的，按增值服务加分的得分由高到低排序。如以上都相同的，名次由评标委员会抽签确定。</w:t>
                                  </w:r>
                                </w:p>
                                <w:p w14:paraId="714B9B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86.3pt;height:230.4pt;width:517.5pt;z-index:251659264;mso-width-relative:page;mso-height-relative:page;" fillcolor="#FFFFFF [3201]" filled="t" stroked="f" coordsize="21600,21600" o:gfxdata="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1Er6/XAAAA&#10;DAEAAA8AAAAAAAAAAQAgAAAAIgAAAGRycy9kb3ducmV2LnhtbFBLAQIUABQAAAAIAIdO4kDi+jvB&#10;VwIAAJsEAAAOAAAAAAAAAAEAIAAAACYBAABkcnMvZTJvRG9jLnhtbFBLBQYAAAAABgAGAFkBAADv&#10;BQAAAAA=&#10;">
                      <v:fill on="t" focussize="0,0"/>
                      <v:stroke on="f" weight="0.5pt"/>
                      <v:imagedata o:title=""/>
                      <o:lock v:ext="edit" aspectratio="f"/>
                      <v:textbox>
                        <w:txbxContent>
                          <w:p w14:paraId="36464BAC">
                            <w:pPr>
                              <w:pStyle w:val="33"/>
                              <w:keepNext w:val="0"/>
                              <w:keepLines w:val="0"/>
                              <w:pageBreakBefore w:val="0"/>
                              <w:widowControl/>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olor w:val="auto"/>
                                <w:highlight w:val="none"/>
                              </w:rPr>
                            </w:pPr>
                            <w:r>
                              <w:rPr>
                                <w:rFonts w:hint="default" w:ascii="Times New Roman" w:hAnsi="Times New Roman"/>
                                <w:color w:val="auto"/>
                                <w:highlight w:val="none"/>
                              </w:rPr>
                              <w:t>备注：</w:t>
                            </w:r>
                            <w:r>
                              <w:rPr>
                                <w:rFonts w:hint="eastAsia" w:ascii="Times New Roman" w:hAnsi="Times New Roman"/>
                                <w:color w:val="auto"/>
                                <w:highlight w:val="none"/>
                                <w:lang w:val="en-US" w:eastAsia="zh-CN"/>
                              </w:rPr>
                              <w:t>1、</w:t>
                            </w:r>
                            <w:r>
                              <w:rPr>
                                <w:rFonts w:hint="default" w:ascii="Times New Roman" w:hAnsi="Times New Roman"/>
                                <w:color w:val="auto"/>
                                <w:highlight w:val="none"/>
                              </w:rPr>
                              <w:t>关于投标人无项目数据的情况说明</w:t>
                            </w:r>
                          </w:p>
                          <w:p w14:paraId="30DE5150">
                            <w:pPr>
                              <w:pStyle w:val="33"/>
                              <w:keepNext w:val="0"/>
                              <w:keepLines w:val="0"/>
                              <w:pageBreakBefore w:val="0"/>
                              <w:widowControl/>
                              <w:kinsoku/>
                              <w:wordWrap/>
                              <w:overflowPunct/>
                              <w:topLinePunct w:val="0"/>
                              <w:autoSpaceDE/>
                              <w:autoSpaceDN/>
                              <w:bidi w:val="0"/>
                              <w:adjustRightInd/>
                              <w:snapToGrid/>
                              <w:spacing w:line="540" w:lineRule="exact"/>
                              <w:ind w:left="0" w:leftChars="0" w:firstLine="480" w:firstLineChars="200"/>
                              <w:textAlignment w:val="auto"/>
                              <w:rPr>
                                <w:rFonts w:hint="eastAsia" w:ascii="Times New Roman" w:hAnsi="Times New Roman"/>
                                <w:color w:val="auto"/>
                                <w:highlight w:val="none"/>
                                <w:lang w:eastAsia="zh-CN"/>
                              </w:rPr>
                            </w:pPr>
                            <w:r>
                              <w:rPr>
                                <w:rFonts w:hint="default" w:ascii="Times New Roman" w:hAnsi="Times New Roman"/>
                                <w:color w:val="auto"/>
                                <w:highlight w:val="none"/>
                              </w:rPr>
                              <w:t>若投标人在评分标准的一项或多项评分指标中未提供数据，该投标人的该评分指标对应评分为0</w:t>
                            </w:r>
                            <w:r>
                              <w:rPr>
                                <w:rFonts w:hint="eastAsia" w:ascii="Times New Roman" w:hAnsi="Times New Roman"/>
                                <w:color w:val="auto"/>
                                <w:highlight w:val="none"/>
                                <w:lang w:eastAsia="zh-CN"/>
                              </w:rPr>
                              <w:t>。</w:t>
                            </w:r>
                          </w:p>
                          <w:p w14:paraId="681A9152">
                            <w:pPr>
                              <w:pStyle w:val="33"/>
                              <w:keepNext w:val="0"/>
                              <w:keepLines w:val="0"/>
                              <w:pageBreakBefore w:val="0"/>
                              <w:widowControl/>
                              <w:numPr>
                                <w:ilvl w:val="0"/>
                                <w:numId w:val="54"/>
                              </w:numPr>
                              <w:kinsoku/>
                              <w:wordWrap/>
                              <w:overflowPunct/>
                              <w:topLinePunct w:val="0"/>
                              <w:autoSpaceDE/>
                              <w:autoSpaceDN/>
                              <w:bidi w:val="0"/>
                              <w:adjustRightInd/>
                              <w:snapToGrid/>
                              <w:spacing w:line="540" w:lineRule="exact"/>
                              <w:ind w:left="0" w:leftChars="0" w:firstLine="480" w:firstLineChars="200"/>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关于评分排名的情况说明</w:t>
                            </w:r>
                          </w:p>
                          <w:p w14:paraId="3BA1939A">
                            <w:pPr>
                              <w:pStyle w:val="33"/>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若综合得分相同，则得分相同的投标人按地方经济贡献的得分由高到低进行排序；综合得分</w:t>
                            </w:r>
                          </w:p>
                          <w:p w14:paraId="3A4EB857">
                            <w:pPr>
                              <w:pStyle w:val="33"/>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相同且地方经济贡献得分相同的，按经营状况的得分由高到低排序；综合得分、地方经济贡献、经营状况得分相同的，按增值服务加分的得分由高到低排序。如以上都相同的，名次由评标委员会抽签确定。</w:t>
                            </w:r>
                          </w:p>
                          <w:p w14:paraId="714B9BF4"/>
                        </w:txbxContent>
                      </v:textbox>
                    </v:shape>
                  </w:pict>
                </mc:Fallback>
              </mc:AlternateContent>
            </w:r>
            <w:r>
              <w:rPr>
                <w:rFonts w:hint="eastAsia" w:cs="Times New Roman"/>
                <w:i w:val="0"/>
                <w:iCs w:val="0"/>
                <w:color w:val="000000"/>
                <w:kern w:val="0"/>
                <w:sz w:val="20"/>
                <w:szCs w:val="20"/>
                <w:highlight w:val="none"/>
                <w:u w:val="none"/>
                <w:lang w:val="en-US" w:eastAsia="zh-CN" w:bidi="ar"/>
              </w:rPr>
              <w:t>16</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1E6AE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逆指标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7BDEDC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存在违规操作的，一票否决</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30032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一票否决 </w:t>
            </w:r>
          </w:p>
        </w:tc>
        <w:tc>
          <w:tcPr>
            <w:tcW w:w="5470" w:type="dxa"/>
            <w:tcBorders>
              <w:top w:val="single" w:color="000000" w:sz="4" w:space="0"/>
              <w:left w:val="single" w:color="000000" w:sz="4" w:space="0"/>
              <w:bottom w:val="single" w:color="000000" w:sz="4" w:space="0"/>
              <w:right w:val="single" w:color="000000" w:sz="4" w:space="0"/>
            </w:tcBorders>
            <w:noWrap w:val="0"/>
            <w:vAlign w:val="center"/>
          </w:tcPr>
          <w:p w14:paraId="4FD7666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擅自挪用财政资金，将资金划转至非指定账户；违法违规拖延、滞压、截留财政资金；转让、出借、伪造或者擅自销毁财政票据。</w:t>
            </w:r>
          </w:p>
        </w:tc>
      </w:tr>
    </w:tbl>
    <w:p w14:paraId="74924903">
      <w:pPr>
        <w:pStyle w:val="3"/>
        <w:pageBreakBefore/>
        <w:spacing w:line="360" w:lineRule="auto"/>
        <w:jc w:val="center"/>
        <w:rPr>
          <w:rFonts w:ascii="黑体" w:hAnsi="黑体" w:eastAsia="黑体"/>
          <w:spacing w:val="20"/>
          <w:sz w:val="32"/>
          <w:szCs w:val="32"/>
        </w:rPr>
      </w:pPr>
      <w:bookmarkStart w:id="23" w:name="_Toc391627752"/>
      <w:bookmarkStart w:id="24" w:name="_Toc405313956"/>
      <w:bookmarkStart w:id="25" w:name="_Toc23715270"/>
      <w:r>
        <w:rPr>
          <w:rFonts w:hint="eastAsia" w:ascii="黑体" w:hAnsi="黑体" w:eastAsia="黑体"/>
          <w:spacing w:val="20"/>
          <w:sz w:val="32"/>
          <w:szCs w:val="32"/>
        </w:rPr>
        <w:t>第六部分 合同书格式</w:t>
      </w:r>
      <w:bookmarkEnd w:id="23"/>
      <w:bookmarkEnd w:id="24"/>
      <w:bookmarkEnd w:id="25"/>
    </w:p>
    <w:p w14:paraId="6803A9F2">
      <w:pPr>
        <w:spacing w:line="360" w:lineRule="auto"/>
        <w:jc w:val="center"/>
        <w:rPr>
          <w:rFonts w:ascii="黑体" w:hAnsi="黑体" w:eastAsia="黑体"/>
        </w:rPr>
      </w:pPr>
      <w:r>
        <w:rPr>
          <w:rFonts w:hint="eastAsia" w:ascii="黑体" w:hAnsi="黑体" w:eastAsia="黑体"/>
        </w:rPr>
        <w:t>（本格式编排在招标文件中，供投标人参考，投标时无须填写）</w:t>
      </w:r>
    </w:p>
    <w:p w14:paraId="1A97F9E8">
      <w:pPr>
        <w:spacing w:line="360" w:lineRule="auto"/>
        <w:jc w:val="center"/>
        <w:rPr>
          <w:rFonts w:ascii="黑体" w:hAnsi="黑体" w:eastAsia="黑体"/>
        </w:rPr>
      </w:pPr>
      <w:r>
        <w:rPr>
          <w:rFonts w:hint="eastAsia" w:ascii="黑体" w:hAnsi="黑体" w:eastAsia="黑体"/>
        </w:rPr>
        <w:t>（注：本合同条款仅供参考，甲乙双方可根据实际情况进行商议补充）</w:t>
      </w:r>
    </w:p>
    <w:p w14:paraId="1920BBC9">
      <w:pPr>
        <w:spacing w:line="360" w:lineRule="auto"/>
        <w:jc w:val="center"/>
        <w:rPr>
          <w:rFonts w:ascii="黑体" w:hAnsi="黑体" w:eastAsia="黑体"/>
          <w:bCs/>
          <w:szCs w:val="21"/>
        </w:rPr>
      </w:pPr>
    </w:p>
    <w:p w14:paraId="43DB1A1B">
      <w:pPr>
        <w:spacing w:beforeLines="200" w:line="360" w:lineRule="auto"/>
        <w:jc w:val="center"/>
        <w:rPr>
          <w:rFonts w:ascii="黑体" w:hAnsi="黑体" w:eastAsia="黑体"/>
          <w:bCs/>
          <w:sz w:val="52"/>
          <w:szCs w:val="52"/>
        </w:rPr>
      </w:pPr>
      <w:r>
        <w:rPr>
          <w:rFonts w:hint="eastAsia" w:ascii="黑体" w:hAnsi="黑体" w:eastAsia="黑体"/>
          <w:bCs/>
          <w:sz w:val="52"/>
          <w:szCs w:val="52"/>
        </w:rPr>
        <w:t>财政资金定期保值增值业务项目</w:t>
      </w:r>
    </w:p>
    <w:p w14:paraId="797033FD">
      <w:pPr>
        <w:spacing w:beforeLines="500" w:afterLines="150" w:line="360" w:lineRule="auto"/>
        <w:jc w:val="center"/>
        <w:rPr>
          <w:rFonts w:ascii="黑体" w:hAnsi="黑体" w:eastAsia="黑体"/>
          <w:b/>
          <w:bCs/>
          <w:spacing w:val="60"/>
          <w:sz w:val="52"/>
          <w:szCs w:val="52"/>
        </w:rPr>
      </w:pPr>
      <w:r>
        <w:rPr>
          <w:rFonts w:hint="eastAsia" w:ascii="黑体" w:hAnsi="黑体" w:eastAsia="黑体"/>
          <w:b/>
          <w:bCs/>
          <w:spacing w:val="60"/>
          <w:sz w:val="52"/>
          <w:szCs w:val="52"/>
        </w:rPr>
        <w:t>合同文件</w:t>
      </w:r>
    </w:p>
    <w:p w14:paraId="1F99153E">
      <w:pPr>
        <w:spacing w:line="360" w:lineRule="auto"/>
        <w:jc w:val="center"/>
        <w:rPr>
          <w:rFonts w:ascii="黑体" w:hAnsi="黑体" w:eastAsia="黑体"/>
          <w:b/>
          <w:bCs/>
          <w:szCs w:val="21"/>
        </w:rPr>
      </w:pPr>
      <w:r>
        <w:rPr>
          <w:rFonts w:hint="eastAsia" w:ascii="黑体" w:hAnsi="黑体" w:eastAsia="黑体"/>
          <w:b/>
          <w:bCs/>
          <w:szCs w:val="21"/>
        </w:rPr>
        <w:t>（合同编号：</w:t>
      </w:r>
      <w:r>
        <w:rPr>
          <w:rFonts w:hint="eastAsia" w:ascii="黑体" w:hAnsi="黑体" w:eastAsia="黑体"/>
          <w:b/>
          <w:bCs/>
          <w:szCs w:val="21"/>
          <w:u w:val="single"/>
        </w:rPr>
        <w:t xml:space="preserve">         </w:t>
      </w:r>
      <w:r>
        <w:rPr>
          <w:rFonts w:hint="eastAsia" w:ascii="黑体" w:hAnsi="黑体" w:eastAsia="黑体"/>
          <w:b/>
          <w:bCs/>
          <w:szCs w:val="21"/>
        </w:rPr>
        <w:t>）</w:t>
      </w:r>
    </w:p>
    <w:p w14:paraId="6814086A">
      <w:pPr>
        <w:spacing w:line="360" w:lineRule="auto"/>
        <w:rPr>
          <w:rFonts w:ascii="黑体" w:hAnsi="黑体" w:eastAsia="黑体"/>
          <w:b/>
          <w:bCs/>
          <w:szCs w:val="21"/>
        </w:rPr>
      </w:pPr>
    </w:p>
    <w:p w14:paraId="73A5F0C4">
      <w:pPr>
        <w:spacing w:line="360" w:lineRule="auto"/>
        <w:rPr>
          <w:rFonts w:ascii="黑体" w:hAnsi="黑体" w:eastAsia="黑体"/>
          <w:b/>
          <w:bCs/>
          <w:szCs w:val="21"/>
        </w:rPr>
      </w:pPr>
    </w:p>
    <w:p w14:paraId="5845D680">
      <w:pPr>
        <w:spacing w:line="360" w:lineRule="auto"/>
        <w:rPr>
          <w:rFonts w:ascii="黑体" w:hAnsi="黑体" w:eastAsia="黑体"/>
          <w:b/>
          <w:bCs/>
          <w:szCs w:val="21"/>
        </w:rPr>
      </w:pPr>
    </w:p>
    <w:p w14:paraId="343D42F2">
      <w:pPr>
        <w:spacing w:line="360" w:lineRule="auto"/>
        <w:rPr>
          <w:rFonts w:ascii="黑体" w:hAnsi="黑体" w:eastAsia="黑体"/>
          <w:b/>
          <w:bCs/>
          <w:szCs w:val="21"/>
        </w:rPr>
      </w:pPr>
    </w:p>
    <w:p w14:paraId="5C6E2F4A">
      <w:pPr>
        <w:spacing w:line="360" w:lineRule="auto"/>
        <w:rPr>
          <w:rFonts w:ascii="黑体" w:hAnsi="黑体" w:eastAsia="黑体"/>
          <w:b/>
          <w:bCs/>
          <w:szCs w:val="21"/>
        </w:rPr>
      </w:pPr>
    </w:p>
    <w:tbl>
      <w:tblPr>
        <w:tblStyle w:val="20"/>
        <w:tblW w:w="7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9"/>
        <w:gridCol w:w="4961"/>
      </w:tblGrid>
      <w:tr w14:paraId="6C68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349" w:type="dxa"/>
            <w:vAlign w:val="top"/>
          </w:tcPr>
          <w:p w14:paraId="390E8EEC">
            <w:pPr>
              <w:spacing w:line="360" w:lineRule="auto"/>
              <w:rPr>
                <w:rFonts w:ascii="黑体" w:hAnsi="黑体" w:eastAsia="黑体"/>
                <w:b/>
                <w:bCs/>
                <w:sz w:val="28"/>
                <w:szCs w:val="28"/>
              </w:rPr>
            </w:pPr>
            <w:r>
              <w:rPr>
                <w:rFonts w:hint="eastAsia" w:ascii="黑体" w:hAnsi="黑体" w:eastAsia="黑体"/>
                <w:b/>
                <w:bCs/>
                <w:sz w:val="28"/>
                <w:szCs w:val="28"/>
              </w:rPr>
              <w:t>甲方（采购人）：</w:t>
            </w:r>
          </w:p>
        </w:tc>
        <w:tc>
          <w:tcPr>
            <w:tcW w:w="4961" w:type="dxa"/>
            <w:vAlign w:val="top"/>
          </w:tcPr>
          <w:p w14:paraId="0CA1FC9A">
            <w:pPr>
              <w:spacing w:line="360" w:lineRule="auto"/>
              <w:rPr>
                <w:rFonts w:ascii="黑体" w:hAnsi="黑体" w:eastAsia="黑体"/>
                <w:b/>
                <w:bCs/>
                <w:sz w:val="28"/>
                <w:szCs w:val="28"/>
                <w:u w:val="single"/>
              </w:rPr>
            </w:pPr>
            <w:r>
              <w:rPr>
                <w:rFonts w:hint="eastAsia" w:ascii="黑体" w:hAnsi="黑体" w:eastAsia="黑体"/>
                <w:b/>
                <w:bCs/>
                <w:sz w:val="28"/>
                <w:szCs w:val="28"/>
                <w:u w:val="single"/>
              </w:rPr>
              <w:t xml:space="preserve">                                             </w:t>
            </w:r>
          </w:p>
        </w:tc>
      </w:tr>
      <w:tr w14:paraId="0810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349" w:type="dxa"/>
            <w:vAlign w:val="top"/>
          </w:tcPr>
          <w:p w14:paraId="5EDBF43D">
            <w:pPr>
              <w:spacing w:line="360" w:lineRule="auto"/>
              <w:rPr>
                <w:rFonts w:ascii="黑体" w:hAnsi="黑体" w:eastAsia="黑体"/>
                <w:b/>
                <w:bCs/>
                <w:sz w:val="28"/>
                <w:szCs w:val="28"/>
              </w:rPr>
            </w:pPr>
            <w:r>
              <w:rPr>
                <w:rFonts w:hint="eastAsia" w:ascii="黑体" w:hAnsi="黑体" w:eastAsia="黑体"/>
                <w:b/>
                <w:bCs/>
                <w:sz w:val="28"/>
                <w:szCs w:val="28"/>
              </w:rPr>
              <w:t>乙方（中标人）：</w:t>
            </w:r>
          </w:p>
        </w:tc>
        <w:tc>
          <w:tcPr>
            <w:tcW w:w="4961" w:type="dxa"/>
            <w:vAlign w:val="top"/>
          </w:tcPr>
          <w:p w14:paraId="1DC82808">
            <w:pPr>
              <w:spacing w:line="360" w:lineRule="auto"/>
              <w:rPr>
                <w:rFonts w:ascii="黑体" w:hAnsi="黑体" w:eastAsia="黑体"/>
                <w:b/>
                <w:bCs/>
                <w:sz w:val="28"/>
                <w:szCs w:val="28"/>
                <w:u w:val="single"/>
              </w:rPr>
            </w:pPr>
            <w:r>
              <w:rPr>
                <w:rFonts w:hint="eastAsia" w:ascii="黑体" w:hAnsi="黑体" w:eastAsia="黑体"/>
                <w:b/>
                <w:bCs/>
                <w:sz w:val="28"/>
                <w:szCs w:val="28"/>
                <w:u w:val="single"/>
              </w:rPr>
              <w:t xml:space="preserve">                                             </w:t>
            </w:r>
          </w:p>
        </w:tc>
      </w:tr>
      <w:tr w14:paraId="04B5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349" w:type="dxa"/>
            <w:vAlign w:val="top"/>
          </w:tcPr>
          <w:p w14:paraId="0D7755AC">
            <w:pPr>
              <w:spacing w:line="360" w:lineRule="auto"/>
              <w:rPr>
                <w:rFonts w:ascii="黑体" w:hAnsi="黑体" w:eastAsia="黑体"/>
                <w:b/>
                <w:bCs/>
                <w:spacing w:val="9"/>
                <w:sz w:val="28"/>
                <w:szCs w:val="28"/>
              </w:rPr>
            </w:pPr>
            <w:r>
              <w:rPr>
                <w:rFonts w:hint="eastAsia" w:ascii="黑体" w:hAnsi="黑体" w:eastAsia="黑体"/>
                <w:b/>
                <w:bCs/>
                <w:spacing w:val="9"/>
                <w:sz w:val="28"/>
                <w:szCs w:val="28"/>
              </w:rPr>
              <w:t>协议签订时间：</w:t>
            </w:r>
          </w:p>
        </w:tc>
        <w:tc>
          <w:tcPr>
            <w:tcW w:w="4961" w:type="dxa"/>
            <w:vAlign w:val="top"/>
          </w:tcPr>
          <w:p w14:paraId="1C3B24EF">
            <w:pPr>
              <w:spacing w:line="360" w:lineRule="auto"/>
              <w:rPr>
                <w:rFonts w:ascii="黑体" w:hAnsi="黑体" w:eastAsia="黑体"/>
                <w:b/>
                <w:bCs/>
                <w:sz w:val="28"/>
                <w:szCs w:val="28"/>
                <w:u w:val="single"/>
              </w:rPr>
            </w:pPr>
            <w:r>
              <w:rPr>
                <w:rFonts w:hint="eastAsia" w:ascii="黑体" w:hAnsi="黑体" w:eastAsia="黑体"/>
                <w:b/>
                <w:bCs/>
                <w:sz w:val="28"/>
                <w:szCs w:val="28"/>
                <w:u w:val="single"/>
              </w:rPr>
              <w:t xml:space="preserve">                                            </w:t>
            </w:r>
          </w:p>
        </w:tc>
      </w:tr>
    </w:tbl>
    <w:p w14:paraId="759C4F8F">
      <w:pPr>
        <w:spacing w:line="360" w:lineRule="auto"/>
        <w:rPr>
          <w:rFonts w:ascii="黑体" w:hAnsi="黑体" w:eastAsia="黑体"/>
          <w:b/>
          <w:bCs/>
          <w:szCs w:val="21"/>
        </w:rPr>
      </w:pPr>
    </w:p>
    <w:p w14:paraId="400B8667">
      <w:pPr>
        <w:spacing w:line="360" w:lineRule="auto"/>
        <w:rPr>
          <w:rFonts w:ascii="黑体" w:hAnsi="黑体" w:eastAsia="黑体"/>
          <w:b/>
          <w:bCs/>
          <w:szCs w:val="21"/>
        </w:rPr>
      </w:pPr>
    </w:p>
    <w:p w14:paraId="78887A43">
      <w:pPr>
        <w:tabs>
          <w:tab w:val="left" w:pos="720"/>
        </w:tabs>
        <w:spacing w:line="360" w:lineRule="auto"/>
        <w:jc w:val="center"/>
        <w:rPr>
          <w:rFonts w:ascii="黑体" w:hAnsi="黑体" w:eastAsia="黑体"/>
          <w:spacing w:val="20"/>
          <w:sz w:val="28"/>
          <w:szCs w:val="28"/>
        </w:rPr>
      </w:pPr>
      <w:r>
        <w:rPr>
          <w:rFonts w:hint="eastAsia" w:ascii="黑体" w:hAnsi="黑体" w:eastAsia="黑体"/>
          <w:spacing w:val="20"/>
          <w:sz w:val="28"/>
          <w:szCs w:val="28"/>
          <w:lang w:eastAsia="zh-CN"/>
        </w:rPr>
        <w:t>二零二六</w:t>
      </w:r>
      <w:r>
        <w:rPr>
          <w:rFonts w:hint="eastAsia" w:ascii="黑体" w:hAnsi="黑体" w:eastAsia="黑体"/>
          <w:spacing w:val="20"/>
          <w:sz w:val="28"/>
          <w:szCs w:val="28"/>
        </w:rPr>
        <w:t>年</w:t>
      </w:r>
      <w:r>
        <w:rPr>
          <w:rFonts w:hint="eastAsia" w:ascii="黑体" w:hAnsi="黑体" w:eastAsia="黑体"/>
          <w:spacing w:val="20"/>
          <w:sz w:val="28"/>
          <w:szCs w:val="28"/>
          <w:u w:val="single"/>
        </w:rPr>
        <w:t xml:space="preserve">   </w:t>
      </w:r>
      <w:r>
        <w:rPr>
          <w:rFonts w:hint="eastAsia" w:ascii="黑体" w:hAnsi="黑体" w:eastAsia="黑体"/>
          <w:spacing w:val="20"/>
          <w:sz w:val="28"/>
          <w:szCs w:val="28"/>
        </w:rPr>
        <w:t>月于南城</w:t>
      </w:r>
    </w:p>
    <w:p w14:paraId="2B739CC2">
      <w:pPr>
        <w:spacing w:beforeLines="100" w:line="360" w:lineRule="auto"/>
        <w:ind w:firstLine="420" w:firstLineChars="200"/>
        <w:rPr>
          <w:rFonts w:ascii="黑体" w:hAnsi="黑体" w:eastAsia="黑体"/>
          <w:szCs w:val="21"/>
          <w:highlight w:val="none"/>
        </w:rPr>
      </w:pPr>
      <w:r>
        <w:rPr>
          <w:rFonts w:hint="eastAsia" w:ascii="黑体" w:hAnsi="黑体" w:eastAsia="黑体"/>
          <w:szCs w:val="21"/>
        </w:rPr>
        <w:t>为推进我街道财政资金保值增值业务管理工作的顺利进行，确保财政资金运行高效、安全，根据广东省财政厅《关于进一步加强财政部门和预算单位资金存放管理的实施意见》(粤财库【2017】59号)和中国人民银行有关规定，东莞市财政局南城分局（以下简称甲方）委托</w:t>
      </w:r>
      <w:r>
        <w:rPr>
          <w:rFonts w:hint="eastAsia" w:ascii="黑体" w:hAnsi="黑体" w:eastAsia="黑体"/>
          <w:szCs w:val="21"/>
          <w:u w:val="single"/>
        </w:rPr>
        <w:t xml:space="preserve">       </w:t>
      </w:r>
      <w:r>
        <w:rPr>
          <w:rFonts w:hint="eastAsia" w:ascii="黑体" w:hAnsi="黑体" w:eastAsia="黑体"/>
          <w:szCs w:val="21"/>
          <w:highlight w:val="none"/>
          <w:u w:val="single"/>
        </w:rPr>
        <w:t xml:space="preserve">        </w:t>
      </w:r>
      <w:r>
        <w:rPr>
          <w:rFonts w:hint="eastAsia" w:ascii="黑体" w:hAnsi="黑体" w:eastAsia="黑体"/>
          <w:szCs w:val="21"/>
          <w:highlight w:val="none"/>
        </w:rPr>
        <w:t>（以下简称乙方）管理财政资金保值增值业务，双方达成如下协议：</w:t>
      </w:r>
    </w:p>
    <w:p w14:paraId="0565B3AB">
      <w:pPr>
        <w:numPr>
          <w:ilvl w:val="0"/>
          <w:numId w:val="55"/>
        </w:numPr>
        <w:spacing w:beforeLines="100" w:line="360" w:lineRule="auto"/>
        <w:rPr>
          <w:rFonts w:ascii="黑体" w:hAnsi="黑体" w:eastAsia="黑体"/>
          <w:b/>
          <w:szCs w:val="21"/>
          <w:highlight w:val="none"/>
        </w:rPr>
      </w:pPr>
      <w:r>
        <w:rPr>
          <w:rFonts w:hint="eastAsia" w:ascii="黑体" w:hAnsi="黑体" w:eastAsia="黑体"/>
          <w:b/>
          <w:szCs w:val="21"/>
          <w:highlight w:val="none"/>
        </w:rPr>
        <w:t>委托代理事项</w:t>
      </w:r>
    </w:p>
    <w:p w14:paraId="6AF567C1">
      <w:pPr>
        <w:numPr>
          <w:ilvl w:val="0"/>
          <w:numId w:val="56"/>
        </w:numPr>
        <w:spacing w:line="360" w:lineRule="auto"/>
        <w:rPr>
          <w:rFonts w:hint="default" w:eastAsia="黑体"/>
          <w:highlight w:val="none"/>
          <w:lang w:val="en-US" w:eastAsia="zh-CN"/>
        </w:rPr>
      </w:pPr>
      <w:r>
        <w:rPr>
          <w:rFonts w:hint="eastAsia" w:ascii="黑体" w:hAnsi="黑体" w:eastAsia="黑体"/>
          <w:szCs w:val="21"/>
          <w:highlight w:val="none"/>
        </w:rPr>
        <w:t>甲方委托乙方代理财政资金保值增值管理业务</w:t>
      </w:r>
      <w:r>
        <w:rPr>
          <w:rFonts w:hint="eastAsia" w:ascii="黑体" w:hAnsi="黑体" w:eastAsia="黑体"/>
          <w:szCs w:val="21"/>
          <w:highlight w:val="none"/>
          <w:lang w:eastAsia="zh-CN"/>
        </w:rPr>
        <w:t>。</w:t>
      </w:r>
    </w:p>
    <w:p w14:paraId="10A6B999">
      <w:pPr>
        <w:numPr>
          <w:ilvl w:val="0"/>
          <w:numId w:val="56"/>
        </w:numPr>
        <w:spacing w:line="360" w:lineRule="auto"/>
        <w:rPr>
          <w:highlight w:val="none"/>
        </w:rPr>
      </w:pPr>
      <w:r>
        <w:rPr>
          <w:rFonts w:hint="eastAsia" w:ascii="黑体" w:hAnsi="黑体" w:eastAsia="黑体"/>
          <w:szCs w:val="21"/>
          <w:highlight w:val="none"/>
        </w:rPr>
        <w:t>本协议有效期间，</w:t>
      </w:r>
      <w:r>
        <w:rPr>
          <w:rFonts w:hint="eastAsia" w:ascii="黑体" w:hAnsi="黑体" w:eastAsia="黑体"/>
          <w:szCs w:val="21"/>
          <w:highlight w:val="none"/>
          <w:lang w:eastAsia="zh-CN"/>
        </w:rPr>
        <w:t>如甲方办理</w:t>
      </w:r>
      <w:r>
        <w:rPr>
          <w:rFonts w:hint="eastAsia" w:ascii="黑体" w:hAnsi="黑体" w:eastAsia="黑体"/>
          <w:szCs w:val="21"/>
          <w:highlight w:val="none"/>
        </w:rPr>
        <w:t>财政资金保值增值业务</w:t>
      </w:r>
      <w:r>
        <w:rPr>
          <w:rFonts w:hint="eastAsia" w:ascii="黑体" w:hAnsi="黑体" w:eastAsia="黑体"/>
          <w:szCs w:val="21"/>
          <w:highlight w:val="none"/>
          <w:lang w:eastAsia="zh-CN"/>
        </w:rPr>
        <w:t>，</w:t>
      </w:r>
      <w:r>
        <w:rPr>
          <w:rFonts w:hint="eastAsia" w:ascii="黑体" w:hAnsi="黑体" w:eastAsia="黑体"/>
          <w:szCs w:val="21"/>
          <w:highlight w:val="none"/>
        </w:rPr>
        <w:t>乙方</w:t>
      </w:r>
      <w:r>
        <w:rPr>
          <w:rFonts w:hint="eastAsia" w:ascii="黑体" w:hAnsi="黑体" w:eastAsia="黑体"/>
          <w:szCs w:val="21"/>
          <w:highlight w:val="none"/>
          <w:lang w:eastAsia="zh-CN"/>
        </w:rPr>
        <w:t>分配比例为</w:t>
      </w:r>
      <w:r>
        <w:rPr>
          <w:rFonts w:hint="eastAsia" w:ascii="黑体" w:hAnsi="黑体" w:eastAsia="黑体"/>
          <w:szCs w:val="21"/>
          <w:highlight w:val="none"/>
          <w:u w:val="single"/>
          <w:lang w:val="en-US" w:eastAsia="zh-CN"/>
        </w:rPr>
        <w:t xml:space="preserve">    </w:t>
      </w:r>
      <w:r>
        <w:rPr>
          <w:rFonts w:hint="eastAsia" w:ascii="黑体" w:hAnsi="黑体" w:eastAsia="黑体"/>
          <w:szCs w:val="21"/>
          <w:highlight w:val="none"/>
          <w:lang w:val="en-US" w:eastAsia="zh-CN"/>
        </w:rPr>
        <w:t xml:space="preserve"> %。</w:t>
      </w:r>
    </w:p>
    <w:p w14:paraId="399F8FDF">
      <w:pPr>
        <w:numPr>
          <w:ilvl w:val="0"/>
          <w:numId w:val="56"/>
        </w:numPr>
        <w:spacing w:line="360" w:lineRule="auto"/>
        <w:rPr>
          <w:rFonts w:hint="eastAsia" w:ascii="黑体" w:hAnsi="黑体" w:eastAsia="黑体"/>
          <w:szCs w:val="21"/>
          <w:highlight w:val="none"/>
        </w:rPr>
      </w:pPr>
      <w:r>
        <w:rPr>
          <w:rFonts w:hint="default" w:ascii="黑体" w:hAnsi="黑体" w:eastAsia="黑体"/>
          <w:szCs w:val="21"/>
          <w:highlight w:val="none"/>
        </w:rPr>
        <w:t>乙方</w:t>
      </w:r>
      <w:r>
        <w:rPr>
          <w:rFonts w:hint="eastAsia" w:ascii="黑体" w:hAnsi="黑体" w:eastAsia="黑体"/>
          <w:szCs w:val="21"/>
          <w:highlight w:val="none"/>
          <w:lang w:eastAsia="zh-CN"/>
        </w:rPr>
        <w:t>为甲方</w:t>
      </w:r>
      <w:r>
        <w:rPr>
          <w:rFonts w:hint="eastAsia" w:ascii="黑体" w:hAnsi="黑体" w:eastAsia="黑体"/>
          <w:szCs w:val="21"/>
          <w:highlight w:val="none"/>
        </w:rPr>
        <w:t>财政资金保值增值业务</w:t>
      </w:r>
      <w:r>
        <w:rPr>
          <w:rFonts w:hint="default" w:ascii="黑体" w:hAnsi="黑体" w:eastAsia="黑体"/>
          <w:szCs w:val="21"/>
          <w:highlight w:val="none"/>
        </w:rPr>
        <w:t>提供以下存放利率</w:t>
      </w:r>
      <w:r>
        <w:rPr>
          <w:rFonts w:hint="eastAsia" w:ascii="黑体" w:hAnsi="黑体" w:eastAsia="黑体"/>
          <w:szCs w:val="21"/>
          <w:highlight w:val="none"/>
          <w:lang w:eastAsia="zh-CN"/>
        </w:rPr>
        <w:t>：</w:t>
      </w:r>
    </w:p>
    <w:p w14:paraId="42466302">
      <w:pPr>
        <w:pStyle w:val="2"/>
        <w:numPr>
          <w:ilvl w:val="0"/>
          <w:numId w:val="57"/>
        </w:numPr>
        <w:rPr>
          <w:rFonts w:hint="default" w:ascii="黑体" w:hAnsi="黑体" w:eastAsia="黑体" w:cs="Times New Roman"/>
          <w:kern w:val="2"/>
          <w:sz w:val="21"/>
          <w:szCs w:val="21"/>
          <w:highlight w:val="none"/>
          <w:lang w:val="en-US" w:eastAsia="zh-CN" w:bidi="ar-SA"/>
        </w:rPr>
      </w:pPr>
      <w:r>
        <w:rPr>
          <w:rFonts w:hint="default" w:ascii="黑体" w:hAnsi="黑体" w:eastAsia="黑体" w:cs="Times New Roman"/>
          <w:kern w:val="2"/>
          <w:sz w:val="21"/>
          <w:szCs w:val="21"/>
          <w:highlight w:val="none"/>
          <w:lang w:val="en-US" w:eastAsia="zh-CN" w:bidi="ar-SA"/>
        </w:rPr>
        <w:t>中国人民银行同期公布的六个月定期存款的基准利率上浮</w:t>
      </w:r>
      <w:r>
        <w:rPr>
          <w:rFonts w:hint="default" w:ascii="黑体" w:hAnsi="黑体" w:eastAsia="黑体" w:cs="Times New Roman"/>
          <w:kern w:val="2"/>
          <w:sz w:val="21"/>
          <w:szCs w:val="21"/>
          <w:highlight w:val="none"/>
          <w:u w:val="single"/>
          <w:lang w:val="en-US" w:eastAsia="zh-CN" w:bidi="ar-SA"/>
        </w:rPr>
        <w:t xml:space="preserve"> </w:t>
      </w:r>
      <w:r>
        <w:rPr>
          <w:rFonts w:hint="eastAsia" w:ascii="黑体" w:hAnsi="黑体" w:eastAsia="黑体" w:cs="Times New Roman"/>
          <w:kern w:val="2"/>
          <w:sz w:val="21"/>
          <w:szCs w:val="21"/>
          <w:highlight w:val="none"/>
          <w:u w:val="single"/>
          <w:lang w:val="en-US" w:eastAsia="zh-CN" w:bidi="ar-SA"/>
        </w:rPr>
        <w:t xml:space="preserve">  </w:t>
      </w:r>
      <w:r>
        <w:rPr>
          <w:rFonts w:hint="default" w:ascii="黑体" w:hAnsi="黑体" w:eastAsia="黑体" w:cs="Times New Roman"/>
          <w:kern w:val="2"/>
          <w:sz w:val="21"/>
          <w:szCs w:val="21"/>
          <w:highlight w:val="none"/>
          <w:u w:val="single"/>
          <w:lang w:val="en-US" w:eastAsia="zh-CN" w:bidi="ar-SA"/>
        </w:rPr>
        <w:t xml:space="preserve"> </w:t>
      </w:r>
      <w:r>
        <w:rPr>
          <w:rFonts w:hint="default" w:ascii="黑体" w:hAnsi="黑体" w:eastAsia="黑体" w:cs="Times New Roman"/>
          <w:kern w:val="2"/>
          <w:sz w:val="21"/>
          <w:szCs w:val="21"/>
          <w:highlight w:val="none"/>
          <w:lang w:val="en-US" w:eastAsia="zh-CN" w:bidi="ar-SA"/>
        </w:rPr>
        <w:t>BP。</w:t>
      </w:r>
    </w:p>
    <w:p w14:paraId="6E2226D2">
      <w:pPr>
        <w:pStyle w:val="2"/>
        <w:numPr>
          <w:ilvl w:val="0"/>
          <w:numId w:val="57"/>
        </w:numPr>
        <w:rPr>
          <w:rFonts w:hint="eastAsia" w:ascii="黑体" w:hAnsi="黑体" w:eastAsia="黑体" w:cs="Times New Roman"/>
          <w:kern w:val="2"/>
          <w:sz w:val="21"/>
          <w:szCs w:val="21"/>
          <w:highlight w:val="none"/>
          <w:lang w:val="en-US" w:eastAsia="zh-CN" w:bidi="ar-SA"/>
        </w:rPr>
      </w:pPr>
      <w:r>
        <w:rPr>
          <w:rFonts w:hint="default" w:ascii="黑体" w:hAnsi="黑体" w:eastAsia="黑体" w:cs="Times New Roman"/>
          <w:kern w:val="2"/>
          <w:sz w:val="21"/>
          <w:szCs w:val="21"/>
          <w:highlight w:val="none"/>
          <w:lang w:val="en-US" w:eastAsia="zh-CN" w:bidi="ar-SA"/>
        </w:rPr>
        <w:t>中国人民银行同期公布的一年期定期存款的基准利率上浮</w:t>
      </w:r>
      <w:r>
        <w:rPr>
          <w:rFonts w:hint="default" w:ascii="黑体" w:hAnsi="黑体" w:eastAsia="黑体" w:cs="Times New Roman"/>
          <w:kern w:val="2"/>
          <w:sz w:val="21"/>
          <w:szCs w:val="21"/>
          <w:highlight w:val="none"/>
          <w:u w:val="single"/>
          <w:lang w:val="en-US" w:eastAsia="zh-CN" w:bidi="ar-SA"/>
        </w:rPr>
        <w:t xml:space="preserve"> </w:t>
      </w:r>
      <w:r>
        <w:rPr>
          <w:rFonts w:hint="eastAsia" w:ascii="黑体" w:hAnsi="黑体" w:eastAsia="黑体" w:cs="Times New Roman"/>
          <w:kern w:val="2"/>
          <w:sz w:val="21"/>
          <w:szCs w:val="21"/>
          <w:highlight w:val="none"/>
          <w:u w:val="single"/>
          <w:lang w:val="en-US" w:eastAsia="zh-CN" w:bidi="ar-SA"/>
        </w:rPr>
        <w:t xml:space="preserve">  </w:t>
      </w:r>
      <w:r>
        <w:rPr>
          <w:rFonts w:hint="default" w:ascii="黑体" w:hAnsi="黑体" w:eastAsia="黑体" w:cs="Times New Roman"/>
          <w:kern w:val="2"/>
          <w:sz w:val="21"/>
          <w:szCs w:val="21"/>
          <w:highlight w:val="none"/>
          <w:u w:val="single"/>
          <w:lang w:val="en-US" w:eastAsia="zh-CN" w:bidi="ar-SA"/>
        </w:rPr>
        <w:t xml:space="preserve"> </w:t>
      </w:r>
      <w:r>
        <w:rPr>
          <w:rFonts w:hint="default" w:ascii="黑体" w:hAnsi="黑体" w:eastAsia="黑体" w:cs="Times New Roman"/>
          <w:kern w:val="2"/>
          <w:sz w:val="21"/>
          <w:szCs w:val="21"/>
          <w:highlight w:val="none"/>
          <w:lang w:val="en-US" w:eastAsia="zh-CN" w:bidi="ar-SA"/>
        </w:rPr>
        <w:t>BP。</w:t>
      </w:r>
    </w:p>
    <w:p w14:paraId="3D6BCA5A">
      <w:pPr>
        <w:numPr>
          <w:ilvl w:val="0"/>
          <w:numId w:val="0"/>
        </w:numPr>
        <w:spacing w:line="360" w:lineRule="auto"/>
        <w:ind w:left="420" w:leftChars="200" w:firstLine="0" w:firstLineChars="0"/>
        <w:rPr>
          <w:rFonts w:hint="eastAsia" w:ascii="黑体" w:hAnsi="黑体" w:eastAsia="黑体"/>
          <w:szCs w:val="21"/>
          <w:highlight w:val="none"/>
          <w:lang w:val="en-US" w:eastAsia="zh-CN"/>
        </w:rPr>
      </w:pPr>
      <w:r>
        <w:rPr>
          <w:rFonts w:hint="eastAsia" w:ascii="黑体" w:hAnsi="黑体" w:eastAsia="黑体"/>
          <w:szCs w:val="21"/>
          <w:highlight w:val="none"/>
          <w:lang w:eastAsia="zh-CN"/>
        </w:rPr>
        <w:t>以上</w:t>
      </w:r>
      <w:r>
        <w:rPr>
          <w:rFonts w:hint="default" w:ascii="黑体" w:hAnsi="黑体" w:eastAsia="黑体"/>
          <w:szCs w:val="21"/>
          <w:highlight w:val="none"/>
          <w:lang w:eastAsia="zh-CN"/>
        </w:rPr>
        <w:t>报价出具之日起生效，有效期至中国人民银行公布的对应期限的定期存款基准利率、市场利率定价自律机制存款利率上限发生调整之日止；在上述调整生效前，本报价利率持续有效。</w:t>
      </w:r>
    </w:p>
    <w:p w14:paraId="2B9F6794">
      <w:pPr>
        <w:numPr>
          <w:ilvl w:val="0"/>
          <w:numId w:val="56"/>
        </w:numPr>
        <w:spacing w:line="360" w:lineRule="auto"/>
        <w:rPr>
          <w:highlight w:val="none"/>
        </w:rPr>
      </w:pPr>
      <w:r>
        <w:rPr>
          <w:rFonts w:hint="eastAsia" w:ascii="黑体" w:hAnsi="黑体" w:eastAsia="黑体"/>
          <w:szCs w:val="21"/>
          <w:highlight w:val="none"/>
        </w:rPr>
        <w:t>本协议有效期间，乙方须确保所申报的基准利率或利率上限是符合国家利率政策规定、全国及东莞地区市场利率定价自律机制自律管理要求。如存款基准利率调整，乙方在投标时所承诺的存款基准利率随之调整，与人民银行公布的基准利率保持一致。</w:t>
      </w:r>
    </w:p>
    <w:p w14:paraId="78175AA5">
      <w:pPr>
        <w:numPr>
          <w:ilvl w:val="0"/>
          <w:numId w:val="56"/>
        </w:numPr>
        <w:spacing w:line="360" w:lineRule="auto"/>
        <w:rPr>
          <w:rFonts w:hint="eastAsia" w:ascii="黑体" w:hAnsi="黑体" w:eastAsia="黑体"/>
          <w:szCs w:val="21"/>
          <w:highlight w:val="none"/>
        </w:rPr>
      </w:pPr>
      <w:r>
        <w:rPr>
          <w:rFonts w:hint="eastAsia" w:ascii="黑体" w:hAnsi="黑体" w:eastAsia="黑体"/>
          <w:szCs w:val="21"/>
          <w:highlight w:val="none"/>
        </w:rPr>
        <w:t>本协议有效期间，如遇东莞人民币存款利率上限调整，</w:t>
      </w:r>
      <w:r>
        <w:rPr>
          <w:rFonts w:hint="eastAsia" w:ascii="黑体" w:hAnsi="黑体" w:eastAsia="黑体"/>
          <w:szCs w:val="21"/>
          <w:highlight w:val="none"/>
          <w:lang w:eastAsia="zh-CN"/>
        </w:rPr>
        <w:t>乙方应自调整之日告知甲方，</w:t>
      </w:r>
      <w:r>
        <w:rPr>
          <w:rFonts w:hint="eastAsia" w:ascii="黑体" w:hAnsi="黑体" w:eastAsia="黑体"/>
          <w:szCs w:val="21"/>
          <w:highlight w:val="none"/>
        </w:rPr>
        <w:t>乙方在投标时所承诺的存款利率上浮幅度随之调整，与东莞人民币存款利率上限保持一致</w:t>
      </w:r>
      <w:r>
        <w:rPr>
          <w:rFonts w:hint="eastAsia" w:ascii="黑体" w:hAnsi="黑体" w:eastAsia="黑体"/>
          <w:szCs w:val="21"/>
          <w:highlight w:val="none"/>
          <w:lang w:eastAsia="zh-CN"/>
        </w:rPr>
        <w:t>。</w:t>
      </w:r>
    </w:p>
    <w:p w14:paraId="0A12918B">
      <w:pPr>
        <w:numPr>
          <w:ilvl w:val="0"/>
          <w:numId w:val="56"/>
        </w:numPr>
        <w:spacing w:line="360" w:lineRule="auto"/>
        <w:rPr>
          <w:rFonts w:ascii="黑体" w:hAnsi="黑体" w:eastAsia="黑体"/>
          <w:szCs w:val="21"/>
          <w:highlight w:val="none"/>
        </w:rPr>
      </w:pPr>
      <w:r>
        <w:rPr>
          <w:rFonts w:hint="eastAsia" w:ascii="黑体" w:hAnsi="黑体" w:eastAsia="黑体"/>
          <w:szCs w:val="21"/>
          <w:highlight w:val="none"/>
        </w:rPr>
        <w:t>如乙方无法按照本协议要求存放存款，导致能够履约的乙方的分配比例的合计不足100%，余下部分按照中标比例分配到能够履约的中标人。分配比例取小数点后五位，如无法平均分配的，则尾数按排名顺序依次分配。</w:t>
      </w:r>
    </w:p>
    <w:p w14:paraId="3E4FF498">
      <w:pPr>
        <w:numPr>
          <w:ilvl w:val="0"/>
          <w:numId w:val="56"/>
        </w:numPr>
        <w:spacing w:line="360" w:lineRule="auto"/>
        <w:rPr>
          <w:rFonts w:ascii="黑体" w:hAnsi="黑体" w:eastAsia="黑体"/>
          <w:szCs w:val="21"/>
          <w:highlight w:val="none"/>
        </w:rPr>
      </w:pPr>
      <w:r>
        <w:rPr>
          <w:rFonts w:hint="eastAsia" w:ascii="黑体" w:hAnsi="黑体" w:eastAsia="黑体"/>
          <w:szCs w:val="21"/>
          <w:highlight w:val="none"/>
        </w:rPr>
        <w:t>乙方向甲方反馈账户收支信息，向甲方及其指定单位提供实时查询服务</w:t>
      </w:r>
      <w:r>
        <w:rPr>
          <w:rFonts w:hint="eastAsia" w:ascii="黑体" w:hAnsi="黑体" w:eastAsia="黑体"/>
          <w:szCs w:val="21"/>
          <w:highlight w:val="none"/>
          <w:lang w:eastAsia="zh-CN"/>
        </w:rPr>
        <w:t>。</w:t>
      </w:r>
    </w:p>
    <w:p w14:paraId="6E814C5F">
      <w:pPr>
        <w:numPr>
          <w:ilvl w:val="0"/>
          <w:numId w:val="56"/>
        </w:numPr>
        <w:spacing w:line="360" w:lineRule="auto"/>
        <w:rPr>
          <w:rFonts w:ascii="黑体" w:hAnsi="黑体" w:eastAsia="黑体"/>
          <w:szCs w:val="21"/>
          <w:highlight w:val="none"/>
        </w:rPr>
      </w:pPr>
      <w:r>
        <w:rPr>
          <w:rFonts w:hint="eastAsia" w:ascii="黑体" w:hAnsi="黑体" w:eastAsia="黑体"/>
          <w:szCs w:val="21"/>
          <w:highlight w:val="none"/>
        </w:rPr>
        <w:t>乙方应按甲方指令办理按时支付利息，提前支取、转出到指定账户、销户等服务</w:t>
      </w:r>
      <w:r>
        <w:rPr>
          <w:rFonts w:hint="eastAsia" w:ascii="黑体" w:hAnsi="黑体" w:eastAsia="黑体"/>
          <w:szCs w:val="21"/>
          <w:highlight w:val="none"/>
          <w:lang w:eastAsia="zh-CN"/>
        </w:rPr>
        <w:t>。</w:t>
      </w:r>
    </w:p>
    <w:p w14:paraId="70CDC1A6">
      <w:pPr>
        <w:numPr>
          <w:ilvl w:val="0"/>
          <w:numId w:val="55"/>
        </w:numPr>
        <w:spacing w:beforeLines="100" w:line="360" w:lineRule="auto"/>
        <w:rPr>
          <w:rFonts w:ascii="黑体" w:hAnsi="黑体" w:eastAsia="黑体"/>
          <w:b/>
          <w:szCs w:val="21"/>
          <w:highlight w:val="none"/>
        </w:rPr>
      </w:pPr>
      <w:r>
        <w:rPr>
          <w:rFonts w:hint="eastAsia" w:ascii="黑体" w:hAnsi="黑体" w:eastAsia="黑体"/>
          <w:b/>
          <w:szCs w:val="21"/>
          <w:highlight w:val="none"/>
        </w:rPr>
        <w:t>财政资金账户管理业务</w:t>
      </w:r>
    </w:p>
    <w:p w14:paraId="7E1A7D9C">
      <w:pPr>
        <w:numPr>
          <w:ilvl w:val="0"/>
          <w:numId w:val="58"/>
        </w:numPr>
        <w:spacing w:line="360" w:lineRule="auto"/>
        <w:rPr>
          <w:rFonts w:ascii="黑体" w:hAnsi="黑体" w:eastAsia="黑体"/>
          <w:szCs w:val="21"/>
        </w:rPr>
      </w:pPr>
      <w:r>
        <w:rPr>
          <w:rFonts w:hint="eastAsia" w:ascii="黑体" w:hAnsi="黑体" w:eastAsia="黑体"/>
          <w:szCs w:val="21"/>
        </w:rPr>
        <w:t>乙方按银行业规定开设非结算账户用于接收财政定期资金，接收账户户名确定为“东莞市财政局南城分局”，不得以其他一般户接收资金再转入定期账户；</w:t>
      </w:r>
    </w:p>
    <w:p w14:paraId="3D8BA6CA">
      <w:pPr>
        <w:numPr>
          <w:ilvl w:val="0"/>
          <w:numId w:val="58"/>
        </w:numPr>
        <w:spacing w:line="360" w:lineRule="auto"/>
        <w:rPr>
          <w:rFonts w:ascii="黑体" w:hAnsi="黑体" w:eastAsia="黑体"/>
          <w:szCs w:val="21"/>
        </w:rPr>
      </w:pPr>
      <w:r>
        <w:rPr>
          <w:rFonts w:hint="eastAsia" w:ascii="黑体" w:hAnsi="黑体" w:eastAsia="黑体"/>
          <w:szCs w:val="21"/>
        </w:rPr>
        <w:t>为保障甲方财政资金安全，乙方承诺该存款账户不开通网上交易功能；</w:t>
      </w:r>
    </w:p>
    <w:p w14:paraId="0307E81F">
      <w:pPr>
        <w:numPr>
          <w:ilvl w:val="0"/>
          <w:numId w:val="58"/>
        </w:numPr>
        <w:spacing w:line="360" w:lineRule="auto"/>
        <w:rPr>
          <w:rFonts w:ascii="黑体" w:hAnsi="黑体" w:eastAsia="黑体"/>
          <w:szCs w:val="21"/>
        </w:rPr>
      </w:pPr>
      <w:r>
        <w:rPr>
          <w:rFonts w:hint="eastAsia" w:ascii="黑体" w:hAnsi="黑体" w:eastAsia="黑体"/>
          <w:szCs w:val="21"/>
        </w:rPr>
        <w:t>未经甲方书面同意，乙方不得将甲方账户资金转出甲方其他账户使用，也不得利用账户资金新开设财政专户（实有账户）；</w:t>
      </w:r>
    </w:p>
    <w:p w14:paraId="1E758A4E">
      <w:pPr>
        <w:numPr>
          <w:ilvl w:val="0"/>
          <w:numId w:val="58"/>
        </w:numPr>
        <w:spacing w:line="360" w:lineRule="auto"/>
        <w:rPr>
          <w:rFonts w:ascii="黑体" w:hAnsi="黑体" w:eastAsia="黑体"/>
          <w:szCs w:val="21"/>
        </w:rPr>
      </w:pPr>
      <w:r>
        <w:rPr>
          <w:rFonts w:hint="eastAsia" w:ascii="黑体" w:hAnsi="黑体" w:eastAsia="黑体"/>
          <w:szCs w:val="21"/>
        </w:rPr>
        <w:t xml:space="preserve">乙方根据甲方的转账指令划款，乙方须在收到甲方指令的一个工作日内无条件办理划款，不得无故拖延；确实因客观因素无法办理的应及时反馈甲方，并明确具体办理时间； </w:t>
      </w:r>
    </w:p>
    <w:p w14:paraId="1121C14C">
      <w:pPr>
        <w:numPr>
          <w:ilvl w:val="0"/>
          <w:numId w:val="58"/>
        </w:numPr>
        <w:spacing w:line="360" w:lineRule="auto"/>
        <w:rPr>
          <w:rFonts w:ascii="黑体" w:hAnsi="黑体" w:eastAsia="黑体"/>
          <w:szCs w:val="21"/>
        </w:rPr>
      </w:pPr>
      <w:r>
        <w:rPr>
          <w:rFonts w:hint="eastAsia" w:ascii="黑体" w:hAnsi="黑体" w:eastAsia="黑体"/>
          <w:szCs w:val="21"/>
        </w:rPr>
        <w:t>乙方指定不少于1名熟悉业务的专人负责财政分局财政专户资金转出开户银行办理定期业务，提供上门对账、办理业务、核对信息等服务。甲方每笔金额在</w:t>
      </w:r>
      <w:r>
        <w:rPr>
          <w:rFonts w:hint="eastAsia" w:ascii="黑体" w:hAnsi="黑体" w:eastAsia="黑体"/>
          <w:szCs w:val="21"/>
          <w:u w:val="single"/>
        </w:rPr>
        <w:t>人民币    万元（含）</w:t>
      </w:r>
      <w:r>
        <w:rPr>
          <w:rFonts w:hint="eastAsia" w:ascii="黑体" w:hAnsi="黑体" w:eastAsia="黑体"/>
          <w:szCs w:val="21"/>
        </w:rPr>
        <w:t>以上且收款方账户名为“东莞市财政局南城分局” 的大额汇款业务，须由甲方授权指定工作人员</w:t>
      </w:r>
      <w:r>
        <w:rPr>
          <w:rFonts w:hint="eastAsia" w:ascii="黑体" w:hAnsi="黑体" w:eastAsia="黑体"/>
          <w:szCs w:val="21"/>
          <w:u w:val="single"/>
        </w:rPr>
        <w:t xml:space="preserve">         （身份证号：                    ；联系电话：               ）</w:t>
      </w:r>
      <w:r>
        <w:rPr>
          <w:rFonts w:hint="eastAsia" w:ascii="黑体" w:hAnsi="黑体" w:eastAsia="黑体"/>
          <w:szCs w:val="21"/>
        </w:rPr>
        <w:t>确认；乙方必须与上述工作人员电话核实后才按甲方指令操作。</w:t>
      </w:r>
    </w:p>
    <w:p w14:paraId="747F3588">
      <w:pPr>
        <w:numPr>
          <w:ilvl w:val="0"/>
          <w:numId w:val="58"/>
        </w:numPr>
        <w:spacing w:line="360" w:lineRule="auto"/>
        <w:rPr>
          <w:rFonts w:ascii="黑体" w:hAnsi="黑体" w:eastAsia="黑体"/>
          <w:szCs w:val="21"/>
        </w:rPr>
      </w:pPr>
      <w:r>
        <w:rPr>
          <w:rFonts w:hint="eastAsia" w:ascii="黑体" w:hAnsi="黑体" w:eastAsia="黑体"/>
          <w:szCs w:val="21"/>
        </w:rPr>
        <w:t>乙方必须在</w:t>
      </w:r>
      <w:r>
        <w:rPr>
          <w:rFonts w:hint="eastAsia" w:ascii="黑体" w:hAnsi="黑体" w:eastAsia="黑体"/>
          <w:szCs w:val="21"/>
          <w:highlight w:val="none"/>
        </w:rPr>
        <w:t>每月前五个工作日将</w:t>
      </w:r>
      <w:r>
        <w:rPr>
          <w:rFonts w:hint="eastAsia" w:ascii="黑体" w:hAnsi="黑体" w:eastAsia="黑体"/>
          <w:szCs w:val="21"/>
        </w:rPr>
        <w:t>账户上月明细、业务回单、对账单等做账所需资料打印、整理并送至甲方指定联系人处，不得出现遗漏；</w:t>
      </w:r>
    </w:p>
    <w:p w14:paraId="776D2168">
      <w:pPr>
        <w:numPr>
          <w:ilvl w:val="0"/>
          <w:numId w:val="58"/>
        </w:numPr>
        <w:spacing w:line="360" w:lineRule="auto"/>
        <w:rPr>
          <w:rFonts w:ascii="黑体" w:hAnsi="黑体" w:eastAsia="黑体"/>
          <w:szCs w:val="21"/>
        </w:rPr>
      </w:pPr>
      <w:r>
        <w:rPr>
          <w:rFonts w:hint="eastAsia" w:ascii="黑体" w:hAnsi="黑体" w:eastAsia="黑体"/>
          <w:szCs w:val="21"/>
        </w:rPr>
        <w:t>乙方提供的银行回单上信息须有经办人、复核人、打印人等信息；办理的相关业务回单、对账单须盖银行业务章或电子业务章；如遇特殊情况补充的情况说明须盖公章和出具行长意见及行长签名；</w:t>
      </w:r>
    </w:p>
    <w:p w14:paraId="1F7D76BC">
      <w:pPr>
        <w:numPr>
          <w:ilvl w:val="0"/>
          <w:numId w:val="58"/>
        </w:numPr>
        <w:spacing w:line="360" w:lineRule="auto"/>
        <w:rPr>
          <w:rFonts w:ascii="黑体" w:hAnsi="黑体" w:eastAsia="黑体"/>
          <w:szCs w:val="21"/>
        </w:rPr>
      </w:pPr>
      <w:r>
        <w:rPr>
          <w:rFonts w:hint="eastAsia" w:ascii="黑体" w:hAnsi="黑体" w:eastAsia="黑体"/>
          <w:szCs w:val="21"/>
        </w:rPr>
        <w:t>乙方提供的对账单必须是流水账，不得用余额单代替，对账单、回单、情况说明、签名、盖章等有关文件中的信息须确保真实、完整、有效。</w:t>
      </w:r>
    </w:p>
    <w:p w14:paraId="7E6826F5">
      <w:pPr>
        <w:numPr>
          <w:ilvl w:val="0"/>
          <w:numId w:val="58"/>
        </w:numPr>
        <w:spacing w:line="360" w:lineRule="auto"/>
        <w:rPr>
          <w:rFonts w:ascii="黑体" w:hAnsi="黑体" w:eastAsia="黑体"/>
          <w:szCs w:val="21"/>
        </w:rPr>
      </w:pPr>
      <w:r>
        <w:rPr>
          <w:rFonts w:hint="eastAsia" w:ascii="黑体" w:hAnsi="黑体" w:eastAsia="黑体"/>
          <w:szCs w:val="21"/>
        </w:rPr>
        <w:t>未经甲方审核及书面同意，乙方不能以任何理由挪用、转出该账户内任何资金。</w:t>
      </w:r>
    </w:p>
    <w:p w14:paraId="5DA04FF2">
      <w:pPr>
        <w:numPr>
          <w:ilvl w:val="0"/>
          <w:numId w:val="58"/>
        </w:numPr>
        <w:spacing w:line="360" w:lineRule="auto"/>
        <w:rPr>
          <w:rFonts w:ascii="黑体" w:hAnsi="黑体" w:eastAsia="黑体"/>
          <w:szCs w:val="21"/>
        </w:rPr>
      </w:pPr>
      <w:r>
        <w:rPr>
          <w:rFonts w:hint="eastAsia" w:ascii="黑体" w:hAnsi="黑体" w:eastAsia="黑体"/>
          <w:szCs w:val="21"/>
        </w:rPr>
        <w:t>定期存款到期后，资金存放银行按约定利率在到期日向财政分局一次性计付利息。</w:t>
      </w:r>
    </w:p>
    <w:p w14:paraId="72A54991">
      <w:pPr>
        <w:numPr>
          <w:ilvl w:val="0"/>
          <w:numId w:val="55"/>
        </w:numPr>
        <w:spacing w:beforeLines="100" w:line="360" w:lineRule="auto"/>
        <w:rPr>
          <w:rFonts w:ascii="黑体" w:hAnsi="黑体" w:eastAsia="黑体"/>
          <w:b/>
          <w:szCs w:val="21"/>
        </w:rPr>
      </w:pPr>
      <w:r>
        <w:rPr>
          <w:rFonts w:hint="eastAsia" w:ascii="黑体" w:hAnsi="黑体" w:eastAsia="黑体"/>
          <w:b/>
          <w:szCs w:val="21"/>
        </w:rPr>
        <w:t>甲方的权利与义务</w:t>
      </w:r>
    </w:p>
    <w:p w14:paraId="4525DE1A">
      <w:pPr>
        <w:numPr>
          <w:ilvl w:val="0"/>
          <w:numId w:val="59"/>
        </w:numPr>
        <w:spacing w:line="360" w:lineRule="auto"/>
        <w:rPr>
          <w:rFonts w:ascii="黑体" w:hAnsi="黑体" w:eastAsia="黑体"/>
          <w:szCs w:val="21"/>
        </w:rPr>
      </w:pPr>
      <w:r>
        <w:rPr>
          <w:rFonts w:hint="eastAsia" w:ascii="黑体" w:hAnsi="黑体" w:eastAsia="黑体"/>
          <w:szCs w:val="21"/>
        </w:rPr>
        <w:t>及时通知乙方办理财政资金保值增值业务账户的开立、汇款及其他业务；</w:t>
      </w:r>
    </w:p>
    <w:p w14:paraId="1D563789">
      <w:pPr>
        <w:numPr>
          <w:ilvl w:val="0"/>
          <w:numId w:val="59"/>
        </w:numPr>
        <w:spacing w:line="360" w:lineRule="auto"/>
        <w:rPr>
          <w:rFonts w:ascii="黑体" w:hAnsi="黑体" w:eastAsia="黑体"/>
          <w:szCs w:val="21"/>
        </w:rPr>
      </w:pPr>
      <w:r>
        <w:rPr>
          <w:rFonts w:hint="eastAsia" w:ascii="黑体" w:hAnsi="黑体" w:eastAsia="黑体"/>
          <w:szCs w:val="21"/>
        </w:rPr>
        <w:t>有权随时对乙方的代理业务进行检查、指导，提出改进意见；</w:t>
      </w:r>
    </w:p>
    <w:p w14:paraId="67F3A896">
      <w:pPr>
        <w:numPr>
          <w:ilvl w:val="0"/>
          <w:numId w:val="59"/>
        </w:numPr>
        <w:spacing w:line="360" w:lineRule="auto"/>
        <w:rPr>
          <w:rFonts w:ascii="黑体" w:hAnsi="黑体" w:eastAsia="黑体"/>
          <w:szCs w:val="21"/>
        </w:rPr>
      </w:pPr>
      <w:r>
        <w:rPr>
          <w:rFonts w:hint="eastAsia" w:ascii="黑体" w:hAnsi="黑体" w:eastAsia="黑体"/>
          <w:szCs w:val="21"/>
        </w:rPr>
        <w:t>妥善保管乙方提供的核算清单及相关文件；</w:t>
      </w:r>
    </w:p>
    <w:p w14:paraId="0197378E">
      <w:pPr>
        <w:numPr>
          <w:ilvl w:val="0"/>
          <w:numId w:val="59"/>
        </w:numPr>
        <w:spacing w:line="360" w:lineRule="auto"/>
        <w:rPr>
          <w:rFonts w:ascii="黑体" w:hAnsi="黑体" w:eastAsia="黑体"/>
          <w:szCs w:val="21"/>
        </w:rPr>
      </w:pPr>
      <w:r>
        <w:rPr>
          <w:rFonts w:hint="eastAsia" w:ascii="黑体" w:hAnsi="黑体" w:eastAsia="黑体"/>
          <w:szCs w:val="21"/>
        </w:rPr>
        <w:t>应保证甲方相关审核人员联系方式的畅通，出现紧急情况时，便于乙方工作人员尽快向甲方反馈、核实。</w:t>
      </w:r>
    </w:p>
    <w:p w14:paraId="420D9AD4">
      <w:pPr>
        <w:numPr>
          <w:ilvl w:val="0"/>
          <w:numId w:val="55"/>
        </w:numPr>
        <w:spacing w:beforeLines="100" w:line="360" w:lineRule="auto"/>
        <w:rPr>
          <w:rFonts w:ascii="黑体" w:hAnsi="黑体" w:eastAsia="黑体"/>
          <w:b/>
          <w:szCs w:val="21"/>
        </w:rPr>
      </w:pPr>
      <w:r>
        <w:rPr>
          <w:rFonts w:hint="eastAsia" w:ascii="黑体" w:hAnsi="黑体" w:eastAsia="黑体"/>
          <w:b/>
          <w:szCs w:val="21"/>
        </w:rPr>
        <w:t>乙方的权利与义务</w:t>
      </w:r>
    </w:p>
    <w:p w14:paraId="6246C5A7">
      <w:pPr>
        <w:numPr>
          <w:ilvl w:val="0"/>
          <w:numId w:val="60"/>
        </w:numPr>
        <w:spacing w:line="360" w:lineRule="auto"/>
        <w:rPr>
          <w:rFonts w:ascii="黑体" w:hAnsi="黑体" w:eastAsia="黑体"/>
          <w:szCs w:val="21"/>
        </w:rPr>
      </w:pPr>
      <w:r>
        <w:rPr>
          <w:rFonts w:hint="eastAsia" w:ascii="黑体" w:hAnsi="黑体" w:eastAsia="黑体"/>
          <w:szCs w:val="21"/>
        </w:rPr>
        <w:t>根据甲方指令及时办理财政资金的划拨，并将办理情况或遇到的问题及时书面报告甲方；</w:t>
      </w:r>
    </w:p>
    <w:p w14:paraId="41C2B5E1">
      <w:pPr>
        <w:numPr>
          <w:ilvl w:val="0"/>
          <w:numId w:val="60"/>
        </w:numPr>
        <w:spacing w:line="360" w:lineRule="auto"/>
        <w:rPr>
          <w:rFonts w:ascii="黑体" w:hAnsi="黑体" w:eastAsia="黑体"/>
          <w:szCs w:val="21"/>
        </w:rPr>
      </w:pPr>
      <w:r>
        <w:rPr>
          <w:rFonts w:hint="eastAsia" w:ascii="黑体" w:hAnsi="黑体" w:eastAsia="黑体"/>
          <w:szCs w:val="21"/>
        </w:rPr>
        <w:t>不得将账户资金用作本协议书约定范围以外的任何操作，如购买理财产品等；</w:t>
      </w:r>
    </w:p>
    <w:p w14:paraId="7D80F0FE">
      <w:pPr>
        <w:numPr>
          <w:ilvl w:val="0"/>
          <w:numId w:val="60"/>
        </w:numPr>
        <w:spacing w:line="360" w:lineRule="auto"/>
        <w:rPr>
          <w:rFonts w:ascii="黑体" w:hAnsi="黑体" w:eastAsia="黑体"/>
          <w:szCs w:val="21"/>
        </w:rPr>
      </w:pPr>
      <w:r>
        <w:rPr>
          <w:rFonts w:hint="eastAsia" w:ascii="黑体" w:hAnsi="黑体" w:eastAsia="黑体"/>
          <w:szCs w:val="21"/>
        </w:rPr>
        <w:t>乙方应适应甲方的需求，向甲方提供电子化等实时查询服务，供甲方查询当日及历史发生额明细情况；</w:t>
      </w:r>
    </w:p>
    <w:p w14:paraId="75B3455E">
      <w:pPr>
        <w:numPr>
          <w:ilvl w:val="0"/>
          <w:numId w:val="60"/>
        </w:numPr>
        <w:spacing w:line="360" w:lineRule="auto"/>
        <w:rPr>
          <w:rFonts w:ascii="黑体" w:hAnsi="黑体" w:eastAsia="黑体"/>
          <w:szCs w:val="21"/>
        </w:rPr>
      </w:pPr>
      <w:r>
        <w:rPr>
          <w:rFonts w:hint="eastAsia" w:ascii="黑体" w:hAnsi="黑体" w:eastAsia="黑体"/>
          <w:szCs w:val="21"/>
        </w:rPr>
        <w:t>乙方应严格执行甲方指令，及时、安全、准确地办理财政资金业务，不得以本协议与乙方银行系统内部规定不符、系统升级等为由，拖延或拒绝办理；</w:t>
      </w:r>
    </w:p>
    <w:p w14:paraId="16101153">
      <w:pPr>
        <w:numPr>
          <w:ilvl w:val="0"/>
          <w:numId w:val="60"/>
        </w:numPr>
        <w:spacing w:line="360" w:lineRule="auto"/>
        <w:rPr>
          <w:rFonts w:ascii="黑体" w:hAnsi="黑体" w:eastAsia="黑体"/>
          <w:szCs w:val="21"/>
        </w:rPr>
      </w:pPr>
      <w:r>
        <w:rPr>
          <w:rFonts w:hint="eastAsia" w:ascii="黑体" w:hAnsi="黑体" w:eastAsia="黑体"/>
          <w:szCs w:val="21"/>
        </w:rPr>
        <w:t>乙方办理业务时，如发现可疑交易或甲方指令存疑等情况，应终止交易，并向甲方授权指定工作人员进行确认，如遇紧急情况，应直接与财政分局局长确认；</w:t>
      </w:r>
    </w:p>
    <w:p w14:paraId="3B7652CC">
      <w:pPr>
        <w:numPr>
          <w:ilvl w:val="0"/>
          <w:numId w:val="60"/>
        </w:numPr>
        <w:spacing w:line="360" w:lineRule="auto"/>
        <w:rPr>
          <w:rFonts w:ascii="黑体" w:hAnsi="黑体" w:eastAsia="黑体"/>
          <w:szCs w:val="21"/>
        </w:rPr>
      </w:pPr>
      <w:r>
        <w:rPr>
          <w:rFonts w:hint="eastAsia" w:ascii="黑体" w:hAnsi="黑体" w:eastAsia="黑体"/>
          <w:szCs w:val="21"/>
        </w:rPr>
        <w:t>乙方应随时接受甲方的检查指导，确定专门机构、专职人员负责办理甲方财政资金账户管理业务，加强内控管理、规范操作，不断提高代理业务水平；</w:t>
      </w:r>
    </w:p>
    <w:p w14:paraId="1233AFA2">
      <w:pPr>
        <w:numPr>
          <w:ilvl w:val="0"/>
          <w:numId w:val="60"/>
        </w:numPr>
        <w:spacing w:line="360" w:lineRule="auto"/>
        <w:rPr>
          <w:rFonts w:ascii="黑体" w:hAnsi="黑体" w:eastAsia="黑体"/>
          <w:szCs w:val="21"/>
        </w:rPr>
      </w:pPr>
      <w:r>
        <w:rPr>
          <w:rFonts w:hint="eastAsia" w:ascii="黑体" w:hAnsi="黑体" w:eastAsia="黑体"/>
          <w:szCs w:val="21"/>
        </w:rPr>
        <w:t>乙方对甲方账户的金额、交易往来等信息均负有保密义务，未经甲方书面同意，乙方不得以任何方式同授权人以外其他人员泄露相关信息；</w:t>
      </w:r>
    </w:p>
    <w:p w14:paraId="7AF053BA">
      <w:pPr>
        <w:numPr>
          <w:ilvl w:val="0"/>
          <w:numId w:val="60"/>
        </w:numPr>
        <w:spacing w:line="360" w:lineRule="auto"/>
        <w:rPr>
          <w:rFonts w:ascii="黑体" w:hAnsi="黑体" w:eastAsia="黑体"/>
          <w:szCs w:val="21"/>
        </w:rPr>
      </w:pPr>
      <w:r>
        <w:rPr>
          <w:rFonts w:hint="eastAsia" w:ascii="黑体" w:hAnsi="黑体" w:eastAsia="黑体"/>
          <w:szCs w:val="21"/>
        </w:rPr>
        <w:t>乙方应妥善保管甲方提供的所有文件资料。</w:t>
      </w:r>
    </w:p>
    <w:p w14:paraId="450B271F">
      <w:pPr>
        <w:numPr>
          <w:ilvl w:val="0"/>
          <w:numId w:val="60"/>
        </w:numPr>
        <w:spacing w:line="360" w:lineRule="auto"/>
        <w:rPr>
          <w:rFonts w:ascii="黑体" w:hAnsi="黑体" w:eastAsia="黑体"/>
          <w:szCs w:val="21"/>
        </w:rPr>
      </w:pPr>
      <w:r>
        <w:rPr>
          <w:rFonts w:hint="eastAsia" w:ascii="黑体" w:hAnsi="黑体" w:eastAsia="黑体"/>
          <w:szCs w:val="21"/>
        </w:rPr>
        <w:t>如甲方因工作需要将该账户进行销户，乙方应无条件予以配合，并按甲方指令将账户上余额转到甲方指定的账户，不得以任何理由及内部规定不符、系统升级等为由，拖延或拒绝办理；</w:t>
      </w:r>
    </w:p>
    <w:p w14:paraId="6FB96F92">
      <w:pPr>
        <w:numPr>
          <w:ilvl w:val="0"/>
          <w:numId w:val="60"/>
        </w:numPr>
        <w:spacing w:line="360" w:lineRule="auto"/>
        <w:rPr>
          <w:rFonts w:ascii="黑体" w:hAnsi="黑体" w:eastAsia="黑体"/>
          <w:szCs w:val="21"/>
        </w:rPr>
      </w:pPr>
      <w:r>
        <w:rPr>
          <w:rFonts w:hint="eastAsia" w:ascii="黑体" w:hAnsi="黑体" w:eastAsia="黑体"/>
          <w:szCs w:val="21"/>
        </w:rPr>
        <w:t>定期存款准备到期时，乙方需至少提前七个工作日通知甲方，甲方将根据资金使用计划情况确定是否办理续存，每笔定期存款续存期不超过原服务期限；需要收回使用的定期存款，则不再续存，乙方应在到期日将定期存款及所有利息一次性转回财政资金原转出账户或指定账户，不得无故拖延或截留。</w:t>
      </w:r>
    </w:p>
    <w:p w14:paraId="5E945640">
      <w:pPr>
        <w:numPr>
          <w:ilvl w:val="0"/>
          <w:numId w:val="60"/>
        </w:numPr>
        <w:spacing w:line="360" w:lineRule="auto"/>
        <w:rPr>
          <w:rFonts w:ascii="黑体" w:hAnsi="黑体" w:eastAsia="黑体"/>
          <w:szCs w:val="21"/>
        </w:rPr>
      </w:pPr>
      <w:r>
        <w:rPr>
          <w:rFonts w:hint="eastAsia" w:ascii="黑体" w:hAnsi="黑体" w:eastAsia="黑体"/>
          <w:szCs w:val="21"/>
        </w:rPr>
        <w:t>乙方出具廉政承诺书，承诺：不向甲方相关负责人输送任何利益；不将资金存放与资金存放主体相关负责人员在本行亲属的业绩、收入挂钩。凡发现并经核实乙方未遵守廉政承诺内容的，甲方有权单方面收回资金，并予以通报。</w:t>
      </w:r>
    </w:p>
    <w:p w14:paraId="3DE7CA4E">
      <w:pPr>
        <w:numPr>
          <w:ilvl w:val="0"/>
          <w:numId w:val="60"/>
        </w:numPr>
        <w:spacing w:line="360" w:lineRule="auto"/>
        <w:rPr>
          <w:rFonts w:ascii="黑体" w:hAnsi="黑体" w:eastAsia="黑体"/>
          <w:szCs w:val="21"/>
        </w:rPr>
      </w:pPr>
      <w:r>
        <w:rPr>
          <w:rFonts w:hint="eastAsia" w:ascii="黑体" w:hAnsi="黑体" w:eastAsia="黑体"/>
          <w:szCs w:val="21"/>
        </w:rPr>
        <w:t>乙方出现重大安全风险事件或经营状况恶化影响资金存放安全的，甲方有权单方面收回资金，乙方须按原约定定期利率给予付息。</w:t>
      </w:r>
    </w:p>
    <w:p w14:paraId="56962EF3">
      <w:pPr>
        <w:numPr>
          <w:ilvl w:val="0"/>
          <w:numId w:val="60"/>
        </w:numPr>
        <w:spacing w:line="360" w:lineRule="auto"/>
        <w:rPr>
          <w:rFonts w:ascii="黑体" w:hAnsi="黑体" w:eastAsia="黑体"/>
          <w:szCs w:val="21"/>
        </w:rPr>
      </w:pPr>
      <w:r>
        <w:rPr>
          <w:rFonts w:hint="eastAsia" w:ascii="黑体" w:hAnsi="黑体" w:eastAsia="黑体"/>
          <w:szCs w:val="21"/>
        </w:rPr>
        <w:t>乙方须自觉接受甲方年日常监督管理，保证财政资金安全。</w:t>
      </w:r>
    </w:p>
    <w:p w14:paraId="25088DA7">
      <w:pPr>
        <w:numPr>
          <w:ilvl w:val="0"/>
          <w:numId w:val="55"/>
        </w:numPr>
        <w:spacing w:beforeLines="100" w:line="360" w:lineRule="auto"/>
        <w:rPr>
          <w:rFonts w:ascii="黑体" w:hAnsi="黑体" w:eastAsia="黑体"/>
          <w:b/>
          <w:szCs w:val="21"/>
        </w:rPr>
      </w:pPr>
      <w:r>
        <w:rPr>
          <w:rFonts w:hint="eastAsia" w:ascii="黑体" w:hAnsi="黑体" w:eastAsia="黑体"/>
          <w:b/>
          <w:szCs w:val="21"/>
        </w:rPr>
        <w:t>违约责任</w:t>
      </w:r>
    </w:p>
    <w:p w14:paraId="38C835B0">
      <w:pPr>
        <w:numPr>
          <w:ilvl w:val="0"/>
          <w:numId w:val="61"/>
        </w:numPr>
        <w:spacing w:line="360" w:lineRule="auto"/>
        <w:rPr>
          <w:rFonts w:ascii="黑体" w:hAnsi="黑体" w:eastAsia="黑体"/>
          <w:szCs w:val="21"/>
        </w:rPr>
      </w:pPr>
      <w:r>
        <w:rPr>
          <w:rFonts w:hint="eastAsia" w:ascii="黑体" w:hAnsi="黑体" w:eastAsia="黑体"/>
          <w:szCs w:val="21"/>
        </w:rPr>
        <w:t>因乙方及乙方工作人员任何过错造成甲方账户财政资金损失的，由乙方全额赔偿甲方损失，并追究乙方相关负责人责任；</w:t>
      </w:r>
    </w:p>
    <w:p w14:paraId="4A26A4BA">
      <w:pPr>
        <w:numPr>
          <w:ilvl w:val="0"/>
          <w:numId w:val="61"/>
        </w:numPr>
        <w:spacing w:line="360" w:lineRule="auto"/>
        <w:rPr>
          <w:rFonts w:ascii="黑体" w:hAnsi="黑体" w:eastAsia="黑体"/>
          <w:szCs w:val="21"/>
        </w:rPr>
      </w:pPr>
      <w:r>
        <w:rPr>
          <w:rFonts w:hint="eastAsia" w:ascii="黑体" w:hAnsi="黑体" w:eastAsia="黑体"/>
          <w:szCs w:val="21"/>
        </w:rPr>
        <w:t xml:space="preserve">乙方未按照甲方指令及本协议书约定办理转账业务，给甲方造成损失的，由乙方承担全部的经济责任； </w:t>
      </w:r>
    </w:p>
    <w:p w14:paraId="3129F22A">
      <w:pPr>
        <w:numPr>
          <w:ilvl w:val="0"/>
          <w:numId w:val="61"/>
        </w:numPr>
        <w:spacing w:line="360" w:lineRule="auto"/>
        <w:rPr>
          <w:rFonts w:ascii="黑体" w:hAnsi="黑体" w:eastAsia="黑体"/>
          <w:szCs w:val="21"/>
        </w:rPr>
      </w:pPr>
      <w:r>
        <w:rPr>
          <w:rFonts w:hint="eastAsia" w:ascii="黑体" w:hAnsi="黑体" w:eastAsia="黑体"/>
          <w:szCs w:val="21"/>
        </w:rPr>
        <w:t>甲方和经甲方授权预算单位的工作人员如违反国家有关规定，由有关机关依法进行处理；</w:t>
      </w:r>
    </w:p>
    <w:p w14:paraId="482F2AB8">
      <w:pPr>
        <w:numPr>
          <w:ilvl w:val="0"/>
          <w:numId w:val="61"/>
        </w:numPr>
        <w:spacing w:line="360" w:lineRule="auto"/>
        <w:rPr>
          <w:rFonts w:ascii="黑体" w:hAnsi="黑体" w:eastAsia="黑体"/>
          <w:szCs w:val="21"/>
        </w:rPr>
      </w:pPr>
      <w:r>
        <w:rPr>
          <w:rFonts w:hint="eastAsia" w:ascii="黑体" w:hAnsi="黑体" w:eastAsia="黑体"/>
          <w:szCs w:val="21"/>
        </w:rPr>
        <w:t>因乙方工作失误造成甲方账户财政资金延迟、错划、误划、漏划或者超授权额度支付资金，给甲方造成损失的，由乙方承担全部赔偿责任；乙方工作人员如违反国家有关规定，由有关机关依法进行处理；</w:t>
      </w:r>
    </w:p>
    <w:p w14:paraId="79D826E4">
      <w:pPr>
        <w:numPr>
          <w:ilvl w:val="0"/>
          <w:numId w:val="61"/>
        </w:numPr>
        <w:spacing w:line="360" w:lineRule="auto"/>
        <w:rPr>
          <w:rFonts w:ascii="黑体" w:hAnsi="黑体" w:eastAsia="黑体"/>
          <w:szCs w:val="21"/>
        </w:rPr>
      </w:pPr>
      <w:r>
        <w:rPr>
          <w:rFonts w:hint="eastAsia" w:ascii="黑体" w:hAnsi="黑体" w:eastAsia="黑体"/>
          <w:szCs w:val="21"/>
        </w:rPr>
        <w:t>如乙方存在前述违约行为，甲方除责成乙方纠正并赔偿经济损失外，还可单方面提前取消乙方的财政资金所有业务的代理资格；人为造成的，还应对直接负责的主管人员和其他直接责任人向有关部门提出给予行政处分或纪律处分建议，构成犯罪的，依法追究刑事责任；</w:t>
      </w:r>
    </w:p>
    <w:p w14:paraId="521429A5">
      <w:pPr>
        <w:numPr>
          <w:ilvl w:val="0"/>
          <w:numId w:val="61"/>
        </w:numPr>
        <w:spacing w:line="360" w:lineRule="auto"/>
        <w:rPr>
          <w:rFonts w:ascii="黑体" w:hAnsi="黑体" w:eastAsia="黑体"/>
          <w:szCs w:val="21"/>
        </w:rPr>
      </w:pPr>
      <w:r>
        <w:rPr>
          <w:rFonts w:hint="eastAsia" w:ascii="黑体" w:hAnsi="黑体" w:eastAsia="黑体"/>
          <w:szCs w:val="21"/>
        </w:rPr>
        <w:t>因不可抗力不能履行合同的，根据不可抗力的影响，部分或者全部免除责任，但法律另有规定的除外；当事人迟延履行后发生不可抗力的，不能免除责任；</w:t>
      </w:r>
    </w:p>
    <w:p w14:paraId="1C103FB2">
      <w:pPr>
        <w:numPr>
          <w:ilvl w:val="0"/>
          <w:numId w:val="61"/>
        </w:numPr>
        <w:spacing w:line="360" w:lineRule="auto"/>
        <w:rPr>
          <w:rFonts w:ascii="黑体" w:hAnsi="黑体" w:eastAsia="黑体"/>
          <w:szCs w:val="21"/>
        </w:rPr>
      </w:pPr>
      <w:r>
        <w:rPr>
          <w:rFonts w:hint="eastAsia" w:ascii="黑体" w:hAnsi="黑体" w:eastAsia="黑体"/>
          <w:szCs w:val="21"/>
        </w:rPr>
        <w:t>本协议所称不可抗力，是指不能预见、不能避免并不能克服的客观情况。</w:t>
      </w:r>
    </w:p>
    <w:p w14:paraId="502878B5">
      <w:pPr>
        <w:numPr>
          <w:ilvl w:val="0"/>
          <w:numId w:val="55"/>
        </w:numPr>
        <w:spacing w:beforeLines="100" w:line="360" w:lineRule="auto"/>
        <w:rPr>
          <w:rFonts w:ascii="黑体" w:hAnsi="黑体" w:eastAsia="黑体"/>
          <w:b/>
          <w:szCs w:val="21"/>
          <w:highlight w:val="none"/>
        </w:rPr>
      </w:pPr>
      <w:r>
        <w:rPr>
          <w:rFonts w:hint="eastAsia" w:ascii="黑体" w:hAnsi="黑体" w:eastAsia="黑体"/>
          <w:b/>
          <w:szCs w:val="21"/>
          <w:highlight w:val="none"/>
        </w:rPr>
        <w:t>协议生效</w:t>
      </w:r>
    </w:p>
    <w:p w14:paraId="5584DA13">
      <w:pPr>
        <w:numPr>
          <w:ilvl w:val="0"/>
          <w:numId w:val="62"/>
        </w:numPr>
        <w:spacing w:line="360" w:lineRule="auto"/>
        <w:rPr>
          <w:rFonts w:ascii="黑体" w:hAnsi="黑体" w:eastAsia="黑体"/>
          <w:szCs w:val="21"/>
          <w:highlight w:val="none"/>
        </w:rPr>
      </w:pPr>
      <w:r>
        <w:rPr>
          <w:rFonts w:hint="eastAsia" w:ascii="黑体" w:hAnsi="黑体" w:eastAsia="黑体"/>
          <w:szCs w:val="21"/>
          <w:highlight w:val="none"/>
        </w:rPr>
        <w:t>本协议自双方法定(负责人)代表人或授权代表人签字并加盖公章之日起生效，合同期限为自合同生效之日起一年止；</w:t>
      </w:r>
    </w:p>
    <w:p w14:paraId="72FA88A5">
      <w:pPr>
        <w:numPr>
          <w:ilvl w:val="0"/>
          <w:numId w:val="62"/>
        </w:numPr>
        <w:spacing w:line="360" w:lineRule="auto"/>
        <w:rPr>
          <w:rFonts w:ascii="黑体" w:hAnsi="黑体" w:eastAsia="黑体"/>
          <w:szCs w:val="21"/>
        </w:rPr>
      </w:pPr>
      <w:r>
        <w:rPr>
          <w:rFonts w:hint="eastAsia" w:ascii="黑体" w:hAnsi="黑体" w:eastAsia="黑体"/>
          <w:szCs w:val="21"/>
        </w:rPr>
        <w:t>如乙方存在本协议约定的违约行为，甲方可单方面提前解除本协议。</w:t>
      </w:r>
    </w:p>
    <w:p w14:paraId="0A94843A">
      <w:pPr>
        <w:numPr>
          <w:ilvl w:val="0"/>
          <w:numId w:val="55"/>
        </w:numPr>
        <w:spacing w:beforeLines="100" w:line="360" w:lineRule="auto"/>
        <w:rPr>
          <w:rFonts w:ascii="黑体" w:hAnsi="黑体" w:eastAsia="黑体"/>
          <w:b/>
          <w:szCs w:val="21"/>
        </w:rPr>
      </w:pPr>
      <w:r>
        <w:rPr>
          <w:rFonts w:hint="eastAsia" w:ascii="黑体" w:hAnsi="黑体" w:eastAsia="黑体"/>
          <w:b/>
          <w:szCs w:val="21"/>
        </w:rPr>
        <w:t>协议变更和终止</w:t>
      </w:r>
    </w:p>
    <w:p w14:paraId="49766AF6">
      <w:pPr>
        <w:numPr>
          <w:ilvl w:val="0"/>
          <w:numId w:val="63"/>
        </w:numPr>
        <w:spacing w:line="360" w:lineRule="auto"/>
        <w:rPr>
          <w:rFonts w:ascii="黑体" w:hAnsi="黑体" w:eastAsia="黑体"/>
          <w:szCs w:val="21"/>
        </w:rPr>
      </w:pPr>
      <w:r>
        <w:rPr>
          <w:rFonts w:hint="eastAsia" w:ascii="黑体" w:hAnsi="黑体" w:eastAsia="黑体"/>
          <w:szCs w:val="21"/>
        </w:rPr>
        <w:t>本协议在执行期内双方不得擅自变更或终止；</w:t>
      </w:r>
    </w:p>
    <w:p w14:paraId="49D9EB02">
      <w:pPr>
        <w:numPr>
          <w:ilvl w:val="0"/>
          <w:numId w:val="63"/>
        </w:numPr>
        <w:spacing w:line="360" w:lineRule="auto"/>
        <w:rPr>
          <w:rFonts w:ascii="黑体" w:hAnsi="黑体" w:eastAsia="黑体"/>
          <w:szCs w:val="21"/>
        </w:rPr>
      </w:pPr>
      <w:r>
        <w:rPr>
          <w:rFonts w:hint="eastAsia" w:ascii="黑体" w:hAnsi="黑体" w:eastAsia="黑体"/>
          <w:szCs w:val="21"/>
        </w:rPr>
        <w:t>协议履行期间，如遇与协议生效后颁布的有关政策、法律、规定不符的，甲乙双方须协商一致并达成书面协议后，方可变更或终止；未达成书面协议前，本协议依然有效；</w:t>
      </w:r>
    </w:p>
    <w:p w14:paraId="02640514">
      <w:pPr>
        <w:numPr>
          <w:ilvl w:val="0"/>
          <w:numId w:val="63"/>
        </w:numPr>
        <w:spacing w:line="360" w:lineRule="auto"/>
        <w:rPr>
          <w:rFonts w:ascii="黑体" w:hAnsi="黑体" w:eastAsia="黑体"/>
          <w:szCs w:val="21"/>
        </w:rPr>
      </w:pPr>
      <w:r>
        <w:rPr>
          <w:rFonts w:hint="eastAsia" w:ascii="黑体" w:hAnsi="黑体" w:eastAsia="黑体"/>
          <w:szCs w:val="21"/>
        </w:rPr>
        <w:t>本协议终止后，甲乙双方应对委托代理期间发生的应尽未尽委托代理事项负责结清，有关保密信息的条款对双方仍继续有效；</w:t>
      </w:r>
    </w:p>
    <w:p w14:paraId="5CA283D2">
      <w:pPr>
        <w:numPr>
          <w:ilvl w:val="0"/>
          <w:numId w:val="63"/>
        </w:numPr>
        <w:spacing w:line="360" w:lineRule="auto"/>
        <w:rPr>
          <w:rFonts w:ascii="黑体" w:hAnsi="黑体" w:eastAsia="黑体"/>
          <w:szCs w:val="21"/>
        </w:rPr>
      </w:pPr>
      <w:r>
        <w:rPr>
          <w:rFonts w:hint="eastAsia" w:ascii="黑体" w:hAnsi="黑体" w:eastAsia="黑体"/>
          <w:szCs w:val="21"/>
        </w:rPr>
        <w:t>甲乙双方如遇纠纷，应本着相互信任的原则，共同协商解决；</w:t>
      </w:r>
    </w:p>
    <w:p w14:paraId="7FFA98D9">
      <w:pPr>
        <w:numPr>
          <w:ilvl w:val="0"/>
          <w:numId w:val="63"/>
        </w:numPr>
        <w:spacing w:line="360" w:lineRule="auto"/>
        <w:rPr>
          <w:rFonts w:ascii="黑体" w:hAnsi="黑体" w:eastAsia="黑体"/>
          <w:szCs w:val="21"/>
        </w:rPr>
      </w:pPr>
      <w:r>
        <w:rPr>
          <w:rFonts w:hint="eastAsia" w:ascii="黑体" w:hAnsi="黑体" w:eastAsia="黑体"/>
          <w:szCs w:val="21"/>
        </w:rPr>
        <w:t>本合同内容应包括本项目招标文件及其澄清文件、中标人投标文件等内容，视为合同的一部分。</w:t>
      </w:r>
    </w:p>
    <w:p w14:paraId="0474F404">
      <w:pPr>
        <w:numPr>
          <w:ilvl w:val="0"/>
          <w:numId w:val="63"/>
        </w:numPr>
        <w:spacing w:line="360" w:lineRule="auto"/>
        <w:rPr>
          <w:rFonts w:ascii="黑体" w:hAnsi="黑体" w:eastAsia="黑体"/>
          <w:szCs w:val="21"/>
        </w:rPr>
      </w:pPr>
      <w:r>
        <w:rPr>
          <w:rFonts w:hint="eastAsia" w:ascii="黑体" w:hAnsi="黑体" w:eastAsia="黑体"/>
          <w:szCs w:val="21"/>
        </w:rPr>
        <w:t>本协议一式贰份，甲乙双方各执一份，具有同等法律效力。</w:t>
      </w:r>
    </w:p>
    <w:p w14:paraId="3A7C0335">
      <w:pPr>
        <w:spacing w:line="360" w:lineRule="auto"/>
        <w:rPr>
          <w:rFonts w:ascii="黑体" w:hAnsi="黑体" w:eastAsia="黑体"/>
          <w:szCs w:val="21"/>
        </w:rPr>
      </w:pPr>
    </w:p>
    <w:p w14:paraId="40568CF9">
      <w:pPr>
        <w:spacing w:line="360" w:lineRule="auto"/>
        <w:rPr>
          <w:rFonts w:ascii="黑体" w:hAnsi="黑体" w:eastAsia="黑体"/>
          <w:szCs w:val="21"/>
        </w:rPr>
      </w:pPr>
    </w:p>
    <w:p w14:paraId="3D3C69FE">
      <w:pPr>
        <w:pStyle w:val="2"/>
        <w:rPr>
          <w:rFonts w:ascii="黑体" w:hAnsi="黑体" w:eastAsia="黑体"/>
          <w:szCs w:val="21"/>
        </w:rPr>
      </w:pPr>
    </w:p>
    <w:p w14:paraId="16626384">
      <w:pPr>
        <w:pStyle w:val="2"/>
        <w:rPr>
          <w:rFonts w:ascii="黑体" w:hAnsi="黑体" w:eastAsia="黑体"/>
          <w:szCs w:val="21"/>
        </w:rPr>
      </w:pPr>
    </w:p>
    <w:p w14:paraId="7CA93985">
      <w:pPr>
        <w:pStyle w:val="2"/>
        <w:rPr>
          <w:rFonts w:ascii="黑体" w:hAnsi="黑体" w:eastAsia="黑体"/>
          <w:szCs w:val="21"/>
        </w:rPr>
      </w:pPr>
    </w:p>
    <w:p w14:paraId="20B89836">
      <w:pPr>
        <w:pStyle w:val="2"/>
        <w:rPr>
          <w:rFonts w:ascii="黑体" w:hAnsi="黑体" w:eastAsia="黑体"/>
          <w:szCs w:val="21"/>
        </w:rPr>
      </w:pPr>
    </w:p>
    <w:p w14:paraId="02B9C635">
      <w:pPr>
        <w:pStyle w:val="2"/>
        <w:rPr>
          <w:rFonts w:ascii="黑体" w:hAnsi="黑体" w:eastAsia="黑体"/>
          <w:szCs w:val="21"/>
        </w:rPr>
      </w:pPr>
    </w:p>
    <w:p w14:paraId="09351801">
      <w:pPr>
        <w:pStyle w:val="2"/>
        <w:rPr>
          <w:rFonts w:ascii="黑体" w:hAnsi="黑体" w:eastAsia="黑体"/>
          <w:szCs w:val="21"/>
        </w:rPr>
      </w:pPr>
    </w:p>
    <w:p w14:paraId="339CF9C9">
      <w:pPr>
        <w:pStyle w:val="2"/>
        <w:rPr>
          <w:rFonts w:ascii="黑体" w:hAnsi="黑体" w:eastAsia="黑体"/>
          <w:szCs w:val="21"/>
        </w:rPr>
      </w:pPr>
    </w:p>
    <w:p w14:paraId="41D831F1">
      <w:pPr>
        <w:pStyle w:val="2"/>
        <w:rPr>
          <w:rFonts w:ascii="黑体" w:hAnsi="黑体" w:eastAsia="黑体"/>
          <w:szCs w:val="21"/>
        </w:rPr>
      </w:pPr>
    </w:p>
    <w:p w14:paraId="581E55E2">
      <w:pPr>
        <w:pStyle w:val="2"/>
        <w:rPr>
          <w:rFonts w:ascii="黑体" w:hAnsi="黑体" w:eastAsia="黑体"/>
          <w:szCs w:val="21"/>
        </w:rPr>
      </w:pPr>
    </w:p>
    <w:p w14:paraId="18DE9415">
      <w:pPr>
        <w:spacing w:line="360" w:lineRule="auto"/>
        <w:rPr>
          <w:rFonts w:ascii="黑体" w:hAnsi="黑体" w:eastAsia="黑体"/>
          <w:szCs w:val="21"/>
        </w:rPr>
      </w:pPr>
      <w:r>
        <w:rPr>
          <w:rFonts w:hint="eastAsia" w:ascii="黑体" w:hAnsi="黑体" w:eastAsia="黑体"/>
          <w:szCs w:val="21"/>
        </w:rPr>
        <w:t>(以下无正文）</w:t>
      </w:r>
    </w:p>
    <w:p w14:paraId="6ED950A4">
      <w:pPr>
        <w:spacing w:line="360" w:lineRule="auto"/>
        <w:rPr>
          <w:rFonts w:ascii="黑体" w:hAnsi="黑体" w:eastAsia="黑体"/>
          <w:szCs w:val="21"/>
        </w:rPr>
      </w:pPr>
    </w:p>
    <w:p w14:paraId="4A3039A7">
      <w:pPr>
        <w:spacing w:line="360" w:lineRule="auto"/>
        <w:rPr>
          <w:rFonts w:ascii="黑体" w:hAnsi="黑体" w:eastAsia="黑体"/>
          <w:szCs w:val="21"/>
        </w:rPr>
      </w:pPr>
    </w:p>
    <w:p w14:paraId="202005CB">
      <w:pPr>
        <w:spacing w:line="360" w:lineRule="auto"/>
        <w:rPr>
          <w:rFonts w:ascii="黑体" w:hAnsi="黑体" w:eastAsia="黑体"/>
          <w:szCs w:val="21"/>
        </w:rPr>
      </w:pPr>
      <w:r>
        <w:rPr>
          <w:rFonts w:hint="eastAsia" w:ascii="黑体" w:hAnsi="黑体" w:eastAsia="黑体"/>
          <w:szCs w:val="21"/>
        </w:rPr>
        <w:t>甲方：    （公章）                       乙方：    （公章）</w:t>
      </w:r>
    </w:p>
    <w:p w14:paraId="5385C529">
      <w:pPr>
        <w:spacing w:line="360" w:lineRule="auto"/>
        <w:rPr>
          <w:rFonts w:ascii="黑体" w:hAnsi="黑体" w:eastAsia="黑体"/>
          <w:szCs w:val="21"/>
        </w:rPr>
      </w:pPr>
    </w:p>
    <w:p w14:paraId="24C43272">
      <w:pPr>
        <w:spacing w:line="360" w:lineRule="auto"/>
        <w:rPr>
          <w:rFonts w:ascii="黑体" w:hAnsi="黑体" w:eastAsia="黑体"/>
          <w:szCs w:val="21"/>
        </w:rPr>
      </w:pPr>
      <w:r>
        <w:rPr>
          <w:rFonts w:hint="eastAsia" w:ascii="黑体" w:hAnsi="黑体" w:eastAsia="黑体"/>
          <w:szCs w:val="21"/>
        </w:rPr>
        <w:t>法定(负责人)代表人或                     法定(负责人)代表人或</w:t>
      </w:r>
    </w:p>
    <w:p w14:paraId="3B3C8B5E">
      <w:pPr>
        <w:spacing w:line="360" w:lineRule="auto"/>
        <w:rPr>
          <w:rFonts w:ascii="黑体" w:hAnsi="黑体" w:eastAsia="黑体"/>
          <w:szCs w:val="21"/>
        </w:rPr>
      </w:pPr>
      <w:r>
        <w:rPr>
          <w:rFonts w:hint="eastAsia" w:ascii="黑体" w:hAnsi="黑体" w:eastAsia="黑体"/>
          <w:szCs w:val="21"/>
        </w:rPr>
        <w:t>授权代表人签字：                         授权代表人签字：</w:t>
      </w:r>
    </w:p>
    <w:p w14:paraId="285FB9CF">
      <w:pPr>
        <w:spacing w:line="360" w:lineRule="auto"/>
        <w:ind w:firstLine="630" w:firstLineChars="300"/>
        <w:rPr>
          <w:rFonts w:ascii="黑体" w:hAnsi="黑体" w:eastAsia="黑体"/>
          <w:szCs w:val="21"/>
        </w:rPr>
      </w:pPr>
      <w:r>
        <w:rPr>
          <w:rFonts w:hint="eastAsia" w:ascii="黑体" w:hAnsi="黑体" w:eastAsia="黑体"/>
          <w:szCs w:val="21"/>
        </w:rPr>
        <w:t xml:space="preserve">年  月   日                              年   月   日       </w:t>
      </w:r>
    </w:p>
    <w:p w14:paraId="716A5D98">
      <w:pPr>
        <w:spacing w:line="360" w:lineRule="auto"/>
        <w:rPr>
          <w:rFonts w:ascii="黑体" w:hAnsi="黑体" w:eastAsia="黑体"/>
          <w:szCs w:val="21"/>
        </w:rPr>
      </w:pPr>
    </w:p>
    <w:p w14:paraId="128A0D1C">
      <w:pPr>
        <w:spacing w:line="360" w:lineRule="auto"/>
        <w:rPr>
          <w:rFonts w:ascii="黑体" w:hAnsi="黑体" w:eastAsia="黑体"/>
          <w:szCs w:val="21"/>
        </w:rPr>
      </w:pPr>
    </w:p>
    <w:p w14:paraId="7DE1505C">
      <w:pPr>
        <w:spacing w:line="360" w:lineRule="auto"/>
        <w:rPr>
          <w:rFonts w:ascii="黑体" w:hAnsi="黑体" w:eastAsia="黑体"/>
          <w:szCs w:val="21"/>
        </w:rPr>
      </w:pPr>
    </w:p>
    <w:p w14:paraId="305C86DB">
      <w:pPr>
        <w:pStyle w:val="3"/>
        <w:pageBreakBefore/>
        <w:spacing w:line="360" w:lineRule="auto"/>
        <w:jc w:val="center"/>
        <w:rPr>
          <w:rFonts w:ascii="黑体" w:hAnsi="黑体" w:eastAsia="黑体"/>
          <w:spacing w:val="20"/>
          <w:sz w:val="32"/>
          <w:szCs w:val="32"/>
        </w:rPr>
      </w:pPr>
      <w:bookmarkStart w:id="26" w:name="_Toc23715271"/>
      <w:bookmarkStart w:id="27" w:name="_Toc405313957"/>
      <w:bookmarkStart w:id="28" w:name="_Toc391627753"/>
      <w:r>
        <w:rPr>
          <w:rFonts w:hint="eastAsia" w:ascii="黑体" w:hAnsi="黑体" w:eastAsia="黑体"/>
          <w:spacing w:val="20"/>
          <w:sz w:val="32"/>
          <w:szCs w:val="32"/>
        </w:rPr>
        <w:t>第七部分 投标文件格式</w:t>
      </w:r>
      <w:bookmarkEnd w:id="26"/>
      <w:bookmarkEnd w:id="27"/>
      <w:bookmarkEnd w:id="28"/>
    </w:p>
    <w:p w14:paraId="1205E3BA">
      <w:pPr>
        <w:pStyle w:val="32"/>
        <w:numPr>
          <w:ilvl w:val="0"/>
          <w:numId w:val="64"/>
        </w:numPr>
        <w:spacing w:line="360" w:lineRule="auto"/>
        <w:ind w:firstLineChars="0"/>
        <w:rPr>
          <w:rFonts w:ascii="黑体" w:hAnsi="黑体" w:eastAsia="黑体"/>
          <w:b/>
          <w:szCs w:val="21"/>
        </w:rPr>
      </w:pPr>
      <w:r>
        <w:rPr>
          <w:rFonts w:hint="eastAsia" w:ascii="黑体" w:hAnsi="黑体" w:eastAsia="黑体"/>
          <w:b/>
          <w:szCs w:val="21"/>
        </w:rPr>
        <w:t>商务技术文件格式</w:t>
      </w:r>
    </w:p>
    <w:p w14:paraId="06D0E98E">
      <w:pPr>
        <w:spacing w:line="360" w:lineRule="auto"/>
        <w:ind w:right="105"/>
        <w:jc w:val="right"/>
        <w:rPr>
          <w:rFonts w:ascii="黑体" w:hAnsi="黑体" w:eastAsia="黑体"/>
          <w:b/>
          <w:szCs w:val="21"/>
        </w:rPr>
      </w:pPr>
      <w:r>
        <w:rPr>
          <w:rFonts w:hint="eastAsia" w:ascii="黑体" w:hAnsi="黑体" w:eastAsia="黑体"/>
          <w:b/>
          <w:szCs w:val="21"/>
        </w:rPr>
        <w:t>正本/副本</w:t>
      </w:r>
    </w:p>
    <w:p w14:paraId="7D2EEE0D">
      <w:pPr>
        <w:spacing w:line="360" w:lineRule="auto"/>
        <w:ind w:right="105"/>
        <w:jc w:val="right"/>
        <w:rPr>
          <w:rFonts w:ascii="黑体" w:hAnsi="黑体" w:eastAsia="黑体"/>
          <w:b/>
          <w:szCs w:val="21"/>
        </w:rPr>
      </w:pPr>
    </w:p>
    <w:p w14:paraId="0113ECC2">
      <w:pPr>
        <w:spacing w:line="360" w:lineRule="auto"/>
        <w:jc w:val="center"/>
        <w:rPr>
          <w:rFonts w:ascii="黑体" w:hAnsi="黑体" w:eastAsia="黑体"/>
          <w:bCs/>
          <w:sz w:val="52"/>
          <w:szCs w:val="52"/>
        </w:rPr>
      </w:pPr>
      <w:r>
        <w:rPr>
          <w:rFonts w:hint="eastAsia" w:ascii="黑体" w:hAnsi="黑体" w:eastAsia="黑体"/>
          <w:bCs/>
          <w:sz w:val="52"/>
          <w:szCs w:val="52"/>
        </w:rPr>
        <w:t>财政资金定期保值增值业务项目</w:t>
      </w:r>
    </w:p>
    <w:p w14:paraId="6D22850D">
      <w:pPr>
        <w:spacing w:line="360" w:lineRule="auto"/>
        <w:jc w:val="center"/>
        <w:rPr>
          <w:rFonts w:ascii="黑体" w:hAnsi="黑体" w:eastAsia="黑体"/>
          <w:b/>
          <w:szCs w:val="21"/>
        </w:rPr>
      </w:pPr>
      <w:r>
        <w:rPr>
          <w:rFonts w:hint="eastAsia" w:ascii="黑体" w:hAnsi="黑体" w:eastAsia="黑体"/>
          <w:b/>
          <w:szCs w:val="21"/>
        </w:rPr>
        <w:t>（项目编号：</w:t>
      </w:r>
      <w:r>
        <w:rPr>
          <w:rFonts w:hint="eastAsia" w:ascii="黑体" w:hAnsi="黑体" w:eastAsia="黑体"/>
          <w:b/>
          <w:szCs w:val="21"/>
          <w:u w:val="single"/>
        </w:rPr>
        <w:t xml:space="preserve">             </w:t>
      </w:r>
      <w:r>
        <w:rPr>
          <w:rFonts w:hint="eastAsia" w:ascii="黑体" w:hAnsi="黑体" w:eastAsia="黑体"/>
          <w:b/>
          <w:szCs w:val="21"/>
        </w:rPr>
        <w:t>）</w:t>
      </w:r>
    </w:p>
    <w:p w14:paraId="692AE20C">
      <w:pPr>
        <w:spacing w:beforeLines="500" w:afterLines="100" w:line="360" w:lineRule="auto"/>
        <w:jc w:val="center"/>
        <w:rPr>
          <w:rFonts w:ascii="黑体" w:hAnsi="黑体" w:eastAsia="黑体"/>
          <w:b/>
          <w:spacing w:val="60"/>
          <w:sz w:val="72"/>
          <w:szCs w:val="72"/>
        </w:rPr>
      </w:pPr>
      <w:r>
        <w:rPr>
          <w:rFonts w:hint="eastAsia" w:ascii="黑体" w:hAnsi="黑体" w:eastAsia="黑体"/>
          <w:b/>
          <w:spacing w:val="60"/>
          <w:sz w:val="72"/>
          <w:szCs w:val="72"/>
        </w:rPr>
        <w:t>商务技术文件</w:t>
      </w:r>
    </w:p>
    <w:p w14:paraId="45194B9B">
      <w:pPr>
        <w:spacing w:afterLines="800" w:line="360" w:lineRule="auto"/>
        <w:jc w:val="center"/>
        <w:rPr>
          <w:rFonts w:ascii="黑体" w:hAnsi="黑体" w:eastAsia="黑体"/>
          <w:b/>
          <w:szCs w:val="21"/>
        </w:rPr>
      </w:pPr>
      <w:r>
        <w:rPr>
          <w:rFonts w:hint="eastAsia" w:ascii="黑体" w:hAnsi="黑体" w:eastAsia="黑体"/>
          <w:b/>
          <w:szCs w:val="21"/>
        </w:rPr>
        <w:t>（封面格式仅供参考）</w:t>
      </w:r>
    </w:p>
    <w:tbl>
      <w:tblPr>
        <w:tblStyle w:val="20"/>
        <w:tblW w:w="7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8"/>
        <w:gridCol w:w="5108"/>
      </w:tblGrid>
      <w:tr w14:paraId="7100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028" w:type="dxa"/>
            <w:vAlign w:val="center"/>
          </w:tcPr>
          <w:p w14:paraId="170C5670">
            <w:pPr>
              <w:spacing w:line="360" w:lineRule="auto"/>
              <w:jc w:val="center"/>
              <w:rPr>
                <w:rFonts w:ascii="黑体" w:hAnsi="黑体" w:eastAsia="黑体"/>
                <w:sz w:val="24"/>
                <w:szCs w:val="24"/>
              </w:rPr>
            </w:pPr>
            <w:r>
              <w:rPr>
                <w:rFonts w:hint="eastAsia" w:ascii="黑体" w:hAnsi="黑体" w:eastAsia="黑体"/>
                <w:sz w:val="24"/>
                <w:szCs w:val="24"/>
              </w:rPr>
              <w:t>投标单位全称：</w:t>
            </w:r>
          </w:p>
        </w:tc>
        <w:tc>
          <w:tcPr>
            <w:tcW w:w="5108" w:type="dxa"/>
            <w:vAlign w:val="center"/>
          </w:tcPr>
          <w:p w14:paraId="2EDAEC84">
            <w:pPr>
              <w:spacing w:line="360" w:lineRule="auto"/>
              <w:jc w:val="left"/>
              <w:rPr>
                <w:rFonts w:ascii="黑体" w:hAnsi="黑体" w:eastAsia="黑体"/>
                <w:sz w:val="24"/>
                <w:szCs w:val="24"/>
                <w:u w:val="single"/>
              </w:rPr>
            </w:pPr>
            <w:r>
              <w:rPr>
                <w:rFonts w:hint="eastAsia" w:ascii="黑体" w:hAnsi="黑体" w:eastAsia="黑体"/>
                <w:sz w:val="24"/>
                <w:szCs w:val="24"/>
                <w:u w:val="single"/>
              </w:rPr>
              <w:t xml:space="preserve">                                       </w:t>
            </w:r>
          </w:p>
        </w:tc>
      </w:tr>
      <w:tr w14:paraId="2E2C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028" w:type="dxa"/>
            <w:vAlign w:val="center"/>
          </w:tcPr>
          <w:p w14:paraId="760A1290">
            <w:pPr>
              <w:spacing w:line="360" w:lineRule="auto"/>
              <w:jc w:val="center"/>
              <w:rPr>
                <w:rFonts w:ascii="黑体" w:hAnsi="黑体" w:eastAsia="黑体"/>
                <w:sz w:val="24"/>
                <w:szCs w:val="24"/>
              </w:rPr>
            </w:pPr>
            <w:r>
              <w:rPr>
                <w:rFonts w:hint="eastAsia" w:ascii="黑体" w:hAnsi="黑体" w:eastAsia="黑体"/>
                <w:sz w:val="24"/>
                <w:szCs w:val="24"/>
              </w:rPr>
              <w:t>投标单位地址：</w:t>
            </w:r>
          </w:p>
        </w:tc>
        <w:tc>
          <w:tcPr>
            <w:tcW w:w="5108" w:type="dxa"/>
            <w:vAlign w:val="center"/>
          </w:tcPr>
          <w:p w14:paraId="6095BE86">
            <w:pPr>
              <w:spacing w:line="360" w:lineRule="auto"/>
              <w:jc w:val="left"/>
              <w:rPr>
                <w:rFonts w:ascii="黑体" w:hAnsi="黑体" w:eastAsia="黑体"/>
                <w:sz w:val="24"/>
                <w:szCs w:val="24"/>
                <w:u w:val="single"/>
              </w:rPr>
            </w:pPr>
            <w:r>
              <w:rPr>
                <w:rFonts w:hint="eastAsia" w:ascii="黑体" w:hAnsi="黑体" w:eastAsia="黑体"/>
                <w:sz w:val="24"/>
                <w:szCs w:val="24"/>
                <w:u w:val="single"/>
              </w:rPr>
              <w:t xml:space="preserve">                                       </w:t>
            </w:r>
          </w:p>
        </w:tc>
      </w:tr>
      <w:tr w14:paraId="0395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028" w:type="dxa"/>
            <w:vAlign w:val="center"/>
          </w:tcPr>
          <w:p w14:paraId="1EBDC6CC">
            <w:pPr>
              <w:spacing w:line="360" w:lineRule="auto"/>
              <w:jc w:val="center"/>
              <w:rPr>
                <w:rFonts w:ascii="黑体" w:hAnsi="黑体" w:eastAsia="黑体"/>
                <w:spacing w:val="-10"/>
                <w:sz w:val="24"/>
                <w:szCs w:val="24"/>
              </w:rPr>
            </w:pPr>
            <w:r>
              <w:rPr>
                <w:rFonts w:hint="eastAsia" w:ascii="黑体" w:hAnsi="黑体" w:eastAsia="黑体"/>
                <w:spacing w:val="-10"/>
                <w:sz w:val="24"/>
                <w:szCs w:val="24"/>
              </w:rPr>
              <w:t>投标单位联系人：</w:t>
            </w:r>
          </w:p>
        </w:tc>
        <w:tc>
          <w:tcPr>
            <w:tcW w:w="5108" w:type="dxa"/>
            <w:vAlign w:val="center"/>
          </w:tcPr>
          <w:p w14:paraId="0F3ACAD2">
            <w:pPr>
              <w:spacing w:line="360" w:lineRule="auto"/>
              <w:jc w:val="left"/>
              <w:rPr>
                <w:rFonts w:ascii="黑体" w:hAnsi="黑体" w:eastAsia="黑体"/>
                <w:sz w:val="24"/>
                <w:szCs w:val="24"/>
                <w:u w:val="single"/>
              </w:rPr>
            </w:pPr>
            <w:r>
              <w:rPr>
                <w:rFonts w:hint="eastAsia" w:ascii="黑体" w:hAnsi="黑体" w:eastAsia="黑体"/>
                <w:sz w:val="24"/>
                <w:szCs w:val="24"/>
                <w:u w:val="single"/>
              </w:rPr>
              <w:t xml:space="preserve">                                       </w:t>
            </w:r>
          </w:p>
        </w:tc>
      </w:tr>
      <w:tr w14:paraId="6281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028" w:type="dxa"/>
            <w:vAlign w:val="center"/>
          </w:tcPr>
          <w:p w14:paraId="1192F4A2">
            <w:pPr>
              <w:spacing w:line="360" w:lineRule="auto"/>
              <w:jc w:val="center"/>
              <w:rPr>
                <w:rFonts w:ascii="黑体" w:hAnsi="黑体" w:eastAsia="黑体"/>
                <w:sz w:val="24"/>
                <w:szCs w:val="24"/>
              </w:rPr>
            </w:pPr>
            <w:r>
              <w:rPr>
                <w:rFonts w:hint="eastAsia" w:ascii="黑体" w:hAnsi="黑体" w:eastAsia="黑体"/>
                <w:sz w:val="24"/>
                <w:szCs w:val="24"/>
              </w:rPr>
              <w:t>投标单位固话：</w:t>
            </w:r>
          </w:p>
        </w:tc>
        <w:tc>
          <w:tcPr>
            <w:tcW w:w="5108" w:type="dxa"/>
            <w:vAlign w:val="center"/>
          </w:tcPr>
          <w:p w14:paraId="3DC8FC0C">
            <w:pPr>
              <w:spacing w:line="360" w:lineRule="auto"/>
              <w:jc w:val="left"/>
              <w:rPr>
                <w:rFonts w:ascii="黑体" w:hAnsi="黑体" w:eastAsia="黑体"/>
                <w:sz w:val="24"/>
                <w:szCs w:val="24"/>
                <w:u w:val="single"/>
              </w:rPr>
            </w:pPr>
            <w:r>
              <w:rPr>
                <w:rFonts w:hint="eastAsia" w:ascii="黑体" w:hAnsi="黑体" w:eastAsia="黑体"/>
                <w:sz w:val="24"/>
                <w:szCs w:val="24"/>
                <w:u w:val="single"/>
              </w:rPr>
              <w:t xml:space="preserve">                                       </w:t>
            </w:r>
          </w:p>
        </w:tc>
      </w:tr>
      <w:tr w14:paraId="6564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028" w:type="dxa"/>
            <w:vAlign w:val="center"/>
          </w:tcPr>
          <w:p w14:paraId="69779EFF">
            <w:pPr>
              <w:spacing w:line="360" w:lineRule="auto"/>
              <w:jc w:val="center"/>
              <w:rPr>
                <w:rFonts w:ascii="黑体" w:hAnsi="黑体" w:eastAsia="黑体"/>
                <w:sz w:val="24"/>
                <w:szCs w:val="24"/>
              </w:rPr>
            </w:pPr>
            <w:r>
              <w:rPr>
                <w:rFonts w:hint="eastAsia" w:ascii="黑体" w:hAnsi="黑体" w:eastAsia="黑体"/>
                <w:sz w:val="24"/>
                <w:szCs w:val="24"/>
              </w:rPr>
              <w:t>投标单位传真：</w:t>
            </w:r>
          </w:p>
        </w:tc>
        <w:tc>
          <w:tcPr>
            <w:tcW w:w="5108" w:type="dxa"/>
            <w:vAlign w:val="center"/>
          </w:tcPr>
          <w:p w14:paraId="71CF5E78">
            <w:pPr>
              <w:spacing w:line="360" w:lineRule="auto"/>
              <w:jc w:val="left"/>
              <w:rPr>
                <w:rFonts w:ascii="黑体" w:hAnsi="黑体" w:eastAsia="黑体"/>
                <w:sz w:val="24"/>
                <w:szCs w:val="24"/>
                <w:u w:val="single"/>
              </w:rPr>
            </w:pPr>
            <w:r>
              <w:rPr>
                <w:rFonts w:hint="eastAsia" w:ascii="黑体" w:hAnsi="黑体" w:eastAsia="黑体"/>
                <w:sz w:val="24"/>
                <w:szCs w:val="24"/>
                <w:u w:val="single"/>
              </w:rPr>
              <w:t xml:space="preserve">                                       </w:t>
            </w:r>
          </w:p>
        </w:tc>
      </w:tr>
    </w:tbl>
    <w:p w14:paraId="7F02F040">
      <w:pPr>
        <w:spacing w:line="360" w:lineRule="auto"/>
        <w:rPr>
          <w:rFonts w:ascii="黑体" w:hAnsi="黑体" w:eastAsia="黑体"/>
          <w:szCs w:val="21"/>
        </w:rPr>
      </w:pPr>
    </w:p>
    <w:p w14:paraId="0D6F8F58">
      <w:pPr>
        <w:spacing w:beforeLines="100" w:line="600" w:lineRule="exact"/>
        <w:jc w:val="center"/>
        <w:rPr>
          <w:rFonts w:ascii="黑体" w:hAnsi="黑体" w:eastAsia="黑体"/>
          <w:b/>
          <w:bCs/>
          <w:spacing w:val="40"/>
          <w:sz w:val="24"/>
          <w:szCs w:val="24"/>
        </w:rPr>
      </w:pPr>
      <w:r>
        <w:rPr>
          <w:rFonts w:hint="eastAsia" w:ascii="黑体" w:hAnsi="黑体" w:eastAsia="黑体"/>
          <w:b/>
          <w:spacing w:val="40"/>
          <w:sz w:val="24"/>
          <w:szCs w:val="24"/>
        </w:rPr>
        <w:t>日期：</w:t>
      </w:r>
      <w:r>
        <w:rPr>
          <w:rFonts w:hint="eastAsia" w:ascii="黑体" w:hAnsi="黑体" w:eastAsia="黑体"/>
          <w:b/>
          <w:spacing w:val="40"/>
          <w:sz w:val="24"/>
          <w:szCs w:val="24"/>
          <w:lang w:eastAsia="zh-CN"/>
        </w:rPr>
        <w:t>二零二六</w:t>
      </w:r>
      <w:r>
        <w:rPr>
          <w:rFonts w:hint="eastAsia" w:ascii="黑体" w:hAnsi="黑体" w:eastAsia="黑体"/>
          <w:b/>
          <w:spacing w:val="40"/>
          <w:sz w:val="24"/>
          <w:szCs w:val="24"/>
        </w:rPr>
        <w:t>年  月  日</w:t>
      </w:r>
    </w:p>
    <w:p w14:paraId="2177E7B3">
      <w:pPr>
        <w:pStyle w:val="34"/>
        <w:pageBreakBefore/>
        <w:spacing w:beforeLines="100" w:line="360" w:lineRule="auto"/>
        <w:ind w:firstLine="0" w:firstLineChars="0"/>
        <w:rPr>
          <w:rFonts w:ascii="黑体" w:hAnsi="黑体" w:eastAsia="黑体"/>
          <w:b/>
          <w:sz w:val="21"/>
          <w:szCs w:val="21"/>
        </w:rPr>
      </w:pPr>
      <w:r>
        <w:rPr>
          <w:rFonts w:hint="eastAsia" w:ascii="黑体" w:hAnsi="黑体" w:eastAsia="黑体"/>
          <w:b/>
          <w:sz w:val="21"/>
          <w:szCs w:val="21"/>
        </w:rPr>
        <w:t xml:space="preserve">第一章 商务文件 </w:t>
      </w:r>
    </w:p>
    <w:p w14:paraId="0322A137">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投标函（附件1）</w:t>
      </w:r>
    </w:p>
    <w:p w14:paraId="6496C118">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法定(负责人)代表人身份证明书（附件2）</w:t>
      </w:r>
    </w:p>
    <w:p w14:paraId="735A8059">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法定(负责人)代表人授权委托书（附件3）</w:t>
      </w:r>
    </w:p>
    <w:p w14:paraId="6247A5C9">
      <w:pPr>
        <w:pStyle w:val="33"/>
        <w:numPr>
          <w:ilvl w:val="0"/>
          <w:numId w:val="65"/>
        </w:numPr>
        <w:spacing w:line="460" w:lineRule="exact"/>
        <w:rPr>
          <w:rFonts w:ascii="黑体" w:hAnsi="黑体" w:eastAsia="黑体"/>
          <w:sz w:val="21"/>
          <w:szCs w:val="21"/>
        </w:rPr>
      </w:pPr>
      <w:r>
        <w:rPr>
          <w:rFonts w:hint="eastAsia" w:ascii="黑体" w:hAnsi="黑体" w:eastAsia="黑体"/>
          <w:sz w:val="21"/>
          <w:szCs w:val="21"/>
        </w:rPr>
        <w:t>投标人资格证明文件（包括但不限于“多证合一”营业执照或事业单位法人证书或营业执照、税务登记证、组织机构代码证、银行开户许可证、合格投标人特定资格要求的证明资料复印件）</w:t>
      </w:r>
    </w:p>
    <w:p w14:paraId="16B4ED41">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承诺书（附件4）</w:t>
      </w:r>
    </w:p>
    <w:p w14:paraId="43C848BB">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商务差异表（附件5）</w:t>
      </w:r>
    </w:p>
    <w:p w14:paraId="41F1E19D">
      <w:pPr>
        <w:pStyle w:val="34"/>
        <w:numPr>
          <w:ilvl w:val="0"/>
          <w:numId w:val="65"/>
        </w:numPr>
        <w:spacing w:line="460" w:lineRule="exact"/>
        <w:ind w:firstLineChars="0"/>
        <w:rPr>
          <w:rFonts w:ascii="黑体" w:hAnsi="黑体" w:eastAsia="黑体"/>
          <w:sz w:val="21"/>
          <w:szCs w:val="21"/>
        </w:rPr>
      </w:pPr>
      <w:r>
        <w:rPr>
          <w:rFonts w:hint="eastAsia" w:ascii="黑体" w:hAnsi="黑体" w:eastAsia="黑体"/>
          <w:sz w:val="21"/>
          <w:szCs w:val="21"/>
        </w:rPr>
        <w:t>售后服务机构相关证明文件</w:t>
      </w:r>
    </w:p>
    <w:p w14:paraId="28B96FD1">
      <w:pPr>
        <w:pStyle w:val="33"/>
        <w:numPr>
          <w:ilvl w:val="0"/>
          <w:numId w:val="65"/>
        </w:numPr>
        <w:spacing w:line="460" w:lineRule="exact"/>
        <w:rPr>
          <w:rFonts w:ascii="黑体" w:hAnsi="黑体" w:eastAsia="黑体"/>
          <w:sz w:val="21"/>
          <w:szCs w:val="21"/>
        </w:rPr>
      </w:pPr>
      <w:r>
        <w:rPr>
          <w:rFonts w:hint="eastAsia" w:ascii="黑体" w:hAnsi="黑体" w:eastAsia="黑体"/>
          <w:sz w:val="21"/>
          <w:szCs w:val="21"/>
        </w:rPr>
        <w:t>资格申明（附件6）</w:t>
      </w:r>
    </w:p>
    <w:p w14:paraId="1282095B">
      <w:pPr>
        <w:pStyle w:val="33"/>
        <w:numPr>
          <w:ilvl w:val="0"/>
          <w:numId w:val="65"/>
        </w:numPr>
        <w:spacing w:line="460" w:lineRule="exact"/>
        <w:rPr>
          <w:rFonts w:ascii="黑体" w:hAnsi="黑体" w:eastAsia="黑体"/>
          <w:sz w:val="21"/>
          <w:szCs w:val="21"/>
        </w:rPr>
      </w:pPr>
      <w:r>
        <w:rPr>
          <w:rFonts w:hint="eastAsia" w:ascii="黑体" w:hAnsi="黑体" w:eastAsia="黑体"/>
          <w:sz w:val="21"/>
          <w:szCs w:val="21"/>
        </w:rPr>
        <w:t>在经营活动中没有重大违法记录的书面声明（附件7）</w:t>
      </w:r>
    </w:p>
    <w:p w14:paraId="20C05843">
      <w:pPr>
        <w:pStyle w:val="33"/>
        <w:numPr>
          <w:ilvl w:val="0"/>
          <w:numId w:val="65"/>
        </w:numPr>
        <w:spacing w:line="460" w:lineRule="exact"/>
        <w:rPr>
          <w:rFonts w:ascii="黑体" w:hAnsi="黑体" w:eastAsia="黑体"/>
          <w:sz w:val="21"/>
          <w:szCs w:val="21"/>
        </w:rPr>
      </w:pPr>
      <w:r>
        <w:rPr>
          <w:rFonts w:hint="eastAsia" w:ascii="黑体" w:hAnsi="黑体" w:eastAsia="黑体"/>
          <w:sz w:val="21"/>
          <w:szCs w:val="21"/>
        </w:rPr>
        <w:t>投标人认为需要提供的其他商务资料 [如：开标一览表(附件8)、商务技术评审表中须提供的证明资料等]</w:t>
      </w:r>
    </w:p>
    <w:p w14:paraId="2C92649D">
      <w:pPr>
        <w:pStyle w:val="34"/>
        <w:spacing w:beforeLines="100" w:afterLines="20" w:line="360" w:lineRule="auto"/>
        <w:ind w:firstLine="0" w:firstLineChars="0"/>
        <w:rPr>
          <w:rFonts w:ascii="黑体" w:hAnsi="黑体" w:eastAsia="黑体"/>
          <w:b/>
          <w:sz w:val="21"/>
          <w:szCs w:val="21"/>
        </w:rPr>
      </w:pPr>
      <w:r>
        <w:rPr>
          <w:rFonts w:hint="eastAsia" w:ascii="黑体" w:hAnsi="黑体" w:eastAsia="黑体"/>
          <w:b/>
          <w:sz w:val="21"/>
          <w:szCs w:val="21"/>
        </w:rPr>
        <w:t>第二章 技术文件</w:t>
      </w:r>
    </w:p>
    <w:p w14:paraId="60F740F4">
      <w:pPr>
        <w:pStyle w:val="32"/>
        <w:numPr>
          <w:ilvl w:val="0"/>
          <w:numId w:val="66"/>
        </w:numPr>
        <w:spacing w:line="460" w:lineRule="exact"/>
        <w:ind w:firstLineChars="0"/>
        <w:rPr>
          <w:rFonts w:ascii="黑体" w:hAnsi="黑体" w:eastAsia="黑体"/>
          <w:szCs w:val="21"/>
        </w:rPr>
      </w:pPr>
      <w:r>
        <w:rPr>
          <w:rFonts w:hint="eastAsia" w:ascii="黑体" w:hAnsi="黑体" w:eastAsia="黑体"/>
          <w:bCs/>
          <w:szCs w:val="21"/>
        </w:rPr>
        <w:t>投标人拟为本项目提供的服务实施方案</w:t>
      </w:r>
      <w:r>
        <w:rPr>
          <w:rFonts w:hint="eastAsia" w:ascii="黑体" w:hAnsi="黑体" w:eastAsia="黑体"/>
          <w:szCs w:val="21"/>
        </w:rPr>
        <w:t>（投标人自行编写）</w:t>
      </w:r>
    </w:p>
    <w:p w14:paraId="45DD5896">
      <w:pPr>
        <w:pStyle w:val="32"/>
        <w:numPr>
          <w:ilvl w:val="0"/>
          <w:numId w:val="66"/>
        </w:numPr>
        <w:spacing w:line="460" w:lineRule="exact"/>
        <w:ind w:firstLineChars="0"/>
        <w:rPr>
          <w:rFonts w:ascii="黑体" w:hAnsi="黑体" w:eastAsia="黑体"/>
          <w:szCs w:val="21"/>
        </w:rPr>
      </w:pPr>
      <w:r>
        <w:rPr>
          <w:rFonts w:hint="eastAsia" w:ascii="黑体" w:hAnsi="黑体" w:eastAsia="黑体"/>
          <w:szCs w:val="21"/>
        </w:rPr>
        <w:t>投标人认为需要提供的其他资料</w:t>
      </w:r>
    </w:p>
    <w:p w14:paraId="6892ABB5">
      <w:pPr>
        <w:pStyle w:val="4"/>
        <w:pageBreakBefore/>
        <w:spacing w:after="220" w:line="415" w:lineRule="auto"/>
        <w:jc w:val="left"/>
        <w:rPr>
          <w:rStyle w:val="23"/>
          <w:rFonts w:ascii="黑体" w:hAnsi="黑体" w:eastAsia="黑体"/>
          <w:b/>
          <w:bCs w:val="0"/>
          <w:spacing w:val="12"/>
          <w:sz w:val="21"/>
        </w:rPr>
      </w:pPr>
      <w:bookmarkStart w:id="29" w:name="_Toc391627757"/>
      <w:bookmarkStart w:id="30" w:name="_Toc405313961"/>
      <w:bookmarkStart w:id="31" w:name="_Toc23715272"/>
      <w:r>
        <w:rPr>
          <w:rStyle w:val="23"/>
          <w:rFonts w:hint="eastAsia" w:ascii="黑体" w:hAnsi="黑体" w:eastAsia="黑体"/>
          <w:b/>
          <w:bCs w:val="0"/>
          <w:spacing w:val="12"/>
          <w:sz w:val="21"/>
        </w:rPr>
        <w:t xml:space="preserve">附件1  </w:t>
      </w:r>
      <w:r>
        <w:rPr>
          <w:rStyle w:val="23"/>
          <w:rFonts w:hint="eastAsia" w:ascii="黑体" w:hAnsi="黑体" w:eastAsia="黑体"/>
          <w:b/>
          <w:bCs w:val="0"/>
          <w:spacing w:val="12"/>
          <w:sz w:val="21"/>
          <w:szCs w:val="21"/>
        </w:rPr>
        <w:t>投标函</w:t>
      </w:r>
      <w:bookmarkEnd w:id="29"/>
      <w:bookmarkEnd w:id="30"/>
      <w:bookmarkEnd w:id="31"/>
    </w:p>
    <w:p w14:paraId="4A5D8B22">
      <w:pPr>
        <w:jc w:val="center"/>
        <w:rPr>
          <w:rFonts w:ascii="黑体" w:hAnsi="黑体" w:eastAsia="黑体"/>
          <w:b/>
          <w:spacing w:val="20"/>
          <w:sz w:val="28"/>
          <w:szCs w:val="28"/>
        </w:rPr>
      </w:pPr>
      <w:r>
        <w:rPr>
          <w:rFonts w:hint="eastAsia" w:ascii="黑体" w:hAnsi="黑体" w:eastAsia="黑体"/>
          <w:b/>
          <w:spacing w:val="20"/>
          <w:sz w:val="28"/>
          <w:szCs w:val="28"/>
        </w:rPr>
        <w:t>投标函</w:t>
      </w:r>
    </w:p>
    <w:p w14:paraId="764B6E39">
      <w:pPr>
        <w:spacing w:beforeLines="50" w:afterLines="50" w:line="360" w:lineRule="auto"/>
        <w:rPr>
          <w:rFonts w:ascii="黑体" w:hAnsi="黑体" w:eastAsia="黑体"/>
          <w:b/>
        </w:rPr>
      </w:pPr>
      <w:r>
        <w:rPr>
          <w:rFonts w:hint="eastAsia" w:ascii="黑体" w:hAnsi="黑体" w:eastAsia="黑体"/>
          <w:b/>
        </w:rPr>
        <w:t>致东莞市财政局南城分局：</w:t>
      </w:r>
    </w:p>
    <w:p w14:paraId="4F186E9E">
      <w:pPr>
        <w:autoSpaceDE w:val="0"/>
        <w:autoSpaceDN w:val="0"/>
        <w:adjustRightInd w:val="0"/>
        <w:spacing w:line="360" w:lineRule="auto"/>
        <w:ind w:right="26" w:firstLine="420" w:firstLineChars="200"/>
        <w:rPr>
          <w:rFonts w:ascii="黑体" w:hAnsi="黑体" w:eastAsia="黑体"/>
          <w:kern w:val="0"/>
          <w:szCs w:val="21"/>
        </w:rPr>
      </w:pPr>
      <w:r>
        <w:rPr>
          <w:rFonts w:hint="eastAsia" w:ascii="黑体" w:hAnsi="黑体" w:eastAsia="黑体"/>
          <w:kern w:val="0"/>
          <w:szCs w:val="21"/>
        </w:rPr>
        <w:t>依据贵方</w:t>
      </w:r>
      <w:r>
        <w:rPr>
          <w:rFonts w:hint="eastAsia" w:ascii="黑体" w:hAnsi="黑体" w:eastAsia="黑体"/>
          <w:b/>
          <w:kern w:val="0"/>
          <w:szCs w:val="21"/>
          <w:u w:val="single"/>
        </w:rPr>
        <w:t xml:space="preserve">    </w:t>
      </w:r>
      <w:r>
        <w:rPr>
          <w:rFonts w:hint="eastAsia" w:ascii="黑体" w:hAnsi="黑体" w:eastAsia="黑体"/>
          <w:b/>
          <w:szCs w:val="21"/>
          <w:u w:val="single"/>
        </w:rPr>
        <w:t>项目名称</w:t>
      </w:r>
      <w:r>
        <w:rPr>
          <w:rFonts w:hint="eastAsia" w:ascii="黑体" w:hAnsi="黑体" w:eastAsia="黑体"/>
          <w:szCs w:val="21"/>
          <w:u w:val="single"/>
        </w:rPr>
        <w:t xml:space="preserve">     </w:t>
      </w:r>
      <w:r>
        <w:rPr>
          <w:rFonts w:hint="eastAsia" w:ascii="黑体" w:hAnsi="黑体" w:eastAsia="黑体"/>
          <w:kern w:val="0"/>
          <w:szCs w:val="21"/>
        </w:rPr>
        <w:t>项目</w:t>
      </w:r>
      <w:r>
        <w:rPr>
          <w:rFonts w:hint="eastAsia" w:ascii="黑体" w:hAnsi="黑体" w:eastAsia="黑体"/>
          <w:szCs w:val="21"/>
          <w:u w:val="single"/>
        </w:rPr>
        <w:t>（</w:t>
      </w:r>
      <w:r>
        <w:rPr>
          <w:rFonts w:hint="eastAsia" w:ascii="黑体" w:hAnsi="黑体" w:eastAsia="黑体"/>
          <w:b/>
          <w:szCs w:val="21"/>
          <w:u w:val="single"/>
        </w:rPr>
        <w:t xml:space="preserve">项目编号：        </w:t>
      </w:r>
      <w:r>
        <w:rPr>
          <w:rFonts w:hint="eastAsia" w:ascii="黑体" w:hAnsi="黑体" w:eastAsia="黑体"/>
          <w:szCs w:val="21"/>
          <w:u w:val="single"/>
        </w:rPr>
        <w:t xml:space="preserve">) </w:t>
      </w:r>
      <w:r>
        <w:rPr>
          <w:rFonts w:hint="eastAsia" w:ascii="黑体" w:hAnsi="黑体" w:eastAsia="黑体"/>
          <w:kern w:val="0"/>
          <w:szCs w:val="21"/>
        </w:rPr>
        <w:t>招标采购货物及服务的投标邀请，我方代表</w:t>
      </w:r>
      <w:r>
        <w:rPr>
          <w:rFonts w:hint="eastAsia" w:ascii="黑体" w:hAnsi="黑体" w:eastAsia="黑体"/>
          <w:kern w:val="0"/>
          <w:szCs w:val="21"/>
          <w:u w:val="single"/>
        </w:rPr>
        <w:t xml:space="preserve"> </w:t>
      </w:r>
      <w:r>
        <w:rPr>
          <w:rFonts w:hint="eastAsia" w:ascii="黑体" w:hAnsi="黑体" w:eastAsia="黑体"/>
          <w:szCs w:val="21"/>
          <w:u w:val="single"/>
        </w:rPr>
        <w:t>（</w:t>
      </w:r>
      <w:r>
        <w:rPr>
          <w:rFonts w:hint="eastAsia" w:ascii="黑体" w:hAnsi="黑体" w:eastAsia="黑体"/>
          <w:b/>
          <w:szCs w:val="21"/>
          <w:u w:val="single"/>
        </w:rPr>
        <w:t>姓名、职务</w:t>
      </w:r>
      <w:r>
        <w:rPr>
          <w:rFonts w:hint="eastAsia" w:ascii="黑体" w:hAnsi="黑体" w:eastAsia="黑体"/>
          <w:szCs w:val="21"/>
          <w:u w:val="single"/>
        </w:rPr>
        <w:t xml:space="preserve">） </w:t>
      </w:r>
      <w:r>
        <w:rPr>
          <w:rFonts w:hint="eastAsia" w:ascii="黑体" w:hAnsi="黑体" w:eastAsia="黑体"/>
          <w:kern w:val="0"/>
          <w:szCs w:val="21"/>
        </w:rPr>
        <w:t>经正式授权并代表</w:t>
      </w:r>
      <w:r>
        <w:rPr>
          <w:rFonts w:hint="eastAsia" w:ascii="黑体" w:hAnsi="黑体" w:eastAsia="黑体"/>
          <w:kern w:val="0"/>
          <w:szCs w:val="21"/>
          <w:u w:val="single"/>
        </w:rPr>
        <w:t xml:space="preserve"> </w:t>
      </w:r>
      <w:r>
        <w:rPr>
          <w:rFonts w:hint="eastAsia" w:ascii="黑体" w:hAnsi="黑体" w:eastAsia="黑体"/>
          <w:szCs w:val="21"/>
          <w:u w:val="single"/>
        </w:rPr>
        <w:t>（</w:t>
      </w:r>
      <w:r>
        <w:rPr>
          <w:rFonts w:hint="eastAsia" w:ascii="黑体" w:hAnsi="黑体" w:eastAsia="黑体"/>
          <w:b/>
          <w:szCs w:val="21"/>
          <w:u w:val="single"/>
        </w:rPr>
        <w:t>投标人名称</w:t>
      </w:r>
      <w:r>
        <w:rPr>
          <w:rFonts w:hint="eastAsia" w:ascii="黑体" w:hAnsi="黑体" w:eastAsia="黑体"/>
          <w:szCs w:val="21"/>
          <w:u w:val="single"/>
        </w:rPr>
        <w:t xml:space="preserve">） </w:t>
      </w:r>
      <w:r>
        <w:rPr>
          <w:rFonts w:hint="eastAsia" w:ascii="黑体" w:hAnsi="黑体" w:eastAsia="黑体"/>
          <w:szCs w:val="21"/>
        </w:rPr>
        <w:t>提交唱标信封一份、</w:t>
      </w:r>
      <w:r>
        <w:rPr>
          <w:rFonts w:hint="eastAsia" w:ascii="黑体" w:hAnsi="黑体" w:eastAsia="黑体"/>
          <w:kern w:val="0"/>
          <w:szCs w:val="21"/>
        </w:rPr>
        <w:t>投标文件(商务技术文件)各正本一份，副本</w:t>
      </w:r>
      <w:r>
        <w:rPr>
          <w:rFonts w:hint="eastAsia" w:ascii="黑体" w:hAnsi="黑体" w:eastAsia="黑体"/>
          <w:kern w:val="0"/>
          <w:szCs w:val="21"/>
          <w:u w:val="single"/>
        </w:rPr>
        <w:t xml:space="preserve"> （</w:t>
      </w:r>
      <w:r>
        <w:rPr>
          <w:rFonts w:hint="eastAsia" w:ascii="黑体" w:hAnsi="黑体" w:eastAsia="黑体"/>
          <w:b/>
          <w:kern w:val="0"/>
          <w:szCs w:val="21"/>
          <w:u w:val="single"/>
        </w:rPr>
        <w:t>详见投标须知前附表</w:t>
      </w:r>
      <w:r>
        <w:rPr>
          <w:rFonts w:ascii="黑体" w:hAnsi="黑体" w:eastAsia="黑体"/>
          <w:kern w:val="0"/>
          <w:szCs w:val="21"/>
          <w:u w:val="single"/>
        </w:rPr>
        <w:t>）</w:t>
      </w:r>
      <w:r>
        <w:rPr>
          <w:rFonts w:hint="eastAsia" w:ascii="黑体" w:hAnsi="黑体" w:eastAsia="黑体"/>
          <w:kern w:val="0"/>
          <w:szCs w:val="21"/>
          <w:u w:val="single"/>
        </w:rPr>
        <w:t xml:space="preserve">  </w:t>
      </w:r>
      <w:r>
        <w:rPr>
          <w:rFonts w:hint="eastAsia" w:ascii="黑体" w:hAnsi="黑体" w:eastAsia="黑体"/>
          <w:kern w:val="0"/>
          <w:szCs w:val="21"/>
        </w:rPr>
        <w:t>份。</w:t>
      </w:r>
    </w:p>
    <w:p w14:paraId="6B7AB73F">
      <w:pPr>
        <w:autoSpaceDE w:val="0"/>
        <w:autoSpaceDN w:val="0"/>
        <w:adjustRightInd w:val="0"/>
        <w:spacing w:line="360" w:lineRule="auto"/>
        <w:ind w:right="246"/>
        <w:rPr>
          <w:rFonts w:ascii="黑体" w:hAnsi="黑体" w:eastAsia="黑体"/>
          <w:kern w:val="0"/>
          <w:szCs w:val="21"/>
        </w:rPr>
      </w:pPr>
      <w:r>
        <w:rPr>
          <w:rFonts w:hint="eastAsia" w:ascii="黑体" w:hAnsi="黑体" w:eastAsia="黑体"/>
          <w:kern w:val="0"/>
          <w:szCs w:val="21"/>
        </w:rPr>
        <w:t>在此，我方声明如下：</w:t>
      </w:r>
    </w:p>
    <w:p w14:paraId="0B11E32D">
      <w:pPr>
        <w:pStyle w:val="32"/>
        <w:numPr>
          <w:ilvl w:val="0"/>
          <w:numId w:val="67"/>
        </w:numPr>
        <w:spacing w:line="360" w:lineRule="auto"/>
        <w:ind w:firstLineChars="0"/>
        <w:rPr>
          <w:rFonts w:ascii="黑体" w:hAnsi="黑体" w:eastAsia="黑体"/>
          <w:szCs w:val="21"/>
        </w:rPr>
      </w:pPr>
      <w:r>
        <w:rPr>
          <w:rFonts w:hint="eastAsia" w:ascii="黑体" w:hAnsi="黑体" w:eastAsia="黑体"/>
          <w:spacing w:val="-6"/>
          <w:szCs w:val="21"/>
        </w:rPr>
        <w:t>同意并接受招标文件的各项要求，遵守招标文件中的各项规定，按招标文件的要求提供报价</w:t>
      </w:r>
      <w:r>
        <w:rPr>
          <w:rFonts w:hint="eastAsia" w:ascii="黑体" w:hAnsi="黑体" w:eastAsia="黑体"/>
          <w:szCs w:val="21"/>
        </w:rPr>
        <w:t>。</w:t>
      </w:r>
    </w:p>
    <w:p w14:paraId="60E28932">
      <w:pPr>
        <w:pStyle w:val="32"/>
        <w:numPr>
          <w:ilvl w:val="0"/>
          <w:numId w:val="67"/>
        </w:numPr>
        <w:spacing w:line="360" w:lineRule="auto"/>
        <w:ind w:firstLineChars="0"/>
        <w:rPr>
          <w:rFonts w:ascii="黑体" w:hAnsi="黑体" w:eastAsia="黑体"/>
          <w:szCs w:val="21"/>
        </w:rPr>
      </w:pPr>
      <w:r>
        <w:rPr>
          <w:rFonts w:hint="eastAsia" w:ascii="黑体" w:hAnsi="黑体" w:eastAsia="黑体"/>
          <w:szCs w:val="21"/>
        </w:rPr>
        <w:t>投标有效期为递交投标文件之日起</w:t>
      </w:r>
      <w:r>
        <w:rPr>
          <w:rFonts w:hint="eastAsia" w:ascii="黑体" w:hAnsi="黑体" w:eastAsia="黑体"/>
          <w:b/>
          <w:szCs w:val="21"/>
          <w:u w:val="single"/>
        </w:rPr>
        <w:t>90</w:t>
      </w:r>
      <w:r>
        <w:rPr>
          <w:rFonts w:hint="eastAsia" w:ascii="黑体" w:hAnsi="黑体" w:eastAsia="黑体"/>
          <w:b/>
          <w:szCs w:val="21"/>
        </w:rPr>
        <w:t>天</w:t>
      </w:r>
      <w:r>
        <w:rPr>
          <w:rFonts w:hint="eastAsia" w:ascii="黑体" w:hAnsi="黑体" w:eastAsia="黑体"/>
          <w:szCs w:val="21"/>
        </w:rPr>
        <w:t>，中标人投标有效期延至合同验收之日。</w:t>
      </w:r>
    </w:p>
    <w:p w14:paraId="69FF147E">
      <w:pPr>
        <w:pStyle w:val="32"/>
        <w:numPr>
          <w:ilvl w:val="0"/>
          <w:numId w:val="67"/>
        </w:numPr>
        <w:spacing w:line="360" w:lineRule="auto"/>
        <w:ind w:firstLineChars="0"/>
        <w:rPr>
          <w:rFonts w:ascii="黑体" w:hAnsi="黑体" w:eastAsia="黑体"/>
          <w:szCs w:val="21"/>
        </w:rPr>
      </w:pPr>
      <w:r>
        <w:rPr>
          <w:rFonts w:hint="eastAsia" w:ascii="黑体" w:hAnsi="黑体" w:eastAsia="黑体"/>
          <w:szCs w:val="21"/>
        </w:rPr>
        <w:t>我方已经详细地阅读了全部招标文件及其附件，包括澄清及参考文件(如果有的话)。我方已完全清晰理解招标文件的要求，不存在任何含糊不清和误解之处，同意放弃对这些文件所提出的异议和质疑的权利。</w:t>
      </w:r>
    </w:p>
    <w:p w14:paraId="343944EF">
      <w:pPr>
        <w:pStyle w:val="32"/>
        <w:numPr>
          <w:ilvl w:val="0"/>
          <w:numId w:val="67"/>
        </w:numPr>
        <w:spacing w:line="360" w:lineRule="auto"/>
        <w:ind w:firstLineChars="0"/>
        <w:rPr>
          <w:rFonts w:ascii="黑体" w:hAnsi="黑体" w:eastAsia="黑体"/>
          <w:szCs w:val="21"/>
        </w:rPr>
      </w:pPr>
      <w:r>
        <w:rPr>
          <w:rFonts w:hint="eastAsia" w:ascii="黑体" w:hAnsi="黑体" w:eastAsia="黑体"/>
          <w:szCs w:val="21"/>
        </w:rPr>
        <w:t>我方已毫无保留地向贵方提供一切所需的证明材料。</w:t>
      </w:r>
    </w:p>
    <w:p w14:paraId="0AED606C">
      <w:pPr>
        <w:pStyle w:val="32"/>
        <w:numPr>
          <w:ilvl w:val="0"/>
          <w:numId w:val="67"/>
        </w:numPr>
        <w:spacing w:line="360" w:lineRule="auto"/>
        <w:ind w:firstLineChars="0"/>
        <w:rPr>
          <w:rFonts w:ascii="黑体" w:hAnsi="黑体" w:eastAsia="黑体"/>
          <w:szCs w:val="21"/>
        </w:rPr>
      </w:pPr>
      <w:r>
        <w:rPr>
          <w:rFonts w:hint="eastAsia" w:ascii="黑体" w:hAnsi="黑体" w:eastAsia="黑体"/>
          <w:szCs w:val="21"/>
        </w:rPr>
        <w:t>我方承诺在本次投标文件中提供的一切文件，无论是原件还是复印件均为真实和准确的，绝无任何虚假、伪造和夸大的成份，否则，愿承担相应的后果和法律责任。</w:t>
      </w:r>
    </w:p>
    <w:p w14:paraId="3F97D4AD">
      <w:pPr>
        <w:pStyle w:val="32"/>
        <w:numPr>
          <w:ilvl w:val="0"/>
          <w:numId w:val="67"/>
        </w:numPr>
        <w:spacing w:line="360" w:lineRule="auto"/>
        <w:ind w:firstLineChars="0"/>
        <w:rPr>
          <w:rFonts w:ascii="黑体" w:hAnsi="黑体" w:eastAsia="黑体"/>
          <w:szCs w:val="21"/>
        </w:rPr>
      </w:pPr>
      <w:r>
        <w:rPr>
          <w:rFonts w:hint="eastAsia" w:ascii="黑体" w:hAnsi="黑体" w:eastAsia="黑体"/>
          <w:szCs w:val="21"/>
        </w:rPr>
        <w:t>我方完全服从和尊重评委会所作的评定结果，同时清楚理解到报价最低并非意味着必定获得中标资格。</w:t>
      </w:r>
    </w:p>
    <w:p w14:paraId="4D57A281">
      <w:pPr>
        <w:pStyle w:val="32"/>
        <w:spacing w:afterLines="150" w:line="360" w:lineRule="auto"/>
        <w:ind w:firstLine="0" w:firstLineChars="0"/>
        <w:rPr>
          <w:rFonts w:ascii="黑体" w:hAnsi="黑体" w:eastAsia="黑体"/>
          <w:szCs w:val="21"/>
        </w:rPr>
      </w:pPr>
    </w:p>
    <w:tbl>
      <w:tblPr>
        <w:tblStyle w:val="20"/>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0AE5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vAlign w:val="top"/>
          </w:tcPr>
          <w:p w14:paraId="170D944B">
            <w:pPr>
              <w:spacing w:line="360" w:lineRule="auto"/>
              <w:rPr>
                <w:rFonts w:ascii="黑体" w:hAnsi="黑体" w:eastAsia="黑体"/>
                <w:szCs w:val="21"/>
              </w:rPr>
            </w:pPr>
            <w:r>
              <w:rPr>
                <w:rFonts w:hint="eastAsia" w:ascii="黑体" w:hAnsi="黑体" w:eastAsia="黑体"/>
                <w:szCs w:val="21"/>
              </w:rPr>
              <w:t>投标人地址：</w:t>
            </w:r>
            <w:r>
              <w:rPr>
                <w:rFonts w:hint="eastAsia" w:ascii="黑体" w:hAnsi="黑体" w:eastAsia="黑体"/>
                <w:szCs w:val="21"/>
                <w:u w:val="single"/>
              </w:rPr>
              <w:t xml:space="preserve">                          </w:t>
            </w:r>
          </w:p>
        </w:tc>
        <w:tc>
          <w:tcPr>
            <w:tcW w:w="4264" w:type="dxa"/>
            <w:vAlign w:val="top"/>
          </w:tcPr>
          <w:p w14:paraId="50D44961">
            <w:pPr>
              <w:spacing w:line="360" w:lineRule="auto"/>
              <w:rPr>
                <w:rFonts w:ascii="黑体" w:hAnsi="黑体" w:eastAsia="黑体"/>
                <w:szCs w:val="21"/>
              </w:rPr>
            </w:pPr>
            <w:r>
              <w:rPr>
                <w:rFonts w:hint="eastAsia" w:ascii="黑体" w:hAnsi="黑体" w:eastAsia="黑体"/>
                <w:szCs w:val="21"/>
              </w:rPr>
              <w:t>邮编：</w:t>
            </w:r>
            <w:r>
              <w:rPr>
                <w:rFonts w:hint="eastAsia" w:ascii="黑体" w:hAnsi="黑体" w:eastAsia="黑体"/>
                <w:szCs w:val="21"/>
                <w:u w:val="single"/>
              </w:rPr>
              <w:t xml:space="preserve">                                  </w:t>
            </w:r>
          </w:p>
        </w:tc>
      </w:tr>
      <w:tr w14:paraId="2A8A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vAlign w:val="top"/>
          </w:tcPr>
          <w:p w14:paraId="5AD9B446">
            <w:pPr>
              <w:spacing w:line="360" w:lineRule="auto"/>
              <w:rPr>
                <w:rFonts w:ascii="黑体" w:hAnsi="黑体" w:eastAsia="黑体"/>
                <w:szCs w:val="21"/>
              </w:rPr>
            </w:pPr>
            <w:r>
              <w:rPr>
                <w:rFonts w:hint="eastAsia" w:ascii="黑体" w:hAnsi="黑体" w:eastAsia="黑体"/>
                <w:szCs w:val="21"/>
              </w:rPr>
              <w:t>联系电话：</w:t>
            </w:r>
            <w:r>
              <w:rPr>
                <w:rFonts w:hint="eastAsia" w:ascii="黑体" w:hAnsi="黑体" w:eastAsia="黑体"/>
                <w:szCs w:val="21"/>
                <w:u w:val="single"/>
              </w:rPr>
              <w:t xml:space="preserve">                            </w:t>
            </w:r>
          </w:p>
        </w:tc>
        <w:tc>
          <w:tcPr>
            <w:tcW w:w="4264" w:type="dxa"/>
            <w:vAlign w:val="top"/>
          </w:tcPr>
          <w:p w14:paraId="222377CF">
            <w:pPr>
              <w:spacing w:line="360" w:lineRule="auto"/>
              <w:rPr>
                <w:rFonts w:ascii="黑体" w:hAnsi="黑体" w:eastAsia="黑体"/>
                <w:szCs w:val="21"/>
              </w:rPr>
            </w:pPr>
            <w:r>
              <w:rPr>
                <w:rFonts w:hint="eastAsia" w:ascii="黑体" w:hAnsi="黑体" w:eastAsia="黑体"/>
                <w:szCs w:val="21"/>
              </w:rPr>
              <w:t>传真：</w:t>
            </w:r>
            <w:r>
              <w:rPr>
                <w:rFonts w:hint="eastAsia" w:ascii="黑体" w:hAnsi="黑体" w:eastAsia="黑体"/>
                <w:szCs w:val="21"/>
                <w:u w:val="single"/>
              </w:rPr>
              <w:t xml:space="preserve">                                  </w:t>
            </w:r>
          </w:p>
        </w:tc>
      </w:tr>
      <w:tr w14:paraId="7DBE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vAlign w:val="top"/>
          </w:tcPr>
          <w:p w14:paraId="695B0CEF">
            <w:pPr>
              <w:spacing w:line="360" w:lineRule="auto"/>
              <w:rPr>
                <w:rFonts w:ascii="黑体" w:hAnsi="黑体" w:eastAsia="黑体"/>
                <w:szCs w:val="21"/>
              </w:rPr>
            </w:pPr>
            <w:r>
              <w:rPr>
                <w:rFonts w:hint="eastAsia" w:ascii="黑体" w:hAnsi="黑体" w:eastAsia="黑体"/>
                <w:szCs w:val="21"/>
              </w:rPr>
              <w:t>项目联系人：</w:t>
            </w:r>
            <w:r>
              <w:rPr>
                <w:rFonts w:hint="eastAsia" w:ascii="黑体" w:hAnsi="黑体" w:eastAsia="黑体"/>
                <w:szCs w:val="21"/>
                <w:u w:val="single"/>
              </w:rPr>
              <w:t xml:space="preserve">                          </w:t>
            </w:r>
          </w:p>
        </w:tc>
        <w:tc>
          <w:tcPr>
            <w:tcW w:w="4264" w:type="dxa"/>
            <w:vAlign w:val="top"/>
          </w:tcPr>
          <w:p w14:paraId="362B87CE">
            <w:pPr>
              <w:spacing w:line="360" w:lineRule="auto"/>
              <w:rPr>
                <w:rFonts w:ascii="黑体" w:hAnsi="黑体" w:eastAsia="黑体"/>
                <w:szCs w:val="21"/>
              </w:rPr>
            </w:pPr>
            <w:r>
              <w:rPr>
                <w:rFonts w:hint="eastAsia" w:ascii="黑体" w:hAnsi="黑体" w:eastAsia="黑体"/>
                <w:szCs w:val="21"/>
              </w:rPr>
              <w:t>手机：</w:t>
            </w:r>
            <w:r>
              <w:rPr>
                <w:rFonts w:hint="eastAsia" w:ascii="黑体" w:hAnsi="黑体" w:eastAsia="黑体"/>
                <w:szCs w:val="21"/>
                <w:u w:val="single"/>
              </w:rPr>
              <w:t xml:space="preserve">                                  </w:t>
            </w:r>
          </w:p>
        </w:tc>
      </w:tr>
      <w:tr w14:paraId="36F0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2"/>
            <w:vAlign w:val="top"/>
          </w:tcPr>
          <w:p w14:paraId="51508B52">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r>
      <w:tr w14:paraId="6422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2"/>
            <w:vAlign w:val="top"/>
          </w:tcPr>
          <w:p w14:paraId="07F2B1EA">
            <w:pPr>
              <w:spacing w:line="360" w:lineRule="auto"/>
              <w:jc w:val="left"/>
              <w:rPr>
                <w:rFonts w:ascii="黑体" w:hAnsi="黑体" w:eastAsia="黑体"/>
                <w:szCs w:val="21"/>
              </w:rPr>
            </w:pPr>
            <w:r>
              <w:rPr>
                <w:rFonts w:hint="eastAsia" w:ascii="黑体" w:hAnsi="黑体" w:eastAsia="黑体"/>
                <w:szCs w:val="21"/>
              </w:rPr>
              <w:t>投标人法定(负责人)代表人或被授权人（签名或盖私章）：</w:t>
            </w:r>
            <w:r>
              <w:rPr>
                <w:rFonts w:hint="eastAsia" w:ascii="黑体" w:hAnsi="黑体" w:eastAsia="黑体"/>
                <w:szCs w:val="21"/>
                <w:u w:val="single"/>
              </w:rPr>
              <w:t xml:space="preserve">                             </w:t>
            </w:r>
          </w:p>
        </w:tc>
      </w:tr>
      <w:tr w14:paraId="60A2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2"/>
            <w:vAlign w:val="top"/>
          </w:tcPr>
          <w:p w14:paraId="6643E8CE">
            <w:pPr>
              <w:spacing w:line="360" w:lineRule="auto"/>
              <w:jc w:val="left"/>
              <w:rPr>
                <w:rFonts w:ascii="黑体" w:hAnsi="黑体" w:eastAsia="黑体"/>
                <w:szCs w:val="21"/>
              </w:rPr>
            </w:pPr>
            <w:r>
              <w:rPr>
                <w:rFonts w:hint="eastAsia" w:ascii="黑体" w:hAnsi="黑体" w:eastAsia="黑体"/>
                <w:szCs w:val="21"/>
              </w:rPr>
              <w:t>日期：</w:t>
            </w:r>
            <w:r>
              <w:rPr>
                <w:rFonts w:ascii="黑体" w:hAnsi="黑体" w:eastAsia="黑体"/>
                <w:szCs w:val="21"/>
                <w:u w:val="single"/>
              </w:rPr>
              <w:t xml:space="preserve">     </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u w:val="single"/>
              </w:rPr>
              <w:t>年</w:t>
            </w:r>
            <w:r>
              <w:rPr>
                <w:rFonts w:ascii="黑体" w:hAnsi="黑体" w:eastAsia="黑体"/>
                <w:szCs w:val="21"/>
                <w:u w:val="single"/>
              </w:rPr>
              <w:t xml:space="preserve"> </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u w:val="single"/>
              </w:rPr>
              <w:t>月</w:t>
            </w:r>
            <w:r>
              <w:rPr>
                <w:rFonts w:ascii="黑体" w:hAnsi="黑体" w:eastAsia="黑体"/>
                <w:szCs w:val="21"/>
                <w:u w:val="single"/>
              </w:rPr>
              <w:t xml:space="preserve">  </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u w:val="single"/>
              </w:rPr>
              <w:t>日</w:t>
            </w:r>
          </w:p>
        </w:tc>
      </w:tr>
    </w:tbl>
    <w:p w14:paraId="7090C21F">
      <w:pPr>
        <w:pStyle w:val="4"/>
        <w:pageBreakBefore/>
        <w:spacing w:line="415" w:lineRule="auto"/>
        <w:jc w:val="left"/>
        <w:rPr>
          <w:rStyle w:val="23"/>
          <w:rFonts w:ascii="黑体" w:hAnsi="黑体" w:eastAsia="黑体"/>
          <w:b/>
          <w:bCs w:val="0"/>
          <w:spacing w:val="12"/>
          <w:sz w:val="21"/>
          <w:szCs w:val="21"/>
        </w:rPr>
      </w:pPr>
      <w:bookmarkStart w:id="32" w:name="_Toc405313962"/>
      <w:bookmarkStart w:id="33" w:name="_Toc391627758"/>
      <w:bookmarkStart w:id="34" w:name="_Toc23715273"/>
      <w:r>
        <w:rPr>
          <w:rStyle w:val="23"/>
          <w:rFonts w:hint="eastAsia" w:ascii="黑体" w:hAnsi="黑体" w:eastAsia="黑体"/>
          <w:b/>
          <w:bCs w:val="0"/>
          <w:spacing w:val="12"/>
          <w:sz w:val="21"/>
          <w:szCs w:val="21"/>
        </w:rPr>
        <w:t>附件2  法定(负责人)代表人身份证明书</w:t>
      </w:r>
      <w:bookmarkEnd w:id="32"/>
      <w:bookmarkEnd w:id="33"/>
      <w:bookmarkEnd w:id="34"/>
    </w:p>
    <w:p w14:paraId="7145C965">
      <w:pPr>
        <w:spacing w:line="360" w:lineRule="auto"/>
        <w:jc w:val="center"/>
        <w:rPr>
          <w:rFonts w:ascii="黑体" w:hAnsi="黑体" w:eastAsia="黑体"/>
          <w:b/>
          <w:spacing w:val="20"/>
          <w:sz w:val="28"/>
          <w:szCs w:val="28"/>
        </w:rPr>
      </w:pPr>
      <w:r>
        <w:rPr>
          <w:rFonts w:hint="eastAsia" w:ascii="黑体" w:hAnsi="黑体" w:eastAsia="黑体"/>
          <w:b/>
          <w:spacing w:val="20"/>
          <w:sz w:val="28"/>
          <w:szCs w:val="28"/>
        </w:rPr>
        <w:t>法定(负责人)代表人身份证明书</w:t>
      </w:r>
    </w:p>
    <w:p w14:paraId="47DE257C">
      <w:pPr>
        <w:spacing w:beforeLines="100" w:afterLines="50" w:line="360" w:lineRule="auto"/>
        <w:rPr>
          <w:rFonts w:ascii="黑体" w:hAnsi="黑体" w:eastAsia="黑体"/>
          <w:b/>
        </w:rPr>
      </w:pPr>
      <w:r>
        <w:rPr>
          <w:rFonts w:hint="eastAsia" w:ascii="黑体" w:hAnsi="黑体" w:eastAsia="黑体"/>
          <w:b/>
        </w:rPr>
        <w:t>致东莞市财政局南城分局：</w:t>
      </w:r>
    </w:p>
    <w:tbl>
      <w:tblPr>
        <w:tblStyle w:val="20"/>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2"/>
        <w:gridCol w:w="1462"/>
        <w:gridCol w:w="4264"/>
      </w:tblGrid>
      <w:tr w14:paraId="3867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1483AC13">
            <w:pPr>
              <w:spacing w:line="360" w:lineRule="auto"/>
              <w:rPr>
                <w:rFonts w:ascii="黑体" w:hAnsi="黑体" w:eastAsia="黑体"/>
                <w:szCs w:val="21"/>
              </w:rPr>
            </w:pPr>
            <w:r>
              <w:rPr>
                <w:rFonts w:ascii="黑体" w:hAnsi="黑体" w:eastAsia="黑体"/>
                <w:szCs w:val="21"/>
                <w:u w:val="single"/>
              </w:rPr>
              <w:t xml:space="preserve">       </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rPr>
              <w:t>同志，现任我单位</w:t>
            </w:r>
            <w:r>
              <w:rPr>
                <w:rFonts w:ascii="黑体" w:hAnsi="黑体" w:eastAsia="黑体"/>
                <w:szCs w:val="21"/>
                <w:u w:val="single"/>
              </w:rPr>
              <w:t xml:space="preserve">     </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rPr>
              <w:t>职务，为法定(负责人)代表人，特此证明。</w:t>
            </w:r>
          </w:p>
        </w:tc>
      </w:tr>
      <w:tr w14:paraId="7444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3603EA71">
            <w:pPr>
              <w:spacing w:line="360" w:lineRule="auto"/>
              <w:rPr>
                <w:rFonts w:ascii="黑体" w:hAnsi="黑体" w:eastAsia="黑体"/>
                <w:szCs w:val="21"/>
              </w:rPr>
            </w:pPr>
            <w:r>
              <w:rPr>
                <w:rFonts w:hint="eastAsia" w:ascii="黑体" w:hAnsi="黑体" w:eastAsia="黑体"/>
                <w:szCs w:val="21"/>
              </w:rPr>
              <w:t>单位名称：</w:t>
            </w:r>
            <w:r>
              <w:rPr>
                <w:rFonts w:hint="eastAsia" w:ascii="黑体" w:hAnsi="黑体" w:eastAsia="黑体"/>
                <w:szCs w:val="21"/>
                <w:u w:val="single"/>
              </w:rPr>
              <w:t xml:space="preserve">                                                                               </w:t>
            </w:r>
          </w:p>
        </w:tc>
      </w:tr>
      <w:tr w14:paraId="0FD9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0E79E4BD">
            <w:pPr>
              <w:spacing w:line="360" w:lineRule="auto"/>
              <w:rPr>
                <w:rFonts w:ascii="黑体" w:hAnsi="黑体" w:eastAsia="黑体"/>
                <w:szCs w:val="21"/>
              </w:rPr>
            </w:pPr>
            <w:r>
              <w:rPr>
                <w:rFonts w:hint="eastAsia" w:ascii="黑体" w:hAnsi="黑体" w:eastAsia="黑体"/>
                <w:szCs w:val="21"/>
              </w:rPr>
              <w:t>单位地址：</w:t>
            </w:r>
            <w:r>
              <w:rPr>
                <w:rFonts w:hint="eastAsia" w:ascii="黑体" w:hAnsi="黑体" w:eastAsia="黑体"/>
                <w:szCs w:val="21"/>
                <w:u w:val="single"/>
              </w:rPr>
              <w:t xml:space="preserve">                                                                               </w:t>
            </w:r>
          </w:p>
        </w:tc>
      </w:tr>
      <w:tr w14:paraId="4066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gridSpan w:val="2"/>
            <w:vAlign w:val="top"/>
          </w:tcPr>
          <w:p w14:paraId="4A5FD860">
            <w:pPr>
              <w:spacing w:line="360" w:lineRule="auto"/>
              <w:rPr>
                <w:rFonts w:ascii="黑体" w:hAnsi="黑体" w:eastAsia="黑体"/>
                <w:szCs w:val="21"/>
              </w:rPr>
            </w:pPr>
            <w:r>
              <w:rPr>
                <w:rFonts w:hint="eastAsia" w:ascii="黑体" w:hAnsi="黑体" w:eastAsia="黑体"/>
                <w:szCs w:val="21"/>
              </w:rPr>
              <w:t>代表人姓名：</w:t>
            </w:r>
            <w:r>
              <w:rPr>
                <w:rFonts w:hint="eastAsia" w:ascii="黑体" w:hAnsi="黑体" w:eastAsia="黑体"/>
                <w:szCs w:val="21"/>
                <w:u w:val="single"/>
              </w:rPr>
              <w:t xml:space="preserve">                          </w:t>
            </w:r>
          </w:p>
        </w:tc>
        <w:tc>
          <w:tcPr>
            <w:tcW w:w="4264" w:type="dxa"/>
            <w:vAlign w:val="top"/>
          </w:tcPr>
          <w:p w14:paraId="79BB557D">
            <w:pPr>
              <w:spacing w:line="360" w:lineRule="auto"/>
              <w:rPr>
                <w:rFonts w:ascii="黑体" w:hAnsi="黑体" w:eastAsia="黑体"/>
                <w:szCs w:val="21"/>
              </w:rPr>
            </w:pPr>
            <w:r>
              <w:rPr>
                <w:rFonts w:hint="eastAsia" w:ascii="黑体" w:hAnsi="黑体" w:eastAsia="黑体"/>
                <w:szCs w:val="21"/>
              </w:rPr>
              <w:t>代表人联系电话：</w:t>
            </w:r>
            <w:r>
              <w:rPr>
                <w:rFonts w:hint="eastAsia" w:ascii="黑体" w:hAnsi="黑体" w:eastAsia="黑体"/>
                <w:szCs w:val="21"/>
                <w:u w:val="single"/>
              </w:rPr>
              <w:t xml:space="preserve">                            </w:t>
            </w:r>
          </w:p>
        </w:tc>
      </w:tr>
      <w:tr w14:paraId="1749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gridSpan w:val="2"/>
            <w:vAlign w:val="top"/>
          </w:tcPr>
          <w:p w14:paraId="4F1CA134">
            <w:pPr>
              <w:spacing w:line="360" w:lineRule="auto"/>
              <w:rPr>
                <w:rFonts w:ascii="黑体" w:hAnsi="黑体" w:eastAsia="黑体"/>
                <w:szCs w:val="21"/>
              </w:rPr>
            </w:pPr>
            <w:r>
              <w:rPr>
                <w:rFonts w:hint="eastAsia" w:ascii="黑体" w:hAnsi="黑体" w:eastAsia="黑体"/>
                <w:szCs w:val="21"/>
              </w:rPr>
              <w:t>代表人性别：</w:t>
            </w:r>
            <w:r>
              <w:rPr>
                <w:rFonts w:hint="eastAsia" w:ascii="黑体" w:hAnsi="黑体" w:eastAsia="黑体"/>
                <w:szCs w:val="21"/>
                <w:u w:val="single"/>
              </w:rPr>
              <w:t xml:space="preserve">                          </w:t>
            </w:r>
          </w:p>
        </w:tc>
        <w:tc>
          <w:tcPr>
            <w:tcW w:w="4264" w:type="dxa"/>
            <w:vAlign w:val="top"/>
          </w:tcPr>
          <w:p w14:paraId="12F01804">
            <w:pPr>
              <w:spacing w:line="360" w:lineRule="auto"/>
              <w:rPr>
                <w:rFonts w:ascii="黑体" w:hAnsi="黑体" w:eastAsia="黑体"/>
                <w:szCs w:val="21"/>
              </w:rPr>
            </w:pPr>
            <w:r>
              <w:rPr>
                <w:rFonts w:hint="eastAsia" w:ascii="黑体" w:hAnsi="黑体" w:eastAsia="黑体"/>
                <w:szCs w:val="21"/>
              </w:rPr>
              <w:t>代表人年龄：</w:t>
            </w:r>
            <w:r>
              <w:rPr>
                <w:rFonts w:hint="eastAsia" w:ascii="黑体" w:hAnsi="黑体" w:eastAsia="黑体"/>
                <w:szCs w:val="21"/>
                <w:u w:val="single"/>
              </w:rPr>
              <w:t xml:space="preserve">                                   </w:t>
            </w:r>
          </w:p>
        </w:tc>
      </w:tr>
      <w:tr w14:paraId="2159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gridSpan w:val="2"/>
            <w:vAlign w:val="top"/>
          </w:tcPr>
          <w:p w14:paraId="7A958029">
            <w:pPr>
              <w:spacing w:line="360" w:lineRule="auto"/>
              <w:rPr>
                <w:rFonts w:ascii="黑体" w:hAnsi="黑体" w:eastAsia="黑体"/>
                <w:szCs w:val="21"/>
              </w:rPr>
            </w:pPr>
            <w:r>
              <w:rPr>
                <w:rFonts w:hint="eastAsia" w:ascii="黑体" w:hAnsi="黑体" w:eastAsia="黑体"/>
                <w:szCs w:val="21"/>
              </w:rPr>
              <w:t>代表人身份证号码：</w:t>
            </w:r>
            <w:r>
              <w:rPr>
                <w:rFonts w:hint="eastAsia" w:ascii="黑体" w:hAnsi="黑体" w:eastAsia="黑体"/>
                <w:szCs w:val="21"/>
                <w:u w:val="single"/>
              </w:rPr>
              <w:t xml:space="preserve">                    </w:t>
            </w:r>
          </w:p>
        </w:tc>
        <w:tc>
          <w:tcPr>
            <w:tcW w:w="4264" w:type="dxa"/>
            <w:vAlign w:val="top"/>
          </w:tcPr>
          <w:p w14:paraId="4E438CD2">
            <w:pPr>
              <w:spacing w:line="360" w:lineRule="auto"/>
              <w:rPr>
                <w:rFonts w:ascii="黑体" w:hAnsi="黑体" w:eastAsia="黑体"/>
                <w:spacing w:val="-8"/>
                <w:szCs w:val="21"/>
              </w:rPr>
            </w:pPr>
            <w:r>
              <w:rPr>
                <w:rFonts w:hint="eastAsia" w:ascii="黑体" w:hAnsi="黑体" w:eastAsia="黑体"/>
                <w:spacing w:val="-8"/>
                <w:szCs w:val="21"/>
              </w:rPr>
              <w:t>营业执照或事业单位法人证书号码：</w:t>
            </w:r>
            <w:r>
              <w:rPr>
                <w:rFonts w:hint="eastAsia" w:ascii="黑体" w:hAnsi="黑体" w:eastAsia="黑体"/>
                <w:spacing w:val="-8"/>
                <w:szCs w:val="21"/>
                <w:u w:val="single"/>
              </w:rPr>
              <w:t xml:space="preserve">                  </w:t>
            </w:r>
          </w:p>
        </w:tc>
      </w:tr>
      <w:tr w14:paraId="6E16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gridSpan w:val="2"/>
            <w:vAlign w:val="top"/>
          </w:tcPr>
          <w:p w14:paraId="4F53FFC7">
            <w:pPr>
              <w:spacing w:line="360" w:lineRule="auto"/>
              <w:rPr>
                <w:rFonts w:ascii="黑体" w:hAnsi="黑体" w:eastAsia="黑体"/>
                <w:szCs w:val="21"/>
              </w:rPr>
            </w:pPr>
            <w:r>
              <w:rPr>
                <w:rFonts w:hint="eastAsia" w:ascii="黑体" w:hAnsi="黑体" w:eastAsia="黑体"/>
                <w:szCs w:val="21"/>
              </w:rPr>
              <w:t>单位性质：</w:t>
            </w:r>
            <w:r>
              <w:rPr>
                <w:rFonts w:hint="eastAsia" w:ascii="黑体" w:hAnsi="黑体" w:eastAsia="黑体"/>
                <w:szCs w:val="21"/>
                <w:u w:val="single"/>
              </w:rPr>
              <w:t xml:space="preserve">                            </w:t>
            </w:r>
          </w:p>
        </w:tc>
        <w:tc>
          <w:tcPr>
            <w:tcW w:w="4264" w:type="dxa"/>
            <w:vAlign w:val="top"/>
          </w:tcPr>
          <w:p w14:paraId="476A56E3">
            <w:pPr>
              <w:spacing w:line="360" w:lineRule="auto"/>
              <w:rPr>
                <w:rFonts w:ascii="黑体" w:hAnsi="黑体" w:eastAsia="黑体"/>
                <w:szCs w:val="21"/>
              </w:rPr>
            </w:pPr>
            <w:r>
              <w:rPr>
                <w:rFonts w:hint="eastAsia" w:ascii="黑体" w:hAnsi="黑体" w:eastAsia="黑体"/>
                <w:szCs w:val="21"/>
              </w:rPr>
              <w:t>经营期限：</w:t>
            </w:r>
            <w:r>
              <w:rPr>
                <w:rFonts w:hint="eastAsia" w:ascii="黑体" w:hAnsi="黑体" w:eastAsia="黑体"/>
                <w:szCs w:val="21"/>
                <w:u w:val="single"/>
              </w:rPr>
              <w:t xml:space="preserve">                                  </w:t>
            </w:r>
          </w:p>
        </w:tc>
      </w:tr>
      <w:tr w14:paraId="09CF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03577A58">
            <w:pPr>
              <w:spacing w:line="360" w:lineRule="auto"/>
              <w:jc w:val="left"/>
              <w:rPr>
                <w:rFonts w:ascii="黑体" w:hAnsi="黑体" w:eastAsia="黑体"/>
                <w:szCs w:val="21"/>
              </w:rPr>
            </w:pPr>
            <w:r>
              <w:rPr>
                <w:rFonts w:hint="eastAsia" w:ascii="黑体" w:hAnsi="黑体" w:eastAsia="黑体"/>
                <w:szCs w:val="21"/>
              </w:rPr>
              <w:t>主营（产）：</w:t>
            </w:r>
            <w:r>
              <w:rPr>
                <w:rFonts w:hint="eastAsia" w:ascii="黑体" w:hAnsi="黑体" w:eastAsia="黑体"/>
                <w:szCs w:val="21"/>
                <w:u w:val="single"/>
              </w:rPr>
              <w:t xml:space="preserve">                                                                        </w:t>
            </w:r>
          </w:p>
        </w:tc>
      </w:tr>
      <w:tr w14:paraId="31C2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49628545">
            <w:pPr>
              <w:spacing w:line="360" w:lineRule="auto"/>
              <w:jc w:val="left"/>
              <w:rPr>
                <w:rFonts w:ascii="黑体" w:hAnsi="黑体" w:eastAsia="黑体"/>
                <w:szCs w:val="21"/>
              </w:rPr>
            </w:pPr>
            <w:r>
              <w:rPr>
                <w:rFonts w:hint="eastAsia" w:ascii="黑体" w:hAnsi="黑体" w:eastAsia="黑体"/>
                <w:szCs w:val="21"/>
              </w:rPr>
              <w:t>兼营（产）：</w:t>
            </w:r>
            <w:r>
              <w:rPr>
                <w:rFonts w:hint="eastAsia" w:ascii="黑体" w:hAnsi="黑体" w:eastAsia="黑体"/>
                <w:szCs w:val="21"/>
                <w:u w:val="single"/>
              </w:rPr>
              <w:t xml:space="preserve">                                                                         </w:t>
            </w:r>
          </w:p>
        </w:tc>
      </w:tr>
      <w:tr w14:paraId="4A35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4E634DA9">
            <w:pPr>
              <w:spacing w:line="360" w:lineRule="auto"/>
              <w:rPr>
                <w:rFonts w:ascii="黑体" w:hAnsi="黑体" w:eastAsia="黑体"/>
                <w:szCs w:val="21"/>
              </w:rPr>
            </w:pPr>
            <w:r>
              <w:rPr>
                <w:rFonts w:hint="eastAsia" w:ascii="黑体" w:hAnsi="黑体" w:eastAsia="黑体"/>
                <w:szCs w:val="21"/>
              </w:rPr>
              <w:t>进口物品经营许可证号码：</w:t>
            </w:r>
            <w:r>
              <w:rPr>
                <w:rFonts w:hint="eastAsia" w:ascii="黑体" w:hAnsi="黑体" w:eastAsia="黑体"/>
                <w:szCs w:val="21"/>
                <w:u w:val="single"/>
              </w:rPr>
              <w:t xml:space="preserve">                                                               </w:t>
            </w:r>
          </w:p>
        </w:tc>
      </w:tr>
      <w:tr w14:paraId="1CE4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528" w:type="dxa"/>
            <w:gridSpan w:val="3"/>
            <w:vAlign w:val="center"/>
          </w:tcPr>
          <w:p w14:paraId="02C093DD">
            <w:pPr>
              <w:spacing w:line="360" w:lineRule="auto"/>
              <w:rPr>
                <w:rFonts w:ascii="黑体" w:hAnsi="黑体" w:eastAsia="黑体"/>
                <w:szCs w:val="21"/>
              </w:rPr>
            </w:pPr>
            <w:r>
              <w:rPr>
                <w:rFonts w:hint="eastAsia" w:ascii="黑体" w:hAnsi="黑体" w:eastAsia="黑体"/>
                <w:szCs w:val="21"/>
              </w:rPr>
              <w:t>特此证明！</w:t>
            </w:r>
          </w:p>
        </w:tc>
      </w:tr>
      <w:tr w14:paraId="2CCC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3"/>
            <w:vAlign w:val="top"/>
          </w:tcPr>
          <w:p w14:paraId="43F7746C">
            <w:pPr>
              <w:spacing w:line="360" w:lineRule="auto"/>
              <w:rPr>
                <w:rFonts w:ascii="黑体" w:hAnsi="黑体" w:eastAsia="黑体"/>
                <w:szCs w:val="21"/>
              </w:rPr>
            </w:pPr>
            <w:r>
              <w:rPr>
                <w:rFonts w:hint="eastAsia" w:ascii="黑体" w:hAnsi="黑体" w:eastAsia="黑体"/>
                <w:szCs w:val="21"/>
              </w:rPr>
              <w:t>说明：</w:t>
            </w:r>
          </w:p>
          <w:p w14:paraId="22BA8321">
            <w:pPr>
              <w:pStyle w:val="32"/>
              <w:numPr>
                <w:ilvl w:val="0"/>
                <w:numId w:val="68"/>
              </w:numPr>
              <w:spacing w:line="360" w:lineRule="auto"/>
              <w:ind w:firstLineChars="0"/>
              <w:rPr>
                <w:rFonts w:ascii="黑体" w:hAnsi="黑体" w:eastAsia="黑体"/>
                <w:szCs w:val="21"/>
              </w:rPr>
            </w:pPr>
            <w:r>
              <w:rPr>
                <w:rFonts w:hint="eastAsia" w:ascii="黑体" w:hAnsi="黑体" w:eastAsia="黑体"/>
                <w:szCs w:val="21"/>
              </w:rPr>
              <w:t>法定(负责人)代表人为企业事业单位、国家机关、社会团体的主要行政负责人。</w:t>
            </w:r>
          </w:p>
          <w:p w14:paraId="2DDA105A">
            <w:pPr>
              <w:pStyle w:val="32"/>
              <w:numPr>
                <w:ilvl w:val="0"/>
                <w:numId w:val="68"/>
              </w:numPr>
              <w:spacing w:line="360" w:lineRule="auto"/>
              <w:ind w:firstLineChars="0"/>
              <w:rPr>
                <w:rFonts w:ascii="黑体" w:hAnsi="黑体" w:eastAsia="黑体"/>
                <w:szCs w:val="21"/>
              </w:rPr>
            </w:pPr>
            <w:r>
              <w:rPr>
                <w:rFonts w:hint="eastAsia" w:ascii="黑体" w:hAnsi="黑体" w:eastAsia="黑体"/>
                <w:szCs w:val="21"/>
              </w:rPr>
              <w:t>内容必须填写真实、清楚、涂改无效，不得转让。</w:t>
            </w:r>
          </w:p>
        </w:tc>
      </w:tr>
      <w:tr w14:paraId="2509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528" w:type="dxa"/>
            <w:gridSpan w:val="3"/>
            <w:vAlign w:val="top"/>
          </w:tcPr>
          <w:p w14:paraId="0E941722">
            <w:pPr>
              <w:spacing w:line="360" w:lineRule="auto"/>
              <w:rPr>
                <w:rFonts w:ascii="黑体" w:hAnsi="黑体" w:eastAsia="黑体"/>
                <w:szCs w:val="21"/>
              </w:rPr>
            </w:pPr>
          </w:p>
        </w:tc>
      </w:tr>
      <w:tr w14:paraId="6FC2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2" w:type="dxa"/>
            <w:vAlign w:val="top"/>
          </w:tcPr>
          <w:p w14:paraId="7B2B5627">
            <w:pPr>
              <w:spacing w:line="360" w:lineRule="auto"/>
              <w:rPr>
                <w:rFonts w:ascii="黑体" w:hAnsi="黑体" w:eastAsia="黑体"/>
                <w:szCs w:val="21"/>
              </w:rPr>
            </w:pPr>
          </w:p>
        </w:tc>
        <w:tc>
          <w:tcPr>
            <w:tcW w:w="5726" w:type="dxa"/>
            <w:gridSpan w:val="2"/>
            <w:vAlign w:val="top"/>
          </w:tcPr>
          <w:p w14:paraId="081CEB58">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r>
      <w:tr w14:paraId="16CD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2" w:type="dxa"/>
            <w:vAlign w:val="top"/>
          </w:tcPr>
          <w:p w14:paraId="05C67245">
            <w:pPr>
              <w:spacing w:line="360" w:lineRule="auto"/>
              <w:rPr>
                <w:rFonts w:ascii="黑体" w:hAnsi="黑体" w:eastAsia="黑体"/>
                <w:szCs w:val="21"/>
              </w:rPr>
            </w:pPr>
          </w:p>
        </w:tc>
        <w:tc>
          <w:tcPr>
            <w:tcW w:w="5726" w:type="dxa"/>
            <w:gridSpan w:val="2"/>
            <w:vAlign w:val="top"/>
          </w:tcPr>
          <w:p w14:paraId="108316A7">
            <w:pPr>
              <w:spacing w:line="360" w:lineRule="auto"/>
              <w:rPr>
                <w:rFonts w:ascii="黑体" w:hAnsi="黑体" w:eastAsia="黑体"/>
                <w:szCs w:val="21"/>
              </w:rPr>
            </w:pPr>
            <w:r>
              <w:rPr>
                <w:rFonts w:hint="eastAsia" w:ascii="黑体" w:hAnsi="黑体" w:eastAsia="黑体"/>
                <w:szCs w:val="21"/>
              </w:rPr>
              <w:t>法定(负责人)代表人（签名或盖私章）：</w:t>
            </w:r>
            <w:r>
              <w:rPr>
                <w:rFonts w:hint="eastAsia" w:ascii="黑体" w:hAnsi="黑体" w:eastAsia="黑体"/>
                <w:szCs w:val="21"/>
                <w:u w:val="single"/>
              </w:rPr>
              <w:t xml:space="preserve">                  </w:t>
            </w:r>
          </w:p>
        </w:tc>
      </w:tr>
      <w:tr w14:paraId="2A53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2" w:type="dxa"/>
            <w:vAlign w:val="top"/>
          </w:tcPr>
          <w:p w14:paraId="14637EF7">
            <w:pPr>
              <w:spacing w:line="360" w:lineRule="auto"/>
              <w:rPr>
                <w:rFonts w:ascii="黑体" w:hAnsi="黑体" w:eastAsia="黑体"/>
                <w:szCs w:val="21"/>
              </w:rPr>
            </w:pPr>
          </w:p>
        </w:tc>
        <w:tc>
          <w:tcPr>
            <w:tcW w:w="5726" w:type="dxa"/>
            <w:gridSpan w:val="2"/>
            <w:vAlign w:val="top"/>
          </w:tcPr>
          <w:p w14:paraId="411A68EF">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r>
    </w:tbl>
    <w:p w14:paraId="1F7EB1FD">
      <w:pPr>
        <w:spacing w:beforeLines="50" w:afterLines="30" w:line="360" w:lineRule="auto"/>
        <w:rPr>
          <w:rFonts w:ascii="黑体" w:hAnsi="黑体" w:eastAsia="黑体"/>
          <w:szCs w:val="21"/>
        </w:rPr>
      </w:pPr>
    </w:p>
    <w:p w14:paraId="3C7DAE6B">
      <w:pPr>
        <w:spacing w:beforeLines="50" w:afterLines="30" w:line="360" w:lineRule="auto"/>
        <w:rPr>
          <w:rFonts w:ascii="黑体" w:hAnsi="黑体" w:eastAsia="黑体"/>
          <w:b/>
          <w:szCs w:val="21"/>
        </w:rPr>
      </w:pPr>
      <w:r>
        <w:rPr>
          <w:rFonts w:hint="eastAsia" w:ascii="黑体" w:hAnsi="黑体" w:eastAsia="黑体"/>
          <w:b/>
          <w:szCs w:val="21"/>
        </w:rPr>
        <w:t>须附：法定(负责人)代表人身份证正、反面复印件</w:t>
      </w:r>
    </w:p>
    <w:p w14:paraId="3A84A115">
      <w:pPr>
        <w:pStyle w:val="4"/>
        <w:pageBreakBefore/>
        <w:spacing w:line="415" w:lineRule="auto"/>
        <w:jc w:val="left"/>
        <w:rPr>
          <w:rStyle w:val="23"/>
          <w:rFonts w:ascii="黑体" w:hAnsi="黑体" w:eastAsia="黑体"/>
          <w:b/>
          <w:bCs w:val="0"/>
          <w:spacing w:val="12"/>
          <w:sz w:val="21"/>
        </w:rPr>
      </w:pPr>
      <w:bookmarkStart w:id="35" w:name="_Toc405313963"/>
      <w:bookmarkStart w:id="36" w:name="_Toc23715274"/>
      <w:bookmarkStart w:id="37" w:name="_Toc391627759"/>
      <w:r>
        <w:rPr>
          <w:rStyle w:val="23"/>
          <w:rFonts w:hint="eastAsia" w:ascii="黑体" w:hAnsi="黑体" w:eastAsia="黑体"/>
          <w:b/>
          <w:bCs w:val="0"/>
          <w:spacing w:val="12"/>
          <w:sz w:val="21"/>
          <w:szCs w:val="21"/>
        </w:rPr>
        <w:t>附件3  法定(负责人)代表人授权委托书</w:t>
      </w:r>
      <w:bookmarkEnd w:id="35"/>
      <w:bookmarkEnd w:id="36"/>
      <w:bookmarkEnd w:id="37"/>
    </w:p>
    <w:p w14:paraId="2D7F86F0">
      <w:pPr>
        <w:spacing w:line="360" w:lineRule="auto"/>
        <w:jc w:val="center"/>
        <w:rPr>
          <w:rFonts w:ascii="黑体" w:hAnsi="黑体" w:eastAsia="黑体"/>
          <w:b/>
          <w:spacing w:val="20"/>
          <w:sz w:val="28"/>
          <w:szCs w:val="28"/>
        </w:rPr>
      </w:pPr>
      <w:r>
        <w:rPr>
          <w:rFonts w:hint="eastAsia" w:ascii="黑体" w:hAnsi="黑体" w:eastAsia="黑体"/>
          <w:b/>
          <w:spacing w:val="20"/>
          <w:sz w:val="28"/>
          <w:szCs w:val="28"/>
        </w:rPr>
        <w:t>法定(负责人)代表人授权委托书</w:t>
      </w:r>
    </w:p>
    <w:p w14:paraId="36037DBA">
      <w:pPr>
        <w:spacing w:beforeLines="150" w:afterLines="100" w:line="360" w:lineRule="auto"/>
        <w:rPr>
          <w:rFonts w:ascii="黑体" w:hAnsi="黑体" w:eastAsia="黑体"/>
          <w:b/>
        </w:rPr>
      </w:pPr>
      <w:r>
        <w:rPr>
          <w:rFonts w:hint="eastAsia" w:ascii="黑体" w:hAnsi="黑体" w:eastAsia="黑体"/>
          <w:b/>
        </w:rPr>
        <w:t>致东莞市财政局南城分局：</w:t>
      </w:r>
    </w:p>
    <w:p w14:paraId="205E0462">
      <w:pPr>
        <w:pStyle w:val="34"/>
        <w:spacing w:line="360" w:lineRule="auto"/>
        <w:ind w:firstLine="450" w:firstLineChars="0"/>
        <w:rPr>
          <w:rFonts w:ascii="黑体" w:hAnsi="黑体" w:eastAsia="黑体"/>
          <w:sz w:val="21"/>
          <w:szCs w:val="21"/>
        </w:rPr>
      </w:pPr>
      <w:r>
        <w:rPr>
          <w:rFonts w:hint="eastAsia" w:ascii="黑体" w:hAnsi="黑体" w:eastAsia="黑体"/>
          <w:sz w:val="21"/>
          <w:szCs w:val="21"/>
        </w:rPr>
        <w:t>本人</w:t>
      </w:r>
      <w:r>
        <w:rPr>
          <w:rFonts w:hint="eastAsia" w:ascii="黑体" w:hAnsi="黑体" w:eastAsia="黑体"/>
          <w:sz w:val="21"/>
          <w:szCs w:val="21"/>
          <w:u w:val="single"/>
        </w:rPr>
        <w:t xml:space="preserve">   （姓名）  </w:t>
      </w:r>
      <w:r>
        <w:rPr>
          <w:rFonts w:hint="eastAsia" w:ascii="黑体" w:hAnsi="黑体" w:eastAsia="黑体"/>
          <w:sz w:val="21"/>
          <w:szCs w:val="21"/>
        </w:rPr>
        <w:t>系</w:t>
      </w:r>
      <w:r>
        <w:rPr>
          <w:rFonts w:hint="eastAsia" w:ascii="黑体" w:hAnsi="黑体" w:eastAsia="黑体"/>
          <w:sz w:val="21"/>
          <w:szCs w:val="21"/>
          <w:u w:val="single"/>
        </w:rPr>
        <w:t xml:space="preserve">     （投标人名称）    </w:t>
      </w:r>
      <w:r>
        <w:rPr>
          <w:rFonts w:hint="eastAsia" w:ascii="黑体" w:hAnsi="黑体" w:eastAsia="黑体"/>
          <w:sz w:val="21"/>
          <w:szCs w:val="21"/>
        </w:rPr>
        <w:t>的法定(负责人)代表人，现委托</w:t>
      </w:r>
      <w:r>
        <w:rPr>
          <w:rFonts w:hint="eastAsia" w:ascii="黑体" w:hAnsi="黑体" w:eastAsia="黑体"/>
          <w:sz w:val="21"/>
          <w:szCs w:val="21"/>
          <w:u w:val="single"/>
        </w:rPr>
        <w:t xml:space="preserve"> （姓名） </w:t>
      </w:r>
      <w:r>
        <w:rPr>
          <w:rFonts w:hint="eastAsia" w:ascii="黑体" w:hAnsi="黑体" w:eastAsia="黑体"/>
          <w:sz w:val="21"/>
          <w:szCs w:val="21"/>
        </w:rPr>
        <w:t>为我方合法代理人。代理人根据授权，以我方名义签署、澄清、说明、补正、递交、撤回、修改</w:t>
      </w:r>
      <w:r>
        <w:rPr>
          <w:rFonts w:hint="eastAsia" w:ascii="黑体" w:hAnsi="黑体" w:eastAsia="黑体"/>
          <w:sz w:val="21"/>
          <w:szCs w:val="21"/>
          <w:u w:val="single"/>
        </w:rPr>
        <w:t xml:space="preserve">          （项目名称）       </w:t>
      </w:r>
      <w:r>
        <w:rPr>
          <w:rFonts w:hint="eastAsia" w:ascii="黑体" w:hAnsi="黑体" w:eastAsia="黑体"/>
          <w:sz w:val="21"/>
          <w:szCs w:val="21"/>
        </w:rPr>
        <w:t>（项目编号：</w:t>
      </w:r>
      <w:r>
        <w:rPr>
          <w:rFonts w:hint="eastAsia" w:ascii="黑体" w:hAnsi="黑体" w:eastAsia="黑体"/>
          <w:sz w:val="21"/>
          <w:szCs w:val="21"/>
          <w:u w:val="single"/>
        </w:rPr>
        <w:t>　　     　</w:t>
      </w:r>
      <w:r>
        <w:rPr>
          <w:rFonts w:hint="eastAsia" w:ascii="黑体" w:hAnsi="黑体" w:eastAsia="黑体"/>
          <w:sz w:val="21"/>
          <w:szCs w:val="21"/>
        </w:rPr>
        <w:t>）投标文件、签订合同和处理有关事宜，其法律后果由我方承担。</w:t>
      </w:r>
    </w:p>
    <w:p w14:paraId="2DBF8FA0">
      <w:pPr>
        <w:pStyle w:val="34"/>
        <w:spacing w:line="360" w:lineRule="auto"/>
        <w:ind w:firstLine="428" w:firstLineChars="204"/>
        <w:rPr>
          <w:rFonts w:ascii="黑体" w:hAnsi="黑体" w:eastAsia="黑体"/>
          <w:sz w:val="21"/>
          <w:szCs w:val="21"/>
        </w:rPr>
      </w:pPr>
      <w:r>
        <w:rPr>
          <w:rFonts w:hint="eastAsia" w:ascii="黑体" w:hAnsi="黑体" w:eastAsia="黑体"/>
          <w:sz w:val="21"/>
          <w:szCs w:val="21"/>
        </w:rPr>
        <w:t>本委托书于</w:t>
      </w:r>
      <w:r>
        <w:rPr>
          <w:rFonts w:hint="eastAsia" w:ascii="黑体" w:hAnsi="黑体" w:eastAsia="黑体"/>
          <w:sz w:val="21"/>
          <w:szCs w:val="21"/>
          <w:u w:val="single"/>
        </w:rPr>
        <w:t xml:space="preserve">　    </w:t>
      </w:r>
      <w:r>
        <w:rPr>
          <w:rFonts w:hint="eastAsia" w:ascii="黑体" w:hAnsi="黑体" w:eastAsia="黑体"/>
          <w:sz w:val="21"/>
          <w:szCs w:val="21"/>
        </w:rPr>
        <w:t>年</w:t>
      </w:r>
      <w:r>
        <w:rPr>
          <w:rFonts w:hint="eastAsia" w:ascii="黑体" w:hAnsi="黑体" w:eastAsia="黑体"/>
          <w:sz w:val="21"/>
          <w:szCs w:val="21"/>
          <w:u w:val="single"/>
        </w:rPr>
        <w:t xml:space="preserve">　 </w:t>
      </w:r>
      <w:r>
        <w:rPr>
          <w:rFonts w:hint="eastAsia" w:ascii="黑体" w:hAnsi="黑体" w:eastAsia="黑体"/>
          <w:sz w:val="21"/>
          <w:szCs w:val="21"/>
        </w:rPr>
        <w:t>月</w:t>
      </w:r>
      <w:r>
        <w:rPr>
          <w:rFonts w:hint="eastAsia" w:ascii="黑体" w:hAnsi="黑体" w:eastAsia="黑体"/>
          <w:sz w:val="21"/>
          <w:szCs w:val="21"/>
          <w:u w:val="single"/>
        </w:rPr>
        <w:t xml:space="preserve">　 </w:t>
      </w:r>
      <w:r>
        <w:rPr>
          <w:rFonts w:hint="eastAsia" w:ascii="黑体" w:hAnsi="黑体" w:eastAsia="黑体"/>
          <w:sz w:val="21"/>
          <w:szCs w:val="21"/>
        </w:rPr>
        <w:t>日签字生效，特此证明。</w:t>
      </w:r>
    </w:p>
    <w:p w14:paraId="2EFB8263">
      <w:pPr>
        <w:pStyle w:val="34"/>
        <w:spacing w:line="360" w:lineRule="auto"/>
        <w:ind w:firstLine="428" w:firstLineChars="204"/>
        <w:rPr>
          <w:rFonts w:ascii="黑体" w:hAnsi="黑体" w:eastAsia="黑体"/>
          <w:sz w:val="21"/>
          <w:szCs w:val="21"/>
        </w:rPr>
      </w:pPr>
      <w:r>
        <w:rPr>
          <w:rFonts w:hint="eastAsia" w:ascii="黑体" w:hAnsi="黑体" w:eastAsia="黑体"/>
          <w:sz w:val="21"/>
          <w:szCs w:val="21"/>
        </w:rPr>
        <w:t>被授权人无转委托权。</w:t>
      </w:r>
    </w:p>
    <w:p w14:paraId="3E256B83">
      <w:pPr>
        <w:pStyle w:val="34"/>
        <w:spacing w:line="360" w:lineRule="auto"/>
        <w:ind w:firstLine="0" w:firstLineChars="0"/>
        <w:rPr>
          <w:rFonts w:ascii="黑体" w:hAnsi="黑体" w:eastAsia="黑体"/>
          <w:sz w:val="21"/>
          <w:szCs w:val="21"/>
        </w:rPr>
      </w:pPr>
    </w:p>
    <w:p w14:paraId="6D12F6A3">
      <w:pPr>
        <w:pStyle w:val="34"/>
        <w:spacing w:line="360" w:lineRule="auto"/>
        <w:ind w:firstLine="0" w:firstLineChars="0"/>
        <w:rPr>
          <w:rFonts w:ascii="黑体" w:hAnsi="黑体" w:eastAsia="黑体"/>
          <w:sz w:val="21"/>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2"/>
        <w:gridCol w:w="5726"/>
      </w:tblGrid>
      <w:tr w14:paraId="5491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6D4A6E10">
            <w:pPr>
              <w:pStyle w:val="34"/>
              <w:spacing w:line="360" w:lineRule="auto"/>
              <w:ind w:firstLine="0" w:firstLineChars="0"/>
              <w:rPr>
                <w:rFonts w:ascii="黑体" w:hAnsi="黑体" w:eastAsia="黑体"/>
                <w:kern w:val="2"/>
                <w:sz w:val="21"/>
                <w:szCs w:val="21"/>
              </w:rPr>
            </w:pPr>
          </w:p>
        </w:tc>
        <w:tc>
          <w:tcPr>
            <w:tcW w:w="5726" w:type="dxa"/>
            <w:vAlign w:val="top"/>
          </w:tcPr>
          <w:p w14:paraId="62340164">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r>
      <w:tr w14:paraId="247E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7A8E6685">
            <w:pPr>
              <w:pStyle w:val="34"/>
              <w:spacing w:line="360" w:lineRule="auto"/>
              <w:ind w:firstLine="0" w:firstLineChars="0"/>
              <w:rPr>
                <w:rFonts w:ascii="黑体" w:hAnsi="黑体" w:eastAsia="黑体"/>
                <w:kern w:val="2"/>
                <w:sz w:val="21"/>
                <w:szCs w:val="21"/>
              </w:rPr>
            </w:pPr>
          </w:p>
        </w:tc>
        <w:tc>
          <w:tcPr>
            <w:tcW w:w="5726" w:type="dxa"/>
            <w:vAlign w:val="top"/>
          </w:tcPr>
          <w:p w14:paraId="4E16D60D">
            <w:pPr>
              <w:spacing w:line="360" w:lineRule="auto"/>
              <w:rPr>
                <w:rFonts w:ascii="黑体" w:hAnsi="黑体" w:eastAsia="黑体"/>
                <w:szCs w:val="21"/>
              </w:rPr>
            </w:pPr>
            <w:r>
              <w:rPr>
                <w:rFonts w:hint="eastAsia" w:ascii="黑体" w:hAnsi="黑体" w:eastAsia="黑体"/>
                <w:szCs w:val="21"/>
              </w:rPr>
              <w:t>法定(负责人)代表人（签名或盖私章）：</w:t>
            </w:r>
            <w:r>
              <w:rPr>
                <w:rFonts w:hint="eastAsia" w:ascii="黑体" w:hAnsi="黑体" w:eastAsia="黑体"/>
                <w:szCs w:val="21"/>
                <w:u w:val="single"/>
              </w:rPr>
              <w:t xml:space="preserve">                  </w:t>
            </w:r>
          </w:p>
        </w:tc>
      </w:tr>
      <w:tr w14:paraId="6AB1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4CEE2A2A">
            <w:pPr>
              <w:pStyle w:val="34"/>
              <w:spacing w:line="360" w:lineRule="auto"/>
              <w:ind w:firstLine="0" w:firstLineChars="0"/>
              <w:rPr>
                <w:rFonts w:ascii="黑体" w:hAnsi="黑体" w:eastAsia="黑体"/>
                <w:kern w:val="2"/>
                <w:sz w:val="21"/>
                <w:szCs w:val="21"/>
              </w:rPr>
            </w:pPr>
          </w:p>
        </w:tc>
        <w:tc>
          <w:tcPr>
            <w:tcW w:w="5726" w:type="dxa"/>
            <w:vAlign w:val="top"/>
          </w:tcPr>
          <w:p w14:paraId="3E48F057">
            <w:pPr>
              <w:spacing w:line="360" w:lineRule="auto"/>
              <w:rPr>
                <w:rFonts w:ascii="黑体" w:hAnsi="黑体" w:eastAsia="黑体"/>
                <w:szCs w:val="21"/>
              </w:rPr>
            </w:pPr>
            <w:r>
              <w:rPr>
                <w:rFonts w:hint="eastAsia" w:ascii="黑体" w:hAnsi="黑体" w:eastAsia="黑体"/>
                <w:szCs w:val="21"/>
              </w:rPr>
              <w:t>身份证号码：</w:t>
            </w:r>
            <w:r>
              <w:rPr>
                <w:rFonts w:hint="eastAsia" w:ascii="黑体" w:hAnsi="黑体" w:eastAsia="黑体"/>
                <w:szCs w:val="21"/>
                <w:u w:val="single"/>
              </w:rPr>
              <w:t xml:space="preserve">                                         </w:t>
            </w:r>
          </w:p>
        </w:tc>
      </w:tr>
      <w:tr w14:paraId="0E39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09ADC277">
            <w:pPr>
              <w:pStyle w:val="34"/>
              <w:spacing w:line="360" w:lineRule="auto"/>
              <w:ind w:firstLine="0" w:firstLineChars="0"/>
              <w:rPr>
                <w:rFonts w:ascii="黑体" w:hAnsi="黑体" w:eastAsia="黑体"/>
                <w:kern w:val="2"/>
                <w:sz w:val="21"/>
                <w:szCs w:val="21"/>
              </w:rPr>
            </w:pPr>
          </w:p>
        </w:tc>
        <w:tc>
          <w:tcPr>
            <w:tcW w:w="5726" w:type="dxa"/>
            <w:vAlign w:val="top"/>
          </w:tcPr>
          <w:p w14:paraId="1BC8B697">
            <w:pPr>
              <w:spacing w:line="360" w:lineRule="auto"/>
              <w:rPr>
                <w:rFonts w:ascii="黑体" w:hAnsi="黑体" w:eastAsia="黑体"/>
                <w:szCs w:val="21"/>
              </w:rPr>
            </w:pPr>
            <w:r>
              <w:rPr>
                <w:rFonts w:hint="eastAsia" w:ascii="黑体" w:hAnsi="黑体" w:eastAsia="黑体"/>
                <w:szCs w:val="21"/>
              </w:rPr>
              <w:t>被授权人（签名或盖私章）：</w:t>
            </w:r>
            <w:r>
              <w:rPr>
                <w:rFonts w:hint="eastAsia" w:ascii="黑体" w:hAnsi="黑体" w:eastAsia="黑体"/>
                <w:szCs w:val="21"/>
                <w:u w:val="single"/>
              </w:rPr>
              <w:t xml:space="preserve">                            </w:t>
            </w:r>
          </w:p>
        </w:tc>
      </w:tr>
      <w:tr w14:paraId="78CF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2AFB58E3">
            <w:pPr>
              <w:pStyle w:val="34"/>
              <w:spacing w:line="360" w:lineRule="auto"/>
              <w:ind w:firstLine="0" w:firstLineChars="0"/>
              <w:rPr>
                <w:rFonts w:ascii="黑体" w:hAnsi="黑体" w:eastAsia="黑体"/>
                <w:kern w:val="2"/>
                <w:sz w:val="21"/>
                <w:szCs w:val="21"/>
              </w:rPr>
            </w:pPr>
          </w:p>
        </w:tc>
        <w:tc>
          <w:tcPr>
            <w:tcW w:w="5726" w:type="dxa"/>
            <w:vAlign w:val="top"/>
          </w:tcPr>
          <w:p w14:paraId="7D34C1D7">
            <w:pPr>
              <w:spacing w:line="360" w:lineRule="auto"/>
              <w:rPr>
                <w:rFonts w:ascii="黑体" w:hAnsi="黑体" w:eastAsia="黑体"/>
                <w:szCs w:val="21"/>
              </w:rPr>
            </w:pPr>
            <w:r>
              <w:rPr>
                <w:rFonts w:hint="eastAsia" w:ascii="黑体" w:hAnsi="黑体" w:eastAsia="黑体"/>
                <w:szCs w:val="21"/>
              </w:rPr>
              <w:t>身份证号码：</w:t>
            </w:r>
            <w:r>
              <w:rPr>
                <w:rFonts w:hint="eastAsia" w:ascii="黑体" w:hAnsi="黑体" w:eastAsia="黑体"/>
                <w:szCs w:val="21"/>
                <w:u w:val="single"/>
              </w:rPr>
              <w:t xml:space="preserve">                                         </w:t>
            </w:r>
          </w:p>
        </w:tc>
      </w:tr>
      <w:tr w14:paraId="6813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top"/>
          </w:tcPr>
          <w:p w14:paraId="1A8FF262">
            <w:pPr>
              <w:pStyle w:val="34"/>
              <w:spacing w:line="360" w:lineRule="auto"/>
              <w:ind w:firstLine="0" w:firstLineChars="0"/>
              <w:rPr>
                <w:rFonts w:ascii="黑体" w:hAnsi="黑体" w:eastAsia="黑体"/>
                <w:kern w:val="2"/>
                <w:sz w:val="21"/>
                <w:szCs w:val="21"/>
              </w:rPr>
            </w:pPr>
          </w:p>
        </w:tc>
        <w:tc>
          <w:tcPr>
            <w:tcW w:w="5726" w:type="dxa"/>
            <w:vAlign w:val="top"/>
          </w:tcPr>
          <w:p w14:paraId="38FDF997">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r>
    </w:tbl>
    <w:p w14:paraId="06CD63B5">
      <w:pPr>
        <w:pStyle w:val="34"/>
        <w:spacing w:line="360" w:lineRule="auto"/>
        <w:ind w:firstLine="0" w:firstLineChars="0"/>
        <w:rPr>
          <w:rFonts w:ascii="黑体" w:hAnsi="黑体" w:eastAsia="黑体"/>
          <w:sz w:val="21"/>
          <w:szCs w:val="21"/>
        </w:rPr>
      </w:pPr>
    </w:p>
    <w:p w14:paraId="7B7619F6">
      <w:pPr>
        <w:pStyle w:val="34"/>
        <w:spacing w:line="360" w:lineRule="auto"/>
        <w:ind w:firstLine="0" w:firstLineChars="0"/>
        <w:rPr>
          <w:rFonts w:ascii="黑体" w:hAnsi="黑体" w:eastAsia="黑体"/>
          <w:sz w:val="21"/>
          <w:szCs w:val="21"/>
        </w:rPr>
      </w:pPr>
    </w:p>
    <w:p w14:paraId="75ABA593">
      <w:pPr>
        <w:spacing w:afterLines="50" w:line="360" w:lineRule="auto"/>
        <w:rPr>
          <w:rFonts w:ascii="黑体" w:hAnsi="黑体" w:eastAsia="黑体"/>
          <w:b/>
          <w:szCs w:val="21"/>
        </w:rPr>
      </w:pPr>
      <w:r>
        <w:rPr>
          <w:rFonts w:hint="eastAsia" w:ascii="黑体" w:hAnsi="黑体" w:eastAsia="黑体"/>
          <w:b/>
          <w:szCs w:val="21"/>
        </w:rPr>
        <w:t>须附：被授权人身份证正、反面复印件</w:t>
      </w:r>
    </w:p>
    <w:p w14:paraId="4BB3EE65">
      <w:pPr>
        <w:pStyle w:val="4"/>
        <w:pageBreakBefore/>
        <w:spacing w:line="415" w:lineRule="auto"/>
        <w:jc w:val="left"/>
        <w:rPr>
          <w:rStyle w:val="23"/>
          <w:rFonts w:ascii="黑体" w:hAnsi="黑体" w:eastAsia="黑体"/>
          <w:b/>
          <w:bCs w:val="0"/>
          <w:spacing w:val="12"/>
          <w:sz w:val="21"/>
        </w:rPr>
      </w:pPr>
      <w:bookmarkStart w:id="38" w:name="_Toc391627761"/>
      <w:bookmarkStart w:id="39" w:name="_Toc23715275"/>
      <w:bookmarkStart w:id="40" w:name="_Toc405313965"/>
      <w:r>
        <w:rPr>
          <w:rStyle w:val="23"/>
          <w:rFonts w:hint="eastAsia" w:ascii="黑体" w:hAnsi="黑体" w:eastAsia="黑体"/>
          <w:b/>
          <w:bCs w:val="0"/>
          <w:spacing w:val="12"/>
          <w:sz w:val="21"/>
        </w:rPr>
        <w:t>附件4  承诺书</w:t>
      </w:r>
      <w:bookmarkEnd w:id="38"/>
      <w:bookmarkEnd w:id="39"/>
      <w:bookmarkEnd w:id="40"/>
    </w:p>
    <w:p w14:paraId="6A1C39E4">
      <w:pPr>
        <w:spacing w:afterLines="100" w:line="360" w:lineRule="auto"/>
        <w:jc w:val="center"/>
        <w:rPr>
          <w:rFonts w:ascii="黑体" w:hAnsi="黑体" w:eastAsia="黑体"/>
          <w:b/>
          <w:spacing w:val="20"/>
          <w:sz w:val="28"/>
          <w:szCs w:val="28"/>
        </w:rPr>
      </w:pPr>
      <w:r>
        <w:rPr>
          <w:rFonts w:hint="eastAsia" w:ascii="黑体" w:hAnsi="黑体" w:eastAsia="黑体"/>
          <w:b/>
          <w:spacing w:val="20"/>
          <w:sz w:val="28"/>
          <w:szCs w:val="28"/>
        </w:rPr>
        <w:t>承诺书</w:t>
      </w:r>
    </w:p>
    <w:p w14:paraId="43496BBF">
      <w:pPr>
        <w:pStyle w:val="34"/>
        <w:ind w:firstLine="441"/>
        <w:rPr>
          <w:rFonts w:ascii="黑体" w:hAnsi="黑体" w:eastAsia="黑体"/>
          <w:spacing w:val="2"/>
          <w:sz w:val="21"/>
          <w:szCs w:val="21"/>
        </w:rPr>
      </w:pPr>
      <w:bookmarkStart w:id="41" w:name="_Toc313537922"/>
      <w:r>
        <w:rPr>
          <w:rFonts w:ascii="黑体" w:hAnsi="黑体" w:eastAsia="黑体"/>
          <w:spacing w:val="2"/>
          <w:sz w:val="21"/>
          <w:szCs w:val="21"/>
        </w:rPr>
        <w:t>我方已完整阅读了</w:t>
      </w:r>
      <w:r>
        <w:rPr>
          <w:rFonts w:ascii="黑体" w:hAnsi="黑体" w:eastAsia="黑体"/>
          <w:spacing w:val="2"/>
          <w:sz w:val="21"/>
          <w:szCs w:val="21"/>
          <w:u w:val="single"/>
        </w:rPr>
        <w:t xml:space="preserve"> </w:t>
      </w:r>
      <w:r>
        <w:rPr>
          <w:rFonts w:hint="eastAsia" w:ascii="黑体" w:hAnsi="黑体" w:eastAsia="黑体"/>
          <w:spacing w:val="2"/>
          <w:sz w:val="21"/>
          <w:szCs w:val="21"/>
          <w:u w:val="single"/>
        </w:rPr>
        <w:t xml:space="preserve"> </w:t>
      </w:r>
      <w:r>
        <w:rPr>
          <w:rFonts w:ascii="黑体" w:hAnsi="黑体" w:eastAsia="黑体"/>
          <w:spacing w:val="2"/>
          <w:sz w:val="21"/>
          <w:szCs w:val="21"/>
          <w:u w:val="single"/>
        </w:rPr>
        <w:t xml:space="preserve"> </w:t>
      </w:r>
      <w:r>
        <w:rPr>
          <w:rFonts w:hint="eastAsia" w:ascii="黑体" w:hAnsi="黑体" w:eastAsia="黑体"/>
          <w:spacing w:val="2"/>
          <w:sz w:val="21"/>
          <w:szCs w:val="21"/>
          <w:u w:val="single"/>
        </w:rPr>
        <w:t xml:space="preserve"> （</w:t>
      </w:r>
      <w:r>
        <w:rPr>
          <w:rFonts w:hint="eastAsia" w:ascii="黑体" w:hAnsi="黑体" w:eastAsia="黑体"/>
          <w:b/>
          <w:spacing w:val="2"/>
          <w:sz w:val="21"/>
          <w:szCs w:val="21"/>
          <w:u w:val="single"/>
        </w:rPr>
        <w:t>项目名称</w:t>
      </w:r>
      <w:r>
        <w:rPr>
          <w:rFonts w:hint="eastAsia" w:ascii="黑体" w:hAnsi="黑体" w:eastAsia="黑体"/>
          <w:spacing w:val="2"/>
          <w:sz w:val="21"/>
          <w:szCs w:val="21"/>
          <w:u w:val="single"/>
        </w:rPr>
        <w:t>）</w:t>
      </w:r>
      <w:r>
        <w:rPr>
          <w:rFonts w:ascii="黑体" w:hAnsi="黑体" w:eastAsia="黑体"/>
          <w:spacing w:val="2"/>
          <w:sz w:val="21"/>
          <w:szCs w:val="21"/>
          <w:u w:val="single"/>
        </w:rPr>
        <w:t xml:space="preserve"> </w:t>
      </w:r>
      <w:r>
        <w:rPr>
          <w:rFonts w:hint="eastAsia" w:ascii="黑体" w:hAnsi="黑体" w:eastAsia="黑体"/>
          <w:spacing w:val="2"/>
          <w:sz w:val="21"/>
          <w:szCs w:val="21"/>
          <w:u w:val="single"/>
        </w:rPr>
        <w:t xml:space="preserve"> </w:t>
      </w:r>
      <w:r>
        <w:rPr>
          <w:rFonts w:ascii="黑体" w:hAnsi="黑体" w:eastAsia="黑体"/>
          <w:spacing w:val="2"/>
          <w:sz w:val="21"/>
          <w:szCs w:val="21"/>
          <w:u w:val="single"/>
        </w:rPr>
        <w:t xml:space="preserve"> </w:t>
      </w:r>
      <w:r>
        <w:rPr>
          <w:rFonts w:ascii="黑体" w:hAnsi="黑体" w:eastAsia="黑体"/>
          <w:spacing w:val="2"/>
          <w:sz w:val="21"/>
          <w:szCs w:val="21"/>
        </w:rPr>
        <w:t>项目（</w:t>
      </w:r>
      <w:r>
        <w:rPr>
          <w:rFonts w:hint="eastAsia" w:ascii="黑体" w:hAnsi="黑体" w:eastAsia="黑体"/>
          <w:spacing w:val="2"/>
          <w:sz w:val="21"/>
          <w:szCs w:val="21"/>
        </w:rPr>
        <w:t>项目</w:t>
      </w:r>
      <w:r>
        <w:rPr>
          <w:rFonts w:ascii="黑体" w:hAnsi="黑体" w:eastAsia="黑体"/>
          <w:spacing w:val="2"/>
          <w:sz w:val="21"/>
          <w:szCs w:val="21"/>
        </w:rPr>
        <w:t>编号：</w:t>
      </w:r>
      <w:r>
        <w:rPr>
          <w:rFonts w:ascii="黑体" w:hAnsi="黑体" w:eastAsia="黑体"/>
          <w:spacing w:val="2"/>
          <w:sz w:val="21"/>
          <w:szCs w:val="21"/>
          <w:u w:val="single"/>
        </w:rPr>
        <w:t xml:space="preserve">   </w:t>
      </w:r>
      <w:r>
        <w:rPr>
          <w:rFonts w:hint="eastAsia" w:ascii="黑体" w:hAnsi="黑体" w:eastAsia="黑体"/>
          <w:spacing w:val="2"/>
          <w:sz w:val="21"/>
          <w:szCs w:val="21"/>
          <w:u w:val="single"/>
        </w:rPr>
        <w:t xml:space="preserve">    </w:t>
      </w:r>
      <w:r>
        <w:rPr>
          <w:rFonts w:ascii="黑体" w:hAnsi="黑体" w:eastAsia="黑体"/>
          <w:spacing w:val="2"/>
          <w:sz w:val="21"/>
          <w:szCs w:val="21"/>
          <w:u w:val="single"/>
        </w:rPr>
        <w:t xml:space="preserve">     </w:t>
      </w:r>
      <w:r>
        <w:rPr>
          <w:rFonts w:ascii="黑体" w:hAnsi="黑体" w:eastAsia="黑体"/>
          <w:spacing w:val="2"/>
          <w:sz w:val="21"/>
          <w:szCs w:val="21"/>
        </w:rPr>
        <w:t>）招标文件的所有内容（包括澄清，以及所有已提供的参考资料和有关附件），并完全理解上述文件所表达的意思，该项目递交投标文件时间截止后，我方承诺不再对上述文件内容进行询问或质疑。</w:t>
      </w:r>
      <w:bookmarkEnd w:id="41"/>
      <w:r>
        <w:rPr>
          <w:rFonts w:ascii="黑体" w:hAnsi="黑体" w:eastAsia="黑体"/>
          <w:spacing w:val="2"/>
          <w:sz w:val="21"/>
          <w:szCs w:val="21"/>
        </w:rPr>
        <w:cr/>
      </w:r>
    </w:p>
    <w:p w14:paraId="37E4C779">
      <w:pPr>
        <w:pStyle w:val="34"/>
        <w:ind w:firstLine="0" w:firstLineChars="0"/>
        <w:rPr>
          <w:rFonts w:ascii="黑体" w:hAnsi="黑体" w:eastAsia="黑体"/>
          <w:spacing w:val="2"/>
          <w:sz w:val="21"/>
          <w:szCs w:val="21"/>
        </w:rPr>
      </w:pPr>
    </w:p>
    <w:p w14:paraId="3B8AF80C">
      <w:pPr>
        <w:spacing w:line="360" w:lineRule="auto"/>
        <w:rPr>
          <w:rFonts w:ascii="黑体" w:hAnsi="黑体" w:eastAsia="黑体"/>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6293"/>
      </w:tblGrid>
      <w:tr w14:paraId="5EE2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35" w:type="dxa"/>
            <w:vAlign w:val="top"/>
          </w:tcPr>
          <w:p w14:paraId="3BE8602D">
            <w:pPr>
              <w:spacing w:line="360" w:lineRule="auto"/>
              <w:rPr>
                <w:rFonts w:ascii="黑体" w:hAnsi="黑体" w:eastAsia="黑体"/>
                <w:szCs w:val="21"/>
              </w:rPr>
            </w:pPr>
          </w:p>
        </w:tc>
        <w:tc>
          <w:tcPr>
            <w:tcW w:w="6293" w:type="dxa"/>
            <w:vAlign w:val="top"/>
          </w:tcPr>
          <w:p w14:paraId="5808B71D">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r>
      <w:tr w14:paraId="5B05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top"/>
          </w:tcPr>
          <w:p w14:paraId="4BC09089">
            <w:pPr>
              <w:spacing w:line="360" w:lineRule="auto"/>
              <w:rPr>
                <w:rFonts w:ascii="黑体" w:hAnsi="黑体" w:eastAsia="黑体"/>
                <w:szCs w:val="21"/>
              </w:rPr>
            </w:pPr>
          </w:p>
        </w:tc>
        <w:tc>
          <w:tcPr>
            <w:tcW w:w="6293" w:type="dxa"/>
            <w:vAlign w:val="top"/>
          </w:tcPr>
          <w:p w14:paraId="39F04FF5">
            <w:pPr>
              <w:spacing w:line="360" w:lineRule="auto"/>
              <w:rPr>
                <w:rFonts w:ascii="黑体" w:hAnsi="黑体" w:eastAsia="黑体"/>
                <w:szCs w:val="21"/>
              </w:rPr>
            </w:pPr>
            <w:r>
              <w:rPr>
                <w:rFonts w:hint="eastAsia" w:ascii="黑体" w:hAnsi="黑体" w:eastAsia="黑体"/>
                <w:szCs w:val="21"/>
              </w:rPr>
              <w:t>投标人法定(负责人)代表人或被授权人（签名或盖私章）：</w:t>
            </w:r>
            <w:r>
              <w:rPr>
                <w:rFonts w:hint="eastAsia" w:ascii="黑体" w:hAnsi="黑体" w:eastAsia="黑体"/>
                <w:szCs w:val="21"/>
                <w:u w:val="single"/>
              </w:rPr>
              <w:t xml:space="preserve">        </w:t>
            </w:r>
          </w:p>
        </w:tc>
      </w:tr>
      <w:tr w14:paraId="20D6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top"/>
          </w:tcPr>
          <w:p w14:paraId="29C4A301">
            <w:pPr>
              <w:spacing w:line="360" w:lineRule="auto"/>
              <w:rPr>
                <w:rFonts w:ascii="黑体" w:hAnsi="黑体" w:eastAsia="黑体"/>
                <w:szCs w:val="21"/>
              </w:rPr>
            </w:pPr>
          </w:p>
        </w:tc>
        <w:tc>
          <w:tcPr>
            <w:tcW w:w="6293" w:type="dxa"/>
            <w:vAlign w:val="top"/>
          </w:tcPr>
          <w:p w14:paraId="53F4956B">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r>
    </w:tbl>
    <w:p w14:paraId="36BA5899">
      <w:pPr>
        <w:spacing w:line="360" w:lineRule="auto"/>
        <w:rPr>
          <w:rFonts w:ascii="黑体" w:hAnsi="黑体" w:eastAsia="黑体"/>
          <w:szCs w:val="21"/>
        </w:rPr>
      </w:pPr>
    </w:p>
    <w:p w14:paraId="2A326AD9">
      <w:pPr>
        <w:pStyle w:val="4"/>
        <w:pageBreakBefore/>
        <w:spacing w:line="415" w:lineRule="auto"/>
        <w:jc w:val="left"/>
        <w:rPr>
          <w:rStyle w:val="23"/>
          <w:rFonts w:ascii="黑体" w:hAnsi="黑体" w:eastAsia="黑体"/>
          <w:b/>
          <w:bCs w:val="0"/>
          <w:spacing w:val="12"/>
          <w:sz w:val="21"/>
        </w:rPr>
      </w:pPr>
      <w:bookmarkStart w:id="42" w:name="_Toc405313967"/>
      <w:bookmarkStart w:id="43" w:name="_Toc23715277"/>
      <w:bookmarkStart w:id="44" w:name="_Toc391627763"/>
      <w:r>
        <w:rPr>
          <w:rStyle w:val="23"/>
          <w:rFonts w:hint="eastAsia" w:ascii="黑体" w:hAnsi="黑体" w:eastAsia="黑体"/>
          <w:b/>
          <w:bCs w:val="0"/>
          <w:spacing w:val="12"/>
          <w:sz w:val="21"/>
        </w:rPr>
        <w:t>附件5  商务差异表</w:t>
      </w:r>
      <w:bookmarkEnd w:id="42"/>
      <w:bookmarkEnd w:id="43"/>
      <w:bookmarkEnd w:id="44"/>
    </w:p>
    <w:p w14:paraId="55081849">
      <w:pPr>
        <w:spacing w:afterLines="100" w:line="360" w:lineRule="auto"/>
        <w:jc w:val="center"/>
        <w:rPr>
          <w:rFonts w:ascii="黑体" w:hAnsi="黑体" w:eastAsia="黑体"/>
          <w:b/>
          <w:spacing w:val="20"/>
          <w:sz w:val="28"/>
          <w:szCs w:val="28"/>
        </w:rPr>
      </w:pPr>
      <w:r>
        <w:rPr>
          <w:rFonts w:hint="eastAsia" w:ascii="黑体" w:hAnsi="黑体" w:eastAsia="黑体"/>
          <w:b/>
          <w:spacing w:val="20"/>
          <w:sz w:val="28"/>
          <w:szCs w:val="28"/>
        </w:rPr>
        <w:t>商务差异表</w:t>
      </w: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67"/>
        <w:gridCol w:w="2700"/>
        <w:gridCol w:w="1409"/>
        <w:gridCol w:w="1030"/>
      </w:tblGrid>
      <w:tr w14:paraId="3361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28" w:type="dxa"/>
            <w:gridSpan w:val="5"/>
            <w:vAlign w:val="center"/>
          </w:tcPr>
          <w:p w14:paraId="48E82C80">
            <w:pPr>
              <w:spacing w:line="360" w:lineRule="auto"/>
              <w:jc w:val="left"/>
              <w:rPr>
                <w:rFonts w:ascii="黑体" w:hAnsi="黑体" w:eastAsia="黑体"/>
                <w:b/>
                <w:bCs/>
                <w:szCs w:val="21"/>
              </w:rPr>
            </w:pPr>
            <w:r>
              <w:rPr>
                <w:rFonts w:hint="eastAsia" w:ascii="黑体" w:hAnsi="黑体" w:eastAsia="黑体"/>
                <w:b/>
                <w:bCs/>
                <w:szCs w:val="21"/>
              </w:rPr>
              <w:t>项目名称：</w:t>
            </w:r>
            <w:r>
              <w:rPr>
                <w:rFonts w:hint="eastAsia" w:ascii="黑体" w:hAnsi="黑体" w:eastAsia="黑体"/>
                <w:b/>
                <w:bCs/>
                <w:szCs w:val="21"/>
                <w:u w:val="single"/>
              </w:rPr>
              <w:t xml:space="preserve">                              </w:t>
            </w:r>
            <w:r>
              <w:rPr>
                <w:rFonts w:hint="eastAsia" w:ascii="黑体" w:hAnsi="黑体" w:eastAsia="黑体"/>
                <w:b/>
                <w:bCs/>
                <w:szCs w:val="21"/>
              </w:rPr>
              <w:t xml:space="preserve">     </w:t>
            </w:r>
            <w:r>
              <w:rPr>
                <w:rFonts w:hint="eastAsia" w:ascii="黑体" w:hAnsi="黑体" w:eastAsia="黑体"/>
                <w:b/>
                <w:szCs w:val="21"/>
              </w:rPr>
              <w:t>项目编号：</w:t>
            </w:r>
            <w:r>
              <w:rPr>
                <w:rFonts w:hint="eastAsia" w:ascii="黑体" w:hAnsi="黑体" w:eastAsia="黑体"/>
                <w:b/>
                <w:szCs w:val="21"/>
                <w:u w:val="single"/>
              </w:rPr>
              <w:t xml:space="preserve">                      </w:t>
            </w:r>
          </w:p>
        </w:tc>
      </w:tr>
      <w:tr w14:paraId="3C0C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22" w:type="dxa"/>
            <w:vAlign w:val="center"/>
          </w:tcPr>
          <w:p w14:paraId="10ECC4BB">
            <w:pPr>
              <w:jc w:val="center"/>
              <w:rPr>
                <w:rFonts w:ascii="黑体" w:hAnsi="黑体" w:eastAsia="黑体"/>
                <w:b/>
                <w:bCs/>
                <w:szCs w:val="21"/>
              </w:rPr>
            </w:pPr>
            <w:r>
              <w:rPr>
                <w:rFonts w:hint="eastAsia" w:ascii="黑体" w:hAnsi="黑体" w:eastAsia="黑体"/>
                <w:b/>
                <w:bCs/>
                <w:szCs w:val="21"/>
              </w:rPr>
              <w:t>序号</w:t>
            </w:r>
          </w:p>
        </w:tc>
        <w:tc>
          <w:tcPr>
            <w:tcW w:w="2567" w:type="dxa"/>
            <w:vAlign w:val="center"/>
          </w:tcPr>
          <w:p w14:paraId="4CBE13E8">
            <w:pPr>
              <w:jc w:val="center"/>
              <w:rPr>
                <w:rFonts w:ascii="黑体" w:hAnsi="黑体" w:eastAsia="黑体"/>
                <w:b/>
                <w:bCs/>
                <w:szCs w:val="21"/>
              </w:rPr>
            </w:pPr>
            <w:r>
              <w:rPr>
                <w:rFonts w:hint="eastAsia" w:ascii="黑体" w:hAnsi="黑体" w:eastAsia="黑体"/>
                <w:b/>
                <w:bCs/>
                <w:szCs w:val="21"/>
              </w:rPr>
              <w:t>招标文件要求</w:t>
            </w:r>
          </w:p>
        </w:tc>
        <w:tc>
          <w:tcPr>
            <w:tcW w:w="2700" w:type="dxa"/>
            <w:vAlign w:val="center"/>
          </w:tcPr>
          <w:p w14:paraId="0046D0E5">
            <w:pPr>
              <w:jc w:val="center"/>
              <w:rPr>
                <w:rFonts w:ascii="黑体" w:hAnsi="黑体" w:eastAsia="黑体"/>
                <w:b/>
                <w:bCs/>
                <w:szCs w:val="21"/>
              </w:rPr>
            </w:pPr>
            <w:r>
              <w:rPr>
                <w:rFonts w:hint="eastAsia" w:ascii="黑体" w:hAnsi="黑体" w:eastAsia="黑体"/>
                <w:b/>
                <w:bCs/>
                <w:szCs w:val="21"/>
              </w:rPr>
              <w:t>投标文件响应内容</w:t>
            </w:r>
          </w:p>
        </w:tc>
        <w:tc>
          <w:tcPr>
            <w:tcW w:w="1409" w:type="dxa"/>
            <w:vAlign w:val="center"/>
          </w:tcPr>
          <w:p w14:paraId="2F6B4741">
            <w:pPr>
              <w:spacing w:line="360" w:lineRule="auto"/>
              <w:jc w:val="center"/>
              <w:rPr>
                <w:rFonts w:ascii="黑体" w:hAnsi="黑体" w:eastAsia="黑体"/>
                <w:b/>
                <w:bCs/>
                <w:szCs w:val="21"/>
              </w:rPr>
            </w:pPr>
            <w:r>
              <w:rPr>
                <w:rFonts w:hint="eastAsia" w:ascii="黑体" w:hAnsi="黑体" w:eastAsia="黑体"/>
                <w:b/>
                <w:bCs/>
                <w:szCs w:val="21"/>
              </w:rPr>
              <w:t>偏离情况</w:t>
            </w:r>
          </w:p>
        </w:tc>
        <w:tc>
          <w:tcPr>
            <w:tcW w:w="1030" w:type="dxa"/>
            <w:vAlign w:val="center"/>
          </w:tcPr>
          <w:p w14:paraId="6820B02A">
            <w:pPr>
              <w:spacing w:line="360" w:lineRule="auto"/>
              <w:jc w:val="center"/>
              <w:rPr>
                <w:rFonts w:ascii="黑体" w:hAnsi="黑体" w:eastAsia="黑体"/>
                <w:b/>
                <w:bCs/>
                <w:szCs w:val="21"/>
              </w:rPr>
            </w:pPr>
            <w:r>
              <w:rPr>
                <w:rFonts w:hint="eastAsia" w:ascii="黑体" w:hAnsi="黑体" w:eastAsia="黑体"/>
                <w:b/>
                <w:bCs/>
                <w:szCs w:val="21"/>
              </w:rPr>
              <w:t>说明</w:t>
            </w:r>
          </w:p>
        </w:tc>
      </w:tr>
      <w:tr w14:paraId="7539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2" w:type="dxa"/>
            <w:vAlign w:val="center"/>
          </w:tcPr>
          <w:p w14:paraId="421C9096">
            <w:pPr>
              <w:spacing w:line="360" w:lineRule="auto"/>
              <w:jc w:val="center"/>
              <w:rPr>
                <w:rFonts w:ascii="黑体" w:hAnsi="黑体" w:eastAsia="黑体"/>
                <w:szCs w:val="21"/>
              </w:rPr>
            </w:pPr>
          </w:p>
        </w:tc>
        <w:tc>
          <w:tcPr>
            <w:tcW w:w="2567" w:type="dxa"/>
            <w:vAlign w:val="center"/>
          </w:tcPr>
          <w:p w14:paraId="5748B26A">
            <w:pPr>
              <w:spacing w:line="360" w:lineRule="auto"/>
              <w:jc w:val="center"/>
              <w:rPr>
                <w:rFonts w:ascii="黑体" w:hAnsi="黑体" w:eastAsia="黑体"/>
                <w:szCs w:val="21"/>
              </w:rPr>
            </w:pPr>
          </w:p>
        </w:tc>
        <w:tc>
          <w:tcPr>
            <w:tcW w:w="2700" w:type="dxa"/>
            <w:vAlign w:val="center"/>
          </w:tcPr>
          <w:p w14:paraId="42893398">
            <w:pPr>
              <w:pStyle w:val="15"/>
              <w:jc w:val="center"/>
              <w:rPr>
                <w:rFonts w:ascii="黑体" w:hAnsi="黑体"/>
              </w:rPr>
            </w:pPr>
          </w:p>
        </w:tc>
        <w:tc>
          <w:tcPr>
            <w:tcW w:w="1409" w:type="dxa"/>
            <w:vAlign w:val="center"/>
          </w:tcPr>
          <w:p w14:paraId="70D7D1DE">
            <w:pPr>
              <w:spacing w:line="360" w:lineRule="auto"/>
              <w:jc w:val="center"/>
              <w:rPr>
                <w:rFonts w:ascii="黑体" w:hAnsi="黑体" w:eastAsia="黑体"/>
                <w:szCs w:val="21"/>
              </w:rPr>
            </w:pPr>
          </w:p>
        </w:tc>
        <w:tc>
          <w:tcPr>
            <w:tcW w:w="1030" w:type="dxa"/>
            <w:vAlign w:val="center"/>
          </w:tcPr>
          <w:p w14:paraId="57F30FD4">
            <w:pPr>
              <w:spacing w:line="360" w:lineRule="auto"/>
              <w:jc w:val="center"/>
              <w:rPr>
                <w:rFonts w:ascii="黑体" w:hAnsi="黑体" w:eastAsia="黑体"/>
                <w:szCs w:val="21"/>
              </w:rPr>
            </w:pPr>
          </w:p>
        </w:tc>
      </w:tr>
      <w:tr w14:paraId="1923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2" w:type="dxa"/>
            <w:vAlign w:val="center"/>
          </w:tcPr>
          <w:p w14:paraId="4822F923">
            <w:pPr>
              <w:spacing w:line="360" w:lineRule="auto"/>
              <w:jc w:val="center"/>
              <w:rPr>
                <w:rFonts w:ascii="黑体" w:hAnsi="黑体" w:eastAsia="黑体"/>
                <w:szCs w:val="21"/>
              </w:rPr>
            </w:pPr>
          </w:p>
        </w:tc>
        <w:tc>
          <w:tcPr>
            <w:tcW w:w="2567" w:type="dxa"/>
            <w:vAlign w:val="center"/>
          </w:tcPr>
          <w:p w14:paraId="60301F78">
            <w:pPr>
              <w:spacing w:line="360" w:lineRule="auto"/>
              <w:jc w:val="center"/>
              <w:rPr>
                <w:rFonts w:ascii="黑体" w:hAnsi="黑体" w:eastAsia="黑体"/>
                <w:szCs w:val="21"/>
              </w:rPr>
            </w:pPr>
          </w:p>
        </w:tc>
        <w:tc>
          <w:tcPr>
            <w:tcW w:w="2700" w:type="dxa"/>
            <w:vAlign w:val="center"/>
          </w:tcPr>
          <w:p w14:paraId="706FE175">
            <w:pPr>
              <w:spacing w:line="360" w:lineRule="auto"/>
              <w:jc w:val="center"/>
              <w:rPr>
                <w:rFonts w:ascii="黑体" w:hAnsi="黑体" w:eastAsia="黑体"/>
                <w:szCs w:val="21"/>
              </w:rPr>
            </w:pPr>
          </w:p>
        </w:tc>
        <w:tc>
          <w:tcPr>
            <w:tcW w:w="1409" w:type="dxa"/>
            <w:vAlign w:val="center"/>
          </w:tcPr>
          <w:p w14:paraId="00E8296A">
            <w:pPr>
              <w:spacing w:line="360" w:lineRule="auto"/>
              <w:jc w:val="center"/>
              <w:rPr>
                <w:rFonts w:ascii="黑体" w:hAnsi="黑体" w:eastAsia="黑体"/>
                <w:szCs w:val="21"/>
              </w:rPr>
            </w:pPr>
          </w:p>
        </w:tc>
        <w:tc>
          <w:tcPr>
            <w:tcW w:w="1030" w:type="dxa"/>
            <w:vAlign w:val="center"/>
          </w:tcPr>
          <w:p w14:paraId="13889D68">
            <w:pPr>
              <w:spacing w:line="360" w:lineRule="auto"/>
              <w:jc w:val="center"/>
              <w:rPr>
                <w:rFonts w:ascii="黑体" w:hAnsi="黑体" w:eastAsia="黑体"/>
                <w:szCs w:val="21"/>
              </w:rPr>
            </w:pPr>
          </w:p>
        </w:tc>
      </w:tr>
      <w:tr w14:paraId="3896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2" w:type="dxa"/>
            <w:vAlign w:val="center"/>
          </w:tcPr>
          <w:p w14:paraId="3F3F4B53">
            <w:pPr>
              <w:spacing w:line="360" w:lineRule="auto"/>
              <w:jc w:val="center"/>
              <w:rPr>
                <w:rFonts w:ascii="黑体" w:hAnsi="黑体" w:eastAsia="黑体"/>
                <w:szCs w:val="21"/>
              </w:rPr>
            </w:pPr>
          </w:p>
        </w:tc>
        <w:tc>
          <w:tcPr>
            <w:tcW w:w="2567" w:type="dxa"/>
            <w:vAlign w:val="center"/>
          </w:tcPr>
          <w:p w14:paraId="434579FA">
            <w:pPr>
              <w:spacing w:line="360" w:lineRule="auto"/>
              <w:jc w:val="center"/>
              <w:rPr>
                <w:rFonts w:ascii="黑体" w:hAnsi="黑体" w:eastAsia="黑体"/>
                <w:szCs w:val="21"/>
              </w:rPr>
            </w:pPr>
          </w:p>
        </w:tc>
        <w:tc>
          <w:tcPr>
            <w:tcW w:w="2700" w:type="dxa"/>
            <w:vAlign w:val="center"/>
          </w:tcPr>
          <w:p w14:paraId="186A0386">
            <w:pPr>
              <w:spacing w:line="360" w:lineRule="auto"/>
              <w:jc w:val="center"/>
              <w:rPr>
                <w:rFonts w:ascii="黑体" w:hAnsi="黑体" w:eastAsia="黑体"/>
                <w:szCs w:val="21"/>
              </w:rPr>
            </w:pPr>
          </w:p>
        </w:tc>
        <w:tc>
          <w:tcPr>
            <w:tcW w:w="1409" w:type="dxa"/>
            <w:vAlign w:val="center"/>
          </w:tcPr>
          <w:p w14:paraId="0E059AF6">
            <w:pPr>
              <w:spacing w:line="360" w:lineRule="auto"/>
              <w:jc w:val="center"/>
              <w:rPr>
                <w:rFonts w:ascii="黑体" w:hAnsi="黑体" w:eastAsia="黑体"/>
                <w:szCs w:val="21"/>
              </w:rPr>
            </w:pPr>
          </w:p>
        </w:tc>
        <w:tc>
          <w:tcPr>
            <w:tcW w:w="1030" w:type="dxa"/>
            <w:vAlign w:val="center"/>
          </w:tcPr>
          <w:p w14:paraId="64715330">
            <w:pPr>
              <w:spacing w:line="360" w:lineRule="auto"/>
              <w:jc w:val="center"/>
              <w:rPr>
                <w:rFonts w:ascii="黑体" w:hAnsi="黑体" w:eastAsia="黑体"/>
                <w:szCs w:val="21"/>
              </w:rPr>
            </w:pPr>
          </w:p>
        </w:tc>
      </w:tr>
      <w:tr w14:paraId="689A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22" w:type="dxa"/>
            <w:vAlign w:val="center"/>
          </w:tcPr>
          <w:p w14:paraId="41945C51">
            <w:pPr>
              <w:spacing w:line="360" w:lineRule="auto"/>
              <w:jc w:val="center"/>
              <w:rPr>
                <w:rFonts w:ascii="黑体" w:hAnsi="黑体" w:eastAsia="黑体"/>
                <w:szCs w:val="21"/>
              </w:rPr>
            </w:pPr>
          </w:p>
        </w:tc>
        <w:tc>
          <w:tcPr>
            <w:tcW w:w="2567" w:type="dxa"/>
            <w:vAlign w:val="center"/>
          </w:tcPr>
          <w:p w14:paraId="2509EBA0">
            <w:pPr>
              <w:spacing w:line="360" w:lineRule="auto"/>
              <w:jc w:val="center"/>
              <w:rPr>
                <w:rFonts w:ascii="黑体" w:hAnsi="黑体" w:eastAsia="黑体"/>
                <w:szCs w:val="21"/>
              </w:rPr>
            </w:pPr>
          </w:p>
        </w:tc>
        <w:tc>
          <w:tcPr>
            <w:tcW w:w="2700" w:type="dxa"/>
            <w:vAlign w:val="center"/>
          </w:tcPr>
          <w:p w14:paraId="05ED6D15">
            <w:pPr>
              <w:spacing w:line="360" w:lineRule="auto"/>
              <w:jc w:val="center"/>
              <w:rPr>
                <w:rFonts w:ascii="黑体" w:hAnsi="黑体" w:eastAsia="黑体"/>
                <w:szCs w:val="21"/>
              </w:rPr>
            </w:pPr>
          </w:p>
        </w:tc>
        <w:tc>
          <w:tcPr>
            <w:tcW w:w="1409" w:type="dxa"/>
            <w:vAlign w:val="center"/>
          </w:tcPr>
          <w:p w14:paraId="7FFD9EB9">
            <w:pPr>
              <w:spacing w:line="360" w:lineRule="auto"/>
              <w:jc w:val="center"/>
              <w:rPr>
                <w:rFonts w:ascii="黑体" w:hAnsi="黑体" w:eastAsia="黑体"/>
                <w:szCs w:val="21"/>
              </w:rPr>
            </w:pPr>
          </w:p>
        </w:tc>
        <w:tc>
          <w:tcPr>
            <w:tcW w:w="1030" w:type="dxa"/>
            <w:vAlign w:val="center"/>
          </w:tcPr>
          <w:p w14:paraId="734B5210">
            <w:pPr>
              <w:spacing w:line="360" w:lineRule="auto"/>
              <w:jc w:val="center"/>
              <w:rPr>
                <w:rFonts w:ascii="黑体" w:hAnsi="黑体" w:eastAsia="黑体"/>
                <w:szCs w:val="21"/>
              </w:rPr>
            </w:pPr>
          </w:p>
        </w:tc>
      </w:tr>
      <w:tr w14:paraId="29F9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22" w:type="dxa"/>
            <w:vAlign w:val="center"/>
          </w:tcPr>
          <w:p w14:paraId="323E6CB3">
            <w:pPr>
              <w:spacing w:line="360" w:lineRule="auto"/>
              <w:jc w:val="center"/>
              <w:rPr>
                <w:rFonts w:ascii="黑体" w:hAnsi="黑体" w:eastAsia="黑体"/>
                <w:szCs w:val="21"/>
              </w:rPr>
            </w:pPr>
          </w:p>
        </w:tc>
        <w:tc>
          <w:tcPr>
            <w:tcW w:w="2567" w:type="dxa"/>
            <w:vAlign w:val="center"/>
          </w:tcPr>
          <w:p w14:paraId="63896052">
            <w:pPr>
              <w:spacing w:line="360" w:lineRule="auto"/>
              <w:jc w:val="center"/>
              <w:rPr>
                <w:rFonts w:ascii="黑体" w:hAnsi="黑体" w:eastAsia="黑体"/>
                <w:szCs w:val="21"/>
              </w:rPr>
            </w:pPr>
          </w:p>
        </w:tc>
        <w:tc>
          <w:tcPr>
            <w:tcW w:w="2700" w:type="dxa"/>
            <w:vAlign w:val="center"/>
          </w:tcPr>
          <w:p w14:paraId="3F7CFFB2">
            <w:pPr>
              <w:spacing w:line="360" w:lineRule="auto"/>
              <w:jc w:val="center"/>
              <w:rPr>
                <w:rFonts w:ascii="黑体" w:hAnsi="黑体" w:eastAsia="黑体"/>
                <w:szCs w:val="21"/>
              </w:rPr>
            </w:pPr>
          </w:p>
        </w:tc>
        <w:tc>
          <w:tcPr>
            <w:tcW w:w="1409" w:type="dxa"/>
            <w:vAlign w:val="center"/>
          </w:tcPr>
          <w:p w14:paraId="3ED8287D">
            <w:pPr>
              <w:spacing w:line="360" w:lineRule="auto"/>
              <w:jc w:val="center"/>
              <w:rPr>
                <w:rFonts w:ascii="黑体" w:hAnsi="黑体" w:eastAsia="黑体"/>
                <w:szCs w:val="21"/>
              </w:rPr>
            </w:pPr>
          </w:p>
        </w:tc>
        <w:tc>
          <w:tcPr>
            <w:tcW w:w="1030" w:type="dxa"/>
            <w:vAlign w:val="center"/>
          </w:tcPr>
          <w:p w14:paraId="0CAA8869">
            <w:pPr>
              <w:spacing w:line="360" w:lineRule="auto"/>
              <w:jc w:val="center"/>
              <w:rPr>
                <w:rFonts w:ascii="黑体" w:hAnsi="黑体" w:eastAsia="黑体"/>
                <w:szCs w:val="21"/>
              </w:rPr>
            </w:pPr>
          </w:p>
        </w:tc>
      </w:tr>
      <w:tr w14:paraId="565C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2" w:type="dxa"/>
            <w:vAlign w:val="center"/>
          </w:tcPr>
          <w:p w14:paraId="77ED0397">
            <w:pPr>
              <w:spacing w:line="360" w:lineRule="auto"/>
              <w:jc w:val="center"/>
              <w:rPr>
                <w:rFonts w:ascii="黑体" w:hAnsi="黑体" w:eastAsia="黑体"/>
                <w:szCs w:val="21"/>
              </w:rPr>
            </w:pPr>
          </w:p>
        </w:tc>
        <w:tc>
          <w:tcPr>
            <w:tcW w:w="2567" w:type="dxa"/>
            <w:vAlign w:val="center"/>
          </w:tcPr>
          <w:p w14:paraId="1CC1B342">
            <w:pPr>
              <w:spacing w:line="360" w:lineRule="auto"/>
              <w:jc w:val="center"/>
              <w:rPr>
                <w:rFonts w:ascii="黑体" w:hAnsi="黑体" w:eastAsia="黑体"/>
                <w:szCs w:val="21"/>
              </w:rPr>
            </w:pPr>
          </w:p>
        </w:tc>
        <w:tc>
          <w:tcPr>
            <w:tcW w:w="2700" w:type="dxa"/>
            <w:vAlign w:val="center"/>
          </w:tcPr>
          <w:p w14:paraId="385ACAFC">
            <w:pPr>
              <w:spacing w:line="360" w:lineRule="auto"/>
              <w:jc w:val="center"/>
              <w:rPr>
                <w:rFonts w:ascii="黑体" w:hAnsi="黑体" w:eastAsia="黑体"/>
                <w:szCs w:val="21"/>
              </w:rPr>
            </w:pPr>
          </w:p>
        </w:tc>
        <w:tc>
          <w:tcPr>
            <w:tcW w:w="1409" w:type="dxa"/>
            <w:vAlign w:val="center"/>
          </w:tcPr>
          <w:p w14:paraId="5E0659E9">
            <w:pPr>
              <w:spacing w:line="360" w:lineRule="auto"/>
              <w:jc w:val="center"/>
              <w:rPr>
                <w:rFonts w:ascii="黑体" w:hAnsi="黑体" w:eastAsia="黑体"/>
                <w:szCs w:val="21"/>
              </w:rPr>
            </w:pPr>
          </w:p>
        </w:tc>
        <w:tc>
          <w:tcPr>
            <w:tcW w:w="1030" w:type="dxa"/>
            <w:vAlign w:val="center"/>
          </w:tcPr>
          <w:p w14:paraId="64E33C3F">
            <w:pPr>
              <w:spacing w:line="360" w:lineRule="auto"/>
              <w:jc w:val="center"/>
              <w:rPr>
                <w:rFonts w:ascii="黑体" w:hAnsi="黑体" w:eastAsia="黑体"/>
                <w:szCs w:val="21"/>
              </w:rPr>
            </w:pPr>
          </w:p>
        </w:tc>
      </w:tr>
    </w:tbl>
    <w:p w14:paraId="55E45188">
      <w:pPr>
        <w:spacing w:beforeLines="50" w:line="360" w:lineRule="auto"/>
        <w:rPr>
          <w:rFonts w:ascii="黑体" w:hAnsi="黑体" w:eastAsia="黑体"/>
          <w:szCs w:val="21"/>
        </w:rPr>
      </w:pPr>
      <w:r>
        <w:rPr>
          <w:rFonts w:hint="eastAsia" w:ascii="黑体" w:hAnsi="黑体" w:eastAsia="黑体"/>
          <w:szCs w:val="21"/>
        </w:rPr>
        <w:t>注明：</w:t>
      </w:r>
    </w:p>
    <w:p w14:paraId="028E691F">
      <w:pPr>
        <w:pStyle w:val="32"/>
        <w:numPr>
          <w:ilvl w:val="0"/>
          <w:numId w:val="69"/>
        </w:numPr>
        <w:spacing w:line="360" w:lineRule="auto"/>
        <w:ind w:firstLineChars="0"/>
        <w:rPr>
          <w:rFonts w:ascii="黑体" w:hAnsi="黑体" w:eastAsia="黑体"/>
          <w:szCs w:val="21"/>
        </w:rPr>
      </w:pPr>
      <w:r>
        <w:rPr>
          <w:rFonts w:hint="eastAsia" w:ascii="黑体" w:hAnsi="黑体" w:eastAsia="黑体"/>
          <w:bCs/>
          <w:szCs w:val="21"/>
        </w:rPr>
        <w:t>偏离情况项填写“正”、“负”或“无”，说明项中填写原因。</w:t>
      </w:r>
    </w:p>
    <w:p w14:paraId="6E861FA9">
      <w:pPr>
        <w:pStyle w:val="32"/>
        <w:numPr>
          <w:ilvl w:val="0"/>
          <w:numId w:val="69"/>
        </w:numPr>
        <w:spacing w:line="360" w:lineRule="auto"/>
        <w:ind w:firstLineChars="0"/>
        <w:rPr>
          <w:rFonts w:ascii="黑体" w:hAnsi="黑体" w:eastAsia="黑体"/>
          <w:bCs/>
          <w:szCs w:val="21"/>
        </w:rPr>
      </w:pPr>
      <w:r>
        <w:rPr>
          <w:rFonts w:hint="eastAsia" w:ascii="黑体" w:hAnsi="黑体" w:eastAsia="黑体"/>
          <w:bCs/>
          <w:szCs w:val="21"/>
        </w:rPr>
        <w:t>投标人应按照招标文件要求，根据"用户需求书"商务内容及合同文本作出全面响应。对响应有偏离的，则说明偏离的内容。"用户需求书"商务内容中若有要求提供相关证明资料的，须按要求提供，否则视为负偏离。</w:t>
      </w:r>
    </w:p>
    <w:p w14:paraId="62E6F7A3">
      <w:pPr>
        <w:spacing w:line="360" w:lineRule="auto"/>
        <w:rPr>
          <w:rFonts w:ascii="黑体" w:hAnsi="黑体" w:eastAsia="黑体"/>
          <w:szCs w:val="21"/>
        </w:rPr>
      </w:pPr>
    </w:p>
    <w:p w14:paraId="6ECC18CE">
      <w:pPr>
        <w:spacing w:line="360" w:lineRule="auto"/>
        <w:rPr>
          <w:rFonts w:ascii="黑体" w:hAnsi="黑体" w:eastAsia="黑体"/>
          <w:szCs w:val="21"/>
        </w:rPr>
      </w:pPr>
    </w:p>
    <w:p w14:paraId="6AFEFB03">
      <w:pPr>
        <w:spacing w:line="360" w:lineRule="auto"/>
        <w:rPr>
          <w:rFonts w:ascii="黑体" w:hAnsi="黑体" w:eastAsia="黑体"/>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6A0A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160B9E1C">
            <w:pPr>
              <w:overflowPunct w:val="0"/>
              <w:adjustRightInd w:val="0"/>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4D901C46">
            <w:pPr>
              <w:spacing w:line="360" w:lineRule="auto"/>
              <w:rPr>
                <w:rFonts w:ascii="黑体" w:hAnsi="黑体" w:eastAsia="黑体"/>
                <w:szCs w:val="21"/>
              </w:rPr>
            </w:pPr>
          </w:p>
        </w:tc>
      </w:tr>
      <w:tr w14:paraId="5C7F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41A6EEB1">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5059BE99">
            <w:pPr>
              <w:spacing w:line="360" w:lineRule="auto"/>
              <w:rPr>
                <w:rFonts w:ascii="黑体" w:hAnsi="黑体" w:eastAsia="黑体"/>
                <w:szCs w:val="21"/>
              </w:rPr>
            </w:pPr>
          </w:p>
        </w:tc>
      </w:tr>
    </w:tbl>
    <w:p w14:paraId="2995E6E2">
      <w:pPr>
        <w:spacing w:line="360" w:lineRule="auto"/>
        <w:rPr>
          <w:rFonts w:ascii="黑体" w:hAnsi="黑体" w:eastAsia="黑体"/>
          <w:szCs w:val="21"/>
        </w:rPr>
      </w:pPr>
    </w:p>
    <w:p w14:paraId="0114952C">
      <w:pPr>
        <w:pStyle w:val="4"/>
        <w:pageBreakBefore/>
        <w:spacing w:before="160" w:after="160" w:line="415" w:lineRule="auto"/>
        <w:jc w:val="left"/>
        <w:rPr>
          <w:rStyle w:val="23"/>
          <w:rFonts w:ascii="黑体" w:hAnsi="黑体" w:eastAsia="黑体"/>
          <w:b/>
          <w:bCs w:val="0"/>
          <w:spacing w:val="12"/>
          <w:sz w:val="21"/>
        </w:rPr>
      </w:pPr>
      <w:bookmarkStart w:id="45" w:name="_Toc391627764"/>
      <w:bookmarkStart w:id="46" w:name="_Toc23715278"/>
      <w:bookmarkStart w:id="47" w:name="_Toc405313969"/>
      <w:r>
        <w:rPr>
          <w:rStyle w:val="23"/>
          <w:rFonts w:hint="eastAsia" w:ascii="黑体" w:hAnsi="黑体" w:eastAsia="黑体"/>
          <w:b/>
          <w:bCs w:val="0"/>
          <w:spacing w:val="12"/>
          <w:sz w:val="21"/>
        </w:rPr>
        <w:t>附件6  资格申明</w:t>
      </w:r>
      <w:bookmarkEnd w:id="45"/>
      <w:bookmarkEnd w:id="46"/>
      <w:bookmarkEnd w:id="47"/>
    </w:p>
    <w:p w14:paraId="72DB315A">
      <w:pPr>
        <w:spacing w:afterLines="100" w:line="360" w:lineRule="auto"/>
        <w:jc w:val="center"/>
        <w:rPr>
          <w:rFonts w:ascii="黑体" w:hAnsi="黑体" w:eastAsia="黑体"/>
          <w:b/>
          <w:spacing w:val="20"/>
          <w:sz w:val="28"/>
          <w:szCs w:val="28"/>
        </w:rPr>
      </w:pPr>
      <w:r>
        <w:rPr>
          <w:rFonts w:hint="eastAsia" w:ascii="黑体" w:hAnsi="黑体" w:eastAsia="黑体"/>
          <w:b/>
          <w:spacing w:val="20"/>
          <w:sz w:val="28"/>
          <w:szCs w:val="28"/>
        </w:rPr>
        <w:t>资格申明</w:t>
      </w:r>
    </w:p>
    <w:p w14:paraId="366B5BA9">
      <w:pPr>
        <w:spacing w:afterLines="100" w:line="360" w:lineRule="auto"/>
        <w:rPr>
          <w:rFonts w:ascii="黑体" w:hAnsi="黑体" w:eastAsia="黑体"/>
          <w:b/>
          <w:szCs w:val="21"/>
        </w:rPr>
      </w:pPr>
      <w:r>
        <w:rPr>
          <w:rFonts w:hint="eastAsia" w:ascii="黑体" w:hAnsi="黑体" w:eastAsia="黑体"/>
          <w:b/>
          <w:szCs w:val="21"/>
        </w:rPr>
        <w:t>致东莞市财政局南城分局：</w:t>
      </w:r>
    </w:p>
    <w:p w14:paraId="6EF993F4">
      <w:pPr>
        <w:spacing w:line="360" w:lineRule="auto"/>
        <w:ind w:firstLine="420" w:firstLineChars="200"/>
        <w:rPr>
          <w:rFonts w:ascii="黑体" w:hAnsi="黑体" w:eastAsia="黑体"/>
          <w:szCs w:val="21"/>
        </w:rPr>
      </w:pPr>
      <w:r>
        <w:rPr>
          <w:rFonts w:hint="eastAsia" w:ascii="黑体" w:hAnsi="黑体" w:eastAsia="黑体"/>
          <w:szCs w:val="21"/>
        </w:rPr>
        <w:t>我方</w:t>
      </w:r>
      <w:r>
        <w:rPr>
          <w:rFonts w:ascii="黑体" w:hAnsi="黑体" w:eastAsia="黑体"/>
          <w:szCs w:val="21"/>
        </w:rPr>
        <w:t>愿响应</w:t>
      </w:r>
      <w:r>
        <w:rPr>
          <w:rFonts w:hint="eastAsia" w:ascii="黑体" w:hAnsi="黑体" w:eastAsia="黑体"/>
          <w:szCs w:val="21"/>
        </w:rPr>
        <w:t>贵</w:t>
      </w:r>
      <w:r>
        <w:rPr>
          <w:rFonts w:ascii="黑体" w:hAnsi="黑体" w:eastAsia="黑体"/>
          <w:szCs w:val="21"/>
        </w:rPr>
        <w:t>方</w:t>
      </w:r>
      <w:r>
        <w:rPr>
          <w:rFonts w:hint="eastAsia" w:ascii="黑体" w:hAnsi="黑体" w:eastAsia="黑体"/>
          <w:szCs w:val="21"/>
        </w:rPr>
        <w:t>关于</w:t>
      </w:r>
      <w:r>
        <w:rPr>
          <w:rFonts w:hint="eastAsia" w:ascii="黑体" w:hAnsi="黑体" w:eastAsia="黑体"/>
          <w:szCs w:val="21"/>
          <w:u w:val="single"/>
        </w:rPr>
        <w:t xml:space="preserve">    （</w:t>
      </w:r>
      <w:r>
        <w:rPr>
          <w:rFonts w:hint="eastAsia" w:ascii="黑体" w:hAnsi="黑体" w:eastAsia="黑体"/>
          <w:b/>
          <w:szCs w:val="21"/>
          <w:u w:val="single"/>
        </w:rPr>
        <w:t>项目名称</w:t>
      </w:r>
      <w:r>
        <w:rPr>
          <w:rFonts w:hint="eastAsia" w:ascii="黑体" w:hAnsi="黑体" w:eastAsia="黑体"/>
          <w:szCs w:val="21"/>
          <w:u w:val="single"/>
        </w:rPr>
        <w:t xml:space="preserve">）    </w:t>
      </w:r>
      <w:r>
        <w:rPr>
          <w:rFonts w:ascii="黑体" w:hAnsi="黑体" w:eastAsia="黑体"/>
          <w:szCs w:val="21"/>
        </w:rPr>
        <w:t>（</w:t>
      </w:r>
      <w:r>
        <w:rPr>
          <w:rFonts w:hint="eastAsia" w:ascii="黑体" w:hAnsi="黑体" w:eastAsia="黑体"/>
          <w:szCs w:val="21"/>
        </w:rPr>
        <w:t>项目</w:t>
      </w:r>
      <w:r>
        <w:rPr>
          <w:rFonts w:ascii="黑体" w:hAnsi="黑体" w:eastAsia="黑体"/>
          <w:szCs w:val="21"/>
        </w:rPr>
        <w:t>编号</w:t>
      </w:r>
      <w:r>
        <w:rPr>
          <w:rFonts w:hint="eastAsia" w:ascii="黑体" w:hAnsi="黑体" w:eastAsia="黑体"/>
          <w:szCs w:val="21"/>
        </w:rPr>
        <w:t>：</w:t>
      </w:r>
      <w:r>
        <w:rPr>
          <w:rFonts w:hint="eastAsia" w:ascii="黑体" w:hAnsi="黑体" w:eastAsia="黑体"/>
          <w:szCs w:val="21"/>
          <w:u w:val="single"/>
        </w:rPr>
        <w:t xml:space="preserve">         </w:t>
      </w:r>
      <w:r>
        <w:rPr>
          <w:rFonts w:hint="eastAsia" w:ascii="黑体" w:hAnsi="黑体" w:eastAsia="黑体"/>
          <w:szCs w:val="21"/>
        </w:rPr>
        <w:t>）的</w:t>
      </w:r>
      <w:r>
        <w:rPr>
          <w:rFonts w:ascii="黑体" w:hAnsi="黑体" w:eastAsia="黑体"/>
          <w:szCs w:val="21"/>
        </w:rPr>
        <w:t>投标邀请，参与投标，</w:t>
      </w:r>
      <w:r>
        <w:rPr>
          <w:rFonts w:hint="eastAsia" w:ascii="黑体" w:hAnsi="黑体" w:eastAsia="黑体"/>
          <w:szCs w:val="21"/>
        </w:rPr>
        <w:t>提供用户需求书中规定的货物及相关服务，并按招标文件要求提交所附资格文件且声明和保证如下：</w:t>
      </w:r>
    </w:p>
    <w:p w14:paraId="463F4F6B">
      <w:pPr>
        <w:spacing w:line="360" w:lineRule="auto"/>
        <w:ind w:firstLine="420" w:firstLineChars="200"/>
        <w:rPr>
          <w:rFonts w:ascii="黑体" w:hAnsi="黑体" w:eastAsia="黑体"/>
          <w:szCs w:val="21"/>
        </w:rPr>
      </w:pPr>
      <w:r>
        <w:rPr>
          <w:rFonts w:hint="eastAsia" w:ascii="黑体" w:hAnsi="黑体" w:eastAsia="黑体"/>
          <w:szCs w:val="21"/>
        </w:rPr>
        <w:t>一、本公司（企业）具备《中华人民共和国</w:t>
      </w:r>
      <w:r>
        <w:rPr>
          <w:rFonts w:hint="eastAsia" w:ascii="黑体" w:hAnsi="黑体" w:eastAsia="黑体"/>
          <w:szCs w:val="21"/>
          <w:lang w:eastAsia="zh-CN"/>
        </w:rPr>
        <w:t>政府</w:t>
      </w:r>
      <w:r>
        <w:rPr>
          <w:rFonts w:hint="eastAsia" w:ascii="黑体" w:hAnsi="黑体" w:eastAsia="黑体"/>
          <w:szCs w:val="21"/>
        </w:rPr>
        <w:t>采购法》第二十二条规定的条件：</w:t>
      </w:r>
    </w:p>
    <w:p w14:paraId="7FC17A05">
      <w:pPr>
        <w:spacing w:line="360" w:lineRule="auto"/>
        <w:ind w:firstLine="420" w:firstLineChars="200"/>
        <w:rPr>
          <w:rFonts w:ascii="黑体" w:hAnsi="黑体" w:eastAsia="黑体"/>
          <w:szCs w:val="21"/>
        </w:rPr>
      </w:pPr>
      <w:r>
        <w:rPr>
          <w:rFonts w:hint="eastAsia" w:ascii="黑体" w:hAnsi="黑体" w:eastAsia="黑体"/>
          <w:szCs w:val="21"/>
        </w:rPr>
        <w:t>1）具有独立承担民事责任的能力；</w:t>
      </w:r>
    </w:p>
    <w:p w14:paraId="0EE7B7DD">
      <w:pPr>
        <w:spacing w:line="360" w:lineRule="auto"/>
        <w:ind w:firstLine="420" w:firstLineChars="200"/>
        <w:rPr>
          <w:rFonts w:ascii="黑体" w:hAnsi="黑体" w:eastAsia="黑体"/>
          <w:szCs w:val="21"/>
        </w:rPr>
      </w:pPr>
      <w:r>
        <w:rPr>
          <w:rFonts w:hint="eastAsia" w:ascii="黑体" w:hAnsi="黑体" w:eastAsia="黑体"/>
          <w:szCs w:val="21"/>
        </w:rPr>
        <w:t>2）具有良好的商业信誉和健全的财务会计制度；</w:t>
      </w:r>
    </w:p>
    <w:p w14:paraId="6E8B6FD0">
      <w:pPr>
        <w:spacing w:line="360" w:lineRule="auto"/>
        <w:ind w:firstLine="420" w:firstLineChars="200"/>
        <w:rPr>
          <w:rFonts w:ascii="黑体" w:hAnsi="黑体" w:eastAsia="黑体"/>
          <w:szCs w:val="21"/>
        </w:rPr>
      </w:pPr>
      <w:r>
        <w:rPr>
          <w:rFonts w:hint="eastAsia" w:ascii="黑体" w:hAnsi="黑体" w:eastAsia="黑体"/>
          <w:szCs w:val="21"/>
        </w:rPr>
        <w:t>3）具有履行合同所必需的设备和专业技术能力；</w:t>
      </w:r>
    </w:p>
    <w:p w14:paraId="4D0066F9">
      <w:pPr>
        <w:spacing w:line="360" w:lineRule="auto"/>
        <w:ind w:firstLine="420" w:firstLineChars="200"/>
        <w:rPr>
          <w:rFonts w:ascii="黑体" w:hAnsi="黑体" w:eastAsia="黑体"/>
          <w:szCs w:val="21"/>
        </w:rPr>
      </w:pPr>
      <w:r>
        <w:rPr>
          <w:rFonts w:hint="eastAsia" w:ascii="黑体" w:hAnsi="黑体" w:eastAsia="黑体"/>
          <w:szCs w:val="21"/>
        </w:rPr>
        <w:t>4）有依法缴纳税收和社会保障资金的良好记录；</w:t>
      </w:r>
    </w:p>
    <w:p w14:paraId="10F70619">
      <w:pPr>
        <w:spacing w:line="360" w:lineRule="auto"/>
        <w:ind w:firstLine="420" w:firstLineChars="200"/>
        <w:rPr>
          <w:rFonts w:ascii="黑体" w:hAnsi="黑体" w:eastAsia="黑体"/>
          <w:szCs w:val="21"/>
        </w:rPr>
      </w:pPr>
      <w:r>
        <w:rPr>
          <w:rFonts w:hint="eastAsia" w:ascii="黑体" w:hAnsi="黑体" w:eastAsia="黑体"/>
          <w:szCs w:val="21"/>
        </w:rPr>
        <w:t>5）参加采购活动前三年内，在经营活动中没有重大违法记录；</w:t>
      </w:r>
    </w:p>
    <w:p w14:paraId="02A642E5">
      <w:pPr>
        <w:spacing w:line="360" w:lineRule="auto"/>
        <w:ind w:firstLine="420" w:firstLineChars="200"/>
        <w:rPr>
          <w:rFonts w:ascii="黑体" w:hAnsi="黑体" w:eastAsia="黑体"/>
          <w:szCs w:val="21"/>
        </w:rPr>
      </w:pPr>
      <w:r>
        <w:rPr>
          <w:rFonts w:hint="eastAsia" w:ascii="黑体" w:hAnsi="黑体" w:eastAsia="黑体"/>
          <w:szCs w:val="21"/>
        </w:rPr>
        <w:t>6）法律、行政法规规定的其他条件。</w:t>
      </w:r>
    </w:p>
    <w:p w14:paraId="2CFA1BEA">
      <w:pPr>
        <w:spacing w:line="360" w:lineRule="auto"/>
        <w:ind w:firstLine="420" w:firstLineChars="200"/>
        <w:rPr>
          <w:rFonts w:ascii="黑体" w:hAnsi="黑体" w:eastAsia="黑体"/>
          <w:szCs w:val="21"/>
        </w:rPr>
      </w:pPr>
      <w:r>
        <w:rPr>
          <w:rFonts w:hint="eastAsia" w:ascii="黑体" w:hAnsi="黑体" w:eastAsia="黑体"/>
          <w:szCs w:val="21"/>
        </w:rPr>
        <w:t>二、本公司（企业）如为采购项目提供整体设计、规范编制或者项目管理、监理、检测等服务的银行，不再参加该采购项目的采购活动。</w:t>
      </w:r>
    </w:p>
    <w:p w14:paraId="768D9B98">
      <w:pPr>
        <w:spacing w:line="360" w:lineRule="auto"/>
        <w:ind w:firstLine="420" w:firstLineChars="200"/>
        <w:rPr>
          <w:rFonts w:ascii="黑体" w:hAnsi="黑体" w:eastAsia="黑体"/>
          <w:szCs w:val="21"/>
        </w:rPr>
      </w:pPr>
      <w:r>
        <w:rPr>
          <w:rFonts w:hint="eastAsia" w:ascii="黑体" w:hAnsi="黑体" w:eastAsia="黑体"/>
          <w:szCs w:val="21"/>
        </w:rPr>
        <w:t>三、我方承诺单位负责人为同一人或者存在直接控股、管理关系的不同银行，不得同时参加本采购项目投标。</w:t>
      </w:r>
    </w:p>
    <w:p w14:paraId="12E29E64">
      <w:pPr>
        <w:spacing w:line="360" w:lineRule="auto"/>
        <w:ind w:firstLine="420" w:firstLineChars="200"/>
        <w:rPr>
          <w:rFonts w:ascii="黑体" w:hAnsi="黑体" w:eastAsia="黑体"/>
          <w:szCs w:val="21"/>
        </w:rPr>
      </w:pPr>
      <w:r>
        <w:rPr>
          <w:rFonts w:hint="eastAsia" w:ascii="黑体" w:hAnsi="黑体" w:eastAsia="黑体"/>
          <w:szCs w:val="21"/>
        </w:rPr>
        <w:t>本公司（企业）承诺在本次招标采购活动中，如有违法、违规、弄虚作假行为，所造成的损失、不良后果及法律责任，一律由我公司（企业）承担。</w:t>
      </w:r>
    </w:p>
    <w:p w14:paraId="0E68A995">
      <w:pPr>
        <w:spacing w:line="360" w:lineRule="auto"/>
        <w:ind w:firstLine="420" w:firstLineChars="200"/>
        <w:rPr>
          <w:rFonts w:ascii="黑体" w:hAnsi="黑体" w:eastAsia="黑体"/>
          <w:szCs w:val="21"/>
        </w:rPr>
      </w:pPr>
      <w:r>
        <w:rPr>
          <w:rFonts w:hint="eastAsia" w:ascii="黑体" w:hAnsi="黑体" w:eastAsia="黑体"/>
          <w:szCs w:val="21"/>
        </w:rPr>
        <w:t>特此声明！</w:t>
      </w:r>
    </w:p>
    <w:p w14:paraId="120E3A07">
      <w:pPr>
        <w:spacing w:line="360" w:lineRule="auto"/>
        <w:ind w:firstLine="420" w:firstLineChars="200"/>
        <w:rPr>
          <w:rFonts w:ascii="黑体" w:hAnsi="黑体" w:eastAsia="黑体"/>
          <w:szCs w:val="21"/>
        </w:rPr>
      </w:pPr>
      <w:r>
        <w:rPr>
          <w:rFonts w:hint="eastAsia" w:ascii="黑体" w:hAnsi="黑体" w:eastAsia="黑体"/>
          <w:szCs w:val="21"/>
        </w:rPr>
        <w:t>备注：1.本声明函必须提供且内容不得擅自删改，否则视为无效投标。</w:t>
      </w:r>
    </w:p>
    <w:p w14:paraId="25710DA7">
      <w:pPr>
        <w:spacing w:line="360" w:lineRule="auto"/>
        <w:ind w:firstLine="1050" w:firstLineChars="500"/>
        <w:rPr>
          <w:rFonts w:ascii="黑体" w:hAnsi="黑体" w:eastAsia="黑体"/>
          <w:szCs w:val="21"/>
        </w:rPr>
      </w:pPr>
      <w:r>
        <w:rPr>
          <w:rFonts w:hint="eastAsia" w:ascii="黑体" w:hAnsi="黑体" w:eastAsia="黑体"/>
          <w:szCs w:val="21"/>
        </w:rPr>
        <w:t>2.本声明函如有虚假或与事实不符的，作无效投标处理。</w:t>
      </w:r>
    </w:p>
    <w:p w14:paraId="4A8E526F">
      <w:pPr>
        <w:spacing w:line="360" w:lineRule="auto"/>
        <w:rPr>
          <w:rFonts w:ascii="黑体" w:hAnsi="黑体" w:eastAsia="黑体"/>
          <w:szCs w:val="21"/>
        </w:rPr>
      </w:pPr>
    </w:p>
    <w:p w14:paraId="07CB0DC4">
      <w:pPr>
        <w:spacing w:line="360" w:lineRule="auto"/>
        <w:rPr>
          <w:rFonts w:ascii="黑体" w:hAnsi="黑体" w:eastAsia="黑体"/>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719E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5376FC3B">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23FAEAA7">
            <w:pPr>
              <w:spacing w:line="360" w:lineRule="auto"/>
              <w:rPr>
                <w:rFonts w:ascii="黑体" w:hAnsi="黑体" w:eastAsia="黑体"/>
                <w:szCs w:val="21"/>
              </w:rPr>
            </w:pPr>
          </w:p>
        </w:tc>
      </w:tr>
      <w:tr w14:paraId="15D5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053EA398">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3D30165D">
            <w:pPr>
              <w:spacing w:line="360" w:lineRule="auto"/>
              <w:rPr>
                <w:rFonts w:ascii="黑体" w:hAnsi="黑体" w:eastAsia="黑体"/>
                <w:szCs w:val="21"/>
              </w:rPr>
            </w:pPr>
          </w:p>
        </w:tc>
      </w:tr>
    </w:tbl>
    <w:p w14:paraId="67A5B6D8">
      <w:pPr>
        <w:pStyle w:val="4"/>
        <w:pageBreakBefore/>
        <w:spacing w:line="415" w:lineRule="auto"/>
        <w:jc w:val="left"/>
        <w:rPr>
          <w:rStyle w:val="23"/>
          <w:rFonts w:ascii="黑体" w:hAnsi="黑体" w:eastAsia="黑体"/>
          <w:b/>
          <w:bCs w:val="0"/>
          <w:spacing w:val="10"/>
          <w:sz w:val="21"/>
        </w:rPr>
      </w:pPr>
      <w:bookmarkStart w:id="48" w:name="_Toc405313970"/>
      <w:bookmarkStart w:id="49" w:name="_Toc391627766"/>
      <w:bookmarkStart w:id="50" w:name="_Toc23715279"/>
      <w:r>
        <w:rPr>
          <w:rStyle w:val="23"/>
          <w:rFonts w:hint="eastAsia" w:ascii="黑体" w:hAnsi="黑体" w:eastAsia="黑体"/>
          <w:b/>
          <w:bCs w:val="0"/>
          <w:spacing w:val="10"/>
          <w:sz w:val="21"/>
        </w:rPr>
        <w:t>附件</w:t>
      </w:r>
      <w:bookmarkEnd w:id="48"/>
      <w:bookmarkEnd w:id="49"/>
      <w:r>
        <w:rPr>
          <w:rStyle w:val="23"/>
          <w:rFonts w:hint="eastAsia" w:ascii="黑体" w:hAnsi="黑体" w:eastAsia="黑体"/>
          <w:b/>
          <w:bCs w:val="0"/>
          <w:spacing w:val="10"/>
          <w:sz w:val="21"/>
        </w:rPr>
        <w:t>7 在经营活动中没有重大违法记录的书面声明</w:t>
      </w:r>
      <w:bookmarkEnd w:id="50"/>
    </w:p>
    <w:p w14:paraId="7FA6626B">
      <w:pPr>
        <w:spacing w:beforeLines="200" w:afterLines="100" w:line="360" w:lineRule="auto"/>
        <w:jc w:val="center"/>
        <w:rPr>
          <w:rFonts w:ascii="黑体" w:hAnsi="黑体" w:eastAsia="黑体"/>
          <w:b/>
          <w:sz w:val="28"/>
          <w:szCs w:val="28"/>
        </w:rPr>
      </w:pPr>
      <w:r>
        <w:rPr>
          <w:rFonts w:hint="eastAsia" w:ascii="黑体" w:hAnsi="黑体" w:eastAsia="黑体"/>
          <w:b/>
          <w:sz w:val="28"/>
          <w:szCs w:val="28"/>
        </w:rPr>
        <w:t>在经营活动中没有重大违法记录的书面声明</w:t>
      </w:r>
    </w:p>
    <w:p w14:paraId="7B5EC3D4">
      <w:pPr>
        <w:spacing w:afterLines="100" w:line="360" w:lineRule="auto"/>
        <w:rPr>
          <w:rFonts w:ascii="黑体" w:hAnsi="黑体" w:eastAsia="黑体"/>
          <w:b/>
          <w:szCs w:val="21"/>
        </w:rPr>
      </w:pPr>
      <w:r>
        <w:rPr>
          <w:rFonts w:hint="eastAsia" w:ascii="黑体" w:hAnsi="黑体" w:eastAsia="黑体"/>
          <w:b/>
          <w:szCs w:val="21"/>
        </w:rPr>
        <w:t>致</w:t>
      </w:r>
      <w:r>
        <w:rPr>
          <w:rFonts w:hint="eastAsia" w:ascii="黑体" w:hAnsi="黑体" w:eastAsia="黑体"/>
          <w:b/>
        </w:rPr>
        <w:t>东莞市财政局南城分局</w:t>
      </w:r>
      <w:r>
        <w:rPr>
          <w:rFonts w:hint="eastAsia" w:ascii="黑体" w:hAnsi="黑体" w:eastAsia="黑体"/>
          <w:b/>
          <w:szCs w:val="21"/>
        </w:rPr>
        <w:t>：</w:t>
      </w:r>
    </w:p>
    <w:p w14:paraId="44EA8109">
      <w:pPr>
        <w:spacing w:line="360" w:lineRule="auto"/>
        <w:ind w:firstLine="420" w:firstLineChars="200"/>
        <w:rPr>
          <w:rFonts w:ascii="黑体" w:hAnsi="黑体" w:eastAsia="黑体"/>
          <w:szCs w:val="21"/>
        </w:rPr>
      </w:pPr>
      <w:r>
        <w:rPr>
          <w:rFonts w:hint="eastAsia" w:ascii="黑体" w:hAnsi="黑体" w:eastAsia="黑体"/>
          <w:szCs w:val="21"/>
        </w:rPr>
        <w:t>本公司参加</w:t>
      </w:r>
      <w:r>
        <w:rPr>
          <w:rFonts w:hint="eastAsia" w:ascii="黑体" w:hAnsi="黑体" w:eastAsia="黑体"/>
          <w:szCs w:val="21"/>
          <w:u w:val="single"/>
        </w:rPr>
        <w:t xml:space="preserve">      （</w:t>
      </w:r>
      <w:r>
        <w:rPr>
          <w:rFonts w:hint="eastAsia" w:ascii="黑体" w:hAnsi="黑体" w:eastAsia="黑体"/>
          <w:b/>
          <w:szCs w:val="21"/>
          <w:u w:val="single"/>
        </w:rPr>
        <w:t>项目名称</w:t>
      </w:r>
      <w:r>
        <w:rPr>
          <w:rFonts w:hint="eastAsia" w:ascii="黑体" w:hAnsi="黑体" w:eastAsia="黑体"/>
          <w:szCs w:val="21"/>
          <w:u w:val="single"/>
        </w:rPr>
        <w:t xml:space="preserve">）      </w:t>
      </w:r>
      <w:r>
        <w:rPr>
          <w:rFonts w:hint="eastAsia" w:ascii="黑体" w:hAnsi="黑体" w:eastAsia="黑体"/>
          <w:szCs w:val="21"/>
        </w:rPr>
        <w:t>（项目编号：</w:t>
      </w:r>
      <w:r>
        <w:rPr>
          <w:rFonts w:hint="eastAsia" w:ascii="黑体" w:hAnsi="黑体" w:eastAsia="黑体"/>
          <w:szCs w:val="21"/>
          <w:u w:val="single"/>
        </w:rPr>
        <w:t xml:space="preserve">             </w:t>
      </w:r>
      <w:r>
        <w:rPr>
          <w:rFonts w:hint="eastAsia" w:ascii="黑体" w:hAnsi="黑体" w:eastAsia="黑体"/>
          <w:szCs w:val="21"/>
        </w:rPr>
        <w:t>）的采购活动，并声明：</w:t>
      </w:r>
    </w:p>
    <w:p w14:paraId="58FB40F2">
      <w:pPr>
        <w:spacing w:line="360" w:lineRule="auto"/>
        <w:ind w:firstLine="420" w:firstLineChars="200"/>
        <w:rPr>
          <w:rFonts w:ascii="黑体" w:hAnsi="黑体" w:eastAsia="黑体"/>
          <w:szCs w:val="21"/>
        </w:rPr>
      </w:pPr>
      <w:r>
        <w:rPr>
          <w:rFonts w:hint="eastAsia" w:ascii="黑体" w:hAnsi="黑体" w:eastAsia="黑体"/>
          <w:szCs w:val="21"/>
        </w:rPr>
        <w:t>本公司参加本采购项目活动前</w:t>
      </w:r>
      <w:r>
        <w:rPr>
          <w:rFonts w:hint="eastAsia" w:ascii="黑体" w:hAnsi="黑体" w:eastAsia="黑体"/>
          <w:szCs w:val="21"/>
          <w:u w:val="single"/>
        </w:rPr>
        <w:t xml:space="preserve">   （</w:t>
      </w:r>
      <w:r>
        <w:rPr>
          <w:rFonts w:hint="eastAsia" w:ascii="黑体" w:hAnsi="黑体" w:eastAsia="黑体"/>
          <w:b/>
          <w:szCs w:val="21"/>
          <w:u w:val="single"/>
        </w:rPr>
        <w:t>详见合格投标人资格要求</w:t>
      </w:r>
      <w:r>
        <w:rPr>
          <w:rFonts w:hint="eastAsia" w:ascii="黑体" w:hAnsi="黑体" w:eastAsia="黑体"/>
          <w:szCs w:val="21"/>
          <w:u w:val="single"/>
        </w:rPr>
        <w:t xml:space="preserve">）   </w:t>
      </w:r>
      <w:r>
        <w:rPr>
          <w:rFonts w:hint="eastAsia" w:ascii="黑体" w:hAnsi="黑体" w:eastAsia="黑体"/>
          <w:szCs w:val="21"/>
        </w:rPr>
        <w:t>年内在经营活动中没有因违法经营受到刑事处罚或者责令停产停业、吊销许可证或者执照、较大数额罚款等行政处罚。</w:t>
      </w:r>
    </w:p>
    <w:p w14:paraId="0ED60CEC">
      <w:pPr>
        <w:spacing w:beforeLines="100" w:afterLines="100" w:line="360" w:lineRule="auto"/>
        <w:ind w:firstLine="420" w:firstLineChars="200"/>
        <w:rPr>
          <w:rFonts w:ascii="黑体" w:hAnsi="黑体" w:eastAsia="黑体"/>
          <w:szCs w:val="21"/>
        </w:rPr>
      </w:pPr>
      <w:r>
        <w:rPr>
          <w:rFonts w:hint="eastAsia" w:ascii="黑体" w:hAnsi="黑体" w:eastAsia="黑体"/>
          <w:szCs w:val="21"/>
        </w:rPr>
        <w:t>特此声明！</w:t>
      </w:r>
    </w:p>
    <w:p w14:paraId="29157770">
      <w:pPr>
        <w:spacing w:line="360" w:lineRule="auto"/>
        <w:rPr>
          <w:rFonts w:ascii="黑体" w:hAnsi="黑体" w:eastAsia="黑体"/>
          <w:szCs w:val="21"/>
        </w:rPr>
      </w:pPr>
    </w:p>
    <w:p w14:paraId="5BE17B70">
      <w:pPr>
        <w:spacing w:line="360" w:lineRule="auto"/>
        <w:rPr>
          <w:rFonts w:ascii="黑体" w:hAnsi="黑体" w:eastAsia="黑体"/>
          <w:szCs w:val="21"/>
        </w:rPr>
      </w:pPr>
    </w:p>
    <w:p w14:paraId="4F3D3899">
      <w:pPr>
        <w:spacing w:line="360" w:lineRule="auto"/>
        <w:rPr>
          <w:rFonts w:ascii="黑体" w:hAnsi="黑体" w:eastAsia="黑体"/>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1C70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07246C3F">
            <w:pPr>
              <w:overflowPunct w:val="0"/>
              <w:adjustRightInd w:val="0"/>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6D26B654">
            <w:pPr>
              <w:spacing w:line="360" w:lineRule="auto"/>
              <w:rPr>
                <w:rFonts w:ascii="黑体" w:hAnsi="黑体" w:eastAsia="黑体"/>
                <w:szCs w:val="21"/>
              </w:rPr>
            </w:pPr>
          </w:p>
        </w:tc>
      </w:tr>
      <w:tr w14:paraId="689D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5AD799C3">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5BD5A772">
            <w:pPr>
              <w:spacing w:line="360" w:lineRule="auto"/>
              <w:rPr>
                <w:rFonts w:ascii="黑体" w:hAnsi="黑体" w:eastAsia="黑体"/>
                <w:szCs w:val="21"/>
              </w:rPr>
            </w:pPr>
          </w:p>
        </w:tc>
      </w:tr>
    </w:tbl>
    <w:p w14:paraId="66BC17B8">
      <w:pPr>
        <w:spacing w:line="360" w:lineRule="auto"/>
        <w:rPr>
          <w:rFonts w:ascii="黑体" w:hAnsi="黑体" w:eastAsia="黑体"/>
          <w:szCs w:val="21"/>
        </w:rPr>
      </w:pPr>
    </w:p>
    <w:p w14:paraId="1AAB46CE">
      <w:pPr>
        <w:pStyle w:val="32"/>
        <w:pageBreakBefore/>
        <w:numPr>
          <w:ilvl w:val="0"/>
          <w:numId w:val="64"/>
        </w:numPr>
        <w:spacing w:line="360" w:lineRule="auto"/>
        <w:ind w:firstLineChars="0"/>
        <w:rPr>
          <w:rFonts w:ascii="黑体" w:hAnsi="黑体" w:eastAsia="黑体"/>
          <w:b/>
          <w:szCs w:val="21"/>
        </w:rPr>
      </w:pPr>
      <w:r>
        <w:rPr>
          <w:rFonts w:hint="eastAsia" w:ascii="黑体" w:hAnsi="黑体" w:eastAsia="黑体"/>
          <w:b/>
          <w:szCs w:val="21"/>
        </w:rPr>
        <w:t>唱标信封</w:t>
      </w:r>
    </w:p>
    <w:p w14:paraId="53861D7D">
      <w:pPr>
        <w:pStyle w:val="32"/>
        <w:numPr>
          <w:ilvl w:val="0"/>
          <w:numId w:val="70"/>
        </w:numPr>
        <w:spacing w:beforeLines="100" w:afterLines="100" w:line="360" w:lineRule="auto"/>
        <w:ind w:firstLineChars="0"/>
        <w:jc w:val="left"/>
        <w:rPr>
          <w:rFonts w:ascii="黑体" w:hAnsi="黑体" w:eastAsia="黑体"/>
          <w:b/>
          <w:spacing w:val="20"/>
          <w:sz w:val="28"/>
          <w:szCs w:val="28"/>
        </w:rPr>
      </w:pPr>
      <w:r>
        <w:rPr>
          <w:rFonts w:hint="eastAsia" w:ascii="黑体" w:hAnsi="黑体" w:eastAsia="黑体"/>
          <w:b/>
          <w:spacing w:val="20"/>
          <w:sz w:val="28"/>
          <w:szCs w:val="28"/>
        </w:rPr>
        <w:t>唱标信封内装：</w:t>
      </w:r>
    </w:p>
    <w:p w14:paraId="184154CE">
      <w:pPr>
        <w:pStyle w:val="32"/>
        <w:numPr>
          <w:ilvl w:val="0"/>
          <w:numId w:val="71"/>
        </w:numPr>
        <w:spacing w:line="360" w:lineRule="auto"/>
        <w:ind w:firstLineChars="0"/>
        <w:rPr>
          <w:rFonts w:ascii="黑体" w:hAnsi="黑体" w:eastAsia="黑体"/>
          <w:szCs w:val="21"/>
        </w:rPr>
      </w:pPr>
      <w:r>
        <w:rPr>
          <w:rFonts w:hint="eastAsia" w:ascii="黑体" w:hAnsi="黑体" w:eastAsia="黑体"/>
          <w:szCs w:val="21"/>
        </w:rPr>
        <w:t>投标函加盖投标人公章；</w:t>
      </w:r>
    </w:p>
    <w:p w14:paraId="4D68C17A">
      <w:pPr>
        <w:pStyle w:val="32"/>
        <w:numPr>
          <w:ilvl w:val="0"/>
          <w:numId w:val="71"/>
        </w:numPr>
        <w:spacing w:line="360" w:lineRule="auto"/>
        <w:ind w:firstLineChars="0"/>
        <w:rPr>
          <w:rFonts w:ascii="黑体" w:hAnsi="黑体" w:eastAsia="黑体"/>
          <w:szCs w:val="21"/>
        </w:rPr>
      </w:pPr>
      <w:r>
        <w:rPr>
          <w:rFonts w:hint="eastAsia" w:ascii="黑体" w:hAnsi="黑体" w:eastAsia="黑体"/>
          <w:szCs w:val="21"/>
        </w:rPr>
        <w:t>法定(负责人)代表人证明书或法定(负责人)代表人授权委托书加盖投标人公章；</w:t>
      </w:r>
    </w:p>
    <w:p w14:paraId="181605AE">
      <w:pPr>
        <w:pStyle w:val="32"/>
        <w:numPr>
          <w:ilvl w:val="0"/>
          <w:numId w:val="71"/>
        </w:numPr>
        <w:spacing w:line="360" w:lineRule="auto"/>
        <w:ind w:firstLineChars="0"/>
        <w:rPr>
          <w:rFonts w:ascii="黑体" w:hAnsi="黑体" w:eastAsia="黑体"/>
          <w:szCs w:val="21"/>
        </w:rPr>
      </w:pPr>
      <w:r>
        <w:rPr>
          <w:rFonts w:hint="eastAsia" w:ascii="黑体" w:hAnsi="黑体" w:eastAsia="黑体"/>
          <w:szCs w:val="21"/>
        </w:rPr>
        <w:t>开标一览表加盖投标人公章；</w:t>
      </w:r>
    </w:p>
    <w:p w14:paraId="4A8B9243">
      <w:pPr>
        <w:pStyle w:val="32"/>
        <w:numPr>
          <w:ilvl w:val="0"/>
          <w:numId w:val="71"/>
        </w:numPr>
        <w:spacing w:line="360" w:lineRule="auto"/>
        <w:ind w:firstLineChars="0"/>
        <w:rPr>
          <w:rFonts w:ascii="黑体" w:hAnsi="黑体" w:eastAsia="黑体"/>
          <w:szCs w:val="21"/>
        </w:rPr>
      </w:pPr>
      <w:r>
        <w:rPr>
          <w:rFonts w:hint="eastAsia" w:ascii="黑体" w:hAnsi="黑体" w:eastAsia="黑体"/>
          <w:szCs w:val="21"/>
        </w:rPr>
        <w:t>电子文件（CD-R光盘或优盘）。</w:t>
      </w:r>
    </w:p>
    <w:p w14:paraId="362F71A9">
      <w:pPr>
        <w:spacing w:line="360" w:lineRule="auto"/>
        <w:rPr>
          <w:rFonts w:ascii="黑体" w:hAnsi="黑体" w:eastAsia="黑体"/>
          <w:szCs w:val="21"/>
        </w:rPr>
      </w:pPr>
    </w:p>
    <w:p w14:paraId="107FB0A3">
      <w:pPr>
        <w:spacing w:line="360" w:lineRule="auto"/>
        <w:rPr>
          <w:rFonts w:ascii="黑体" w:hAnsi="黑体" w:eastAsia="黑体"/>
          <w:szCs w:val="21"/>
        </w:rPr>
      </w:pPr>
    </w:p>
    <w:p w14:paraId="58014911">
      <w:pPr>
        <w:pStyle w:val="4"/>
        <w:pageBreakBefore/>
        <w:spacing w:before="160" w:after="160" w:line="415" w:lineRule="auto"/>
        <w:jc w:val="left"/>
        <w:rPr>
          <w:rStyle w:val="23"/>
          <w:rFonts w:ascii="黑体" w:hAnsi="黑体" w:eastAsia="黑体"/>
          <w:b/>
          <w:bCs w:val="0"/>
          <w:spacing w:val="12"/>
          <w:sz w:val="21"/>
        </w:rPr>
      </w:pPr>
      <w:bookmarkStart w:id="51" w:name="_Toc23715280"/>
      <w:r>
        <w:rPr>
          <w:rStyle w:val="23"/>
          <w:rFonts w:hint="eastAsia" w:ascii="黑体" w:hAnsi="黑体" w:eastAsia="黑体"/>
          <w:b/>
          <w:bCs w:val="0"/>
          <w:spacing w:val="12"/>
          <w:sz w:val="21"/>
        </w:rPr>
        <w:t>附件8  开标一览表</w:t>
      </w:r>
      <w:bookmarkEnd w:id="51"/>
    </w:p>
    <w:p w14:paraId="0AAD191E">
      <w:pPr>
        <w:spacing w:beforeLines="200" w:afterLines="100" w:line="360" w:lineRule="auto"/>
        <w:jc w:val="center"/>
        <w:rPr>
          <w:rFonts w:ascii="黑体" w:hAnsi="黑体" w:eastAsia="黑体"/>
          <w:b/>
          <w:spacing w:val="20"/>
          <w:sz w:val="28"/>
          <w:szCs w:val="28"/>
        </w:rPr>
      </w:pPr>
      <w:r>
        <w:rPr>
          <w:rFonts w:hint="eastAsia" w:ascii="黑体" w:hAnsi="黑体" w:eastAsia="黑体"/>
          <w:b/>
          <w:spacing w:val="20"/>
          <w:sz w:val="28"/>
          <w:szCs w:val="28"/>
        </w:rPr>
        <w:t>开标一览表</w:t>
      </w:r>
    </w:p>
    <w:tbl>
      <w:tblPr>
        <w:tblStyle w:val="20"/>
        <w:tblW w:w="91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711"/>
        <w:gridCol w:w="2005"/>
        <w:gridCol w:w="3703"/>
        <w:gridCol w:w="1064"/>
      </w:tblGrid>
      <w:tr w14:paraId="6D5A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72" w:type="dxa"/>
            <w:tcBorders>
              <w:top w:val="single" w:color="auto" w:sz="4" w:space="0"/>
              <w:left w:val="single" w:color="auto" w:sz="4" w:space="0"/>
              <w:right w:val="single" w:color="auto" w:sz="4" w:space="0"/>
            </w:tcBorders>
            <w:vAlign w:val="center"/>
          </w:tcPr>
          <w:p w14:paraId="44BC9E18">
            <w:pPr>
              <w:overflowPunct w:val="0"/>
              <w:adjustRightInd w:val="0"/>
              <w:spacing w:line="460" w:lineRule="exact"/>
              <w:jc w:val="center"/>
              <w:rPr>
                <w:rFonts w:ascii="黑体" w:hAnsi="黑体" w:eastAsia="黑体"/>
                <w:b/>
                <w:szCs w:val="21"/>
              </w:rPr>
            </w:pPr>
            <w:r>
              <w:rPr>
                <w:rFonts w:hint="eastAsia" w:ascii="黑体" w:hAnsi="黑体" w:eastAsia="黑体"/>
                <w:b/>
                <w:szCs w:val="21"/>
              </w:rPr>
              <w:t>序号</w:t>
            </w:r>
          </w:p>
        </w:tc>
        <w:tc>
          <w:tcPr>
            <w:tcW w:w="1711" w:type="dxa"/>
            <w:tcBorders>
              <w:top w:val="single" w:color="auto" w:sz="4" w:space="0"/>
              <w:left w:val="single" w:color="auto" w:sz="4" w:space="0"/>
              <w:right w:val="single" w:color="auto" w:sz="4" w:space="0"/>
            </w:tcBorders>
            <w:vAlign w:val="center"/>
          </w:tcPr>
          <w:p w14:paraId="0337A734">
            <w:pPr>
              <w:overflowPunct w:val="0"/>
              <w:adjustRightInd w:val="0"/>
              <w:spacing w:line="460" w:lineRule="exact"/>
              <w:jc w:val="center"/>
              <w:rPr>
                <w:rFonts w:ascii="黑体" w:hAnsi="黑体" w:eastAsia="黑体"/>
                <w:b/>
                <w:szCs w:val="21"/>
              </w:rPr>
            </w:pPr>
            <w:r>
              <w:rPr>
                <w:rFonts w:hint="eastAsia" w:ascii="黑体" w:hAnsi="黑体" w:eastAsia="黑体"/>
                <w:b/>
                <w:szCs w:val="21"/>
              </w:rPr>
              <w:t>项目名称及项目编号</w:t>
            </w:r>
          </w:p>
        </w:tc>
        <w:tc>
          <w:tcPr>
            <w:tcW w:w="2005" w:type="dxa"/>
            <w:tcBorders>
              <w:top w:val="single" w:color="auto" w:sz="4" w:space="0"/>
              <w:left w:val="single" w:color="auto" w:sz="4" w:space="0"/>
              <w:bottom w:val="single" w:color="auto" w:sz="4" w:space="0"/>
              <w:right w:val="single" w:color="auto" w:sz="4" w:space="0"/>
            </w:tcBorders>
            <w:vAlign w:val="center"/>
          </w:tcPr>
          <w:p w14:paraId="7D5D1E78">
            <w:pPr>
              <w:overflowPunct w:val="0"/>
              <w:adjustRightInd w:val="0"/>
              <w:spacing w:line="460" w:lineRule="exact"/>
              <w:jc w:val="center"/>
              <w:rPr>
                <w:rFonts w:hint="eastAsia" w:ascii="黑体" w:hAnsi="黑体" w:eastAsia="黑体"/>
                <w:b/>
                <w:szCs w:val="21"/>
                <w:lang w:eastAsia="zh-CN"/>
              </w:rPr>
            </w:pPr>
            <w:r>
              <w:rPr>
                <w:rFonts w:hint="eastAsia" w:ascii="黑体" w:hAnsi="黑体" w:eastAsia="黑体"/>
                <w:b/>
                <w:szCs w:val="21"/>
                <w:lang w:eastAsia="zh-CN"/>
              </w:rPr>
              <w:t>存期</w:t>
            </w:r>
          </w:p>
        </w:tc>
        <w:tc>
          <w:tcPr>
            <w:tcW w:w="3703" w:type="dxa"/>
            <w:tcBorders>
              <w:top w:val="single" w:color="auto" w:sz="4" w:space="0"/>
              <w:left w:val="single" w:color="auto" w:sz="4" w:space="0"/>
              <w:right w:val="single" w:color="auto" w:sz="4" w:space="0"/>
            </w:tcBorders>
            <w:vAlign w:val="center"/>
          </w:tcPr>
          <w:p w14:paraId="7E57BD39">
            <w:pPr>
              <w:overflowPunct w:val="0"/>
              <w:adjustRightInd w:val="0"/>
              <w:spacing w:line="460" w:lineRule="exact"/>
              <w:jc w:val="center"/>
              <w:rPr>
                <w:rFonts w:hint="eastAsia" w:ascii="黑体" w:hAnsi="黑体" w:eastAsia="黑体"/>
                <w:b/>
                <w:szCs w:val="21"/>
              </w:rPr>
            </w:pPr>
            <w:r>
              <w:rPr>
                <w:rFonts w:hint="eastAsia" w:ascii="黑体" w:hAnsi="黑体" w:eastAsia="黑体"/>
                <w:b/>
                <w:szCs w:val="21"/>
              </w:rPr>
              <w:t>利率水平</w:t>
            </w:r>
          </w:p>
        </w:tc>
        <w:tc>
          <w:tcPr>
            <w:tcW w:w="1064" w:type="dxa"/>
            <w:tcBorders>
              <w:top w:val="single" w:color="auto" w:sz="4" w:space="0"/>
              <w:left w:val="single" w:color="auto" w:sz="4" w:space="0"/>
              <w:right w:val="single" w:color="auto" w:sz="4" w:space="0"/>
            </w:tcBorders>
            <w:vAlign w:val="center"/>
          </w:tcPr>
          <w:p w14:paraId="48732A45">
            <w:pPr>
              <w:overflowPunct w:val="0"/>
              <w:adjustRightInd w:val="0"/>
              <w:spacing w:line="460" w:lineRule="exact"/>
              <w:jc w:val="center"/>
              <w:rPr>
                <w:rFonts w:ascii="黑体" w:hAnsi="黑体" w:eastAsia="黑体"/>
                <w:b/>
                <w:szCs w:val="21"/>
              </w:rPr>
            </w:pPr>
            <w:r>
              <w:rPr>
                <w:rFonts w:hint="eastAsia" w:ascii="黑体" w:hAnsi="黑体" w:eastAsia="黑体"/>
                <w:b/>
                <w:szCs w:val="21"/>
              </w:rPr>
              <w:t>备注</w:t>
            </w:r>
          </w:p>
        </w:tc>
      </w:tr>
      <w:tr w14:paraId="2C9FD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672" w:type="dxa"/>
            <w:vMerge w:val="restart"/>
            <w:tcBorders>
              <w:top w:val="single" w:color="auto" w:sz="4" w:space="0"/>
              <w:left w:val="single" w:color="auto" w:sz="4" w:space="0"/>
              <w:right w:val="single" w:color="auto" w:sz="4" w:space="0"/>
            </w:tcBorders>
            <w:vAlign w:val="center"/>
          </w:tcPr>
          <w:p w14:paraId="1B81E152">
            <w:pPr>
              <w:overflowPunct w:val="0"/>
              <w:adjustRightInd w:val="0"/>
              <w:spacing w:line="460" w:lineRule="exact"/>
              <w:jc w:val="center"/>
              <w:rPr>
                <w:rFonts w:ascii="黑体" w:hAnsi="黑体" w:eastAsia="黑体"/>
                <w:szCs w:val="21"/>
              </w:rPr>
            </w:pPr>
            <w:r>
              <w:rPr>
                <w:rFonts w:hint="eastAsia" w:ascii="黑体" w:hAnsi="黑体" w:eastAsia="黑体"/>
                <w:szCs w:val="21"/>
              </w:rPr>
              <w:t>1</w:t>
            </w:r>
          </w:p>
        </w:tc>
        <w:tc>
          <w:tcPr>
            <w:tcW w:w="1711" w:type="dxa"/>
            <w:vMerge w:val="restart"/>
            <w:tcBorders>
              <w:top w:val="single" w:color="auto" w:sz="4" w:space="0"/>
              <w:left w:val="single" w:color="auto" w:sz="4" w:space="0"/>
              <w:right w:val="single" w:color="auto" w:sz="4" w:space="0"/>
            </w:tcBorders>
            <w:vAlign w:val="center"/>
          </w:tcPr>
          <w:p w14:paraId="37CA0DE3">
            <w:pPr>
              <w:overflowPunct w:val="0"/>
              <w:adjustRightInd w:val="0"/>
              <w:spacing w:line="460" w:lineRule="exact"/>
              <w:jc w:val="center"/>
              <w:rPr>
                <w:rFonts w:hint="eastAsia" w:ascii="黑体" w:hAnsi="黑体" w:eastAsia="黑体"/>
                <w:szCs w:val="21"/>
                <w:lang w:eastAsia="zh-CN"/>
              </w:rPr>
            </w:pPr>
            <w:r>
              <w:rPr>
                <w:rFonts w:hint="eastAsia" w:ascii="黑体" w:hAnsi="黑体" w:eastAsia="黑体"/>
                <w:szCs w:val="21"/>
              </w:rPr>
              <w:t>财政资金定期保值增值业务项目</w:t>
            </w:r>
            <w:r>
              <w:rPr>
                <w:rFonts w:hint="eastAsia" w:ascii="黑体" w:hAnsi="黑体" w:eastAsia="黑体"/>
                <w:szCs w:val="21"/>
                <w:lang w:val="en-US" w:eastAsia="zh-CN"/>
              </w:rPr>
              <w:t>\</w:t>
            </w:r>
            <w:r>
              <w:rPr>
                <w:rFonts w:hint="eastAsia" w:ascii="黑体" w:hAnsi="黑体" w:eastAsia="黑体"/>
                <w:szCs w:val="21"/>
                <w:lang w:eastAsia="zh-CN"/>
              </w:rPr>
              <w:t>NCCZ202</w:t>
            </w:r>
            <w:r>
              <w:rPr>
                <w:rFonts w:hint="eastAsia" w:ascii="黑体" w:hAnsi="黑体" w:eastAsia="黑体"/>
                <w:szCs w:val="21"/>
                <w:lang w:val="en-US" w:eastAsia="zh-CN"/>
              </w:rPr>
              <w:t>6</w:t>
            </w:r>
            <w:r>
              <w:rPr>
                <w:rFonts w:hint="eastAsia" w:ascii="黑体" w:hAnsi="黑体" w:eastAsia="黑体"/>
                <w:szCs w:val="21"/>
                <w:lang w:eastAsia="zh-CN"/>
              </w:rPr>
              <w:t>01</w:t>
            </w:r>
          </w:p>
        </w:tc>
        <w:tc>
          <w:tcPr>
            <w:tcW w:w="2005" w:type="dxa"/>
            <w:tcBorders>
              <w:top w:val="single" w:color="auto" w:sz="4" w:space="0"/>
              <w:left w:val="single" w:color="auto" w:sz="4" w:space="0"/>
              <w:bottom w:val="single" w:color="auto" w:sz="4" w:space="0"/>
              <w:right w:val="single" w:color="auto" w:sz="4" w:space="0"/>
            </w:tcBorders>
            <w:vAlign w:val="center"/>
          </w:tcPr>
          <w:p w14:paraId="095A70C3">
            <w:pPr>
              <w:overflowPunct w:val="0"/>
              <w:adjustRightInd w:val="0"/>
              <w:spacing w:line="460" w:lineRule="exact"/>
              <w:jc w:val="center"/>
              <w:rPr>
                <w:rFonts w:hint="eastAsia" w:ascii="黑体" w:hAnsi="黑体" w:eastAsia="黑体"/>
                <w:szCs w:val="21"/>
                <w:lang w:eastAsia="zh-CN"/>
              </w:rPr>
            </w:pPr>
            <w:r>
              <w:rPr>
                <w:rFonts w:hint="eastAsia" w:ascii="黑体" w:hAnsi="黑体" w:eastAsia="黑体"/>
                <w:szCs w:val="21"/>
                <w:lang w:eastAsia="zh-CN"/>
              </w:rPr>
              <w:t>半年</w:t>
            </w:r>
          </w:p>
        </w:tc>
        <w:tc>
          <w:tcPr>
            <w:tcW w:w="3703" w:type="dxa"/>
            <w:tcBorders>
              <w:top w:val="single" w:color="auto" w:sz="4" w:space="0"/>
              <w:left w:val="single" w:color="auto" w:sz="4" w:space="0"/>
              <w:bottom w:val="single" w:color="auto" w:sz="4" w:space="0"/>
              <w:right w:val="single" w:color="auto" w:sz="4" w:space="0"/>
            </w:tcBorders>
            <w:vAlign w:val="center"/>
          </w:tcPr>
          <w:p w14:paraId="07F7CCFC">
            <w:pPr>
              <w:overflowPunct w:val="0"/>
              <w:adjustRightInd w:val="0"/>
              <w:spacing w:line="460" w:lineRule="exact"/>
              <w:jc w:val="both"/>
              <w:rPr>
                <w:rFonts w:ascii="黑体" w:hAnsi="黑体" w:eastAsia="黑体"/>
                <w:szCs w:val="21"/>
                <w:u w:val="single"/>
              </w:rPr>
            </w:pPr>
            <w:r>
              <w:rPr>
                <w:rFonts w:hint="eastAsia" w:ascii="黑体" w:hAnsi="黑体" w:eastAsia="黑体"/>
                <w:szCs w:val="21"/>
                <w:lang w:eastAsia="zh-CN"/>
              </w:rPr>
              <w:t>小写：</w:t>
            </w:r>
            <w:r>
              <w:rPr>
                <w:rFonts w:hint="eastAsia" w:ascii="黑体" w:hAnsi="黑体" w:eastAsia="黑体"/>
                <w:szCs w:val="21"/>
              </w:rPr>
              <w:t>利息按基准</w:t>
            </w:r>
            <w:r>
              <w:rPr>
                <w:rFonts w:hint="eastAsia" w:ascii="黑体" w:hAnsi="黑体" w:eastAsia="黑体"/>
                <w:szCs w:val="21"/>
                <w:lang w:val="en-US" w:eastAsia="zh-CN"/>
              </w:rPr>
              <w:t>+</w:t>
            </w:r>
            <w:r>
              <w:rPr>
                <w:rFonts w:hint="eastAsia" w:ascii="黑体" w:hAnsi="黑体" w:eastAsia="黑体"/>
                <w:szCs w:val="21"/>
                <w:u w:val="single"/>
              </w:rPr>
              <w:t xml:space="preserve">          </w:t>
            </w:r>
            <w:r>
              <w:rPr>
                <w:rFonts w:hint="eastAsia" w:ascii="黑体" w:hAnsi="黑体" w:eastAsia="黑体"/>
                <w:szCs w:val="21"/>
                <w:u w:val="single"/>
                <w:lang w:val="en-US" w:eastAsia="zh-CN"/>
              </w:rPr>
              <w:t>BP</w:t>
            </w:r>
          </w:p>
          <w:p w14:paraId="4C189019">
            <w:pPr>
              <w:overflowPunct w:val="0"/>
              <w:adjustRightInd w:val="0"/>
              <w:spacing w:line="460" w:lineRule="exact"/>
              <w:jc w:val="both"/>
              <w:rPr>
                <w:rFonts w:ascii="黑体" w:hAnsi="黑体" w:eastAsia="黑体"/>
                <w:szCs w:val="21"/>
              </w:rPr>
            </w:pPr>
            <w:r>
              <w:rPr>
                <w:rFonts w:hint="eastAsia" w:ascii="黑体" w:hAnsi="黑体" w:eastAsia="黑体"/>
                <w:szCs w:val="21"/>
              </w:rPr>
              <w:t>大写：利息按基准</w:t>
            </w:r>
            <w:r>
              <w:rPr>
                <w:rFonts w:hint="eastAsia" w:ascii="黑体" w:hAnsi="黑体" w:eastAsia="黑体"/>
                <w:szCs w:val="21"/>
                <w:lang w:val="en-US" w:eastAsia="zh-CN"/>
              </w:rPr>
              <w:t>+</w:t>
            </w:r>
            <w:r>
              <w:rPr>
                <w:rFonts w:hint="eastAsia" w:ascii="黑体" w:hAnsi="黑体" w:eastAsia="黑体"/>
                <w:szCs w:val="21"/>
                <w:u w:val="single"/>
              </w:rPr>
              <w:t xml:space="preserve">     </w:t>
            </w:r>
            <w:r>
              <w:rPr>
                <w:rFonts w:hint="eastAsia" w:ascii="黑体" w:hAnsi="黑体" w:eastAsia="黑体"/>
                <w:szCs w:val="21"/>
                <w:u w:val="single"/>
                <w:lang w:val="en-US" w:eastAsia="zh-CN"/>
              </w:rPr>
              <w:t xml:space="preserve">     BP</w:t>
            </w:r>
          </w:p>
        </w:tc>
        <w:tc>
          <w:tcPr>
            <w:tcW w:w="1064" w:type="dxa"/>
            <w:tcBorders>
              <w:top w:val="single" w:color="auto" w:sz="4" w:space="0"/>
              <w:left w:val="single" w:color="auto" w:sz="4" w:space="0"/>
              <w:bottom w:val="single" w:color="auto" w:sz="4" w:space="0"/>
              <w:right w:val="single" w:color="auto" w:sz="4" w:space="0"/>
            </w:tcBorders>
            <w:vAlign w:val="center"/>
          </w:tcPr>
          <w:p w14:paraId="00A1AF48">
            <w:pPr>
              <w:overflowPunct w:val="0"/>
              <w:adjustRightInd w:val="0"/>
              <w:spacing w:line="460" w:lineRule="exact"/>
              <w:jc w:val="center"/>
              <w:rPr>
                <w:rFonts w:ascii="黑体" w:hAnsi="黑体" w:eastAsia="黑体"/>
                <w:szCs w:val="21"/>
              </w:rPr>
            </w:pPr>
          </w:p>
        </w:tc>
      </w:tr>
      <w:tr w14:paraId="5C44A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672" w:type="dxa"/>
            <w:vMerge w:val="continue"/>
            <w:tcBorders>
              <w:left w:val="single" w:color="auto" w:sz="4" w:space="0"/>
              <w:bottom w:val="single" w:color="auto" w:sz="4" w:space="0"/>
              <w:right w:val="single" w:color="auto" w:sz="4" w:space="0"/>
            </w:tcBorders>
            <w:vAlign w:val="center"/>
          </w:tcPr>
          <w:p w14:paraId="492BB7A8">
            <w:pPr>
              <w:overflowPunct w:val="0"/>
              <w:adjustRightInd w:val="0"/>
              <w:spacing w:line="460" w:lineRule="exact"/>
              <w:jc w:val="center"/>
              <w:rPr>
                <w:rFonts w:hint="eastAsia" w:ascii="黑体" w:hAnsi="黑体" w:eastAsia="黑体"/>
                <w:szCs w:val="21"/>
              </w:rPr>
            </w:pPr>
          </w:p>
        </w:tc>
        <w:tc>
          <w:tcPr>
            <w:tcW w:w="1711" w:type="dxa"/>
            <w:vMerge w:val="continue"/>
            <w:tcBorders>
              <w:left w:val="single" w:color="auto" w:sz="4" w:space="0"/>
              <w:bottom w:val="single" w:color="auto" w:sz="4" w:space="0"/>
              <w:right w:val="single" w:color="auto" w:sz="4" w:space="0"/>
            </w:tcBorders>
            <w:vAlign w:val="center"/>
          </w:tcPr>
          <w:p w14:paraId="463B21B0">
            <w:pPr>
              <w:overflowPunct w:val="0"/>
              <w:adjustRightInd w:val="0"/>
              <w:spacing w:line="460" w:lineRule="exact"/>
              <w:jc w:val="center"/>
              <w:rPr>
                <w:rFonts w:hint="eastAsia" w:ascii="黑体" w:hAnsi="黑体" w:eastAsia="黑体"/>
                <w:szCs w:val="21"/>
              </w:rPr>
            </w:pPr>
          </w:p>
        </w:tc>
        <w:tc>
          <w:tcPr>
            <w:tcW w:w="2005" w:type="dxa"/>
            <w:tcBorders>
              <w:top w:val="single" w:color="auto" w:sz="4" w:space="0"/>
              <w:left w:val="single" w:color="auto" w:sz="4" w:space="0"/>
              <w:bottom w:val="single" w:color="auto" w:sz="4" w:space="0"/>
              <w:right w:val="single" w:color="auto" w:sz="4" w:space="0"/>
            </w:tcBorders>
            <w:vAlign w:val="center"/>
          </w:tcPr>
          <w:p w14:paraId="3AE66239">
            <w:pPr>
              <w:overflowPunct w:val="0"/>
              <w:adjustRightInd w:val="0"/>
              <w:spacing w:line="460" w:lineRule="exact"/>
              <w:jc w:val="center"/>
              <w:rPr>
                <w:rFonts w:hint="eastAsia" w:ascii="黑体" w:hAnsi="黑体" w:eastAsia="黑体"/>
                <w:szCs w:val="21"/>
                <w:lang w:eastAsia="zh-CN"/>
              </w:rPr>
            </w:pPr>
            <w:r>
              <w:rPr>
                <w:rFonts w:hint="eastAsia" w:ascii="黑体" w:hAnsi="黑体" w:eastAsia="黑体"/>
                <w:szCs w:val="21"/>
                <w:lang w:eastAsia="zh-CN"/>
              </w:rPr>
              <w:t>一年</w:t>
            </w:r>
          </w:p>
        </w:tc>
        <w:tc>
          <w:tcPr>
            <w:tcW w:w="3703" w:type="dxa"/>
            <w:tcBorders>
              <w:top w:val="single" w:color="auto" w:sz="4" w:space="0"/>
              <w:left w:val="single" w:color="auto" w:sz="4" w:space="0"/>
              <w:bottom w:val="single" w:color="auto" w:sz="4" w:space="0"/>
              <w:right w:val="single" w:color="auto" w:sz="4" w:space="0"/>
            </w:tcBorders>
            <w:vAlign w:val="center"/>
          </w:tcPr>
          <w:p w14:paraId="5B09E4C6">
            <w:pPr>
              <w:overflowPunct w:val="0"/>
              <w:adjustRightInd w:val="0"/>
              <w:spacing w:line="460" w:lineRule="exact"/>
              <w:jc w:val="both"/>
              <w:rPr>
                <w:rFonts w:ascii="黑体" w:hAnsi="黑体" w:eastAsia="黑体"/>
                <w:szCs w:val="21"/>
                <w:u w:val="single"/>
              </w:rPr>
            </w:pPr>
            <w:r>
              <w:rPr>
                <w:rFonts w:hint="eastAsia" w:ascii="黑体" w:hAnsi="黑体" w:eastAsia="黑体"/>
                <w:szCs w:val="21"/>
                <w:lang w:eastAsia="zh-CN"/>
              </w:rPr>
              <w:t>小写：</w:t>
            </w:r>
            <w:r>
              <w:rPr>
                <w:rFonts w:hint="eastAsia" w:ascii="黑体" w:hAnsi="黑体" w:eastAsia="黑体"/>
                <w:szCs w:val="21"/>
              </w:rPr>
              <w:t>利息按基准</w:t>
            </w:r>
            <w:r>
              <w:rPr>
                <w:rFonts w:hint="eastAsia" w:ascii="黑体" w:hAnsi="黑体" w:eastAsia="黑体"/>
                <w:szCs w:val="21"/>
                <w:lang w:val="en-US" w:eastAsia="zh-CN"/>
              </w:rPr>
              <w:t>+</w:t>
            </w:r>
            <w:r>
              <w:rPr>
                <w:rFonts w:hint="eastAsia" w:ascii="黑体" w:hAnsi="黑体" w:eastAsia="黑体"/>
                <w:szCs w:val="21"/>
                <w:u w:val="single"/>
              </w:rPr>
              <w:t xml:space="preserve">          </w:t>
            </w:r>
            <w:r>
              <w:rPr>
                <w:rFonts w:hint="eastAsia" w:ascii="黑体" w:hAnsi="黑体" w:eastAsia="黑体"/>
                <w:szCs w:val="21"/>
                <w:u w:val="single"/>
                <w:lang w:val="en-US" w:eastAsia="zh-CN"/>
              </w:rPr>
              <w:t>BP</w:t>
            </w:r>
          </w:p>
          <w:p w14:paraId="0F213140">
            <w:pPr>
              <w:overflowPunct w:val="0"/>
              <w:adjustRightInd w:val="0"/>
              <w:spacing w:line="460" w:lineRule="exact"/>
              <w:jc w:val="both"/>
              <w:rPr>
                <w:rFonts w:ascii="黑体" w:hAnsi="黑体" w:eastAsia="黑体"/>
                <w:szCs w:val="21"/>
              </w:rPr>
            </w:pPr>
            <w:r>
              <w:rPr>
                <w:rFonts w:hint="eastAsia" w:ascii="黑体" w:hAnsi="黑体" w:eastAsia="黑体"/>
                <w:szCs w:val="21"/>
              </w:rPr>
              <w:t>大写：利息按基准</w:t>
            </w:r>
            <w:r>
              <w:rPr>
                <w:rFonts w:hint="eastAsia" w:ascii="黑体" w:hAnsi="黑体" w:eastAsia="黑体"/>
                <w:szCs w:val="21"/>
                <w:lang w:val="en-US" w:eastAsia="zh-CN"/>
              </w:rPr>
              <w:t>+</w:t>
            </w:r>
            <w:r>
              <w:rPr>
                <w:rFonts w:hint="eastAsia" w:ascii="黑体" w:hAnsi="黑体" w:eastAsia="黑体"/>
                <w:szCs w:val="21"/>
                <w:u w:val="single"/>
              </w:rPr>
              <w:t xml:space="preserve">     </w:t>
            </w:r>
            <w:r>
              <w:rPr>
                <w:rFonts w:hint="eastAsia" w:ascii="黑体" w:hAnsi="黑体" w:eastAsia="黑体"/>
                <w:szCs w:val="21"/>
                <w:u w:val="single"/>
                <w:lang w:val="en-US" w:eastAsia="zh-CN"/>
              </w:rPr>
              <w:t xml:space="preserve">     BP</w:t>
            </w:r>
          </w:p>
        </w:tc>
        <w:tc>
          <w:tcPr>
            <w:tcW w:w="1064" w:type="dxa"/>
            <w:tcBorders>
              <w:top w:val="single" w:color="auto" w:sz="4" w:space="0"/>
              <w:left w:val="single" w:color="auto" w:sz="4" w:space="0"/>
              <w:bottom w:val="single" w:color="auto" w:sz="4" w:space="0"/>
              <w:right w:val="single" w:color="auto" w:sz="4" w:space="0"/>
            </w:tcBorders>
            <w:vAlign w:val="center"/>
          </w:tcPr>
          <w:p w14:paraId="3393AEF7">
            <w:pPr>
              <w:overflowPunct w:val="0"/>
              <w:adjustRightInd w:val="0"/>
              <w:spacing w:line="460" w:lineRule="exact"/>
              <w:jc w:val="center"/>
              <w:rPr>
                <w:rFonts w:ascii="黑体" w:hAnsi="黑体" w:eastAsia="黑体"/>
                <w:szCs w:val="21"/>
              </w:rPr>
            </w:pPr>
          </w:p>
        </w:tc>
      </w:tr>
      <w:tr w14:paraId="66959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9155" w:type="dxa"/>
            <w:gridSpan w:val="5"/>
            <w:tcBorders>
              <w:top w:val="single" w:color="auto" w:sz="4" w:space="0"/>
              <w:left w:val="single" w:color="auto" w:sz="4" w:space="0"/>
              <w:bottom w:val="single" w:color="auto" w:sz="4" w:space="0"/>
              <w:right w:val="single" w:color="auto" w:sz="4" w:space="0"/>
            </w:tcBorders>
            <w:vAlign w:val="center"/>
          </w:tcPr>
          <w:p w14:paraId="295884BC">
            <w:pPr>
              <w:overflowPunct w:val="0"/>
              <w:adjustRightInd w:val="0"/>
              <w:spacing w:line="460" w:lineRule="exact"/>
              <w:jc w:val="left"/>
              <w:rPr>
                <w:rFonts w:ascii="黑体" w:hAnsi="黑体" w:eastAsia="黑体"/>
                <w:szCs w:val="21"/>
                <w:u w:val="single"/>
              </w:rPr>
            </w:pPr>
          </w:p>
        </w:tc>
      </w:tr>
    </w:tbl>
    <w:p w14:paraId="4D6283A2">
      <w:pPr>
        <w:spacing w:beforeLines="100" w:line="360" w:lineRule="auto"/>
        <w:rPr>
          <w:rFonts w:ascii="黑体" w:hAnsi="黑体" w:eastAsia="黑体"/>
          <w:szCs w:val="21"/>
        </w:rPr>
      </w:pPr>
      <w:r>
        <w:rPr>
          <w:rFonts w:hint="eastAsia" w:ascii="黑体" w:hAnsi="黑体" w:eastAsia="黑体"/>
          <w:szCs w:val="21"/>
        </w:rPr>
        <w:t>注明：</w:t>
      </w:r>
    </w:p>
    <w:p w14:paraId="183F05AC">
      <w:pPr>
        <w:pStyle w:val="32"/>
        <w:numPr>
          <w:ilvl w:val="0"/>
          <w:numId w:val="72"/>
        </w:numPr>
        <w:spacing w:line="360" w:lineRule="auto"/>
        <w:ind w:firstLineChars="0"/>
        <w:rPr>
          <w:rFonts w:ascii="黑体" w:hAnsi="黑体" w:eastAsia="黑体"/>
          <w:szCs w:val="21"/>
        </w:rPr>
      </w:pPr>
      <w:r>
        <w:rPr>
          <w:rFonts w:hint="eastAsia" w:ascii="黑体" w:hAnsi="黑体" w:eastAsia="黑体"/>
          <w:szCs w:val="21"/>
        </w:rPr>
        <w:t>投标总报价栏须用文字和数字两种方式表示投标报价。</w:t>
      </w:r>
    </w:p>
    <w:p w14:paraId="0B31DB20">
      <w:pPr>
        <w:pStyle w:val="32"/>
        <w:numPr>
          <w:ilvl w:val="0"/>
          <w:numId w:val="72"/>
        </w:numPr>
        <w:spacing w:line="360" w:lineRule="auto"/>
        <w:ind w:firstLineChars="0"/>
        <w:rPr>
          <w:rFonts w:ascii="黑体" w:hAnsi="黑体" w:eastAsia="黑体"/>
          <w:szCs w:val="21"/>
        </w:rPr>
      </w:pPr>
      <w:r>
        <w:rPr>
          <w:rFonts w:hint="eastAsia" w:ascii="黑体" w:hAnsi="黑体" w:eastAsia="黑体"/>
          <w:szCs w:val="21"/>
        </w:rPr>
        <w:t>开标一览表内容与投标文件中相应内容不一致的，以开标一览表为准。</w:t>
      </w:r>
    </w:p>
    <w:p w14:paraId="5AAECE50">
      <w:pPr>
        <w:pStyle w:val="32"/>
        <w:numPr>
          <w:ilvl w:val="0"/>
          <w:numId w:val="72"/>
        </w:numPr>
        <w:spacing w:line="360" w:lineRule="auto"/>
        <w:ind w:firstLineChars="0"/>
        <w:rPr>
          <w:rFonts w:ascii="黑体" w:hAnsi="黑体" w:eastAsia="黑体"/>
          <w:szCs w:val="21"/>
        </w:rPr>
      </w:pPr>
      <w:r>
        <w:rPr>
          <w:rFonts w:hint="eastAsia" w:ascii="黑体" w:hAnsi="黑体" w:eastAsia="黑体"/>
          <w:szCs w:val="21"/>
        </w:rPr>
        <w:t>大写数额和小写数额不一致的，以大写数额为准。</w:t>
      </w:r>
    </w:p>
    <w:p w14:paraId="14687FB5">
      <w:pPr>
        <w:spacing w:line="360" w:lineRule="auto"/>
        <w:rPr>
          <w:rFonts w:ascii="黑体" w:hAnsi="黑体" w:eastAsia="黑体"/>
          <w:szCs w:val="21"/>
        </w:rPr>
      </w:pPr>
    </w:p>
    <w:p w14:paraId="79C1A6C3">
      <w:pPr>
        <w:spacing w:line="360" w:lineRule="auto"/>
        <w:rPr>
          <w:rFonts w:ascii="黑体" w:hAnsi="黑体" w:eastAsia="黑体"/>
          <w:szCs w:val="21"/>
        </w:rPr>
      </w:pPr>
    </w:p>
    <w:p w14:paraId="1847A9A5">
      <w:pPr>
        <w:spacing w:line="360" w:lineRule="auto"/>
        <w:rPr>
          <w:rFonts w:ascii="黑体" w:hAnsi="黑体" w:eastAsia="黑体"/>
          <w:szCs w:val="21"/>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6293"/>
      </w:tblGrid>
      <w:tr w14:paraId="7218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top"/>
          </w:tcPr>
          <w:p w14:paraId="7CB3E382">
            <w:pPr>
              <w:spacing w:line="360" w:lineRule="auto"/>
              <w:rPr>
                <w:rFonts w:ascii="黑体" w:hAnsi="黑体" w:eastAsia="黑体"/>
                <w:szCs w:val="21"/>
              </w:rPr>
            </w:pPr>
          </w:p>
        </w:tc>
        <w:tc>
          <w:tcPr>
            <w:tcW w:w="6293" w:type="dxa"/>
            <w:vAlign w:val="top"/>
          </w:tcPr>
          <w:p w14:paraId="5DCB09E6">
            <w:pPr>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r>
      <w:tr w14:paraId="0485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top"/>
          </w:tcPr>
          <w:p w14:paraId="4F612690">
            <w:pPr>
              <w:spacing w:line="360" w:lineRule="auto"/>
              <w:rPr>
                <w:rFonts w:ascii="黑体" w:hAnsi="黑体" w:eastAsia="黑体"/>
                <w:szCs w:val="21"/>
              </w:rPr>
            </w:pPr>
          </w:p>
        </w:tc>
        <w:tc>
          <w:tcPr>
            <w:tcW w:w="6293" w:type="dxa"/>
            <w:vAlign w:val="top"/>
          </w:tcPr>
          <w:p w14:paraId="242FCE42">
            <w:pPr>
              <w:spacing w:line="360" w:lineRule="auto"/>
              <w:rPr>
                <w:rFonts w:ascii="黑体" w:hAnsi="黑体" w:eastAsia="黑体"/>
                <w:szCs w:val="21"/>
              </w:rPr>
            </w:pPr>
            <w:r>
              <w:rPr>
                <w:rFonts w:hint="eastAsia" w:ascii="黑体" w:hAnsi="黑体" w:eastAsia="黑体"/>
                <w:szCs w:val="21"/>
              </w:rPr>
              <w:t>投标人法定(负责人)代表人或被授权人（签名或盖私章）：</w:t>
            </w:r>
            <w:r>
              <w:rPr>
                <w:rFonts w:hint="eastAsia" w:ascii="黑体" w:hAnsi="黑体" w:eastAsia="黑体"/>
                <w:szCs w:val="21"/>
                <w:u w:val="single"/>
              </w:rPr>
              <w:t xml:space="preserve">        </w:t>
            </w:r>
          </w:p>
        </w:tc>
      </w:tr>
      <w:tr w14:paraId="069E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top"/>
          </w:tcPr>
          <w:p w14:paraId="6CF2B6E8">
            <w:pPr>
              <w:spacing w:line="360" w:lineRule="auto"/>
              <w:rPr>
                <w:rFonts w:ascii="黑体" w:hAnsi="黑体" w:eastAsia="黑体"/>
                <w:szCs w:val="21"/>
              </w:rPr>
            </w:pPr>
          </w:p>
        </w:tc>
        <w:tc>
          <w:tcPr>
            <w:tcW w:w="6293" w:type="dxa"/>
            <w:vAlign w:val="top"/>
          </w:tcPr>
          <w:p w14:paraId="0BAADD55">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r>
    </w:tbl>
    <w:p w14:paraId="1D978132">
      <w:pPr>
        <w:spacing w:line="360" w:lineRule="auto"/>
        <w:rPr>
          <w:rFonts w:ascii="黑体" w:hAnsi="黑体" w:eastAsia="黑体"/>
          <w:szCs w:val="21"/>
        </w:rPr>
      </w:pPr>
    </w:p>
    <w:p w14:paraId="7D20073B">
      <w:pPr>
        <w:pStyle w:val="32"/>
        <w:spacing w:line="360" w:lineRule="auto"/>
        <w:ind w:firstLine="0" w:firstLineChars="0"/>
        <w:rPr>
          <w:rFonts w:ascii="黑体" w:hAnsi="黑体" w:eastAsia="黑体"/>
          <w:b/>
          <w:szCs w:val="21"/>
        </w:rPr>
      </w:pPr>
    </w:p>
    <w:p w14:paraId="50E0C88C">
      <w:pPr>
        <w:pStyle w:val="32"/>
        <w:spacing w:line="360" w:lineRule="auto"/>
        <w:ind w:firstLine="0" w:firstLineChars="0"/>
        <w:rPr>
          <w:rFonts w:ascii="黑体" w:hAnsi="黑体" w:eastAsia="黑体"/>
          <w:b/>
          <w:szCs w:val="21"/>
        </w:rPr>
      </w:pPr>
    </w:p>
    <w:p w14:paraId="0D7E45A3">
      <w:pPr>
        <w:pStyle w:val="32"/>
        <w:pageBreakBefore/>
        <w:numPr>
          <w:ilvl w:val="0"/>
          <w:numId w:val="64"/>
        </w:numPr>
        <w:spacing w:line="360" w:lineRule="auto"/>
        <w:ind w:firstLineChars="0"/>
        <w:rPr>
          <w:rFonts w:ascii="黑体" w:hAnsi="黑体" w:eastAsia="黑体"/>
          <w:b/>
          <w:szCs w:val="21"/>
        </w:rPr>
      </w:pPr>
      <w:r>
        <w:rPr>
          <w:rFonts w:hint="eastAsia" w:ascii="黑体" w:hAnsi="黑体" w:eastAsia="黑体"/>
          <w:b/>
          <w:szCs w:val="21"/>
        </w:rPr>
        <w:t>资格性自查索引表</w:t>
      </w:r>
    </w:p>
    <w:p w14:paraId="6587A5BF">
      <w:pPr>
        <w:spacing w:beforeLines="100" w:afterLines="100"/>
        <w:jc w:val="center"/>
        <w:rPr>
          <w:rFonts w:ascii="黑体" w:hAnsi="黑体" w:eastAsia="黑体"/>
          <w:b/>
          <w:spacing w:val="20"/>
          <w:sz w:val="28"/>
          <w:szCs w:val="28"/>
        </w:rPr>
      </w:pPr>
      <w:r>
        <w:rPr>
          <w:rFonts w:hint="eastAsia" w:ascii="黑体" w:hAnsi="黑体" w:eastAsia="黑体"/>
          <w:b/>
          <w:spacing w:val="20"/>
          <w:sz w:val="28"/>
          <w:szCs w:val="28"/>
        </w:rPr>
        <w:t>资格性自查索引表</w:t>
      </w:r>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516"/>
        <w:gridCol w:w="1276"/>
        <w:gridCol w:w="2042"/>
      </w:tblGrid>
      <w:tr w14:paraId="03A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28" w:type="dxa"/>
            <w:gridSpan w:val="4"/>
            <w:vAlign w:val="center"/>
          </w:tcPr>
          <w:p w14:paraId="7F5731E5">
            <w:pPr>
              <w:spacing w:line="360" w:lineRule="auto"/>
              <w:jc w:val="left"/>
              <w:rPr>
                <w:rFonts w:ascii="黑体" w:hAnsi="黑体" w:eastAsia="黑体"/>
                <w:bCs/>
                <w:spacing w:val="-10"/>
                <w:szCs w:val="21"/>
              </w:rPr>
            </w:pPr>
            <w:r>
              <w:rPr>
                <w:rFonts w:hint="eastAsia" w:ascii="黑体" w:hAnsi="黑体" w:eastAsia="黑体"/>
                <w:b/>
                <w:bCs/>
                <w:szCs w:val="21"/>
              </w:rPr>
              <w:t>项目名称：</w:t>
            </w:r>
            <w:r>
              <w:rPr>
                <w:rFonts w:hint="eastAsia" w:ascii="黑体" w:hAnsi="黑体" w:eastAsia="黑体"/>
                <w:b/>
                <w:bCs/>
                <w:szCs w:val="21"/>
                <w:u w:val="single"/>
              </w:rPr>
              <w:t xml:space="preserve">                            </w:t>
            </w:r>
            <w:r>
              <w:rPr>
                <w:rFonts w:hint="eastAsia" w:ascii="黑体" w:hAnsi="黑体" w:eastAsia="黑体"/>
                <w:b/>
                <w:bCs/>
                <w:szCs w:val="21"/>
              </w:rPr>
              <w:t xml:space="preserve">         </w:t>
            </w:r>
            <w:r>
              <w:rPr>
                <w:rFonts w:hint="eastAsia" w:ascii="黑体" w:hAnsi="黑体" w:eastAsia="黑体"/>
                <w:b/>
                <w:szCs w:val="21"/>
              </w:rPr>
              <w:t>项目编号：</w:t>
            </w:r>
            <w:r>
              <w:rPr>
                <w:rFonts w:hint="eastAsia" w:ascii="黑体" w:hAnsi="黑体" w:eastAsia="黑体"/>
                <w:b/>
                <w:szCs w:val="21"/>
                <w:u w:val="single"/>
              </w:rPr>
              <w:t xml:space="preserve">                     </w:t>
            </w:r>
          </w:p>
        </w:tc>
      </w:tr>
      <w:tr w14:paraId="3752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4" w:type="dxa"/>
            <w:vAlign w:val="center"/>
          </w:tcPr>
          <w:p w14:paraId="734E5B22">
            <w:pPr>
              <w:spacing w:line="360" w:lineRule="auto"/>
              <w:jc w:val="center"/>
              <w:rPr>
                <w:rFonts w:ascii="黑体" w:hAnsi="黑体" w:eastAsia="黑体"/>
                <w:b/>
                <w:bCs/>
                <w:szCs w:val="21"/>
              </w:rPr>
            </w:pPr>
            <w:r>
              <w:rPr>
                <w:rFonts w:hint="eastAsia" w:ascii="黑体" w:hAnsi="黑体" w:eastAsia="黑体"/>
                <w:b/>
                <w:bCs/>
                <w:szCs w:val="21"/>
              </w:rPr>
              <w:t>序号</w:t>
            </w:r>
          </w:p>
        </w:tc>
        <w:tc>
          <w:tcPr>
            <w:tcW w:w="4516" w:type="dxa"/>
            <w:tcBorders>
              <w:bottom w:val="single" w:color="auto" w:sz="4" w:space="0"/>
            </w:tcBorders>
            <w:vAlign w:val="center"/>
          </w:tcPr>
          <w:p w14:paraId="5BF6AD88">
            <w:pPr>
              <w:spacing w:line="360" w:lineRule="auto"/>
              <w:ind w:left="211" w:hanging="211" w:hangingChars="100"/>
              <w:jc w:val="center"/>
              <w:rPr>
                <w:rFonts w:ascii="黑体" w:hAnsi="黑体" w:eastAsia="黑体"/>
                <w:b/>
                <w:bCs/>
                <w:szCs w:val="21"/>
              </w:rPr>
            </w:pPr>
            <w:r>
              <w:rPr>
                <w:rFonts w:hint="eastAsia" w:ascii="黑体" w:hAnsi="黑体" w:eastAsia="黑体"/>
                <w:b/>
                <w:bCs/>
                <w:szCs w:val="21"/>
              </w:rPr>
              <w:t>审查内容</w:t>
            </w:r>
          </w:p>
        </w:tc>
        <w:tc>
          <w:tcPr>
            <w:tcW w:w="1276" w:type="dxa"/>
            <w:vAlign w:val="center"/>
          </w:tcPr>
          <w:p w14:paraId="3B29612F">
            <w:pPr>
              <w:spacing w:line="360" w:lineRule="auto"/>
              <w:jc w:val="center"/>
              <w:rPr>
                <w:rFonts w:ascii="黑体" w:hAnsi="黑体" w:eastAsia="黑体"/>
                <w:b/>
                <w:bCs/>
                <w:szCs w:val="21"/>
              </w:rPr>
            </w:pPr>
            <w:r>
              <w:rPr>
                <w:rFonts w:hint="eastAsia" w:ascii="黑体" w:hAnsi="黑体" w:eastAsia="黑体"/>
                <w:b/>
                <w:bCs/>
                <w:szCs w:val="21"/>
              </w:rPr>
              <w:t>自查结论</w:t>
            </w:r>
          </w:p>
        </w:tc>
        <w:tc>
          <w:tcPr>
            <w:tcW w:w="2042" w:type="dxa"/>
            <w:vAlign w:val="center"/>
          </w:tcPr>
          <w:p w14:paraId="11F88658">
            <w:pPr>
              <w:spacing w:line="360" w:lineRule="auto"/>
              <w:jc w:val="center"/>
              <w:rPr>
                <w:rFonts w:ascii="黑体" w:hAnsi="黑体" w:eastAsia="黑体"/>
                <w:b/>
                <w:bCs/>
                <w:spacing w:val="-10"/>
                <w:szCs w:val="21"/>
              </w:rPr>
            </w:pPr>
            <w:r>
              <w:rPr>
                <w:rFonts w:hint="eastAsia" w:ascii="黑体" w:hAnsi="黑体" w:eastAsia="黑体"/>
                <w:b/>
                <w:szCs w:val="21"/>
              </w:rPr>
              <w:t>投标文件响应页码</w:t>
            </w:r>
          </w:p>
        </w:tc>
      </w:tr>
      <w:tr w14:paraId="7ED4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4" w:type="dxa"/>
            <w:vAlign w:val="center"/>
          </w:tcPr>
          <w:p w14:paraId="78E4374F">
            <w:pPr>
              <w:spacing w:line="360" w:lineRule="auto"/>
              <w:jc w:val="center"/>
              <w:rPr>
                <w:rFonts w:ascii="黑体" w:hAnsi="黑体" w:eastAsia="黑体"/>
                <w:bCs/>
                <w:szCs w:val="21"/>
              </w:rPr>
            </w:pPr>
            <w:r>
              <w:rPr>
                <w:rFonts w:hint="eastAsia" w:ascii="黑体" w:hAnsi="黑体" w:eastAsia="黑体"/>
                <w:bCs/>
                <w:szCs w:val="21"/>
              </w:rPr>
              <w:t>1</w:t>
            </w:r>
          </w:p>
        </w:tc>
        <w:tc>
          <w:tcPr>
            <w:tcW w:w="4516" w:type="dxa"/>
            <w:vAlign w:val="center"/>
          </w:tcPr>
          <w:p w14:paraId="617DD619">
            <w:pPr>
              <w:jc w:val="left"/>
              <w:rPr>
                <w:rFonts w:ascii="黑体" w:hAnsi="黑体" w:eastAsia="黑体"/>
              </w:rPr>
            </w:pPr>
          </w:p>
        </w:tc>
        <w:tc>
          <w:tcPr>
            <w:tcW w:w="1276" w:type="dxa"/>
            <w:vAlign w:val="center"/>
          </w:tcPr>
          <w:p w14:paraId="199EBBC3">
            <w:pPr>
              <w:spacing w:line="360" w:lineRule="auto"/>
              <w:jc w:val="center"/>
              <w:rPr>
                <w:rFonts w:ascii="黑体" w:hAnsi="黑体" w:eastAsia="黑体"/>
                <w:bCs/>
                <w:szCs w:val="21"/>
              </w:rPr>
            </w:pPr>
          </w:p>
        </w:tc>
        <w:tc>
          <w:tcPr>
            <w:tcW w:w="2042" w:type="dxa"/>
            <w:vAlign w:val="center"/>
          </w:tcPr>
          <w:p w14:paraId="669929A0">
            <w:pPr>
              <w:spacing w:line="360" w:lineRule="auto"/>
              <w:jc w:val="center"/>
              <w:rPr>
                <w:rFonts w:ascii="黑体" w:hAnsi="黑体" w:eastAsia="黑体"/>
                <w:bCs/>
                <w:szCs w:val="21"/>
              </w:rPr>
            </w:pPr>
          </w:p>
        </w:tc>
      </w:tr>
    </w:tbl>
    <w:p w14:paraId="1E221324">
      <w:pPr>
        <w:spacing w:beforeLines="50" w:line="360" w:lineRule="auto"/>
        <w:rPr>
          <w:rFonts w:ascii="黑体" w:hAnsi="黑体" w:eastAsia="黑体"/>
        </w:rPr>
      </w:pPr>
      <w:r>
        <w:rPr>
          <w:rFonts w:hint="eastAsia" w:ascii="黑体" w:hAnsi="黑体" w:eastAsia="黑体"/>
        </w:rPr>
        <w:t>注明：</w:t>
      </w:r>
    </w:p>
    <w:p w14:paraId="04ACABBB">
      <w:pPr>
        <w:pStyle w:val="32"/>
        <w:numPr>
          <w:ilvl w:val="0"/>
          <w:numId w:val="73"/>
        </w:numPr>
        <w:spacing w:line="360" w:lineRule="auto"/>
        <w:ind w:firstLineChars="0"/>
        <w:rPr>
          <w:rFonts w:ascii="黑体" w:hAnsi="黑体" w:eastAsia="黑体"/>
        </w:rPr>
      </w:pPr>
      <w:r>
        <w:rPr>
          <w:rFonts w:hint="eastAsia" w:ascii="黑体" w:hAnsi="黑体" w:eastAsia="黑体"/>
        </w:rPr>
        <w:t>自查结论处请填写：通过/不通过；</w:t>
      </w:r>
    </w:p>
    <w:p w14:paraId="68B82613">
      <w:pPr>
        <w:pStyle w:val="32"/>
        <w:numPr>
          <w:ilvl w:val="0"/>
          <w:numId w:val="73"/>
        </w:numPr>
        <w:spacing w:line="360" w:lineRule="auto"/>
        <w:ind w:firstLineChars="0"/>
        <w:rPr>
          <w:rFonts w:ascii="黑体" w:hAnsi="黑体" w:eastAsia="黑体"/>
        </w:rPr>
      </w:pPr>
      <w:r>
        <w:rPr>
          <w:rFonts w:hint="eastAsia" w:ascii="黑体" w:hAnsi="黑体" w:eastAsia="黑体"/>
          <w:szCs w:val="21"/>
        </w:rPr>
        <w:t>按招标文件第五部分 评标方法、步骤、标准之附表一资格性审查表相对应条款填写</w:t>
      </w:r>
      <w:r>
        <w:rPr>
          <w:rFonts w:hint="eastAsia" w:ascii="黑体" w:hAnsi="黑体" w:eastAsia="黑体"/>
        </w:rPr>
        <w:t>。</w:t>
      </w:r>
      <w:r>
        <w:rPr>
          <w:rFonts w:hint="eastAsia" w:ascii="黑体" w:hAnsi="黑体" w:eastAsia="黑体"/>
          <w:szCs w:val="21"/>
        </w:rPr>
        <w:t>（此表格建议放置在商务技术投标文件的开端）</w:t>
      </w:r>
    </w:p>
    <w:p w14:paraId="14CCCB28">
      <w:pPr>
        <w:spacing w:line="360" w:lineRule="auto"/>
        <w:rPr>
          <w:rFonts w:ascii="黑体" w:hAnsi="黑体" w:eastAsia="黑体"/>
        </w:rPr>
      </w:pPr>
    </w:p>
    <w:p w14:paraId="43C2C12B">
      <w:pPr>
        <w:spacing w:line="360" w:lineRule="auto"/>
        <w:rPr>
          <w:rFonts w:ascii="黑体" w:hAnsi="黑体" w:eastAsia="黑体"/>
        </w:rPr>
      </w:pPr>
    </w:p>
    <w:p w14:paraId="6F362836">
      <w:pPr>
        <w:spacing w:line="360" w:lineRule="auto"/>
        <w:rPr>
          <w:rFonts w:ascii="黑体" w:hAnsi="黑体" w:eastAsia="黑体"/>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6F9D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571B4EEA">
            <w:pPr>
              <w:overflowPunct w:val="0"/>
              <w:adjustRightInd w:val="0"/>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29F626FC">
            <w:pPr>
              <w:spacing w:line="360" w:lineRule="auto"/>
              <w:rPr>
                <w:rFonts w:ascii="黑体" w:hAnsi="黑体" w:eastAsia="黑体"/>
                <w:szCs w:val="21"/>
              </w:rPr>
            </w:pPr>
          </w:p>
        </w:tc>
      </w:tr>
      <w:tr w14:paraId="3511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4D9D310E">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7E73A3F2">
            <w:pPr>
              <w:spacing w:line="360" w:lineRule="auto"/>
              <w:rPr>
                <w:rFonts w:ascii="黑体" w:hAnsi="黑体" w:eastAsia="黑体"/>
                <w:szCs w:val="21"/>
              </w:rPr>
            </w:pPr>
          </w:p>
        </w:tc>
      </w:tr>
    </w:tbl>
    <w:p w14:paraId="182BBE95">
      <w:pPr>
        <w:rPr>
          <w:rFonts w:ascii="黑体" w:hAnsi="黑体" w:eastAsia="黑体"/>
        </w:rPr>
      </w:pPr>
    </w:p>
    <w:p w14:paraId="03F41915">
      <w:pPr>
        <w:rPr>
          <w:rFonts w:ascii="黑体" w:hAnsi="黑体" w:eastAsia="黑体"/>
        </w:rPr>
      </w:pPr>
    </w:p>
    <w:p w14:paraId="3CC64AC4">
      <w:pPr>
        <w:rPr>
          <w:rFonts w:ascii="黑体" w:hAnsi="黑体" w:eastAsia="黑体"/>
        </w:rPr>
      </w:pPr>
    </w:p>
    <w:p w14:paraId="16CA2277">
      <w:pPr>
        <w:pStyle w:val="32"/>
        <w:pageBreakBefore/>
        <w:numPr>
          <w:ilvl w:val="0"/>
          <w:numId w:val="64"/>
        </w:numPr>
        <w:spacing w:line="360" w:lineRule="auto"/>
        <w:ind w:firstLineChars="0"/>
        <w:rPr>
          <w:rFonts w:ascii="黑体" w:hAnsi="黑体" w:eastAsia="黑体"/>
          <w:b/>
          <w:szCs w:val="21"/>
        </w:rPr>
      </w:pPr>
      <w:r>
        <w:rPr>
          <w:rFonts w:hint="eastAsia" w:ascii="黑体" w:hAnsi="黑体" w:eastAsia="黑体"/>
          <w:b/>
          <w:szCs w:val="21"/>
        </w:rPr>
        <w:t>符合性自查索引表</w:t>
      </w:r>
    </w:p>
    <w:p w14:paraId="54971389">
      <w:pPr>
        <w:spacing w:beforeLines="100" w:afterLines="100"/>
        <w:jc w:val="center"/>
        <w:rPr>
          <w:rFonts w:ascii="黑体" w:hAnsi="黑体" w:eastAsia="黑体"/>
          <w:b/>
          <w:spacing w:val="20"/>
          <w:sz w:val="28"/>
          <w:szCs w:val="28"/>
        </w:rPr>
      </w:pPr>
      <w:r>
        <w:rPr>
          <w:rFonts w:hint="eastAsia" w:ascii="黑体" w:hAnsi="黑体" w:eastAsia="黑体"/>
          <w:b/>
          <w:spacing w:val="20"/>
          <w:sz w:val="28"/>
          <w:szCs w:val="28"/>
        </w:rPr>
        <w:t>符合性自查索引表</w:t>
      </w:r>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4518"/>
        <w:gridCol w:w="1276"/>
        <w:gridCol w:w="2042"/>
      </w:tblGrid>
      <w:tr w14:paraId="3176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28" w:type="dxa"/>
            <w:gridSpan w:val="4"/>
            <w:vAlign w:val="center"/>
          </w:tcPr>
          <w:p w14:paraId="2785E418">
            <w:pPr>
              <w:spacing w:line="360" w:lineRule="auto"/>
              <w:jc w:val="left"/>
              <w:rPr>
                <w:rFonts w:ascii="黑体" w:hAnsi="黑体" w:eastAsia="黑体"/>
                <w:bCs/>
                <w:spacing w:val="-10"/>
                <w:szCs w:val="21"/>
              </w:rPr>
            </w:pPr>
            <w:r>
              <w:rPr>
                <w:rFonts w:hint="eastAsia" w:ascii="黑体" w:hAnsi="黑体" w:eastAsia="黑体"/>
                <w:b/>
                <w:bCs/>
                <w:szCs w:val="21"/>
              </w:rPr>
              <w:t>项目名称：</w:t>
            </w:r>
            <w:r>
              <w:rPr>
                <w:rFonts w:hint="eastAsia" w:ascii="黑体" w:hAnsi="黑体" w:eastAsia="黑体"/>
                <w:b/>
                <w:bCs/>
                <w:szCs w:val="21"/>
                <w:u w:val="single"/>
              </w:rPr>
              <w:t xml:space="preserve">                               </w:t>
            </w:r>
            <w:r>
              <w:rPr>
                <w:rFonts w:hint="eastAsia" w:ascii="黑体" w:hAnsi="黑体" w:eastAsia="黑体"/>
                <w:b/>
                <w:bCs/>
                <w:szCs w:val="21"/>
              </w:rPr>
              <w:t xml:space="preserve">     </w:t>
            </w:r>
            <w:r>
              <w:rPr>
                <w:rFonts w:hint="eastAsia" w:ascii="黑体" w:hAnsi="黑体" w:eastAsia="黑体"/>
                <w:b/>
                <w:szCs w:val="21"/>
              </w:rPr>
              <w:t>项目编号：</w:t>
            </w:r>
            <w:r>
              <w:rPr>
                <w:rFonts w:hint="eastAsia" w:ascii="黑体" w:hAnsi="黑体" w:eastAsia="黑体"/>
                <w:b/>
                <w:szCs w:val="21"/>
                <w:u w:val="single"/>
              </w:rPr>
              <w:t xml:space="preserve">                     </w:t>
            </w:r>
          </w:p>
        </w:tc>
      </w:tr>
      <w:tr w14:paraId="091C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2" w:type="dxa"/>
            <w:vAlign w:val="center"/>
          </w:tcPr>
          <w:p w14:paraId="419C5D71">
            <w:pPr>
              <w:spacing w:line="360" w:lineRule="auto"/>
              <w:jc w:val="center"/>
              <w:rPr>
                <w:rFonts w:ascii="黑体" w:hAnsi="黑体" w:eastAsia="黑体"/>
                <w:b/>
                <w:bCs/>
                <w:szCs w:val="21"/>
              </w:rPr>
            </w:pPr>
            <w:r>
              <w:rPr>
                <w:rFonts w:hint="eastAsia" w:ascii="黑体" w:hAnsi="黑体" w:eastAsia="黑体"/>
                <w:b/>
                <w:bCs/>
                <w:szCs w:val="21"/>
              </w:rPr>
              <w:t>序号</w:t>
            </w:r>
          </w:p>
        </w:tc>
        <w:tc>
          <w:tcPr>
            <w:tcW w:w="4518" w:type="dxa"/>
            <w:tcBorders>
              <w:bottom w:val="single" w:color="auto" w:sz="4" w:space="0"/>
            </w:tcBorders>
            <w:vAlign w:val="center"/>
          </w:tcPr>
          <w:p w14:paraId="22406377">
            <w:pPr>
              <w:spacing w:line="360" w:lineRule="auto"/>
              <w:ind w:left="211" w:hanging="211" w:hangingChars="100"/>
              <w:jc w:val="center"/>
              <w:rPr>
                <w:rFonts w:ascii="黑体" w:hAnsi="黑体" w:eastAsia="黑体"/>
                <w:b/>
                <w:bCs/>
                <w:szCs w:val="21"/>
              </w:rPr>
            </w:pPr>
            <w:r>
              <w:rPr>
                <w:rFonts w:hint="eastAsia" w:ascii="黑体" w:hAnsi="黑体" w:eastAsia="黑体"/>
                <w:b/>
                <w:bCs/>
                <w:szCs w:val="21"/>
              </w:rPr>
              <w:t>审查内容</w:t>
            </w:r>
          </w:p>
        </w:tc>
        <w:tc>
          <w:tcPr>
            <w:tcW w:w="1276" w:type="dxa"/>
            <w:vAlign w:val="center"/>
          </w:tcPr>
          <w:p w14:paraId="5022B669">
            <w:pPr>
              <w:spacing w:line="360" w:lineRule="auto"/>
              <w:jc w:val="center"/>
              <w:rPr>
                <w:rFonts w:ascii="黑体" w:hAnsi="黑体" w:eastAsia="黑体"/>
                <w:b/>
                <w:bCs/>
                <w:szCs w:val="21"/>
              </w:rPr>
            </w:pPr>
            <w:r>
              <w:rPr>
                <w:rFonts w:hint="eastAsia" w:ascii="黑体" w:hAnsi="黑体" w:eastAsia="黑体"/>
                <w:b/>
                <w:bCs/>
                <w:szCs w:val="21"/>
              </w:rPr>
              <w:t>自查结论</w:t>
            </w:r>
          </w:p>
        </w:tc>
        <w:tc>
          <w:tcPr>
            <w:tcW w:w="2042" w:type="dxa"/>
            <w:vAlign w:val="center"/>
          </w:tcPr>
          <w:p w14:paraId="5514175F">
            <w:pPr>
              <w:spacing w:line="360" w:lineRule="auto"/>
              <w:jc w:val="center"/>
              <w:rPr>
                <w:rFonts w:ascii="黑体" w:hAnsi="黑体" w:eastAsia="黑体"/>
                <w:b/>
                <w:bCs/>
                <w:spacing w:val="-10"/>
                <w:szCs w:val="21"/>
              </w:rPr>
            </w:pPr>
            <w:r>
              <w:rPr>
                <w:rFonts w:hint="eastAsia" w:ascii="黑体" w:hAnsi="黑体" w:eastAsia="黑体"/>
                <w:b/>
                <w:szCs w:val="21"/>
              </w:rPr>
              <w:t>投标文件响应页码</w:t>
            </w:r>
          </w:p>
        </w:tc>
      </w:tr>
      <w:tr w14:paraId="634D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2" w:type="dxa"/>
            <w:vAlign w:val="center"/>
          </w:tcPr>
          <w:p w14:paraId="3DFDAD16">
            <w:pPr>
              <w:spacing w:line="360" w:lineRule="auto"/>
              <w:jc w:val="center"/>
              <w:rPr>
                <w:rFonts w:ascii="黑体" w:hAnsi="黑体" w:eastAsia="黑体"/>
                <w:bCs/>
                <w:szCs w:val="21"/>
              </w:rPr>
            </w:pPr>
            <w:r>
              <w:rPr>
                <w:rFonts w:hint="eastAsia" w:ascii="黑体" w:hAnsi="黑体" w:eastAsia="黑体"/>
                <w:bCs/>
                <w:szCs w:val="21"/>
              </w:rPr>
              <w:t>1</w:t>
            </w:r>
          </w:p>
        </w:tc>
        <w:tc>
          <w:tcPr>
            <w:tcW w:w="4518" w:type="dxa"/>
            <w:vAlign w:val="center"/>
          </w:tcPr>
          <w:p w14:paraId="57238586">
            <w:pPr>
              <w:jc w:val="left"/>
              <w:rPr>
                <w:rFonts w:ascii="黑体" w:hAnsi="黑体" w:eastAsia="黑体"/>
              </w:rPr>
            </w:pPr>
          </w:p>
        </w:tc>
        <w:tc>
          <w:tcPr>
            <w:tcW w:w="1276" w:type="dxa"/>
            <w:vAlign w:val="center"/>
          </w:tcPr>
          <w:p w14:paraId="4E12E8F9">
            <w:pPr>
              <w:spacing w:line="360" w:lineRule="auto"/>
              <w:jc w:val="center"/>
              <w:rPr>
                <w:rFonts w:ascii="黑体" w:hAnsi="黑体" w:eastAsia="黑体"/>
                <w:bCs/>
                <w:szCs w:val="21"/>
              </w:rPr>
            </w:pPr>
          </w:p>
        </w:tc>
        <w:tc>
          <w:tcPr>
            <w:tcW w:w="2042" w:type="dxa"/>
            <w:vAlign w:val="center"/>
          </w:tcPr>
          <w:p w14:paraId="65F40274">
            <w:pPr>
              <w:spacing w:line="360" w:lineRule="auto"/>
              <w:jc w:val="center"/>
              <w:rPr>
                <w:rFonts w:ascii="黑体" w:hAnsi="黑体" w:eastAsia="黑体"/>
                <w:bCs/>
                <w:szCs w:val="21"/>
              </w:rPr>
            </w:pPr>
          </w:p>
        </w:tc>
      </w:tr>
      <w:tr w14:paraId="0A5D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92" w:type="dxa"/>
            <w:vAlign w:val="center"/>
          </w:tcPr>
          <w:p w14:paraId="64D50A90">
            <w:pPr>
              <w:spacing w:line="360" w:lineRule="auto"/>
              <w:jc w:val="center"/>
              <w:rPr>
                <w:rFonts w:ascii="黑体" w:hAnsi="黑体" w:eastAsia="黑体"/>
                <w:bCs/>
                <w:szCs w:val="21"/>
              </w:rPr>
            </w:pPr>
            <w:r>
              <w:rPr>
                <w:rFonts w:hint="eastAsia" w:ascii="黑体" w:hAnsi="黑体" w:eastAsia="黑体"/>
                <w:bCs/>
                <w:szCs w:val="21"/>
              </w:rPr>
              <w:t>2</w:t>
            </w:r>
          </w:p>
        </w:tc>
        <w:tc>
          <w:tcPr>
            <w:tcW w:w="4518" w:type="dxa"/>
            <w:vAlign w:val="center"/>
          </w:tcPr>
          <w:p w14:paraId="42BBD848">
            <w:pPr>
              <w:spacing w:line="360" w:lineRule="auto"/>
              <w:jc w:val="left"/>
              <w:rPr>
                <w:rFonts w:ascii="黑体" w:hAnsi="黑体" w:eastAsia="黑体"/>
                <w:b/>
                <w:bCs/>
                <w:szCs w:val="21"/>
              </w:rPr>
            </w:pPr>
          </w:p>
        </w:tc>
        <w:tc>
          <w:tcPr>
            <w:tcW w:w="1276" w:type="dxa"/>
            <w:vAlign w:val="center"/>
          </w:tcPr>
          <w:p w14:paraId="07FE4BFA">
            <w:pPr>
              <w:spacing w:line="360" w:lineRule="auto"/>
              <w:jc w:val="center"/>
              <w:rPr>
                <w:rFonts w:ascii="黑体" w:hAnsi="黑体" w:eastAsia="黑体"/>
                <w:b/>
                <w:bCs/>
                <w:szCs w:val="21"/>
              </w:rPr>
            </w:pPr>
          </w:p>
        </w:tc>
        <w:tc>
          <w:tcPr>
            <w:tcW w:w="2042" w:type="dxa"/>
            <w:vAlign w:val="center"/>
          </w:tcPr>
          <w:p w14:paraId="7B4B7934">
            <w:pPr>
              <w:spacing w:line="360" w:lineRule="auto"/>
              <w:jc w:val="center"/>
              <w:rPr>
                <w:rFonts w:ascii="黑体" w:hAnsi="黑体" w:eastAsia="黑体"/>
                <w:b/>
                <w:bCs/>
                <w:szCs w:val="21"/>
              </w:rPr>
            </w:pPr>
          </w:p>
        </w:tc>
      </w:tr>
      <w:tr w14:paraId="557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92" w:type="dxa"/>
            <w:vAlign w:val="center"/>
          </w:tcPr>
          <w:p w14:paraId="38C99F4C">
            <w:pPr>
              <w:spacing w:line="360" w:lineRule="auto"/>
              <w:jc w:val="center"/>
              <w:rPr>
                <w:rFonts w:ascii="黑体" w:hAnsi="黑体" w:eastAsia="黑体"/>
                <w:bCs/>
                <w:szCs w:val="21"/>
              </w:rPr>
            </w:pPr>
            <w:r>
              <w:rPr>
                <w:rFonts w:hint="eastAsia" w:ascii="黑体" w:hAnsi="黑体" w:eastAsia="黑体"/>
                <w:bCs/>
                <w:szCs w:val="21"/>
              </w:rPr>
              <w:t>3</w:t>
            </w:r>
          </w:p>
        </w:tc>
        <w:tc>
          <w:tcPr>
            <w:tcW w:w="4518" w:type="dxa"/>
            <w:vAlign w:val="center"/>
          </w:tcPr>
          <w:p w14:paraId="453AF5A5">
            <w:pPr>
              <w:spacing w:line="360" w:lineRule="auto"/>
              <w:jc w:val="left"/>
              <w:rPr>
                <w:rFonts w:ascii="黑体" w:hAnsi="黑体" w:eastAsia="黑体"/>
                <w:b/>
                <w:bCs/>
                <w:szCs w:val="21"/>
              </w:rPr>
            </w:pPr>
          </w:p>
        </w:tc>
        <w:tc>
          <w:tcPr>
            <w:tcW w:w="1276" w:type="dxa"/>
            <w:vAlign w:val="center"/>
          </w:tcPr>
          <w:p w14:paraId="4390B754">
            <w:pPr>
              <w:spacing w:line="360" w:lineRule="auto"/>
              <w:jc w:val="center"/>
              <w:rPr>
                <w:rFonts w:ascii="黑体" w:hAnsi="黑体" w:eastAsia="黑体"/>
                <w:b/>
                <w:bCs/>
                <w:szCs w:val="21"/>
              </w:rPr>
            </w:pPr>
          </w:p>
        </w:tc>
        <w:tc>
          <w:tcPr>
            <w:tcW w:w="2042" w:type="dxa"/>
            <w:vAlign w:val="center"/>
          </w:tcPr>
          <w:p w14:paraId="20F70FCC">
            <w:pPr>
              <w:spacing w:line="360" w:lineRule="auto"/>
              <w:jc w:val="center"/>
              <w:rPr>
                <w:rFonts w:ascii="黑体" w:hAnsi="黑体" w:eastAsia="黑体"/>
                <w:b/>
                <w:bCs/>
                <w:szCs w:val="21"/>
              </w:rPr>
            </w:pPr>
          </w:p>
        </w:tc>
      </w:tr>
      <w:tr w14:paraId="00BC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92" w:type="dxa"/>
            <w:vAlign w:val="center"/>
          </w:tcPr>
          <w:p w14:paraId="418F54F3">
            <w:pPr>
              <w:spacing w:line="360" w:lineRule="auto"/>
              <w:jc w:val="center"/>
              <w:rPr>
                <w:rFonts w:ascii="黑体" w:hAnsi="黑体" w:eastAsia="黑体"/>
                <w:bCs/>
                <w:szCs w:val="21"/>
              </w:rPr>
            </w:pPr>
            <w:r>
              <w:rPr>
                <w:rFonts w:hint="eastAsia" w:ascii="黑体" w:hAnsi="黑体" w:eastAsia="黑体"/>
                <w:bCs/>
                <w:szCs w:val="21"/>
              </w:rPr>
              <w:t>4</w:t>
            </w:r>
          </w:p>
        </w:tc>
        <w:tc>
          <w:tcPr>
            <w:tcW w:w="4518" w:type="dxa"/>
            <w:vAlign w:val="center"/>
          </w:tcPr>
          <w:p w14:paraId="1635F0E9">
            <w:pPr>
              <w:spacing w:line="360" w:lineRule="auto"/>
              <w:jc w:val="left"/>
              <w:rPr>
                <w:rFonts w:ascii="黑体" w:hAnsi="黑体" w:eastAsia="黑体"/>
                <w:b/>
                <w:bCs/>
                <w:szCs w:val="21"/>
              </w:rPr>
            </w:pPr>
          </w:p>
        </w:tc>
        <w:tc>
          <w:tcPr>
            <w:tcW w:w="1276" w:type="dxa"/>
            <w:vAlign w:val="center"/>
          </w:tcPr>
          <w:p w14:paraId="7316408D">
            <w:pPr>
              <w:spacing w:line="360" w:lineRule="auto"/>
              <w:jc w:val="center"/>
              <w:rPr>
                <w:rFonts w:ascii="黑体" w:hAnsi="黑体" w:eastAsia="黑体"/>
                <w:b/>
                <w:bCs/>
                <w:szCs w:val="21"/>
              </w:rPr>
            </w:pPr>
          </w:p>
        </w:tc>
        <w:tc>
          <w:tcPr>
            <w:tcW w:w="2042" w:type="dxa"/>
            <w:vAlign w:val="center"/>
          </w:tcPr>
          <w:p w14:paraId="08A8650B">
            <w:pPr>
              <w:spacing w:line="360" w:lineRule="auto"/>
              <w:jc w:val="center"/>
              <w:rPr>
                <w:rFonts w:ascii="黑体" w:hAnsi="黑体" w:eastAsia="黑体"/>
                <w:b/>
                <w:bCs/>
                <w:szCs w:val="21"/>
              </w:rPr>
            </w:pPr>
          </w:p>
        </w:tc>
      </w:tr>
      <w:tr w14:paraId="66A8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92" w:type="dxa"/>
            <w:vAlign w:val="center"/>
          </w:tcPr>
          <w:p w14:paraId="7A7E2EBA">
            <w:pPr>
              <w:spacing w:line="360" w:lineRule="auto"/>
              <w:jc w:val="center"/>
              <w:rPr>
                <w:rFonts w:ascii="黑体" w:hAnsi="黑体" w:eastAsia="黑体"/>
                <w:bCs/>
                <w:szCs w:val="21"/>
              </w:rPr>
            </w:pPr>
            <w:r>
              <w:rPr>
                <w:rFonts w:hint="eastAsia" w:ascii="黑体" w:hAnsi="黑体" w:eastAsia="黑体"/>
                <w:bCs/>
                <w:szCs w:val="21"/>
              </w:rPr>
              <w:t>5</w:t>
            </w:r>
          </w:p>
        </w:tc>
        <w:tc>
          <w:tcPr>
            <w:tcW w:w="4518" w:type="dxa"/>
            <w:vAlign w:val="center"/>
          </w:tcPr>
          <w:p w14:paraId="30DFE6C4">
            <w:pPr>
              <w:spacing w:line="360" w:lineRule="auto"/>
              <w:jc w:val="left"/>
              <w:rPr>
                <w:rFonts w:ascii="黑体" w:hAnsi="黑体" w:eastAsia="黑体"/>
                <w:szCs w:val="21"/>
              </w:rPr>
            </w:pPr>
          </w:p>
        </w:tc>
        <w:tc>
          <w:tcPr>
            <w:tcW w:w="1276" w:type="dxa"/>
            <w:vAlign w:val="center"/>
          </w:tcPr>
          <w:p w14:paraId="416B7253">
            <w:pPr>
              <w:spacing w:line="360" w:lineRule="auto"/>
              <w:jc w:val="center"/>
              <w:rPr>
                <w:rFonts w:ascii="黑体" w:hAnsi="黑体" w:eastAsia="黑体"/>
                <w:b/>
                <w:bCs/>
                <w:szCs w:val="21"/>
              </w:rPr>
            </w:pPr>
          </w:p>
        </w:tc>
        <w:tc>
          <w:tcPr>
            <w:tcW w:w="2042" w:type="dxa"/>
            <w:vAlign w:val="center"/>
          </w:tcPr>
          <w:p w14:paraId="57E36463">
            <w:pPr>
              <w:spacing w:line="360" w:lineRule="auto"/>
              <w:jc w:val="center"/>
              <w:rPr>
                <w:rFonts w:ascii="黑体" w:hAnsi="黑体" w:eastAsia="黑体"/>
                <w:b/>
                <w:bCs/>
                <w:szCs w:val="21"/>
              </w:rPr>
            </w:pPr>
          </w:p>
        </w:tc>
      </w:tr>
    </w:tbl>
    <w:p w14:paraId="62DCFA62">
      <w:pPr>
        <w:spacing w:beforeLines="50" w:line="360" w:lineRule="auto"/>
        <w:rPr>
          <w:rFonts w:ascii="黑体" w:hAnsi="黑体" w:eastAsia="黑体"/>
        </w:rPr>
      </w:pPr>
      <w:r>
        <w:rPr>
          <w:rFonts w:hint="eastAsia" w:ascii="黑体" w:hAnsi="黑体" w:eastAsia="黑体"/>
        </w:rPr>
        <w:t>注明：</w:t>
      </w:r>
    </w:p>
    <w:p w14:paraId="44C51786">
      <w:pPr>
        <w:pStyle w:val="32"/>
        <w:numPr>
          <w:ilvl w:val="0"/>
          <w:numId w:val="74"/>
        </w:numPr>
        <w:spacing w:line="360" w:lineRule="auto"/>
        <w:ind w:firstLineChars="0"/>
        <w:rPr>
          <w:rFonts w:ascii="黑体" w:hAnsi="黑体" w:eastAsia="黑体"/>
        </w:rPr>
      </w:pPr>
      <w:r>
        <w:rPr>
          <w:rFonts w:hint="eastAsia" w:ascii="黑体" w:hAnsi="黑体" w:eastAsia="黑体"/>
        </w:rPr>
        <w:t>自查结论处请填写：通过/不通过；</w:t>
      </w:r>
    </w:p>
    <w:p w14:paraId="0936DDE9">
      <w:pPr>
        <w:pStyle w:val="32"/>
        <w:numPr>
          <w:ilvl w:val="0"/>
          <w:numId w:val="74"/>
        </w:numPr>
        <w:spacing w:line="360" w:lineRule="auto"/>
        <w:ind w:firstLineChars="0"/>
        <w:rPr>
          <w:rFonts w:ascii="黑体" w:hAnsi="黑体" w:eastAsia="黑体"/>
        </w:rPr>
      </w:pPr>
      <w:r>
        <w:rPr>
          <w:rFonts w:hint="eastAsia" w:ascii="黑体" w:hAnsi="黑体" w:eastAsia="黑体"/>
          <w:szCs w:val="21"/>
        </w:rPr>
        <w:t>按招标文件第五部分 评标方法、步骤、标准之附表二符合性审查表相对应条款填写</w:t>
      </w:r>
      <w:r>
        <w:rPr>
          <w:rFonts w:hint="eastAsia" w:ascii="黑体" w:hAnsi="黑体" w:eastAsia="黑体"/>
        </w:rPr>
        <w:t>。</w:t>
      </w:r>
      <w:r>
        <w:rPr>
          <w:rFonts w:hint="eastAsia" w:ascii="黑体" w:hAnsi="黑体" w:eastAsia="黑体"/>
          <w:szCs w:val="21"/>
        </w:rPr>
        <w:t>（此表格建议放置在商务技术投标文件的开端）</w:t>
      </w:r>
    </w:p>
    <w:p w14:paraId="2E68599B">
      <w:pPr>
        <w:spacing w:line="360" w:lineRule="auto"/>
        <w:rPr>
          <w:rFonts w:ascii="黑体" w:hAnsi="黑体" w:eastAsia="黑体"/>
        </w:rPr>
      </w:pPr>
    </w:p>
    <w:p w14:paraId="18B73106">
      <w:pPr>
        <w:spacing w:line="360" w:lineRule="auto"/>
        <w:rPr>
          <w:rFonts w:ascii="黑体" w:hAnsi="黑体" w:eastAsia="黑体"/>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4D5B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3221F190">
            <w:pPr>
              <w:overflowPunct w:val="0"/>
              <w:adjustRightInd w:val="0"/>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69D60F1F">
            <w:pPr>
              <w:spacing w:line="360" w:lineRule="auto"/>
              <w:rPr>
                <w:rFonts w:ascii="黑体" w:hAnsi="黑体" w:eastAsia="黑体"/>
                <w:szCs w:val="21"/>
              </w:rPr>
            </w:pPr>
          </w:p>
        </w:tc>
      </w:tr>
      <w:tr w14:paraId="2AAA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67FD072B">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447E9EDB">
            <w:pPr>
              <w:spacing w:line="360" w:lineRule="auto"/>
              <w:rPr>
                <w:rFonts w:ascii="黑体" w:hAnsi="黑体" w:eastAsia="黑体"/>
                <w:szCs w:val="21"/>
              </w:rPr>
            </w:pPr>
          </w:p>
        </w:tc>
      </w:tr>
    </w:tbl>
    <w:p w14:paraId="71312B5A">
      <w:pPr>
        <w:pStyle w:val="32"/>
        <w:pageBreakBefore/>
        <w:numPr>
          <w:ilvl w:val="0"/>
          <w:numId w:val="64"/>
        </w:numPr>
        <w:spacing w:line="360" w:lineRule="auto"/>
        <w:ind w:firstLineChars="0"/>
        <w:rPr>
          <w:rFonts w:ascii="黑体" w:hAnsi="黑体" w:eastAsia="黑体"/>
          <w:b/>
          <w:szCs w:val="21"/>
        </w:rPr>
      </w:pPr>
      <w:r>
        <w:rPr>
          <w:rFonts w:hint="eastAsia" w:ascii="黑体" w:hAnsi="黑体" w:eastAsia="黑体"/>
          <w:b/>
          <w:szCs w:val="21"/>
        </w:rPr>
        <w:t>商务技术评审索引表</w:t>
      </w:r>
    </w:p>
    <w:p w14:paraId="6A0AA22B">
      <w:pPr>
        <w:spacing w:beforeLines="100" w:afterLines="100"/>
        <w:jc w:val="center"/>
        <w:rPr>
          <w:rFonts w:hint="eastAsia" w:ascii="黑体" w:hAnsi="黑体" w:eastAsia="黑体"/>
          <w:b/>
          <w:spacing w:val="20"/>
          <w:sz w:val="28"/>
          <w:szCs w:val="28"/>
        </w:rPr>
      </w:pPr>
      <w:r>
        <w:rPr>
          <w:rFonts w:hint="eastAsia" w:ascii="黑体" w:hAnsi="黑体" w:eastAsia="黑体"/>
          <w:b/>
          <w:spacing w:val="20"/>
          <w:sz w:val="28"/>
          <w:szCs w:val="28"/>
        </w:rPr>
        <w:t>商务技术评审索引表</w:t>
      </w:r>
    </w:p>
    <w:tbl>
      <w:tblPr>
        <w:tblStyle w:val="20"/>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909"/>
        <w:gridCol w:w="3573"/>
        <w:gridCol w:w="2251"/>
      </w:tblGrid>
      <w:tr w14:paraId="1A16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ED0DF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b/>
                <w:bCs/>
                <w:i w:val="0"/>
                <w:iCs w:val="0"/>
                <w:color w:val="000000"/>
                <w:kern w:val="0"/>
                <w:sz w:val="20"/>
                <w:szCs w:val="20"/>
                <w:highlight w:val="none"/>
                <w:u w:val="none"/>
                <w:lang w:val="en-US" w:eastAsia="zh-CN" w:bidi="ar"/>
              </w:rPr>
              <w:t>序号</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37761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评审项目</w:t>
            </w: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1FD7EB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评审内容</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76D97B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b/>
                <w:bCs/>
                <w:color w:val="auto"/>
                <w:kern w:val="0"/>
                <w:sz w:val="20"/>
                <w:szCs w:val="20"/>
                <w:highlight w:val="none"/>
                <w:lang w:bidi="ar"/>
              </w:rPr>
              <w:t>投标文件对应页码</w:t>
            </w:r>
          </w:p>
        </w:tc>
      </w:tr>
      <w:tr w14:paraId="75A8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2D3E7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9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342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经营状况指标</w:t>
            </w: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4C6650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存贷比</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34F0AE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0E4B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0FAE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26653">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2ED11C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网点设置情况</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6E5CCE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2152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B05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F48D9">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0BC51C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资本充足率</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5D015FB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4785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6ACF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F6B2E">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7DF2C0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不良贷款率</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7CD768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2F9F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F4C12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DBD7F">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27902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银行业机构综合评估情况</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5555A0F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6FBF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9403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D65D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利率水平指标</w:t>
            </w: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3DCBE5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定期存款收益率</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3D6122F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5D6B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6FEF1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w:t>
            </w:r>
          </w:p>
        </w:tc>
        <w:tc>
          <w:tcPr>
            <w:tcW w:w="19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6AF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服务水平指标</w:t>
            </w: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587D79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本地化服务</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E0E19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4BA3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B594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8</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07CBA">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602030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对账管理服务</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ED7D3A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7D9E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C3737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9</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48374">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72ACC3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业务办理便捷性</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49C5B2A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434E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ED2F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10</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03D40">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7B089B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应急响应</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49A76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72B1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3BAE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11</w:t>
            </w:r>
          </w:p>
        </w:tc>
        <w:tc>
          <w:tcPr>
            <w:tcW w:w="1909" w:type="dxa"/>
            <w:vMerge w:val="restart"/>
            <w:tcBorders>
              <w:top w:val="single" w:color="000000" w:sz="4" w:space="0"/>
              <w:left w:val="single" w:color="000000" w:sz="4" w:space="0"/>
              <w:right w:val="single" w:color="000000" w:sz="4" w:space="0"/>
            </w:tcBorders>
            <w:noWrap w:val="0"/>
            <w:vAlign w:val="center"/>
          </w:tcPr>
          <w:p w14:paraId="2EC9F044">
            <w:pPr>
              <w:jc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sz w:val="20"/>
                <w:szCs w:val="20"/>
                <w:highlight w:val="none"/>
                <w:u w:val="none"/>
              </w:rPr>
              <w:t>地方经济贡献</w:t>
            </w:r>
          </w:p>
          <w:p w14:paraId="204DCDF4">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1AB57D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税收贡献</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9EC1CE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r w14:paraId="2D16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DA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12</w:t>
            </w:r>
          </w:p>
        </w:tc>
        <w:tc>
          <w:tcPr>
            <w:tcW w:w="1909" w:type="dxa"/>
            <w:vMerge w:val="continue"/>
            <w:tcBorders>
              <w:left w:val="single" w:color="000000" w:sz="4" w:space="0"/>
              <w:right w:val="single" w:color="000000" w:sz="4" w:space="0"/>
            </w:tcBorders>
            <w:shd w:val="clear" w:color="auto" w:fill="auto"/>
            <w:noWrap w:val="0"/>
            <w:vAlign w:val="center"/>
          </w:tcPr>
          <w:p w14:paraId="5F667EA0">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nil"/>
              <w:right w:val="single" w:color="000000" w:sz="4" w:space="0"/>
            </w:tcBorders>
            <w:shd w:val="clear" w:color="auto" w:fill="auto"/>
            <w:noWrap w:val="0"/>
            <w:vAlign w:val="center"/>
          </w:tcPr>
          <w:p w14:paraId="74CEC1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南城）利息净收入同比增速</w:t>
            </w:r>
          </w:p>
          <w:p w14:paraId="25EA68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405F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p>
        </w:tc>
      </w:tr>
      <w:tr w14:paraId="67E9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AFB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13</w:t>
            </w:r>
          </w:p>
        </w:tc>
        <w:tc>
          <w:tcPr>
            <w:tcW w:w="1909" w:type="dxa"/>
            <w:vMerge w:val="continue"/>
            <w:tcBorders>
              <w:left w:val="single" w:color="000000" w:sz="4" w:space="0"/>
              <w:right w:val="single" w:color="000000" w:sz="4" w:space="0"/>
            </w:tcBorders>
            <w:shd w:val="clear" w:color="auto" w:fill="auto"/>
            <w:noWrap w:val="0"/>
            <w:vAlign w:val="center"/>
          </w:tcPr>
          <w:p w14:paraId="2FD04760">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nil"/>
              <w:right w:val="single" w:color="000000" w:sz="4" w:space="0"/>
            </w:tcBorders>
            <w:shd w:val="clear" w:color="auto" w:fill="auto"/>
            <w:noWrap w:val="0"/>
            <w:vAlign w:val="center"/>
          </w:tcPr>
          <w:p w14:paraId="63C97A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（南城）手续费及佣金净收入同比增速</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8B6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p>
        </w:tc>
      </w:tr>
      <w:tr w14:paraId="04F1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928FD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14</w:t>
            </w:r>
          </w:p>
        </w:tc>
        <w:tc>
          <w:tcPr>
            <w:tcW w:w="1909" w:type="dxa"/>
            <w:vMerge w:val="continue"/>
            <w:tcBorders>
              <w:left w:val="single" w:color="000000" w:sz="4" w:space="0"/>
              <w:bottom w:val="single" w:color="auto" w:sz="4" w:space="0"/>
              <w:right w:val="single" w:color="000000" w:sz="4" w:space="0"/>
            </w:tcBorders>
            <w:shd w:val="clear" w:color="auto" w:fill="auto"/>
            <w:noWrap w:val="0"/>
            <w:vAlign w:val="center"/>
          </w:tcPr>
          <w:p w14:paraId="09BE0D32">
            <w:pPr>
              <w:jc w:val="center"/>
              <w:rPr>
                <w:rFonts w:hint="default" w:ascii="Times New Roman" w:hAnsi="Times New Roman" w:eastAsia="宋体" w:cs="Times New Roman"/>
                <w:i w:val="0"/>
                <w:iCs w:val="0"/>
                <w:color w:val="000000"/>
                <w:sz w:val="20"/>
                <w:szCs w:val="20"/>
                <w:highlight w:val="none"/>
                <w:u w:val="none"/>
              </w:rPr>
            </w:pPr>
          </w:p>
        </w:tc>
        <w:tc>
          <w:tcPr>
            <w:tcW w:w="357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ADF2E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（南城）贷款余额平均增速</w:t>
            </w:r>
          </w:p>
        </w:tc>
        <w:tc>
          <w:tcPr>
            <w:tcW w:w="22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5241C8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p>
        </w:tc>
      </w:tr>
      <w:tr w14:paraId="3731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3C4915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cs="Times New Roman"/>
                <w:i w:val="0"/>
                <w:iCs w:val="0"/>
                <w:color w:val="000000"/>
                <w:kern w:val="0"/>
                <w:sz w:val="20"/>
                <w:szCs w:val="20"/>
                <w:highlight w:val="none"/>
                <w:u w:val="none"/>
                <w:lang w:val="en-US" w:eastAsia="zh-CN" w:bidi="ar"/>
              </w:rPr>
              <w:t>5</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0A35F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增值服务指标</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4F0237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提供增值服务</w:t>
            </w:r>
          </w:p>
        </w:tc>
        <w:tc>
          <w:tcPr>
            <w:tcW w:w="2251" w:type="dxa"/>
            <w:tcBorders>
              <w:top w:val="single" w:color="auto" w:sz="4" w:space="0"/>
              <w:left w:val="single" w:color="auto" w:sz="4" w:space="0"/>
              <w:bottom w:val="single" w:color="auto" w:sz="4" w:space="0"/>
              <w:right w:val="single" w:color="auto" w:sz="4" w:space="0"/>
            </w:tcBorders>
            <w:noWrap w:val="0"/>
            <w:vAlign w:val="center"/>
          </w:tcPr>
          <w:p w14:paraId="0487790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highlight w:val="none"/>
                <w:u w:val="none"/>
              </w:rPr>
            </w:pPr>
          </w:p>
        </w:tc>
      </w:tr>
      <w:tr w14:paraId="06D9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1232F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16</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BC745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逆指标</w:t>
            </w:r>
          </w:p>
        </w:tc>
        <w:tc>
          <w:tcPr>
            <w:tcW w:w="3573" w:type="dxa"/>
            <w:tcBorders>
              <w:top w:val="single" w:color="000000" w:sz="4" w:space="0"/>
              <w:left w:val="single" w:color="000000" w:sz="4" w:space="0"/>
              <w:bottom w:val="single" w:color="000000" w:sz="4" w:space="0"/>
              <w:right w:val="single" w:color="000000" w:sz="4" w:space="0"/>
            </w:tcBorders>
            <w:noWrap w:val="0"/>
            <w:vAlign w:val="center"/>
          </w:tcPr>
          <w:p w14:paraId="0E7FE6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存在违规操作的，一票否决</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F7EFCB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r>
    </w:tbl>
    <w:p w14:paraId="7247FE55">
      <w:pPr>
        <w:pStyle w:val="2"/>
      </w:pPr>
    </w:p>
    <w:p w14:paraId="596AC8FA">
      <w:pPr>
        <w:spacing w:beforeLines="50" w:line="360" w:lineRule="auto"/>
        <w:rPr>
          <w:rFonts w:ascii="黑体" w:hAnsi="黑体" w:eastAsia="黑体"/>
        </w:rPr>
      </w:pPr>
      <w:r>
        <w:rPr>
          <w:rFonts w:hint="eastAsia" w:ascii="黑体" w:hAnsi="黑体" w:eastAsia="黑体"/>
          <w:szCs w:val="21"/>
        </w:rPr>
        <w:t>注明：按招标文件第五部分 评标方法、步骤、标准之附表三商务技术评审表相对应条款填写。（此表格建议放置在商务技术投标文件的开端）</w:t>
      </w:r>
    </w:p>
    <w:p w14:paraId="539D6A30">
      <w:pPr>
        <w:spacing w:line="360" w:lineRule="auto"/>
        <w:rPr>
          <w:rFonts w:ascii="黑体" w:hAnsi="黑体" w:eastAsia="黑体"/>
        </w:rPr>
      </w:pPr>
    </w:p>
    <w:p w14:paraId="55FBF900">
      <w:pPr>
        <w:spacing w:line="360" w:lineRule="auto"/>
        <w:rPr>
          <w:rFonts w:ascii="黑体" w:hAnsi="黑体" w:eastAsia="黑体"/>
        </w:rPr>
      </w:pPr>
    </w:p>
    <w:p w14:paraId="6CF60E16">
      <w:pPr>
        <w:spacing w:line="360" w:lineRule="auto"/>
        <w:rPr>
          <w:rFonts w:ascii="黑体" w:hAnsi="黑体" w:eastAsia="黑体"/>
        </w:rPr>
      </w:pPr>
    </w:p>
    <w:tbl>
      <w:tblPr>
        <w:tblStyle w:val="2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0287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0C95D2F5">
            <w:pPr>
              <w:overflowPunct w:val="0"/>
              <w:adjustRightInd w:val="0"/>
              <w:spacing w:line="360" w:lineRule="auto"/>
              <w:rPr>
                <w:rFonts w:ascii="黑体" w:hAnsi="黑体" w:eastAsia="黑体"/>
                <w:szCs w:val="21"/>
              </w:rPr>
            </w:pPr>
            <w:r>
              <w:rPr>
                <w:rFonts w:hint="eastAsia" w:ascii="黑体" w:hAnsi="黑体" w:eastAsia="黑体"/>
                <w:szCs w:val="21"/>
              </w:rPr>
              <w:t>投标人名称（加盖公章）：</w:t>
            </w:r>
            <w:r>
              <w:rPr>
                <w:rFonts w:hint="eastAsia" w:ascii="黑体" w:hAnsi="黑体" w:eastAsia="黑体"/>
                <w:szCs w:val="21"/>
                <w:u w:val="single"/>
              </w:rPr>
              <w:t xml:space="preserve">                         </w:t>
            </w:r>
          </w:p>
        </w:tc>
        <w:tc>
          <w:tcPr>
            <w:tcW w:w="3175" w:type="dxa"/>
            <w:vAlign w:val="top"/>
          </w:tcPr>
          <w:p w14:paraId="1094F102">
            <w:pPr>
              <w:spacing w:line="360" w:lineRule="auto"/>
              <w:rPr>
                <w:rFonts w:ascii="黑体" w:hAnsi="黑体" w:eastAsia="黑体"/>
                <w:szCs w:val="21"/>
              </w:rPr>
            </w:pPr>
          </w:p>
        </w:tc>
      </w:tr>
      <w:tr w14:paraId="17BF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vAlign w:val="top"/>
          </w:tcPr>
          <w:p w14:paraId="6B588EB3">
            <w:pPr>
              <w:spacing w:line="360" w:lineRule="auto"/>
              <w:rPr>
                <w:rFonts w:ascii="黑体" w:hAnsi="黑体" w:eastAsia="黑体"/>
                <w:szCs w:val="21"/>
              </w:rPr>
            </w:pPr>
            <w:r>
              <w:rPr>
                <w:rFonts w:hint="eastAsia" w:ascii="黑体" w:hAnsi="黑体" w:eastAsia="黑体"/>
                <w:szCs w:val="21"/>
              </w:rPr>
              <w:t>日期：</w:t>
            </w:r>
            <w:r>
              <w:rPr>
                <w:rFonts w:hint="eastAsia" w:ascii="黑体" w:hAnsi="黑体" w:eastAsia="黑体"/>
                <w:szCs w:val="21"/>
                <w:u w:val="single"/>
              </w:rPr>
              <w:t xml:space="preserve">             年           月            日</w:t>
            </w:r>
          </w:p>
        </w:tc>
        <w:tc>
          <w:tcPr>
            <w:tcW w:w="3175" w:type="dxa"/>
            <w:vAlign w:val="top"/>
          </w:tcPr>
          <w:p w14:paraId="7EF46CD3">
            <w:pPr>
              <w:spacing w:line="360" w:lineRule="auto"/>
              <w:rPr>
                <w:rFonts w:ascii="黑体" w:hAnsi="黑体" w:eastAsia="黑体"/>
                <w:szCs w:val="21"/>
              </w:rPr>
            </w:pPr>
          </w:p>
        </w:tc>
      </w:tr>
    </w:tbl>
    <w:p w14:paraId="628DD003">
      <w:pPr>
        <w:spacing w:line="360" w:lineRule="auto"/>
        <w:rPr>
          <w:rFonts w:ascii="黑体" w:hAnsi="黑体" w:eastAsia="黑体"/>
        </w:rPr>
      </w:pPr>
    </w:p>
    <w:sectPr>
      <w:headerReference r:id="rId3" w:type="default"/>
      <w:footerReference r:id="rId4" w:type="default"/>
      <w:pgSz w:w="11906" w:h="16838"/>
      <w:pgMar w:top="1701" w:right="1797" w:bottom="1134" w:left="1797" w:header="851"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A37E">
    <w:pPr>
      <w:pStyle w:val="13"/>
      <w:jc w:val="center"/>
    </w:pPr>
    <w:r>
      <w:rPr>
        <w:rFonts w:ascii="黑体" w:hAnsi="黑体" w:eastAsia="黑体"/>
        <w:color w:val="FF0000"/>
      </w:rPr>
      <w:fldChar w:fldCharType="begin"/>
    </w:r>
    <w:r>
      <w:instrText xml:space="preserve"> PAGE   \* MERGEFORMAT </w:instrText>
    </w:r>
    <w:r>
      <w:fldChar w:fldCharType="separate"/>
    </w:r>
    <w:r>
      <w:rPr>
        <w:lang w:val="zh-CN"/>
      </w:rPr>
      <w:t>27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C8A9">
    <w:pPr>
      <w:pStyle w:val="14"/>
      <w:jc w:val="left"/>
      <w:rPr>
        <w:rFonts w:ascii="黑体" w:hAnsi="黑体" w:eastAsia="黑体"/>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F54D1"/>
    <w:multiLevelType w:val="singleLevel"/>
    <w:tmpl w:val="9D1F54D1"/>
    <w:lvl w:ilvl="0" w:tentative="0">
      <w:start w:val="1"/>
      <w:numFmt w:val="decimal"/>
      <w:suff w:val="nothing"/>
      <w:lvlText w:val="%1）"/>
      <w:lvlJc w:val="left"/>
    </w:lvl>
  </w:abstractNum>
  <w:abstractNum w:abstractNumId="1">
    <w:nsid w:val="D0DDA5A5"/>
    <w:multiLevelType w:val="singleLevel"/>
    <w:tmpl w:val="D0DDA5A5"/>
    <w:lvl w:ilvl="0" w:tentative="0">
      <w:start w:val="2"/>
      <w:numFmt w:val="decimal"/>
      <w:suff w:val="nothing"/>
      <w:lvlText w:val="%1、"/>
      <w:lvlJc w:val="left"/>
    </w:lvl>
  </w:abstractNum>
  <w:abstractNum w:abstractNumId="2">
    <w:nsid w:val="0424120C"/>
    <w:multiLevelType w:val="multilevel"/>
    <w:tmpl w:val="0424120C"/>
    <w:lvl w:ilvl="0" w:tentative="0">
      <w:start w:val="1"/>
      <w:numFmt w:val="chineseCountingThousand"/>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2946DA"/>
    <w:multiLevelType w:val="multilevel"/>
    <w:tmpl w:val="042946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55B2C6F"/>
    <w:multiLevelType w:val="multilevel"/>
    <w:tmpl w:val="055B2C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8E1741"/>
    <w:multiLevelType w:val="multilevel"/>
    <w:tmpl w:val="068E1741"/>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11475B"/>
    <w:multiLevelType w:val="multilevel"/>
    <w:tmpl w:val="0711475B"/>
    <w:lvl w:ilvl="0" w:tentative="0">
      <w:start w:val="1"/>
      <w:numFmt w:val="chineseCountingThousand"/>
      <w:lvlText w:val="(%1)"/>
      <w:lvlJc w:val="left"/>
      <w:pPr>
        <w:ind w:left="420" w:hanging="420"/>
      </w:pPr>
      <w:rPr>
        <w:rFonts w:hint="eastAsia"/>
        <w:b/>
        <w:i w:val="0"/>
        <w:spacing w:val="0"/>
        <w:w w:val="66"/>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77301F4"/>
    <w:multiLevelType w:val="multilevel"/>
    <w:tmpl w:val="077301F4"/>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F138CA"/>
    <w:multiLevelType w:val="multilevel"/>
    <w:tmpl w:val="08F138CA"/>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A550C87"/>
    <w:multiLevelType w:val="multilevel"/>
    <w:tmpl w:val="0A550C8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DA405B3"/>
    <w:multiLevelType w:val="multilevel"/>
    <w:tmpl w:val="0DA405B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DA773AA"/>
    <w:multiLevelType w:val="multilevel"/>
    <w:tmpl w:val="0DA773AA"/>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0F1243"/>
    <w:multiLevelType w:val="multilevel"/>
    <w:tmpl w:val="0E0F12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B56B8E"/>
    <w:multiLevelType w:val="multilevel"/>
    <w:tmpl w:val="0EB56B8E"/>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E76AD9"/>
    <w:multiLevelType w:val="multilevel"/>
    <w:tmpl w:val="0EE76A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1314AE1"/>
    <w:multiLevelType w:val="multilevel"/>
    <w:tmpl w:val="11314A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256166A"/>
    <w:multiLevelType w:val="multilevel"/>
    <w:tmpl w:val="1256166A"/>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27007EF"/>
    <w:multiLevelType w:val="multilevel"/>
    <w:tmpl w:val="127007EF"/>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4D85941"/>
    <w:multiLevelType w:val="multilevel"/>
    <w:tmpl w:val="14D85941"/>
    <w:lvl w:ilvl="0" w:tentative="0">
      <w:start w:val="1"/>
      <w:numFmt w:val="decimal"/>
      <w:lvlText w:val="%1."/>
      <w:lvlJc w:val="left"/>
      <w:pPr>
        <w:ind w:left="420" w:hanging="420"/>
      </w:pPr>
      <w:rPr>
        <w:rFonts w:hint="eastAsia"/>
        <w:b/>
        <w:i w:val="0"/>
        <w:spacing w:val="0"/>
        <w:w w:val="100"/>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0C5BA1"/>
    <w:multiLevelType w:val="multilevel"/>
    <w:tmpl w:val="170C5B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7507D17"/>
    <w:multiLevelType w:val="multilevel"/>
    <w:tmpl w:val="17507D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83855C7"/>
    <w:multiLevelType w:val="multilevel"/>
    <w:tmpl w:val="183855C7"/>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1F75064D"/>
    <w:multiLevelType w:val="multilevel"/>
    <w:tmpl w:val="1F7506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66654B2"/>
    <w:multiLevelType w:val="multilevel"/>
    <w:tmpl w:val="266654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6D85D96"/>
    <w:multiLevelType w:val="multilevel"/>
    <w:tmpl w:val="26D85D96"/>
    <w:lvl w:ilvl="0" w:tentative="0">
      <w:start w:val="1"/>
      <w:numFmt w:val="chineseCountingThousand"/>
      <w:lvlText w:val="%1、"/>
      <w:lvlJc w:val="left"/>
      <w:pPr>
        <w:ind w:left="420" w:hanging="420"/>
      </w:pPr>
      <w:rPr>
        <w:rFonts w:hint="eastAsia"/>
        <w:b/>
        <w:i w:val="0"/>
        <w:snapToGrid w:val="0"/>
        <w:spacing w:val="-10"/>
        <w:w w:val="100"/>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85866C7"/>
    <w:multiLevelType w:val="multilevel"/>
    <w:tmpl w:val="285866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9E2093C"/>
    <w:multiLevelType w:val="multilevel"/>
    <w:tmpl w:val="29E209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BCD142E"/>
    <w:multiLevelType w:val="multilevel"/>
    <w:tmpl w:val="2BCD1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0A7456B"/>
    <w:multiLevelType w:val="multilevel"/>
    <w:tmpl w:val="30A7456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256D3A"/>
    <w:multiLevelType w:val="multilevel"/>
    <w:tmpl w:val="32256D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BF1864"/>
    <w:multiLevelType w:val="multilevel"/>
    <w:tmpl w:val="32BF1864"/>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5EA1EC4"/>
    <w:multiLevelType w:val="multilevel"/>
    <w:tmpl w:val="35EA1EC4"/>
    <w:lvl w:ilvl="0" w:tentative="0">
      <w:start w:val="1"/>
      <w:numFmt w:val="decimal"/>
      <w:lvlText w:val="%1"/>
      <w:lvlJc w:val="left"/>
      <w:pPr>
        <w:ind w:left="420" w:hanging="420"/>
      </w:pPr>
      <w:rPr>
        <w:rFonts w:hint="eastAsia"/>
        <w:b/>
        <w:i w:val="0"/>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8D61DE7"/>
    <w:multiLevelType w:val="multilevel"/>
    <w:tmpl w:val="38D61D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8FB21FA"/>
    <w:multiLevelType w:val="multilevel"/>
    <w:tmpl w:val="38FB21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935772F"/>
    <w:multiLevelType w:val="multilevel"/>
    <w:tmpl w:val="393577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96F1BD3"/>
    <w:multiLevelType w:val="multilevel"/>
    <w:tmpl w:val="396F1BD3"/>
    <w:lvl w:ilvl="0" w:tentative="0">
      <w:start w:val="1"/>
      <w:numFmt w:val="lowerLetter"/>
      <w:lvlText w:val="%1）"/>
      <w:lvlJc w:val="left"/>
      <w:pPr>
        <w:ind w:left="420" w:hanging="420"/>
      </w:pPr>
      <w:rPr>
        <w:rFonts w:hint="eastAsia"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9B80ABA"/>
    <w:multiLevelType w:val="multilevel"/>
    <w:tmpl w:val="39B80AB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C780FC1"/>
    <w:multiLevelType w:val="multilevel"/>
    <w:tmpl w:val="3C780FC1"/>
    <w:lvl w:ilvl="0" w:tentative="0">
      <w:start w:val="1"/>
      <w:numFmt w:val="lowerLetter"/>
      <w:lvlText w:val="%1）"/>
      <w:lvlJc w:val="left"/>
      <w:pPr>
        <w:ind w:left="420" w:hanging="420"/>
      </w:pPr>
      <w:rPr>
        <w:rFonts w:hint="eastAsia"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DD314C7"/>
    <w:multiLevelType w:val="multilevel"/>
    <w:tmpl w:val="3DD314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0251A3C"/>
    <w:multiLevelType w:val="multilevel"/>
    <w:tmpl w:val="40251A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25E41DF"/>
    <w:multiLevelType w:val="multilevel"/>
    <w:tmpl w:val="425E41D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7536C22"/>
    <w:multiLevelType w:val="multilevel"/>
    <w:tmpl w:val="47536C22"/>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82D22DC"/>
    <w:multiLevelType w:val="multilevel"/>
    <w:tmpl w:val="482D22DC"/>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7E55F5"/>
    <w:multiLevelType w:val="multilevel"/>
    <w:tmpl w:val="4B7E55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E1D7700"/>
    <w:multiLevelType w:val="multilevel"/>
    <w:tmpl w:val="4E1D770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01A3387"/>
    <w:multiLevelType w:val="multilevel"/>
    <w:tmpl w:val="501A3387"/>
    <w:lvl w:ilvl="0" w:tentative="0">
      <w:start w:val="1"/>
      <w:numFmt w:val="decimal"/>
      <w:lvlText w:val="%1."/>
      <w:lvlJc w:val="left"/>
      <w:pPr>
        <w:ind w:left="420" w:hanging="420"/>
      </w:pPr>
      <w:rPr>
        <w:rFonts w:hint="default"/>
        <w:b/>
        <w:i w:val="0"/>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2C222DF"/>
    <w:multiLevelType w:val="multilevel"/>
    <w:tmpl w:val="52C222DF"/>
    <w:lvl w:ilvl="0" w:tentative="0">
      <w:start w:val="1"/>
      <w:numFmt w:val="decimal"/>
      <w:lvlText w:val="%1."/>
      <w:lvlJc w:val="left"/>
      <w:pPr>
        <w:ind w:left="420" w:hanging="420"/>
      </w:pPr>
      <w:rPr>
        <w:rFonts w:hint="eastAsia"/>
        <w:b/>
        <w:i w:val="0"/>
        <w:spacing w:val="0"/>
        <w:w w:val="100"/>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545A4EC6"/>
    <w:multiLevelType w:val="multilevel"/>
    <w:tmpl w:val="545A4EC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4E6368B"/>
    <w:multiLevelType w:val="multilevel"/>
    <w:tmpl w:val="54E636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507407A"/>
    <w:multiLevelType w:val="multilevel"/>
    <w:tmpl w:val="550740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7E64E5F"/>
    <w:multiLevelType w:val="multilevel"/>
    <w:tmpl w:val="57E64E5F"/>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F47977"/>
    <w:multiLevelType w:val="multilevel"/>
    <w:tmpl w:val="5AF47977"/>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C032787"/>
    <w:multiLevelType w:val="multilevel"/>
    <w:tmpl w:val="5C032787"/>
    <w:lvl w:ilvl="0" w:tentative="0">
      <w:start w:val="1"/>
      <w:numFmt w:val="decimal"/>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DC93A97"/>
    <w:multiLevelType w:val="multilevel"/>
    <w:tmpl w:val="5DC93A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2A936E8"/>
    <w:multiLevelType w:val="multilevel"/>
    <w:tmpl w:val="62A936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3310E35"/>
    <w:multiLevelType w:val="multilevel"/>
    <w:tmpl w:val="63310E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3520B2B"/>
    <w:multiLevelType w:val="multilevel"/>
    <w:tmpl w:val="63520B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44C7B57"/>
    <w:multiLevelType w:val="multilevel"/>
    <w:tmpl w:val="644C7B5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A8705F4"/>
    <w:multiLevelType w:val="multilevel"/>
    <w:tmpl w:val="6A8705F4"/>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8">
    <w:nsid w:val="70D74618"/>
    <w:multiLevelType w:val="multilevel"/>
    <w:tmpl w:val="70D746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0EC5F3A"/>
    <w:multiLevelType w:val="multilevel"/>
    <w:tmpl w:val="70EC5F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2254C9F"/>
    <w:multiLevelType w:val="multilevel"/>
    <w:tmpl w:val="72254C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33C03B1"/>
    <w:multiLevelType w:val="multilevel"/>
    <w:tmpl w:val="733C03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94218BA"/>
    <w:multiLevelType w:val="multilevel"/>
    <w:tmpl w:val="794218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4"/>
  </w:num>
  <w:num w:numId="2">
    <w:abstractNumId w:val="61"/>
  </w:num>
  <w:num w:numId="3">
    <w:abstractNumId w:val="14"/>
  </w:num>
  <w:num w:numId="4">
    <w:abstractNumId w:val="25"/>
  </w:num>
  <w:num w:numId="5">
    <w:abstractNumId w:val="13"/>
  </w:num>
  <w:num w:numId="6">
    <w:abstractNumId w:val="6"/>
  </w:num>
  <w:num w:numId="7">
    <w:abstractNumId w:val="49"/>
  </w:num>
  <w:num w:numId="8">
    <w:abstractNumId w:val="18"/>
  </w:num>
  <w:num w:numId="9">
    <w:abstractNumId w:val="33"/>
  </w:num>
  <w:num w:numId="10">
    <w:abstractNumId w:val="57"/>
  </w:num>
  <w:num w:numId="11">
    <w:abstractNumId w:val="12"/>
  </w:num>
  <w:num w:numId="12">
    <w:abstractNumId w:val="69"/>
  </w:num>
  <w:num w:numId="13">
    <w:abstractNumId w:val="37"/>
  </w:num>
  <w:num w:numId="14">
    <w:abstractNumId w:val="28"/>
  </w:num>
  <w:num w:numId="15">
    <w:abstractNumId w:val="39"/>
  </w:num>
  <w:num w:numId="16">
    <w:abstractNumId w:val="62"/>
  </w:num>
  <w:num w:numId="17">
    <w:abstractNumId w:val="51"/>
  </w:num>
  <w:num w:numId="18">
    <w:abstractNumId w:val="36"/>
  </w:num>
  <w:num w:numId="19">
    <w:abstractNumId w:val="42"/>
  </w:num>
  <w:num w:numId="20">
    <w:abstractNumId w:val="35"/>
  </w:num>
  <w:num w:numId="21">
    <w:abstractNumId w:val="71"/>
  </w:num>
  <w:num w:numId="22">
    <w:abstractNumId w:val="41"/>
  </w:num>
  <w:num w:numId="23">
    <w:abstractNumId w:val="63"/>
  </w:num>
  <w:num w:numId="24">
    <w:abstractNumId w:val="15"/>
  </w:num>
  <w:num w:numId="25">
    <w:abstractNumId w:val="46"/>
  </w:num>
  <w:num w:numId="26">
    <w:abstractNumId w:val="43"/>
  </w:num>
  <w:num w:numId="27">
    <w:abstractNumId w:val="32"/>
  </w:num>
  <w:num w:numId="28">
    <w:abstractNumId w:val="4"/>
  </w:num>
  <w:num w:numId="29">
    <w:abstractNumId w:val="3"/>
  </w:num>
  <w:num w:numId="30">
    <w:abstractNumId w:val="20"/>
  </w:num>
  <w:num w:numId="31">
    <w:abstractNumId w:val="59"/>
  </w:num>
  <w:num w:numId="32">
    <w:abstractNumId w:val="27"/>
  </w:num>
  <w:num w:numId="33">
    <w:abstractNumId w:val="26"/>
  </w:num>
  <w:num w:numId="34">
    <w:abstractNumId w:val="52"/>
  </w:num>
  <w:num w:numId="35">
    <w:abstractNumId w:val="23"/>
  </w:num>
  <w:num w:numId="36">
    <w:abstractNumId w:val="9"/>
  </w:num>
  <w:num w:numId="37">
    <w:abstractNumId w:val="11"/>
  </w:num>
  <w:num w:numId="38">
    <w:abstractNumId w:val="10"/>
  </w:num>
  <w:num w:numId="39">
    <w:abstractNumId w:val="53"/>
  </w:num>
  <w:num w:numId="40">
    <w:abstractNumId w:val="31"/>
  </w:num>
  <w:num w:numId="41">
    <w:abstractNumId w:val="19"/>
  </w:num>
  <w:num w:numId="42">
    <w:abstractNumId w:val="56"/>
  </w:num>
  <w:num w:numId="43">
    <w:abstractNumId w:val="55"/>
  </w:num>
  <w:num w:numId="44">
    <w:abstractNumId w:val="60"/>
  </w:num>
  <w:num w:numId="45">
    <w:abstractNumId w:val="40"/>
  </w:num>
  <w:num w:numId="46">
    <w:abstractNumId w:val="24"/>
  </w:num>
  <w:num w:numId="47">
    <w:abstractNumId w:val="50"/>
  </w:num>
  <w:num w:numId="48">
    <w:abstractNumId w:val="47"/>
  </w:num>
  <w:num w:numId="49">
    <w:abstractNumId w:val="38"/>
  </w:num>
  <w:num w:numId="50">
    <w:abstractNumId w:val="67"/>
  </w:num>
  <w:num w:numId="51">
    <w:abstractNumId w:val="22"/>
  </w:num>
  <w:num w:numId="52">
    <w:abstractNumId w:val="66"/>
  </w:num>
  <w:num w:numId="53">
    <w:abstractNumId w:val="73"/>
  </w:num>
  <w:num w:numId="54">
    <w:abstractNumId w:val="1"/>
  </w:num>
  <w:num w:numId="55">
    <w:abstractNumId w:val="2"/>
  </w:num>
  <w:num w:numId="56">
    <w:abstractNumId w:val="48"/>
  </w:num>
  <w:num w:numId="57">
    <w:abstractNumId w:val="0"/>
  </w:num>
  <w:num w:numId="58">
    <w:abstractNumId w:val="8"/>
  </w:num>
  <w:num w:numId="59">
    <w:abstractNumId w:val="7"/>
  </w:num>
  <w:num w:numId="60">
    <w:abstractNumId w:val="58"/>
  </w:num>
  <w:num w:numId="61">
    <w:abstractNumId w:val="45"/>
  </w:num>
  <w:num w:numId="62">
    <w:abstractNumId w:val="5"/>
  </w:num>
  <w:num w:numId="63">
    <w:abstractNumId w:val="17"/>
  </w:num>
  <w:num w:numId="64">
    <w:abstractNumId w:val="44"/>
  </w:num>
  <w:num w:numId="65">
    <w:abstractNumId w:val="16"/>
  </w:num>
  <w:num w:numId="66">
    <w:abstractNumId w:val="21"/>
  </w:num>
  <w:num w:numId="67">
    <w:abstractNumId w:val="65"/>
  </w:num>
  <w:num w:numId="68">
    <w:abstractNumId w:val="70"/>
  </w:num>
  <w:num w:numId="69">
    <w:abstractNumId w:val="72"/>
  </w:num>
  <w:num w:numId="70">
    <w:abstractNumId w:val="30"/>
  </w:num>
  <w:num w:numId="71">
    <w:abstractNumId w:val="54"/>
  </w:num>
  <w:num w:numId="72">
    <w:abstractNumId w:val="64"/>
  </w:num>
  <w:num w:numId="73">
    <w:abstractNumId w:val="29"/>
  </w:num>
  <w:num w:numId="7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06"/>
    <w:rsid w:val="000003F9"/>
    <w:rsid w:val="000010BB"/>
    <w:rsid w:val="000013F1"/>
    <w:rsid w:val="00001F97"/>
    <w:rsid w:val="000026FE"/>
    <w:rsid w:val="00002932"/>
    <w:rsid w:val="00002AED"/>
    <w:rsid w:val="00002EFC"/>
    <w:rsid w:val="00003266"/>
    <w:rsid w:val="00003310"/>
    <w:rsid w:val="0000344B"/>
    <w:rsid w:val="00003C1A"/>
    <w:rsid w:val="00003C75"/>
    <w:rsid w:val="00004779"/>
    <w:rsid w:val="000047C9"/>
    <w:rsid w:val="00004E8D"/>
    <w:rsid w:val="0000569B"/>
    <w:rsid w:val="0000573A"/>
    <w:rsid w:val="0000591B"/>
    <w:rsid w:val="00005D02"/>
    <w:rsid w:val="00005E50"/>
    <w:rsid w:val="00006469"/>
    <w:rsid w:val="0000736C"/>
    <w:rsid w:val="00007AFD"/>
    <w:rsid w:val="00007C67"/>
    <w:rsid w:val="000100E9"/>
    <w:rsid w:val="00010866"/>
    <w:rsid w:val="000108A4"/>
    <w:rsid w:val="00010B46"/>
    <w:rsid w:val="00010DC2"/>
    <w:rsid w:val="000111BC"/>
    <w:rsid w:val="0001140E"/>
    <w:rsid w:val="000115FB"/>
    <w:rsid w:val="00011B45"/>
    <w:rsid w:val="0001212F"/>
    <w:rsid w:val="00012353"/>
    <w:rsid w:val="00012887"/>
    <w:rsid w:val="000129CC"/>
    <w:rsid w:val="00012B44"/>
    <w:rsid w:val="00012F9E"/>
    <w:rsid w:val="00013222"/>
    <w:rsid w:val="00013306"/>
    <w:rsid w:val="00013C00"/>
    <w:rsid w:val="00013C52"/>
    <w:rsid w:val="00013F69"/>
    <w:rsid w:val="00014FD9"/>
    <w:rsid w:val="000155C8"/>
    <w:rsid w:val="0001578E"/>
    <w:rsid w:val="00015A18"/>
    <w:rsid w:val="000163DA"/>
    <w:rsid w:val="0001672C"/>
    <w:rsid w:val="00016A0A"/>
    <w:rsid w:val="00017103"/>
    <w:rsid w:val="00017626"/>
    <w:rsid w:val="00017850"/>
    <w:rsid w:val="00017A69"/>
    <w:rsid w:val="00017BBE"/>
    <w:rsid w:val="00020831"/>
    <w:rsid w:val="00020E65"/>
    <w:rsid w:val="000215BB"/>
    <w:rsid w:val="00021869"/>
    <w:rsid w:val="00023134"/>
    <w:rsid w:val="00023542"/>
    <w:rsid w:val="00023D47"/>
    <w:rsid w:val="00023E8B"/>
    <w:rsid w:val="0002425E"/>
    <w:rsid w:val="00024720"/>
    <w:rsid w:val="000255FD"/>
    <w:rsid w:val="00025686"/>
    <w:rsid w:val="00025BA4"/>
    <w:rsid w:val="00025EC9"/>
    <w:rsid w:val="000262C8"/>
    <w:rsid w:val="00026846"/>
    <w:rsid w:val="00026E9A"/>
    <w:rsid w:val="00027918"/>
    <w:rsid w:val="000313C9"/>
    <w:rsid w:val="00031A57"/>
    <w:rsid w:val="00032273"/>
    <w:rsid w:val="000326DA"/>
    <w:rsid w:val="00032773"/>
    <w:rsid w:val="000329D9"/>
    <w:rsid w:val="00033770"/>
    <w:rsid w:val="00033A70"/>
    <w:rsid w:val="00033E5C"/>
    <w:rsid w:val="000348FE"/>
    <w:rsid w:val="00034A59"/>
    <w:rsid w:val="00034B87"/>
    <w:rsid w:val="0003507B"/>
    <w:rsid w:val="00035414"/>
    <w:rsid w:val="00035599"/>
    <w:rsid w:val="00035834"/>
    <w:rsid w:val="00035A33"/>
    <w:rsid w:val="0003630F"/>
    <w:rsid w:val="00036B6D"/>
    <w:rsid w:val="00036CD6"/>
    <w:rsid w:val="00036DF6"/>
    <w:rsid w:val="00036E9C"/>
    <w:rsid w:val="00037179"/>
    <w:rsid w:val="0004007C"/>
    <w:rsid w:val="000402D4"/>
    <w:rsid w:val="00040373"/>
    <w:rsid w:val="00040887"/>
    <w:rsid w:val="00041895"/>
    <w:rsid w:val="00041A3B"/>
    <w:rsid w:val="00041C2F"/>
    <w:rsid w:val="00041DE3"/>
    <w:rsid w:val="00041F9C"/>
    <w:rsid w:val="0004225C"/>
    <w:rsid w:val="00042A48"/>
    <w:rsid w:val="00042B14"/>
    <w:rsid w:val="00042F2E"/>
    <w:rsid w:val="0004306E"/>
    <w:rsid w:val="0004343F"/>
    <w:rsid w:val="0004426E"/>
    <w:rsid w:val="000445A8"/>
    <w:rsid w:val="0004489A"/>
    <w:rsid w:val="00044D03"/>
    <w:rsid w:val="0004545E"/>
    <w:rsid w:val="000458A2"/>
    <w:rsid w:val="00045D9B"/>
    <w:rsid w:val="00046138"/>
    <w:rsid w:val="000467FE"/>
    <w:rsid w:val="00046E03"/>
    <w:rsid w:val="00046EDE"/>
    <w:rsid w:val="0004779D"/>
    <w:rsid w:val="00047959"/>
    <w:rsid w:val="00047F01"/>
    <w:rsid w:val="000500B4"/>
    <w:rsid w:val="000504E2"/>
    <w:rsid w:val="000507E6"/>
    <w:rsid w:val="00050A50"/>
    <w:rsid w:val="00050CF5"/>
    <w:rsid w:val="00050D84"/>
    <w:rsid w:val="00050FB3"/>
    <w:rsid w:val="00051B0A"/>
    <w:rsid w:val="00051FDB"/>
    <w:rsid w:val="000523C2"/>
    <w:rsid w:val="00052540"/>
    <w:rsid w:val="000527EE"/>
    <w:rsid w:val="0005311F"/>
    <w:rsid w:val="00053536"/>
    <w:rsid w:val="00053AB3"/>
    <w:rsid w:val="00053CF7"/>
    <w:rsid w:val="000540B6"/>
    <w:rsid w:val="0005429A"/>
    <w:rsid w:val="0005455A"/>
    <w:rsid w:val="00055623"/>
    <w:rsid w:val="0005569D"/>
    <w:rsid w:val="00055B71"/>
    <w:rsid w:val="00055C02"/>
    <w:rsid w:val="00055D9E"/>
    <w:rsid w:val="00056198"/>
    <w:rsid w:val="00056398"/>
    <w:rsid w:val="000568E1"/>
    <w:rsid w:val="000569AD"/>
    <w:rsid w:val="00056A46"/>
    <w:rsid w:val="00056B8D"/>
    <w:rsid w:val="00056C24"/>
    <w:rsid w:val="00056DF4"/>
    <w:rsid w:val="00057299"/>
    <w:rsid w:val="000572A0"/>
    <w:rsid w:val="00057356"/>
    <w:rsid w:val="000577DB"/>
    <w:rsid w:val="00057909"/>
    <w:rsid w:val="00057A49"/>
    <w:rsid w:val="00060333"/>
    <w:rsid w:val="00060E5F"/>
    <w:rsid w:val="000611ED"/>
    <w:rsid w:val="00061F62"/>
    <w:rsid w:val="0006230A"/>
    <w:rsid w:val="00063850"/>
    <w:rsid w:val="000638A0"/>
    <w:rsid w:val="0006398E"/>
    <w:rsid w:val="00063A34"/>
    <w:rsid w:val="00063E88"/>
    <w:rsid w:val="000642C3"/>
    <w:rsid w:val="0006440A"/>
    <w:rsid w:val="000647C7"/>
    <w:rsid w:val="000647F9"/>
    <w:rsid w:val="00064C24"/>
    <w:rsid w:val="0006589E"/>
    <w:rsid w:val="00065C3A"/>
    <w:rsid w:val="00065C3D"/>
    <w:rsid w:val="00065D0C"/>
    <w:rsid w:val="00065E30"/>
    <w:rsid w:val="000662AF"/>
    <w:rsid w:val="00066697"/>
    <w:rsid w:val="00066D9D"/>
    <w:rsid w:val="00066E37"/>
    <w:rsid w:val="00067EA1"/>
    <w:rsid w:val="00070F9D"/>
    <w:rsid w:val="00071077"/>
    <w:rsid w:val="0007137B"/>
    <w:rsid w:val="000714D9"/>
    <w:rsid w:val="00071BBD"/>
    <w:rsid w:val="0007298C"/>
    <w:rsid w:val="00072D07"/>
    <w:rsid w:val="00073109"/>
    <w:rsid w:val="00073161"/>
    <w:rsid w:val="00073BAC"/>
    <w:rsid w:val="00073FE7"/>
    <w:rsid w:val="0007437B"/>
    <w:rsid w:val="0007476E"/>
    <w:rsid w:val="00077996"/>
    <w:rsid w:val="00077E5C"/>
    <w:rsid w:val="000801BF"/>
    <w:rsid w:val="00080266"/>
    <w:rsid w:val="00080687"/>
    <w:rsid w:val="000806B8"/>
    <w:rsid w:val="000807ED"/>
    <w:rsid w:val="00080816"/>
    <w:rsid w:val="00080905"/>
    <w:rsid w:val="00080AD6"/>
    <w:rsid w:val="00080FAB"/>
    <w:rsid w:val="000812E8"/>
    <w:rsid w:val="0008131B"/>
    <w:rsid w:val="0008149C"/>
    <w:rsid w:val="000815EF"/>
    <w:rsid w:val="00081B0C"/>
    <w:rsid w:val="00081DE6"/>
    <w:rsid w:val="00081E96"/>
    <w:rsid w:val="00081FD7"/>
    <w:rsid w:val="00082241"/>
    <w:rsid w:val="00082280"/>
    <w:rsid w:val="000823DC"/>
    <w:rsid w:val="00082D57"/>
    <w:rsid w:val="0008377D"/>
    <w:rsid w:val="00084527"/>
    <w:rsid w:val="00084793"/>
    <w:rsid w:val="00084CB8"/>
    <w:rsid w:val="0008516E"/>
    <w:rsid w:val="000851E6"/>
    <w:rsid w:val="000852B5"/>
    <w:rsid w:val="000858DC"/>
    <w:rsid w:val="00085BA3"/>
    <w:rsid w:val="00085FB0"/>
    <w:rsid w:val="00085FD2"/>
    <w:rsid w:val="0008655C"/>
    <w:rsid w:val="00086726"/>
    <w:rsid w:val="00086FA0"/>
    <w:rsid w:val="00087E4A"/>
    <w:rsid w:val="000900E1"/>
    <w:rsid w:val="00090905"/>
    <w:rsid w:val="00091A52"/>
    <w:rsid w:val="00091FAD"/>
    <w:rsid w:val="00092565"/>
    <w:rsid w:val="00092993"/>
    <w:rsid w:val="00092A95"/>
    <w:rsid w:val="00092D1E"/>
    <w:rsid w:val="00092D68"/>
    <w:rsid w:val="00092E16"/>
    <w:rsid w:val="00093330"/>
    <w:rsid w:val="00093681"/>
    <w:rsid w:val="00093733"/>
    <w:rsid w:val="000937E6"/>
    <w:rsid w:val="00093820"/>
    <w:rsid w:val="00094607"/>
    <w:rsid w:val="00094C02"/>
    <w:rsid w:val="00095543"/>
    <w:rsid w:val="00095974"/>
    <w:rsid w:val="00095D4E"/>
    <w:rsid w:val="000963E9"/>
    <w:rsid w:val="00096542"/>
    <w:rsid w:val="0009684C"/>
    <w:rsid w:val="000972D0"/>
    <w:rsid w:val="00097AD4"/>
    <w:rsid w:val="00097BB6"/>
    <w:rsid w:val="00097CC8"/>
    <w:rsid w:val="000A03C5"/>
    <w:rsid w:val="000A04F5"/>
    <w:rsid w:val="000A08A8"/>
    <w:rsid w:val="000A0925"/>
    <w:rsid w:val="000A0BCA"/>
    <w:rsid w:val="000A0CC5"/>
    <w:rsid w:val="000A0F44"/>
    <w:rsid w:val="000A1109"/>
    <w:rsid w:val="000A1B9F"/>
    <w:rsid w:val="000A2035"/>
    <w:rsid w:val="000A23C1"/>
    <w:rsid w:val="000A23F0"/>
    <w:rsid w:val="000A25AB"/>
    <w:rsid w:val="000A265E"/>
    <w:rsid w:val="000A2680"/>
    <w:rsid w:val="000A28B3"/>
    <w:rsid w:val="000A2C5A"/>
    <w:rsid w:val="000A2DB4"/>
    <w:rsid w:val="000A3662"/>
    <w:rsid w:val="000A38DA"/>
    <w:rsid w:val="000A3B68"/>
    <w:rsid w:val="000A3F4D"/>
    <w:rsid w:val="000A4A47"/>
    <w:rsid w:val="000A58FA"/>
    <w:rsid w:val="000A5C68"/>
    <w:rsid w:val="000A5F72"/>
    <w:rsid w:val="000A607E"/>
    <w:rsid w:val="000A6863"/>
    <w:rsid w:val="000A74D7"/>
    <w:rsid w:val="000A7753"/>
    <w:rsid w:val="000A7A2C"/>
    <w:rsid w:val="000A7AAD"/>
    <w:rsid w:val="000B0145"/>
    <w:rsid w:val="000B0236"/>
    <w:rsid w:val="000B0BA9"/>
    <w:rsid w:val="000B0F74"/>
    <w:rsid w:val="000B1303"/>
    <w:rsid w:val="000B1390"/>
    <w:rsid w:val="000B1392"/>
    <w:rsid w:val="000B148E"/>
    <w:rsid w:val="000B1593"/>
    <w:rsid w:val="000B16C5"/>
    <w:rsid w:val="000B1DAF"/>
    <w:rsid w:val="000B1E77"/>
    <w:rsid w:val="000B262E"/>
    <w:rsid w:val="000B2764"/>
    <w:rsid w:val="000B28FD"/>
    <w:rsid w:val="000B2938"/>
    <w:rsid w:val="000B31F5"/>
    <w:rsid w:val="000B37AF"/>
    <w:rsid w:val="000B3BB2"/>
    <w:rsid w:val="000B3DF5"/>
    <w:rsid w:val="000B3FB3"/>
    <w:rsid w:val="000B40DC"/>
    <w:rsid w:val="000B470A"/>
    <w:rsid w:val="000B49CC"/>
    <w:rsid w:val="000B4A00"/>
    <w:rsid w:val="000B4A7C"/>
    <w:rsid w:val="000B4B82"/>
    <w:rsid w:val="000B4BE3"/>
    <w:rsid w:val="000B537C"/>
    <w:rsid w:val="000B5DAA"/>
    <w:rsid w:val="000B5EE4"/>
    <w:rsid w:val="000B6FC4"/>
    <w:rsid w:val="000B71CF"/>
    <w:rsid w:val="000B7383"/>
    <w:rsid w:val="000B7C39"/>
    <w:rsid w:val="000C022F"/>
    <w:rsid w:val="000C0DE6"/>
    <w:rsid w:val="000C107F"/>
    <w:rsid w:val="000C166A"/>
    <w:rsid w:val="000C1825"/>
    <w:rsid w:val="000C2474"/>
    <w:rsid w:val="000C2619"/>
    <w:rsid w:val="000C2A31"/>
    <w:rsid w:val="000C38A9"/>
    <w:rsid w:val="000C4EAB"/>
    <w:rsid w:val="000C5349"/>
    <w:rsid w:val="000C61C0"/>
    <w:rsid w:val="000C62D2"/>
    <w:rsid w:val="000C63F4"/>
    <w:rsid w:val="000C67E8"/>
    <w:rsid w:val="000C6825"/>
    <w:rsid w:val="000C68BB"/>
    <w:rsid w:val="000C6999"/>
    <w:rsid w:val="000C6DAD"/>
    <w:rsid w:val="000C794C"/>
    <w:rsid w:val="000C7A27"/>
    <w:rsid w:val="000C7DED"/>
    <w:rsid w:val="000D0218"/>
    <w:rsid w:val="000D07B5"/>
    <w:rsid w:val="000D0B4B"/>
    <w:rsid w:val="000D0F8D"/>
    <w:rsid w:val="000D15BF"/>
    <w:rsid w:val="000D168C"/>
    <w:rsid w:val="000D1777"/>
    <w:rsid w:val="000D1935"/>
    <w:rsid w:val="000D1CA1"/>
    <w:rsid w:val="000D1CD8"/>
    <w:rsid w:val="000D2394"/>
    <w:rsid w:val="000D2767"/>
    <w:rsid w:val="000D2DF2"/>
    <w:rsid w:val="000D2E90"/>
    <w:rsid w:val="000D31DE"/>
    <w:rsid w:val="000D35C4"/>
    <w:rsid w:val="000D3BBD"/>
    <w:rsid w:val="000D3FAC"/>
    <w:rsid w:val="000D6325"/>
    <w:rsid w:val="000D64CF"/>
    <w:rsid w:val="000D6972"/>
    <w:rsid w:val="000D6CD5"/>
    <w:rsid w:val="000D6DFE"/>
    <w:rsid w:val="000D74C5"/>
    <w:rsid w:val="000D772C"/>
    <w:rsid w:val="000D775F"/>
    <w:rsid w:val="000D780C"/>
    <w:rsid w:val="000D7E59"/>
    <w:rsid w:val="000D7EA9"/>
    <w:rsid w:val="000E0676"/>
    <w:rsid w:val="000E07AC"/>
    <w:rsid w:val="000E13AA"/>
    <w:rsid w:val="000E1718"/>
    <w:rsid w:val="000E1C80"/>
    <w:rsid w:val="000E1D0B"/>
    <w:rsid w:val="000E203E"/>
    <w:rsid w:val="000E2427"/>
    <w:rsid w:val="000E2556"/>
    <w:rsid w:val="000E2612"/>
    <w:rsid w:val="000E2BD6"/>
    <w:rsid w:val="000E2ED0"/>
    <w:rsid w:val="000E32B6"/>
    <w:rsid w:val="000E3365"/>
    <w:rsid w:val="000E3C2F"/>
    <w:rsid w:val="000E4F35"/>
    <w:rsid w:val="000E51CD"/>
    <w:rsid w:val="000E5389"/>
    <w:rsid w:val="000E58A1"/>
    <w:rsid w:val="000E5911"/>
    <w:rsid w:val="000E5D11"/>
    <w:rsid w:val="000E5D47"/>
    <w:rsid w:val="000E5D6C"/>
    <w:rsid w:val="000E5DA6"/>
    <w:rsid w:val="000E5DB4"/>
    <w:rsid w:val="000E5DF0"/>
    <w:rsid w:val="000E6075"/>
    <w:rsid w:val="000E631F"/>
    <w:rsid w:val="000E72C8"/>
    <w:rsid w:val="000E7361"/>
    <w:rsid w:val="000E7C93"/>
    <w:rsid w:val="000E7D01"/>
    <w:rsid w:val="000E7D4F"/>
    <w:rsid w:val="000F082F"/>
    <w:rsid w:val="000F1277"/>
    <w:rsid w:val="000F1889"/>
    <w:rsid w:val="000F1995"/>
    <w:rsid w:val="000F1D0D"/>
    <w:rsid w:val="000F2195"/>
    <w:rsid w:val="000F22ED"/>
    <w:rsid w:val="000F23AA"/>
    <w:rsid w:val="000F290B"/>
    <w:rsid w:val="000F2CD6"/>
    <w:rsid w:val="000F2CF4"/>
    <w:rsid w:val="000F2D20"/>
    <w:rsid w:val="000F30DF"/>
    <w:rsid w:val="000F33B5"/>
    <w:rsid w:val="000F3461"/>
    <w:rsid w:val="000F3A9F"/>
    <w:rsid w:val="000F4431"/>
    <w:rsid w:val="000F47AB"/>
    <w:rsid w:val="000F4C64"/>
    <w:rsid w:val="000F518A"/>
    <w:rsid w:val="000F53E0"/>
    <w:rsid w:val="000F5DEF"/>
    <w:rsid w:val="000F6A1A"/>
    <w:rsid w:val="000F6BD0"/>
    <w:rsid w:val="000F6D36"/>
    <w:rsid w:val="000F75BE"/>
    <w:rsid w:val="000F763C"/>
    <w:rsid w:val="000F7A57"/>
    <w:rsid w:val="0010032A"/>
    <w:rsid w:val="00100361"/>
    <w:rsid w:val="00100683"/>
    <w:rsid w:val="00100B2C"/>
    <w:rsid w:val="00100CD5"/>
    <w:rsid w:val="00100F5D"/>
    <w:rsid w:val="0010114C"/>
    <w:rsid w:val="00101721"/>
    <w:rsid w:val="00101A88"/>
    <w:rsid w:val="00101CF4"/>
    <w:rsid w:val="00101E31"/>
    <w:rsid w:val="00102E55"/>
    <w:rsid w:val="001031C3"/>
    <w:rsid w:val="00103352"/>
    <w:rsid w:val="001033B6"/>
    <w:rsid w:val="001034F2"/>
    <w:rsid w:val="00103E8B"/>
    <w:rsid w:val="001046DF"/>
    <w:rsid w:val="00104E14"/>
    <w:rsid w:val="00106979"/>
    <w:rsid w:val="00106BE0"/>
    <w:rsid w:val="00106C37"/>
    <w:rsid w:val="00106EA4"/>
    <w:rsid w:val="00106F8F"/>
    <w:rsid w:val="001071B1"/>
    <w:rsid w:val="001071E3"/>
    <w:rsid w:val="00107643"/>
    <w:rsid w:val="001078F6"/>
    <w:rsid w:val="00107A76"/>
    <w:rsid w:val="001103D0"/>
    <w:rsid w:val="001109E1"/>
    <w:rsid w:val="001111DE"/>
    <w:rsid w:val="001114DA"/>
    <w:rsid w:val="00111726"/>
    <w:rsid w:val="0011177F"/>
    <w:rsid w:val="00112C72"/>
    <w:rsid w:val="00112CD1"/>
    <w:rsid w:val="00112D11"/>
    <w:rsid w:val="0011304C"/>
    <w:rsid w:val="001136AE"/>
    <w:rsid w:val="00113B06"/>
    <w:rsid w:val="00113EBB"/>
    <w:rsid w:val="00113EC2"/>
    <w:rsid w:val="001147D8"/>
    <w:rsid w:val="00114FC8"/>
    <w:rsid w:val="00115471"/>
    <w:rsid w:val="00115594"/>
    <w:rsid w:val="001155DB"/>
    <w:rsid w:val="00115734"/>
    <w:rsid w:val="001158FA"/>
    <w:rsid w:val="00115CFE"/>
    <w:rsid w:val="00115D19"/>
    <w:rsid w:val="001165A7"/>
    <w:rsid w:val="001165DE"/>
    <w:rsid w:val="0011679A"/>
    <w:rsid w:val="00116B1E"/>
    <w:rsid w:val="001170E9"/>
    <w:rsid w:val="00120363"/>
    <w:rsid w:val="00120AFE"/>
    <w:rsid w:val="00120EB5"/>
    <w:rsid w:val="0012116F"/>
    <w:rsid w:val="00122058"/>
    <w:rsid w:val="00122106"/>
    <w:rsid w:val="001226EF"/>
    <w:rsid w:val="00122C6F"/>
    <w:rsid w:val="00122E1A"/>
    <w:rsid w:val="001231C6"/>
    <w:rsid w:val="0012389E"/>
    <w:rsid w:val="001239AF"/>
    <w:rsid w:val="00123C78"/>
    <w:rsid w:val="001252F8"/>
    <w:rsid w:val="001254D3"/>
    <w:rsid w:val="001259DF"/>
    <w:rsid w:val="00125A3E"/>
    <w:rsid w:val="00125DC2"/>
    <w:rsid w:val="001267F7"/>
    <w:rsid w:val="00127121"/>
    <w:rsid w:val="00127A83"/>
    <w:rsid w:val="00127BB3"/>
    <w:rsid w:val="00130202"/>
    <w:rsid w:val="001302A9"/>
    <w:rsid w:val="00130D4F"/>
    <w:rsid w:val="00130E2A"/>
    <w:rsid w:val="00131000"/>
    <w:rsid w:val="00131486"/>
    <w:rsid w:val="0013219A"/>
    <w:rsid w:val="001325DB"/>
    <w:rsid w:val="001336AE"/>
    <w:rsid w:val="001337C3"/>
    <w:rsid w:val="00133F8B"/>
    <w:rsid w:val="0013490C"/>
    <w:rsid w:val="00134C66"/>
    <w:rsid w:val="00135691"/>
    <w:rsid w:val="00135709"/>
    <w:rsid w:val="001357A4"/>
    <w:rsid w:val="00135C40"/>
    <w:rsid w:val="00135CEC"/>
    <w:rsid w:val="00135E17"/>
    <w:rsid w:val="00136132"/>
    <w:rsid w:val="00136856"/>
    <w:rsid w:val="00136BAE"/>
    <w:rsid w:val="00136BED"/>
    <w:rsid w:val="001370F0"/>
    <w:rsid w:val="00137573"/>
    <w:rsid w:val="00137994"/>
    <w:rsid w:val="00137F3F"/>
    <w:rsid w:val="00140798"/>
    <w:rsid w:val="00141559"/>
    <w:rsid w:val="00141848"/>
    <w:rsid w:val="00141E80"/>
    <w:rsid w:val="00142323"/>
    <w:rsid w:val="001424FB"/>
    <w:rsid w:val="00142575"/>
    <w:rsid w:val="001425D7"/>
    <w:rsid w:val="00142693"/>
    <w:rsid w:val="00143C09"/>
    <w:rsid w:val="00143E61"/>
    <w:rsid w:val="00144242"/>
    <w:rsid w:val="00145567"/>
    <w:rsid w:val="001457FD"/>
    <w:rsid w:val="00145E3F"/>
    <w:rsid w:val="00146548"/>
    <w:rsid w:val="001465A5"/>
    <w:rsid w:val="00146893"/>
    <w:rsid w:val="001469B9"/>
    <w:rsid w:val="001469F1"/>
    <w:rsid w:val="00147002"/>
    <w:rsid w:val="001470A4"/>
    <w:rsid w:val="00147A32"/>
    <w:rsid w:val="00147AA2"/>
    <w:rsid w:val="00147B5D"/>
    <w:rsid w:val="00147CB9"/>
    <w:rsid w:val="00147FB6"/>
    <w:rsid w:val="00147FE4"/>
    <w:rsid w:val="00150C6F"/>
    <w:rsid w:val="001514DC"/>
    <w:rsid w:val="001516B7"/>
    <w:rsid w:val="001518C2"/>
    <w:rsid w:val="00151A3C"/>
    <w:rsid w:val="0015391A"/>
    <w:rsid w:val="00153C2C"/>
    <w:rsid w:val="0015415F"/>
    <w:rsid w:val="00154379"/>
    <w:rsid w:val="00154445"/>
    <w:rsid w:val="0015458F"/>
    <w:rsid w:val="00154D5B"/>
    <w:rsid w:val="0015568E"/>
    <w:rsid w:val="001557B9"/>
    <w:rsid w:val="00156891"/>
    <w:rsid w:val="00156DFE"/>
    <w:rsid w:val="0015751C"/>
    <w:rsid w:val="00157D8C"/>
    <w:rsid w:val="0016001F"/>
    <w:rsid w:val="00160209"/>
    <w:rsid w:val="001602FE"/>
    <w:rsid w:val="0016044E"/>
    <w:rsid w:val="00160D36"/>
    <w:rsid w:val="00161170"/>
    <w:rsid w:val="001611E4"/>
    <w:rsid w:val="00161EAE"/>
    <w:rsid w:val="00161EE8"/>
    <w:rsid w:val="0016219E"/>
    <w:rsid w:val="001624FF"/>
    <w:rsid w:val="00162DC0"/>
    <w:rsid w:val="00163179"/>
    <w:rsid w:val="00163810"/>
    <w:rsid w:val="00163A39"/>
    <w:rsid w:val="0016422B"/>
    <w:rsid w:val="0016592A"/>
    <w:rsid w:val="00166056"/>
    <w:rsid w:val="00166DCE"/>
    <w:rsid w:val="00167570"/>
    <w:rsid w:val="001675CB"/>
    <w:rsid w:val="00167C56"/>
    <w:rsid w:val="00170927"/>
    <w:rsid w:val="00171086"/>
    <w:rsid w:val="00171882"/>
    <w:rsid w:val="001720F3"/>
    <w:rsid w:val="00172F30"/>
    <w:rsid w:val="00173149"/>
    <w:rsid w:val="00173A21"/>
    <w:rsid w:val="00173C77"/>
    <w:rsid w:val="00173D87"/>
    <w:rsid w:val="001747E6"/>
    <w:rsid w:val="00174D96"/>
    <w:rsid w:val="001754F0"/>
    <w:rsid w:val="00175D4E"/>
    <w:rsid w:val="00175FD5"/>
    <w:rsid w:val="001761DC"/>
    <w:rsid w:val="00176329"/>
    <w:rsid w:val="0017641C"/>
    <w:rsid w:val="0017661B"/>
    <w:rsid w:val="00176BB1"/>
    <w:rsid w:val="001772E3"/>
    <w:rsid w:val="0017794F"/>
    <w:rsid w:val="00177C61"/>
    <w:rsid w:val="00177C63"/>
    <w:rsid w:val="00177CCE"/>
    <w:rsid w:val="001802F0"/>
    <w:rsid w:val="001803CB"/>
    <w:rsid w:val="0018082A"/>
    <w:rsid w:val="00180966"/>
    <w:rsid w:val="0018096A"/>
    <w:rsid w:val="00180B97"/>
    <w:rsid w:val="00180F23"/>
    <w:rsid w:val="00181222"/>
    <w:rsid w:val="00181908"/>
    <w:rsid w:val="001819A8"/>
    <w:rsid w:val="00182072"/>
    <w:rsid w:val="001821C9"/>
    <w:rsid w:val="001825C9"/>
    <w:rsid w:val="001827A7"/>
    <w:rsid w:val="00182C0F"/>
    <w:rsid w:val="00182CCD"/>
    <w:rsid w:val="00183205"/>
    <w:rsid w:val="00183C32"/>
    <w:rsid w:val="0018408E"/>
    <w:rsid w:val="00184637"/>
    <w:rsid w:val="00184880"/>
    <w:rsid w:val="00184B63"/>
    <w:rsid w:val="001856AF"/>
    <w:rsid w:val="00185AF4"/>
    <w:rsid w:val="00186775"/>
    <w:rsid w:val="00187374"/>
    <w:rsid w:val="00187C46"/>
    <w:rsid w:val="00187D92"/>
    <w:rsid w:val="00187F02"/>
    <w:rsid w:val="001906BB"/>
    <w:rsid w:val="00190A98"/>
    <w:rsid w:val="00191722"/>
    <w:rsid w:val="00191BC5"/>
    <w:rsid w:val="00191E78"/>
    <w:rsid w:val="00191F20"/>
    <w:rsid w:val="0019222D"/>
    <w:rsid w:val="00192CDF"/>
    <w:rsid w:val="001931FC"/>
    <w:rsid w:val="0019324B"/>
    <w:rsid w:val="001933AA"/>
    <w:rsid w:val="00193734"/>
    <w:rsid w:val="00193DFF"/>
    <w:rsid w:val="00194338"/>
    <w:rsid w:val="00194B7C"/>
    <w:rsid w:val="00194E3E"/>
    <w:rsid w:val="001950B7"/>
    <w:rsid w:val="001953FB"/>
    <w:rsid w:val="00195ED0"/>
    <w:rsid w:val="00196516"/>
    <w:rsid w:val="00196D21"/>
    <w:rsid w:val="00197EB3"/>
    <w:rsid w:val="001A084F"/>
    <w:rsid w:val="001A0EE2"/>
    <w:rsid w:val="001A0F34"/>
    <w:rsid w:val="001A1A00"/>
    <w:rsid w:val="001A2059"/>
    <w:rsid w:val="001A3F06"/>
    <w:rsid w:val="001A3FD4"/>
    <w:rsid w:val="001A4243"/>
    <w:rsid w:val="001A4347"/>
    <w:rsid w:val="001A45CD"/>
    <w:rsid w:val="001A4746"/>
    <w:rsid w:val="001A49B7"/>
    <w:rsid w:val="001A5430"/>
    <w:rsid w:val="001A56CF"/>
    <w:rsid w:val="001A5708"/>
    <w:rsid w:val="001A57E8"/>
    <w:rsid w:val="001A59BD"/>
    <w:rsid w:val="001A5ADE"/>
    <w:rsid w:val="001A5E4C"/>
    <w:rsid w:val="001A5ECE"/>
    <w:rsid w:val="001A6433"/>
    <w:rsid w:val="001A6C57"/>
    <w:rsid w:val="001A6DF8"/>
    <w:rsid w:val="001A6FD4"/>
    <w:rsid w:val="001A706C"/>
    <w:rsid w:val="001A7122"/>
    <w:rsid w:val="001A7604"/>
    <w:rsid w:val="001A7B69"/>
    <w:rsid w:val="001A7C33"/>
    <w:rsid w:val="001B0132"/>
    <w:rsid w:val="001B0384"/>
    <w:rsid w:val="001B0F54"/>
    <w:rsid w:val="001B0F69"/>
    <w:rsid w:val="001B0FD3"/>
    <w:rsid w:val="001B111C"/>
    <w:rsid w:val="001B1439"/>
    <w:rsid w:val="001B21E6"/>
    <w:rsid w:val="001B2313"/>
    <w:rsid w:val="001B38FC"/>
    <w:rsid w:val="001B40EE"/>
    <w:rsid w:val="001B42C4"/>
    <w:rsid w:val="001B4477"/>
    <w:rsid w:val="001B4485"/>
    <w:rsid w:val="001B5098"/>
    <w:rsid w:val="001B5356"/>
    <w:rsid w:val="001B538C"/>
    <w:rsid w:val="001B59A7"/>
    <w:rsid w:val="001B5EB0"/>
    <w:rsid w:val="001B617D"/>
    <w:rsid w:val="001B61F6"/>
    <w:rsid w:val="001B65B2"/>
    <w:rsid w:val="001B66DC"/>
    <w:rsid w:val="001B6BE1"/>
    <w:rsid w:val="001B7206"/>
    <w:rsid w:val="001B7812"/>
    <w:rsid w:val="001B7997"/>
    <w:rsid w:val="001B7B4B"/>
    <w:rsid w:val="001B7B5A"/>
    <w:rsid w:val="001B7CB7"/>
    <w:rsid w:val="001B7D53"/>
    <w:rsid w:val="001C0392"/>
    <w:rsid w:val="001C06DA"/>
    <w:rsid w:val="001C0D94"/>
    <w:rsid w:val="001C0FAC"/>
    <w:rsid w:val="001C109E"/>
    <w:rsid w:val="001C11B5"/>
    <w:rsid w:val="001C1694"/>
    <w:rsid w:val="001C26E8"/>
    <w:rsid w:val="001C297F"/>
    <w:rsid w:val="001C3417"/>
    <w:rsid w:val="001C356C"/>
    <w:rsid w:val="001C3AEF"/>
    <w:rsid w:val="001C3CB6"/>
    <w:rsid w:val="001C43B5"/>
    <w:rsid w:val="001C5607"/>
    <w:rsid w:val="001C5C11"/>
    <w:rsid w:val="001C67A5"/>
    <w:rsid w:val="001C6BC4"/>
    <w:rsid w:val="001C6D02"/>
    <w:rsid w:val="001C6DE2"/>
    <w:rsid w:val="001C700E"/>
    <w:rsid w:val="001C70F4"/>
    <w:rsid w:val="001C747C"/>
    <w:rsid w:val="001C7550"/>
    <w:rsid w:val="001C78D1"/>
    <w:rsid w:val="001C79CC"/>
    <w:rsid w:val="001D0C27"/>
    <w:rsid w:val="001D1168"/>
    <w:rsid w:val="001D1DC6"/>
    <w:rsid w:val="001D2383"/>
    <w:rsid w:val="001D23D5"/>
    <w:rsid w:val="001D2542"/>
    <w:rsid w:val="001D2CB4"/>
    <w:rsid w:val="001D33DA"/>
    <w:rsid w:val="001D3779"/>
    <w:rsid w:val="001D3F56"/>
    <w:rsid w:val="001D4222"/>
    <w:rsid w:val="001D423C"/>
    <w:rsid w:val="001D4874"/>
    <w:rsid w:val="001D4895"/>
    <w:rsid w:val="001D4B02"/>
    <w:rsid w:val="001D4DD6"/>
    <w:rsid w:val="001D5443"/>
    <w:rsid w:val="001D58DC"/>
    <w:rsid w:val="001D5F37"/>
    <w:rsid w:val="001D6142"/>
    <w:rsid w:val="001D6369"/>
    <w:rsid w:val="001D64C9"/>
    <w:rsid w:val="001D6CB4"/>
    <w:rsid w:val="001D7096"/>
    <w:rsid w:val="001D70AB"/>
    <w:rsid w:val="001D79BF"/>
    <w:rsid w:val="001E050C"/>
    <w:rsid w:val="001E108C"/>
    <w:rsid w:val="001E10A0"/>
    <w:rsid w:val="001E10AA"/>
    <w:rsid w:val="001E1320"/>
    <w:rsid w:val="001E141D"/>
    <w:rsid w:val="001E14CE"/>
    <w:rsid w:val="001E1592"/>
    <w:rsid w:val="001E18E2"/>
    <w:rsid w:val="001E1953"/>
    <w:rsid w:val="001E1ACB"/>
    <w:rsid w:val="001E2190"/>
    <w:rsid w:val="001E2261"/>
    <w:rsid w:val="001E237E"/>
    <w:rsid w:val="001E24C3"/>
    <w:rsid w:val="001E257C"/>
    <w:rsid w:val="001E29FD"/>
    <w:rsid w:val="001E2B2C"/>
    <w:rsid w:val="001E302A"/>
    <w:rsid w:val="001E30C9"/>
    <w:rsid w:val="001E38C2"/>
    <w:rsid w:val="001E504C"/>
    <w:rsid w:val="001E58BC"/>
    <w:rsid w:val="001E59B6"/>
    <w:rsid w:val="001E5D22"/>
    <w:rsid w:val="001E6196"/>
    <w:rsid w:val="001E6EBE"/>
    <w:rsid w:val="001E7316"/>
    <w:rsid w:val="001F06F6"/>
    <w:rsid w:val="001F0A03"/>
    <w:rsid w:val="001F0D9F"/>
    <w:rsid w:val="001F0E98"/>
    <w:rsid w:val="001F132E"/>
    <w:rsid w:val="001F13F5"/>
    <w:rsid w:val="001F180B"/>
    <w:rsid w:val="001F1DAD"/>
    <w:rsid w:val="001F2012"/>
    <w:rsid w:val="001F275B"/>
    <w:rsid w:val="001F31F7"/>
    <w:rsid w:val="001F3795"/>
    <w:rsid w:val="001F3E65"/>
    <w:rsid w:val="001F48E2"/>
    <w:rsid w:val="001F4EFE"/>
    <w:rsid w:val="001F57E3"/>
    <w:rsid w:val="001F5B58"/>
    <w:rsid w:val="001F6059"/>
    <w:rsid w:val="001F6A4A"/>
    <w:rsid w:val="001F737C"/>
    <w:rsid w:val="001F73CE"/>
    <w:rsid w:val="001F7779"/>
    <w:rsid w:val="001F7978"/>
    <w:rsid w:val="001F7A10"/>
    <w:rsid w:val="001F7A9E"/>
    <w:rsid w:val="00200527"/>
    <w:rsid w:val="00201240"/>
    <w:rsid w:val="0020139E"/>
    <w:rsid w:val="00201BA5"/>
    <w:rsid w:val="0020271E"/>
    <w:rsid w:val="00202DB5"/>
    <w:rsid w:val="00202DEB"/>
    <w:rsid w:val="00202E56"/>
    <w:rsid w:val="00203D62"/>
    <w:rsid w:val="00203E9F"/>
    <w:rsid w:val="00204087"/>
    <w:rsid w:val="0020462F"/>
    <w:rsid w:val="00204762"/>
    <w:rsid w:val="00204A9E"/>
    <w:rsid w:val="00205082"/>
    <w:rsid w:val="002051E6"/>
    <w:rsid w:val="0020560F"/>
    <w:rsid w:val="00205F44"/>
    <w:rsid w:val="0020638A"/>
    <w:rsid w:val="0020658C"/>
    <w:rsid w:val="002066DD"/>
    <w:rsid w:val="00206B08"/>
    <w:rsid w:val="00207447"/>
    <w:rsid w:val="002076FE"/>
    <w:rsid w:val="002077FD"/>
    <w:rsid w:val="00207891"/>
    <w:rsid w:val="002078F1"/>
    <w:rsid w:val="00207CE2"/>
    <w:rsid w:val="00207CFF"/>
    <w:rsid w:val="00207EDC"/>
    <w:rsid w:val="0021027F"/>
    <w:rsid w:val="0021053E"/>
    <w:rsid w:val="00210A10"/>
    <w:rsid w:val="002110BC"/>
    <w:rsid w:val="0021113A"/>
    <w:rsid w:val="0021117B"/>
    <w:rsid w:val="00211218"/>
    <w:rsid w:val="0021121D"/>
    <w:rsid w:val="0021165A"/>
    <w:rsid w:val="00211865"/>
    <w:rsid w:val="00211FC9"/>
    <w:rsid w:val="0021204A"/>
    <w:rsid w:val="0021216D"/>
    <w:rsid w:val="00212AFA"/>
    <w:rsid w:val="00212FC2"/>
    <w:rsid w:val="0021302A"/>
    <w:rsid w:val="00213D6B"/>
    <w:rsid w:val="00214086"/>
    <w:rsid w:val="002141F3"/>
    <w:rsid w:val="00214425"/>
    <w:rsid w:val="00214707"/>
    <w:rsid w:val="002148D9"/>
    <w:rsid w:val="00214D21"/>
    <w:rsid w:val="00214E5D"/>
    <w:rsid w:val="00215084"/>
    <w:rsid w:val="002150BE"/>
    <w:rsid w:val="0021532F"/>
    <w:rsid w:val="002161AB"/>
    <w:rsid w:val="00216479"/>
    <w:rsid w:val="002170CA"/>
    <w:rsid w:val="00217541"/>
    <w:rsid w:val="0021794E"/>
    <w:rsid w:val="00217EAF"/>
    <w:rsid w:val="002208E7"/>
    <w:rsid w:val="00220911"/>
    <w:rsid w:val="0022195F"/>
    <w:rsid w:val="002220BC"/>
    <w:rsid w:val="00222411"/>
    <w:rsid w:val="00222690"/>
    <w:rsid w:val="002254FC"/>
    <w:rsid w:val="0022562B"/>
    <w:rsid w:val="0022611D"/>
    <w:rsid w:val="002261D4"/>
    <w:rsid w:val="002263E9"/>
    <w:rsid w:val="00226858"/>
    <w:rsid w:val="002268A7"/>
    <w:rsid w:val="002269B6"/>
    <w:rsid w:val="00226B98"/>
    <w:rsid w:val="00227040"/>
    <w:rsid w:val="002271C8"/>
    <w:rsid w:val="002278CC"/>
    <w:rsid w:val="00227C6A"/>
    <w:rsid w:val="00227DAD"/>
    <w:rsid w:val="0023006F"/>
    <w:rsid w:val="002300E4"/>
    <w:rsid w:val="00230135"/>
    <w:rsid w:val="00230679"/>
    <w:rsid w:val="0023075E"/>
    <w:rsid w:val="002307B1"/>
    <w:rsid w:val="00230D95"/>
    <w:rsid w:val="00231176"/>
    <w:rsid w:val="002316B6"/>
    <w:rsid w:val="00231DEA"/>
    <w:rsid w:val="00232D8B"/>
    <w:rsid w:val="00232FF1"/>
    <w:rsid w:val="00233096"/>
    <w:rsid w:val="002337A9"/>
    <w:rsid w:val="00234296"/>
    <w:rsid w:val="00234A4F"/>
    <w:rsid w:val="00234E13"/>
    <w:rsid w:val="00234FBA"/>
    <w:rsid w:val="0023592C"/>
    <w:rsid w:val="00235A7E"/>
    <w:rsid w:val="00235B2C"/>
    <w:rsid w:val="00236077"/>
    <w:rsid w:val="00236F48"/>
    <w:rsid w:val="002370E3"/>
    <w:rsid w:val="00237BA9"/>
    <w:rsid w:val="00237ED9"/>
    <w:rsid w:val="002403BF"/>
    <w:rsid w:val="002416A8"/>
    <w:rsid w:val="00241D1D"/>
    <w:rsid w:val="002421C0"/>
    <w:rsid w:val="002423DF"/>
    <w:rsid w:val="002434A6"/>
    <w:rsid w:val="00243C71"/>
    <w:rsid w:val="00243F51"/>
    <w:rsid w:val="002443B2"/>
    <w:rsid w:val="00244767"/>
    <w:rsid w:val="0024507E"/>
    <w:rsid w:val="00245171"/>
    <w:rsid w:val="0024697C"/>
    <w:rsid w:val="00246B2D"/>
    <w:rsid w:val="00246CC0"/>
    <w:rsid w:val="00246E8A"/>
    <w:rsid w:val="00247A18"/>
    <w:rsid w:val="00247C81"/>
    <w:rsid w:val="00247CC1"/>
    <w:rsid w:val="002506C9"/>
    <w:rsid w:val="00250717"/>
    <w:rsid w:val="002507E3"/>
    <w:rsid w:val="00250EAB"/>
    <w:rsid w:val="00250FDB"/>
    <w:rsid w:val="00251132"/>
    <w:rsid w:val="00252187"/>
    <w:rsid w:val="002523DE"/>
    <w:rsid w:val="00252761"/>
    <w:rsid w:val="00252A04"/>
    <w:rsid w:val="00252E32"/>
    <w:rsid w:val="00253370"/>
    <w:rsid w:val="002535C5"/>
    <w:rsid w:val="00253A1D"/>
    <w:rsid w:val="00254329"/>
    <w:rsid w:val="00254FB8"/>
    <w:rsid w:val="002554DC"/>
    <w:rsid w:val="00255559"/>
    <w:rsid w:val="00255947"/>
    <w:rsid w:val="00255D3D"/>
    <w:rsid w:val="00256603"/>
    <w:rsid w:val="00256C90"/>
    <w:rsid w:val="0025726A"/>
    <w:rsid w:val="002574C1"/>
    <w:rsid w:val="002575BD"/>
    <w:rsid w:val="00257E8F"/>
    <w:rsid w:val="002603CA"/>
    <w:rsid w:val="0026059B"/>
    <w:rsid w:val="00260D2A"/>
    <w:rsid w:val="002613ED"/>
    <w:rsid w:val="002615A1"/>
    <w:rsid w:val="00261617"/>
    <w:rsid w:val="00261640"/>
    <w:rsid w:val="00261FA7"/>
    <w:rsid w:val="0026201B"/>
    <w:rsid w:val="0026213E"/>
    <w:rsid w:val="0026333A"/>
    <w:rsid w:val="002634D2"/>
    <w:rsid w:val="00263550"/>
    <w:rsid w:val="0026456E"/>
    <w:rsid w:val="002658B9"/>
    <w:rsid w:val="002659A3"/>
    <w:rsid w:val="002663F6"/>
    <w:rsid w:val="00266414"/>
    <w:rsid w:val="00266A70"/>
    <w:rsid w:val="00266B0D"/>
    <w:rsid w:val="00266BBB"/>
    <w:rsid w:val="00266BE7"/>
    <w:rsid w:val="0026704D"/>
    <w:rsid w:val="00267C4F"/>
    <w:rsid w:val="00270036"/>
    <w:rsid w:val="002703CA"/>
    <w:rsid w:val="00270447"/>
    <w:rsid w:val="00270594"/>
    <w:rsid w:val="00270822"/>
    <w:rsid w:val="00270BF5"/>
    <w:rsid w:val="00270C0F"/>
    <w:rsid w:val="00270F4C"/>
    <w:rsid w:val="0027137A"/>
    <w:rsid w:val="002714B0"/>
    <w:rsid w:val="0027168B"/>
    <w:rsid w:val="0027195E"/>
    <w:rsid w:val="00271C0E"/>
    <w:rsid w:val="00271EB5"/>
    <w:rsid w:val="0027242E"/>
    <w:rsid w:val="00272522"/>
    <w:rsid w:val="00272D6E"/>
    <w:rsid w:val="00272DBE"/>
    <w:rsid w:val="00273078"/>
    <w:rsid w:val="002731EA"/>
    <w:rsid w:val="002733A0"/>
    <w:rsid w:val="00273759"/>
    <w:rsid w:val="00274662"/>
    <w:rsid w:val="00274958"/>
    <w:rsid w:val="00274D26"/>
    <w:rsid w:val="00275D97"/>
    <w:rsid w:val="00275F3F"/>
    <w:rsid w:val="0027693E"/>
    <w:rsid w:val="00276969"/>
    <w:rsid w:val="00276B74"/>
    <w:rsid w:val="00276F25"/>
    <w:rsid w:val="00277161"/>
    <w:rsid w:val="00277A44"/>
    <w:rsid w:val="00277CC1"/>
    <w:rsid w:val="002800F5"/>
    <w:rsid w:val="00280439"/>
    <w:rsid w:val="0028083D"/>
    <w:rsid w:val="002810CF"/>
    <w:rsid w:val="00281282"/>
    <w:rsid w:val="0028136D"/>
    <w:rsid w:val="00281635"/>
    <w:rsid w:val="002823C2"/>
    <w:rsid w:val="00282538"/>
    <w:rsid w:val="00283352"/>
    <w:rsid w:val="00283372"/>
    <w:rsid w:val="00283D0E"/>
    <w:rsid w:val="00283E61"/>
    <w:rsid w:val="0028420E"/>
    <w:rsid w:val="0028489C"/>
    <w:rsid w:val="00284A19"/>
    <w:rsid w:val="00284C48"/>
    <w:rsid w:val="002851CA"/>
    <w:rsid w:val="00285740"/>
    <w:rsid w:val="0028585A"/>
    <w:rsid w:val="00285A9C"/>
    <w:rsid w:val="002861A7"/>
    <w:rsid w:val="00286319"/>
    <w:rsid w:val="0028687B"/>
    <w:rsid w:val="00286CD3"/>
    <w:rsid w:val="00287472"/>
    <w:rsid w:val="0028767D"/>
    <w:rsid w:val="002903EE"/>
    <w:rsid w:val="00290AC8"/>
    <w:rsid w:val="00290C97"/>
    <w:rsid w:val="00290FE9"/>
    <w:rsid w:val="002912EF"/>
    <w:rsid w:val="0029144F"/>
    <w:rsid w:val="002914F3"/>
    <w:rsid w:val="00291911"/>
    <w:rsid w:val="00291D48"/>
    <w:rsid w:val="00292384"/>
    <w:rsid w:val="002927E9"/>
    <w:rsid w:val="00292AD3"/>
    <w:rsid w:val="002932FF"/>
    <w:rsid w:val="0029349C"/>
    <w:rsid w:val="0029385D"/>
    <w:rsid w:val="00293CDA"/>
    <w:rsid w:val="00293D3E"/>
    <w:rsid w:val="00294325"/>
    <w:rsid w:val="002943EB"/>
    <w:rsid w:val="00294480"/>
    <w:rsid w:val="00294A67"/>
    <w:rsid w:val="00294D11"/>
    <w:rsid w:val="00295738"/>
    <w:rsid w:val="00295BC8"/>
    <w:rsid w:val="00295CF3"/>
    <w:rsid w:val="00295F9C"/>
    <w:rsid w:val="00296694"/>
    <w:rsid w:val="00296891"/>
    <w:rsid w:val="0029694E"/>
    <w:rsid w:val="00296B5C"/>
    <w:rsid w:val="00296F17"/>
    <w:rsid w:val="00297614"/>
    <w:rsid w:val="002A0127"/>
    <w:rsid w:val="002A02D3"/>
    <w:rsid w:val="002A1678"/>
    <w:rsid w:val="002A1796"/>
    <w:rsid w:val="002A19DE"/>
    <w:rsid w:val="002A2194"/>
    <w:rsid w:val="002A225B"/>
    <w:rsid w:val="002A2871"/>
    <w:rsid w:val="002A3D61"/>
    <w:rsid w:val="002A4347"/>
    <w:rsid w:val="002A473E"/>
    <w:rsid w:val="002A4CF8"/>
    <w:rsid w:val="002A50CC"/>
    <w:rsid w:val="002A5140"/>
    <w:rsid w:val="002A6380"/>
    <w:rsid w:val="002A6416"/>
    <w:rsid w:val="002A64D4"/>
    <w:rsid w:val="002A66DA"/>
    <w:rsid w:val="002A687B"/>
    <w:rsid w:val="002A71E0"/>
    <w:rsid w:val="002A71E6"/>
    <w:rsid w:val="002A76C8"/>
    <w:rsid w:val="002A7850"/>
    <w:rsid w:val="002A7AD7"/>
    <w:rsid w:val="002A7B49"/>
    <w:rsid w:val="002B04DD"/>
    <w:rsid w:val="002B0BA7"/>
    <w:rsid w:val="002B0DFA"/>
    <w:rsid w:val="002B0E30"/>
    <w:rsid w:val="002B0EB2"/>
    <w:rsid w:val="002B20A5"/>
    <w:rsid w:val="002B262B"/>
    <w:rsid w:val="002B28C0"/>
    <w:rsid w:val="002B295F"/>
    <w:rsid w:val="002B3425"/>
    <w:rsid w:val="002B3C61"/>
    <w:rsid w:val="002B4174"/>
    <w:rsid w:val="002B4266"/>
    <w:rsid w:val="002B4531"/>
    <w:rsid w:val="002B4786"/>
    <w:rsid w:val="002B5493"/>
    <w:rsid w:val="002B56FF"/>
    <w:rsid w:val="002B62B1"/>
    <w:rsid w:val="002B639B"/>
    <w:rsid w:val="002B6D6F"/>
    <w:rsid w:val="002B70E8"/>
    <w:rsid w:val="002B73B0"/>
    <w:rsid w:val="002B7942"/>
    <w:rsid w:val="002B7A23"/>
    <w:rsid w:val="002C0A98"/>
    <w:rsid w:val="002C11CB"/>
    <w:rsid w:val="002C2283"/>
    <w:rsid w:val="002C22D4"/>
    <w:rsid w:val="002C255E"/>
    <w:rsid w:val="002C2BA0"/>
    <w:rsid w:val="002C2BC6"/>
    <w:rsid w:val="002C2D76"/>
    <w:rsid w:val="002C2E8A"/>
    <w:rsid w:val="002C3064"/>
    <w:rsid w:val="002C36D9"/>
    <w:rsid w:val="002C3B30"/>
    <w:rsid w:val="002C55E0"/>
    <w:rsid w:val="002C6B61"/>
    <w:rsid w:val="002C6CCF"/>
    <w:rsid w:val="002C6E69"/>
    <w:rsid w:val="002C6FEB"/>
    <w:rsid w:val="002C70EA"/>
    <w:rsid w:val="002C75CF"/>
    <w:rsid w:val="002C7BB6"/>
    <w:rsid w:val="002C7BBE"/>
    <w:rsid w:val="002C7E0E"/>
    <w:rsid w:val="002D0053"/>
    <w:rsid w:val="002D051D"/>
    <w:rsid w:val="002D0672"/>
    <w:rsid w:val="002D0793"/>
    <w:rsid w:val="002D0E2A"/>
    <w:rsid w:val="002D1030"/>
    <w:rsid w:val="002D1273"/>
    <w:rsid w:val="002D177E"/>
    <w:rsid w:val="002D193A"/>
    <w:rsid w:val="002D19E1"/>
    <w:rsid w:val="002D22BB"/>
    <w:rsid w:val="002D273A"/>
    <w:rsid w:val="002D2BAA"/>
    <w:rsid w:val="002D2D91"/>
    <w:rsid w:val="002D3001"/>
    <w:rsid w:val="002D34D6"/>
    <w:rsid w:val="002D375C"/>
    <w:rsid w:val="002D3BAA"/>
    <w:rsid w:val="002D3E94"/>
    <w:rsid w:val="002D3F17"/>
    <w:rsid w:val="002D49E7"/>
    <w:rsid w:val="002D4E71"/>
    <w:rsid w:val="002D4EEA"/>
    <w:rsid w:val="002D4EFB"/>
    <w:rsid w:val="002D4F22"/>
    <w:rsid w:val="002D4F49"/>
    <w:rsid w:val="002D502C"/>
    <w:rsid w:val="002D570A"/>
    <w:rsid w:val="002D5902"/>
    <w:rsid w:val="002D5C9F"/>
    <w:rsid w:val="002D6273"/>
    <w:rsid w:val="002D6E10"/>
    <w:rsid w:val="002D6ECF"/>
    <w:rsid w:val="002D7031"/>
    <w:rsid w:val="002E05C2"/>
    <w:rsid w:val="002E076A"/>
    <w:rsid w:val="002E0A8F"/>
    <w:rsid w:val="002E0CF4"/>
    <w:rsid w:val="002E115C"/>
    <w:rsid w:val="002E14B0"/>
    <w:rsid w:val="002E19F5"/>
    <w:rsid w:val="002E1E02"/>
    <w:rsid w:val="002E2D6C"/>
    <w:rsid w:val="002E3F27"/>
    <w:rsid w:val="002E3FDD"/>
    <w:rsid w:val="002E43F9"/>
    <w:rsid w:val="002E44BE"/>
    <w:rsid w:val="002E53B3"/>
    <w:rsid w:val="002E5CA5"/>
    <w:rsid w:val="002E6086"/>
    <w:rsid w:val="002E6604"/>
    <w:rsid w:val="002E7172"/>
    <w:rsid w:val="002F00FF"/>
    <w:rsid w:val="002F0156"/>
    <w:rsid w:val="002F0691"/>
    <w:rsid w:val="002F07D4"/>
    <w:rsid w:val="002F0FDD"/>
    <w:rsid w:val="002F1610"/>
    <w:rsid w:val="002F169E"/>
    <w:rsid w:val="002F177C"/>
    <w:rsid w:val="002F185A"/>
    <w:rsid w:val="002F1936"/>
    <w:rsid w:val="002F231A"/>
    <w:rsid w:val="002F2A3D"/>
    <w:rsid w:val="002F2B10"/>
    <w:rsid w:val="002F2D79"/>
    <w:rsid w:val="002F31AB"/>
    <w:rsid w:val="002F3E5C"/>
    <w:rsid w:val="002F433F"/>
    <w:rsid w:val="002F43D6"/>
    <w:rsid w:val="002F463C"/>
    <w:rsid w:val="002F49B3"/>
    <w:rsid w:val="002F4AD4"/>
    <w:rsid w:val="002F4AFD"/>
    <w:rsid w:val="002F55D5"/>
    <w:rsid w:val="002F5E14"/>
    <w:rsid w:val="002F5EDE"/>
    <w:rsid w:val="002F6227"/>
    <w:rsid w:val="002F6376"/>
    <w:rsid w:val="002F649F"/>
    <w:rsid w:val="002F69E7"/>
    <w:rsid w:val="002F7181"/>
    <w:rsid w:val="002F7736"/>
    <w:rsid w:val="002F7811"/>
    <w:rsid w:val="002F7AA6"/>
    <w:rsid w:val="002F7B9B"/>
    <w:rsid w:val="00300674"/>
    <w:rsid w:val="00300744"/>
    <w:rsid w:val="00300896"/>
    <w:rsid w:val="00300F6D"/>
    <w:rsid w:val="003021C3"/>
    <w:rsid w:val="003023D8"/>
    <w:rsid w:val="003027F7"/>
    <w:rsid w:val="003029DC"/>
    <w:rsid w:val="00302AC7"/>
    <w:rsid w:val="00302C21"/>
    <w:rsid w:val="003030D3"/>
    <w:rsid w:val="00303132"/>
    <w:rsid w:val="0030314C"/>
    <w:rsid w:val="003033B0"/>
    <w:rsid w:val="0030340C"/>
    <w:rsid w:val="0030369E"/>
    <w:rsid w:val="00303F40"/>
    <w:rsid w:val="00304207"/>
    <w:rsid w:val="00304759"/>
    <w:rsid w:val="00304C73"/>
    <w:rsid w:val="00304D6F"/>
    <w:rsid w:val="003056CA"/>
    <w:rsid w:val="003063BE"/>
    <w:rsid w:val="00306547"/>
    <w:rsid w:val="00306E47"/>
    <w:rsid w:val="0030754A"/>
    <w:rsid w:val="003075D2"/>
    <w:rsid w:val="00307E0E"/>
    <w:rsid w:val="00307E82"/>
    <w:rsid w:val="00307FF2"/>
    <w:rsid w:val="00311207"/>
    <w:rsid w:val="00311E5C"/>
    <w:rsid w:val="00311F20"/>
    <w:rsid w:val="003123E2"/>
    <w:rsid w:val="00312482"/>
    <w:rsid w:val="0031292D"/>
    <w:rsid w:val="00312C7A"/>
    <w:rsid w:val="00312EF0"/>
    <w:rsid w:val="003135BC"/>
    <w:rsid w:val="00313D6D"/>
    <w:rsid w:val="00314E00"/>
    <w:rsid w:val="0031527F"/>
    <w:rsid w:val="00315E4B"/>
    <w:rsid w:val="00315E57"/>
    <w:rsid w:val="00315FC8"/>
    <w:rsid w:val="00315FF0"/>
    <w:rsid w:val="00316435"/>
    <w:rsid w:val="003164C2"/>
    <w:rsid w:val="003164D9"/>
    <w:rsid w:val="00316F84"/>
    <w:rsid w:val="00317027"/>
    <w:rsid w:val="003201B1"/>
    <w:rsid w:val="003203E9"/>
    <w:rsid w:val="00320793"/>
    <w:rsid w:val="00321505"/>
    <w:rsid w:val="003219FC"/>
    <w:rsid w:val="00321B1F"/>
    <w:rsid w:val="00321E22"/>
    <w:rsid w:val="003220D4"/>
    <w:rsid w:val="003223A6"/>
    <w:rsid w:val="0032257F"/>
    <w:rsid w:val="00322702"/>
    <w:rsid w:val="00322F8D"/>
    <w:rsid w:val="00323447"/>
    <w:rsid w:val="00323615"/>
    <w:rsid w:val="00323C51"/>
    <w:rsid w:val="00323F97"/>
    <w:rsid w:val="003241F2"/>
    <w:rsid w:val="00324245"/>
    <w:rsid w:val="00324C44"/>
    <w:rsid w:val="00324DFE"/>
    <w:rsid w:val="00324E40"/>
    <w:rsid w:val="003266E5"/>
    <w:rsid w:val="0032684F"/>
    <w:rsid w:val="00326AAF"/>
    <w:rsid w:val="00326D0F"/>
    <w:rsid w:val="00326F02"/>
    <w:rsid w:val="00327730"/>
    <w:rsid w:val="0033094A"/>
    <w:rsid w:val="00330952"/>
    <w:rsid w:val="00330EE9"/>
    <w:rsid w:val="0033104E"/>
    <w:rsid w:val="00331442"/>
    <w:rsid w:val="00332206"/>
    <w:rsid w:val="0033256A"/>
    <w:rsid w:val="00332778"/>
    <w:rsid w:val="00332BB9"/>
    <w:rsid w:val="00332EDC"/>
    <w:rsid w:val="00333077"/>
    <w:rsid w:val="003333E9"/>
    <w:rsid w:val="00333B1D"/>
    <w:rsid w:val="003344B5"/>
    <w:rsid w:val="00334FF9"/>
    <w:rsid w:val="00335075"/>
    <w:rsid w:val="003351E2"/>
    <w:rsid w:val="003351E6"/>
    <w:rsid w:val="00335EDC"/>
    <w:rsid w:val="00336528"/>
    <w:rsid w:val="00336697"/>
    <w:rsid w:val="00336ACA"/>
    <w:rsid w:val="0033705B"/>
    <w:rsid w:val="0033762F"/>
    <w:rsid w:val="00337FCB"/>
    <w:rsid w:val="00340EE3"/>
    <w:rsid w:val="003414FC"/>
    <w:rsid w:val="003415CF"/>
    <w:rsid w:val="00341654"/>
    <w:rsid w:val="00341725"/>
    <w:rsid w:val="00341B4E"/>
    <w:rsid w:val="0034231A"/>
    <w:rsid w:val="0034249B"/>
    <w:rsid w:val="003427D9"/>
    <w:rsid w:val="00342D43"/>
    <w:rsid w:val="00342FC0"/>
    <w:rsid w:val="00343289"/>
    <w:rsid w:val="00343785"/>
    <w:rsid w:val="003437A7"/>
    <w:rsid w:val="00343935"/>
    <w:rsid w:val="00344294"/>
    <w:rsid w:val="00344667"/>
    <w:rsid w:val="00344A03"/>
    <w:rsid w:val="00344B9E"/>
    <w:rsid w:val="00344D4C"/>
    <w:rsid w:val="003452C2"/>
    <w:rsid w:val="0034530A"/>
    <w:rsid w:val="00345398"/>
    <w:rsid w:val="00345B00"/>
    <w:rsid w:val="00345C3E"/>
    <w:rsid w:val="00345D87"/>
    <w:rsid w:val="0034634B"/>
    <w:rsid w:val="00346E81"/>
    <w:rsid w:val="00346F35"/>
    <w:rsid w:val="00347D35"/>
    <w:rsid w:val="00347D64"/>
    <w:rsid w:val="0035019A"/>
    <w:rsid w:val="00350258"/>
    <w:rsid w:val="0035054D"/>
    <w:rsid w:val="003505F6"/>
    <w:rsid w:val="003513E7"/>
    <w:rsid w:val="00351DDD"/>
    <w:rsid w:val="00351F0E"/>
    <w:rsid w:val="003521A4"/>
    <w:rsid w:val="0035253A"/>
    <w:rsid w:val="00352A72"/>
    <w:rsid w:val="00352B62"/>
    <w:rsid w:val="003530D5"/>
    <w:rsid w:val="00353112"/>
    <w:rsid w:val="00353B32"/>
    <w:rsid w:val="00353BF5"/>
    <w:rsid w:val="00353D47"/>
    <w:rsid w:val="00354156"/>
    <w:rsid w:val="003546D0"/>
    <w:rsid w:val="00354E66"/>
    <w:rsid w:val="0035513C"/>
    <w:rsid w:val="003553BB"/>
    <w:rsid w:val="00355A32"/>
    <w:rsid w:val="00355C6C"/>
    <w:rsid w:val="003560E3"/>
    <w:rsid w:val="00356107"/>
    <w:rsid w:val="003563CF"/>
    <w:rsid w:val="003563ED"/>
    <w:rsid w:val="00356409"/>
    <w:rsid w:val="00356724"/>
    <w:rsid w:val="0035682B"/>
    <w:rsid w:val="003568F8"/>
    <w:rsid w:val="00356963"/>
    <w:rsid w:val="00357221"/>
    <w:rsid w:val="003577B3"/>
    <w:rsid w:val="00360272"/>
    <w:rsid w:val="00360498"/>
    <w:rsid w:val="00360920"/>
    <w:rsid w:val="00360BC9"/>
    <w:rsid w:val="0036107A"/>
    <w:rsid w:val="00361298"/>
    <w:rsid w:val="003613BD"/>
    <w:rsid w:val="003614AF"/>
    <w:rsid w:val="00361511"/>
    <w:rsid w:val="003617CE"/>
    <w:rsid w:val="003618FB"/>
    <w:rsid w:val="00361AFD"/>
    <w:rsid w:val="00361DB8"/>
    <w:rsid w:val="00362242"/>
    <w:rsid w:val="0036274B"/>
    <w:rsid w:val="003627E7"/>
    <w:rsid w:val="00362EA1"/>
    <w:rsid w:val="003630CC"/>
    <w:rsid w:val="00363638"/>
    <w:rsid w:val="003637C0"/>
    <w:rsid w:val="003637FF"/>
    <w:rsid w:val="00363BB5"/>
    <w:rsid w:val="00364878"/>
    <w:rsid w:val="00364927"/>
    <w:rsid w:val="00364BF7"/>
    <w:rsid w:val="00364C2C"/>
    <w:rsid w:val="003650F2"/>
    <w:rsid w:val="003650FF"/>
    <w:rsid w:val="0036547F"/>
    <w:rsid w:val="00366212"/>
    <w:rsid w:val="003665BF"/>
    <w:rsid w:val="0036695F"/>
    <w:rsid w:val="00366A7D"/>
    <w:rsid w:val="00366EF6"/>
    <w:rsid w:val="00367186"/>
    <w:rsid w:val="00367256"/>
    <w:rsid w:val="003674F1"/>
    <w:rsid w:val="003718E2"/>
    <w:rsid w:val="00371AA9"/>
    <w:rsid w:val="003720BB"/>
    <w:rsid w:val="003723C0"/>
    <w:rsid w:val="003726B3"/>
    <w:rsid w:val="003729AC"/>
    <w:rsid w:val="00372CCC"/>
    <w:rsid w:val="00373B7E"/>
    <w:rsid w:val="00373BDD"/>
    <w:rsid w:val="003743E9"/>
    <w:rsid w:val="00375540"/>
    <w:rsid w:val="00375CEB"/>
    <w:rsid w:val="00376254"/>
    <w:rsid w:val="00376310"/>
    <w:rsid w:val="003768FE"/>
    <w:rsid w:val="00376B66"/>
    <w:rsid w:val="00377147"/>
    <w:rsid w:val="003777D5"/>
    <w:rsid w:val="00377E34"/>
    <w:rsid w:val="00380319"/>
    <w:rsid w:val="00380409"/>
    <w:rsid w:val="0038166B"/>
    <w:rsid w:val="00381706"/>
    <w:rsid w:val="00381BDA"/>
    <w:rsid w:val="003820DD"/>
    <w:rsid w:val="0038273D"/>
    <w:rsid w:val="003830DD"/>
    <w:rsid w:val="0038385C"/>
    <w:rsid w:val="003839BF"/>
    <w:rsid w:val="00383B66"/>
    <w:rsid w:val="003840CB"/>
    <w:rsid w:val="003842E5"/>
    <w:rsid w:val="003849E1"/>
    <w:rsid w:val="00384DED"/>
    <w:rsid w:val="00384FA7"/>
    <w:rsid w:val="00384FB4"/>
    <w:rsid w:val="00385946"/>
    <w:rsid w:val="00385B2C"/>
    <w:rsid w:val="00387503"/>
    <w:rsid w:val="003879E5"/>
    <w:rsid w:val="00390735"/>
    <w:rsid w:val="003908CE"/>
    <w:rsid w:val="0039092A"/>
    <w:rsid w:val="00390965"/>
    <w:rsid w:val="00390C06"/>
    <w:rsid w:val="003914D6"/>
    <w:rsid w:val="00392A38"/>
    <w:rsid w:val="0039310D"/>
    <w:rsid w:val="003934A8"/>
    <w:rsid w:val="00394139"/>
    <w:rsid w:val="003943BB"/>
    <w:rsid w:val="003947BD"/>
    <w:rsid w:val="00394A79"/>
    <w:rsid w:val="00394B59"/>
    <w:rsid w:val="00394F0D"/>
    <w:rsid w:val="00396815"/>
    <w:rsid w:val="0039693F"/>
    <w:rsid w:val="003A04D6"/>
    <w:rsid w:val="003A060B"/>
    <w:rsid w:val="003A0760"/>
    <w:rsid w:val="003A08B2"/>
    <w:rsid w:val="003A0C5B"/>
    <w:rsid w:val="003A12EE"/>
    <w:rsid w:val="003A16A0"/>
    <w:rsid w:val="003A1AFD"/>
    <w:rsid w:val="003A225A"/>
    <w:rsid w:val="003A2CA7"/>
    <w:rsid w:val="003A32F2"/>
    <w:rsid w:val="003A34A7"/>
    <w:rsid w:val="003A34B9"/>
    <w:rsid w:val="003A37FD"/>
    <w:rsid w:val="003A3AE6"/>
    <w:rsid w:val="003A3B91"/>
    <w:rsid w:val="003A3DE5"/>
    <w:rsid w:val="003A3EAA"/>
    <w:rsid w:val="003A3F49"/>
    <w:rsid w:val="003A4150"/>
    <w:rsid w:val="003A4336"/>
    <w:rsid w:val="003A441F"/>
    <w:rsid w:val="003A4443"/>
    <w:rsid w:val="003A444C"/>
    <w:rsid w:val="003A4A7D"/>
    <w:rsid w:val="003A5315"/>
    <w:rsid w:val="003A56A8"/>
    <w:rsid w:val="003A5B16"/>
    <w:rsid w:val="003A5F4A"/>
    <w:rsid w:val="003A66FA"/>
    <w:rsid w:val="003A6808"/>
    <w:rsid w:val="003A6D39"/>
    <w:rsid w:val="003A6D9B"/>
    <w:rsid w:val="003A71C5"/>
    <w:rsid w:val="003A7734"/>
    <w:rsid w:val="003A7EED"/>
    <w:rsid w:val="003B0308"/>
    <w:rsid w:val="003B0CA0"/>
    <w:rsid w:val="003B0E33"/>
    <w:rsid w:val="003B1307"/>
    <w:rsid w:val="003B1B0F"/>
    <w:rsid w:val="003B21AD"/>
    <w:rsid w:val="003B3515"/>
    <w:rsid w:val="003B3B2C"/>
    <w:rsid w:val="003B3EDF"/>
    <w:rsid w:val="003B4B26"/>
    <w:rsid w:val="003B50E7"/>
    <w:rsid w:val="003B5491"/>
    <w:rsid w:val="003B551A"/>
    <w:rsid w:val="003B5655"/>
    <w:rsid w:val="003B594B"/>
    <w:rsid w:val="003B59C7"/>
    <w:rsid w:val="003B61A4"/>
    <w:rsid w:val="003B6A64"/>
    <w:rsid w:val="003B6F1D"/>
    <w:rsid w:val="003B7779"/>
    <w:rsid w:val="003B7F65"/>
    <w:rsid w:val="003C0352"/>
    <w:rsid w:val="003C0498"/>
    <w:rsid w:val="003C04D2"/>
    <w:rsid w:val="003C096C"/>
    <w:rsid w:val="003C16A4"/>
    <w:rsid w:val="003C19E5"/>
    <w:rsid w:val="003C1E05"/>
    <w:rsid w:val="003C1E48"/>
    <w:rsid w:val="003C22CA"/>
    <w:rsid w:val="003C23BD"/>
    <w:rsid w:val="003C2493"/>
    <w:rsid w:val="003C26CF"/>
    <w:rsid w:val="003C2CC1"/>
    <w:rsid w:val="003C2E2D"/>
    <w:rsid w:val="003C3367"/>
    <w:rsid w:val="003C399E"/>
    <w:rsid w:val="003C40FB"/>
    <w:rsid w:val="003C4C7E"/>
    <w:rsid w:val="003C5419"/>
    <w:rsid w:val="003C5CE6"/>
    <w:rsid w:val="003C62D7"/>
    <w:rsid w:val="003C62E0"/>
    <w:rsid w:val="003C6811"/>
    <w:rsid w:val="003C6891"/>
    <w:rsid w:val="003C69FC"/>
    <w:rsid w:val="003C6AD6"/>
    <w:rsid w:val="003C6AF7"/>
    <w:rsid w:val="003C6E30"/>
    <w:rsid w:val="003C6E8B"/>
    <w:rsid w:val="003C7318"/>
    <w:rsid w:val="003C7391"/>
    <w:rsid w:val="003C7489"/>
    <w:rsid w:val="003C79A1"/>
    <w:rsid w:val="003C7B10"/>
    <w:rsid w:val="003C7BA3"/>
    <w:rsid w:val="003C7C73"/>
    <w:rsid w:val="003D033E"/>
    <w:rsid w:val="003D0831"/>
    <w:rsid w:val="003D0FCD"/>
    <w:rsid w:val="003D15F7"/>
    <w:rsid w:val="003D1B8C"/>
    <w:rsid w:val="003D2164"/>
    <w:rsid w:val="003D2435"/>
    <w:rsid w:val="003D29EA"/>
    <w:rsid w:val="003D31D5"/>
    <w:rsid w:val="003D3529"/>
    <w:rsid w:val="003D37B6"/>
    <w:rsid w:val="003D4D89"/>
    <w:rsid w:val="003D4E7C"/>
    <w:rsid w:val="003D4E9E"/>
    <w:rsid w:val="003D51BC"/>
    <w:rsid w:val="003D5200"/>
    <w:rsid w:val="003D5F39"/>
    <w:rsid w:val="003D6827"/>
    <w:rsid w:val="003D699D"/>
    <w:rsid w:val="003D6FAD"/>
    <w:rsid w:val="003D70C1"/>
    <w:rsid w:val="003D7FD5"/>
    <w:rsid w:val="003E0452"/>
    <w:rsid w:val="003E12D0"/>
    <w:rsid w:val="003E1BA6"/>
    <w:rsid w:val="003E1C1E"/>
    <w:rsid w:val="003E1D92"/>
    <w:rsid w:val="003E267F"/>
    <w:rsid w:val="003E2ABE"/>
    <w:rsid w:val="003E2BD3"/>
    <w:rsid w:val="003E2E55"/>
    <w:rsid w:val="003E33B8"/>
    <w:rsid w:val="003E344F"/>
    <w:rsid w:val="003E34BE"/>
    <w:rsid w:val="003E3506"/>
    <w:rsid w:val="003E3571"/>
    <w:rsid w:val="003E4091"/>
    <w:rsid w:val="003E41F7"/>
    <w:rsid w:val="003E4C08"/>
    <w:rsid w:val="003E51A3"/>
    <w:rsid w:val="003E53A7"/>
    <w:rsid w:val="003E5A57"/>
    <w:rsid w:val="003E5ED0"/>
    <w:rsid w:val="003E6EE2"/>
    <w:rsid w:val="003E72AA"/>
    <w:rsid w:val="003E7434"/>
    <w:rsid w:val="003E753A"/>
    <w:rsid w:val="003E7C74"/>
    <w:rsid w:val="003E7FAB"/>
    <w:rsid w:val="003E7FB8"/>
    <w:rsid w:val="003F0282"/>
    <w:rsid w:val="003F0666"/>
    <w:rsid w:val="003F0668"/>
    <w:rsid w:val="003F1198"/>
    <w:rsid w:val="003F16E9"/>
    <w:rsid w:val="003F2351"/>
    <w:rsid w:val="003F270C"/>
    <w:rsid w:val="003F274D"/>
    <w:rsid w:val="003F2857"/>
    <w:rsid w:val="003F2ADB"/>
    <w:rsid w:val="003F2DE4"/>
    <w:rsid w:val="003F2F47"/>
    <w:rsid w:val="003F343A"/>
    <w:rsid w:val="003F39A7"/>
    <w:rsid w:val="003F3F2A"/>
    <w:rsid w:val="003F3FBD"/>
    <w:rsid w:val="003F40DE"/>
    <w:rsid w:val="003F41EF"/>
    <w:rsid w:val="003F45A1"/>
    <w:rsid w:val="003F464E"/>
    <w:rsid w:val="003F473D"/>
    <w:rsid w:val="003F47B6"/>
    <w:rsid w:val="003F5009"/>
    <w:rsid w:val="003F544C"/>
    <w:rsid w:val="003F598B"/>
    <w:rsid w:val="003F59F6"/>
    <w:rsid w:val="003F64A2"/>
    <w:rsid w:val="003F678D"/>
    <w:rsid w:val="003F68A6"/>
    <w:rsid w:val="003F6AD6"/>
    <w:rsid w:val="003F6BE1"/>
    <w:rsid w:val="003F6CA3"/>
    <w:rsid w:val="003F7646"/>
    <w:rsid w:val="003F799D"/>
    <w:rsid w:val="0040021D"/>
    <w:rsid w:val="00400222"/>
    <w:rsid w:val="00400F10"/>
    <w:rsid w:val="00400F6E"/>
    <w:rsid w:val="004010D2"/>
    <w:rsid w:val="00401142"/>
    <w:rsid w:val="004011DB"/>
    <w:rsid w:val="00401722"/>
    <w:rsid w:val="004022B2"/>
    <w:rsid w:val="00402864"/>
    <w:rsid w:val="004029ED"/>
    <w:rsid w:val="00402EC4"/>
    <w:rsid w:val="00402FB5"/>
    <w:rsid w:val="0040390A"/>
    <w:rsid w:val="00403927"/>
    <w:rsid w:val="00403C52"/>
    <w:rsid w:val="00403F0C"/>
    <w:rsid w:val="00404234"/>
    <w:rsid w:val="004045B1"/>
    <w:rsid w:val="00404C13"/>
    <w:rsid w:val="00404FAE"/>
    <w:rsid w:val="00405A58"/>
    <w:rsid w:val="00405F53"/>
    <w:rsid w:val="00406429"/>
    <w:rsid w:val="00406B91"/>
    <w:rsid w:val="00406D1A"/>
    <w:rsid w:val="00406EC8"/>
    <w:rsid w:val="004070A9"/>
    <w:rsid w:val="004074C9"/>
    <w:rsid w:val="00407A48"/>
    <w:rsid w:val="00407FE3"/>
    <w:rsid w:val="00410005"/>
    <w:rsid w:val="00410246"/>
    <w:rsid w:val="00410277"/>
    <w:rsid w:val="004103BE"/>
    <w:rsid w:val="00410472"/>
    <w:rsid w:val="00410584"/>
    <w:rsid w:val="00410C1B"/>
    <w:rsid w:val="00410DC2"/>
    <w:rsid w:val="00411086"/>
    <w:rsid w:val="00411222"/>
    <w:rsid w:val="004115EC"/>
    <w:rsid w:val="00411B11"/>
    <w:rsid w:val="00412252"/>
    <w:rsid w:val="004122F9"/>
    <w:rsid w:val="00412A24"/>
    <w:rsid w:val="00412A29"/>
    <w:rsid w:val="00412D2F"/>
    <w:rsid w:val="00413A73"/>
    <w:rsid w:val="00413E83"/>
    <w:rsid w:val="00414043"/>
    <w:rsid w:val="004143E5"/>
    <w:rsid w:val="004144D6"/>
    <w:rsid w:val="00414BDD"/>
    <w:rsid w:val="0041528D"/>
    <w:rsid w:val="00415A27"/>
    <w:rsid w:val="004165BC"/>
    <w:rsid w:val="004167A6"/>
    <w:rsid w:val="00416AAB"/>
    <w:rsid w:val="0041722C"/>
    <w:rsid w:val="004176B6"/>
    <w:rsid w:val="00417CA2"/>
    <w:rsid w:val="00420CED"/>
    <w:rsid w:val="00421109"/>
    <w:rsid w:val="0042153A"/>
    <w:rsid w:val="00421950"/>
    <w:rsid w:val="00421A9F"/>
    <w:rsid w:val="0042257D"/>
    <w:rsid w:val="004239D9"/>
    <w:rsid w:val="0042493E"/>
    <w:rsid w:val="00424959"/>
    <w:rsid w:val="004250EE"/>
    <w:rsid w:val="004253C7"/>
    <w:rsid w:val="00425973"/>
    <w:rsid w:val="004260A6"/>
    <w:rsid w:val="004261EF"/>
    <w:rsid w:val="00426BD4"/>
    <w:rsid w:val="00426FE4"/>
    <w:rsid w:val="004270F3"/>
    <w:rsid w:val="004272A4"/>
    <w:rsid w:val="004306CD"/>
    <w:rsid w:val="004311E1"/>
    <w:rsid w:val="00431246"/>
    <w:rsid w:val="004314DB"/>
    <w:rsid w:val="00431DD0"/>
    <w:rsid w:val="004322D2"/>
    <w:rsid w:val="00432973"/>
    <w:rsid w:val="0043315C"/>
    <w:rsid w:val="0043356C"/>
    <w:rsid w:val="00433653"/>
    <w:rsid w:val="00433768"/>
    <w:rsid w:val="00433B49"/>
    <w:rsid w:val="00433D09"/>
    <w:rsid w:val="004350FF"/>
    <w:rsid w:val="0043510C"/>
    <w:rsid w:val="004357CE"/>
    <w:rsid w:val="00435E95"/>
    <w:rsid w:val="00436F5C"/>
    <w:rsid w:val="00437194"/>
    <w:rsid w:val="00437B94"/>
    <w:rsid w:val="00437B9B"/>
    <w:rsid w:val="00437C98"/>
    <w:rsid w:val="0044009B"/>
    <w:rsid w:val="00440380"/>
    <w:rsid w:val="00441324"/>
    <w:rsid w:val="004419A3"/>
    <w:rsid w:val="00441B6E"/>
    <w:rsid w:val="00441EBE"/>
    <w:rsid w:val="0044212F"/>
    <w:rsid w:val="004423B5"/>
    <w:rsid w:val="00442431"/>
    <w:rsid w:val="00442A53"/>
    <w:rsid w:val="00442AA1"/>
    <w:rsid w:val="00442AC5"/>
    <w:rsid w:val="004437F4"/>
    <w:rsid w:val="0044440C"/>
    <w:rsid w:val="00444F45"/>
    <w:rsid w:val="00445092"/>
    <w:rsid w:val="00445C46"/>
    <w:rsid w:val="00445C5C"/>
    <w:rsid w:val="00445C8E"/>
    <w:rsid w:val="00446C29"/>
    <w:rsid w:val="00447467"/>
    <w:rsid w:val="0044779B"/>
    <w:rsid w:val="00447802"/>
    <w:rsid w:val="00447C80"/>
    <w:rsid w:val="00450138"/>
    <w:rsid w:val="004508F2"/>
    <w:rsid w:val="00450A37"/>
    <w:rsid w:val="00451639"/>
    <w:rsid w:val="0045202B"/>
    <w:rsid w:val="00452328"/>
    <w:rsid w:val="00452995"/>
    <w:rsid w:val="00452A3B"/>
    <w:rsid w:val="00452CCA"/>
    <w:rsid w:val="00453330"/>
    <w:rsid w:val="0045345C"/>
    <w:rsid w:val="0045424F"/>
    <w:rsid w:val="00454D1C"/>
    <w:rsid w:val="00455465"/>
    <w:rsid w:val="004554ED"/>
    <w:rsid w:val="00455539"/>
    <w:rsid w:val="00455AB9"/>
    <w:rsid w:val="00455BB9"/>
    <w:rsid w:val="00455C02"/>
    <w:rsid w:val="00456D92"/>
    <w:rsid w:val="004575DE"/>
    <w:rsid w:val="00457946"/>
    <w:rsid w:val="00457CAA"/>
    <w:rsid w:val="00457FAA"/>
    <w:rsid w:val="00460526"/>
    <w:rsid w:val="00460D5A"/>
    <w:rsid w:val="00460D81"/>
    <w:rsid w:val="004612FF"/>
    <w:rsid w:val="004616C9"/>
    <w:rsid w:val="004617D3"/>
    <w:rsid w:val="00461A93"/>
    <w:rsid w:val="00461E39"/>
    <w:rsid w:val="00462064"/>
    <w:rsid w:val="004626B9"/>
    <w:rsid w:val="00462C43"/>
    <w:rsid w:val="00463ADD"/>
    <w:rsid w:val="00463E78"/>
    <w:rsid w:val="00463FBD"/>
    <w:rsid w:val="0046435F"/>
    <w:rsid w:val="0046459B"/>
    <w:rsid w:val="00464636"/>
    <w:rsid w:val="00464A80"/>
    <w:rsid w:val="00464F1F"/>
    <w:rsid w:val="004651B0"/>
    <w:rsid w:val="004652A2"/>
    <w:rsid w:val="004657B6"/>
    <w:rsid w:val="004658E5"/>
    <w:rsid w:val="00465DD2"/>
    <w:rsid w:val="00466001"/>
    <w:rsid w:val="00466238"/>
    <w:rsid w:val="00466539"/>
    <w:rsid w:val="00466DC3"/>
    <w:rsid w:val="00467062"/>
    <w:rsid w:val="00470C6D"/>
    <w:rsid w:val="00471317"/>
    <w:rsid w:val="004713AF"/>
    <w:rsid w:val="004715BA"/>
    <w:rsid w:val="00471786"/>
    <w:rsid w:val="004718C1"/>
    <w:rsid w:val="00471A6A"/>
    <w:rsid w:val="00471FC1"/>
    <w:rsid w:val="00472196"/>
    <w:rsid w:val="00472258"/>
    <w:rsid w:val="00472E95"/>
    <w:rsid w:val="00473178"/>
    <w:rsid w:val="0047361B"/>
    <w:rsid w:val="00473AFD"/>
    <w:rsid w:val="00473CC3"/>
    <w:rsid w:val="00474176"/>
    <w:rsid w:val="00475277"/>
    <w:rsid w:val="00475CCB"/>
    <w:rsid w:val="00476377"/>
    <w:rsid w:val="004769F4"/>
    <w:rsid w:val="00476F3A"/>
    <w:rsid w:val="004772FE"/>
    <w:rsid w:val="00477BAD"/>
    <w:rsid w:val="00480318"/>
    <w:rsid w:val="0048043A"/>
    <w:rsid w:val="00480513"/>
    <w:rsid w:val="00480DAD"/>
    <w:rsid w:val="00480F40"/>
    <w:rsid w:val="004810B1"/>
    <w:rsid w:val="004812DD"/>
    <w:rsid w:val="00481504"/>
    <w:rsid w:val="0048182D"/>
    <w:rsid w:val="00482590"/>
    <w:rsid w:val="004826C7"/>
    <w:rsid w:val="00482A1F"/>
    <w:rsid w:val="00482AB5"/>
    <w:rsid w:val="00482C65"/>
    <w:rsid w:val="00482E60"/>
    <w:rsid w:val="004833F4"/>
    <w:rsid w:val="004837DD"/>
    <w:rsid w:val="00483944"/>
    <w:rsid w:val="004843BC"/>
    <w:rsid w:val="00484D8A"/>
    <w:rsid w:val="0048509A"/>
    <w:rsid w:val="00485AB0"/>
    <w:rsid w:val="00486658"/>
    <w:rsid w:val="00486C65"/>
    <w:rsid w:val="00486E3D"/>
    <w:rsid w:val="004871CD"/>
    <w:rsid w:val="004871E2"/>
    <w:rsid w:val="0048759B"/>
    <w:rsid w:val="00487858"/>
    <w:rsid w:val="00487E4F"/>
    <w:rsid w:val="00487E6F"/>
    <w:rsid w:val="004901E8"/>
    <w:rsid w:val="0049043B"/>
    <w:rsid w:val="004906D0"/>
    <w:rsid w:val="00490773"/>
    <w:rsid w:val="004908CF"/>
    <w:rsid w:val="004911B2"/>
    <w:rsid w:val="004913BF"/>
    <w:rsid w:val="00491581"/>
    <w:rsid w:val="0049199B"/>
    <w:rsid w:val="00491E13"/>
    <w:rsid w:val="00491F93"/>
    <w:rsid w:val="0049233C"/>
    <w:rsid w:val="004925A6"/>
    <w:rsid w:val="004925D6"/>
    <w:rsid w:val="00492B9D"/>
    <w:rsid w:val="00492C1D"/>
    <w:rsid w:val="004932FC"/>
    <w:rsid w:val="00493322"/>
    <w:rsid w:val="00493924"/>
    <w:rsid w:val="00493B77"/>
    <w:rsid w:val="00493FC5"/>
    <w:rsid w:val="004943D5"/>
    <w:rsid w:val="004949CE"/>
    <w:rsid w:val="00494B02"/>
    <w:rsid w:val="00494FE2"/>
    <w:rsid w:val="00494FF1"/>
    <w:rsid w:val="00495466"/>
    <w:rsid w:val="004956BA"/>
    <w:rsid w:val="00495844"/>
    <w:rsid w:val="00495FA0"/>
    <w:rsid w:val="00496AFF"/>
    <w:rsid w:val="0049722C"/>
    <w:rsid w:val="0049747B"/>
    <w:rsid w:val="00497586"/>
    <w:rsid w:val="004975AF"/>
    <w:rsid w:val="004A018C"/>
    <w:rsid w:val="004A020A"/>
    <w:rsid w:val="004A0282"/>
    <w:rsid w:val="004A0537"/>
    <w:rsid w:val="004A05B1"/>
    <w:rsid w:val="004A06B4"/>
    <w:rsid w:val="004A07AC"/>
    <w:rsid w:val="004A167C"/>
    <w:rsid w:val="004A25B9"/>
    <w:rsid w:val="004A2A57"/>
    <w:rsid w:val="004A2D3A"/>
    <w:rsid w:val="004A2F57"/>
    <w:rsid w:val="004A2FA7"/>
    <w:rsid w:val="004A3105"/>
    <w:rsid w:val="004A379E"/>
    <w:rsid w:val="004A416D"/>
    <w:rsid w:val="004A42EC"/>
    <w:rsid w:val="004A4473"/>
    <w:rsid w:val="004A4F56"/>
    <w:rsid w:val="004A503A"/>
    <w:rsid w:val="004A5056"/>
    <w:rsid w:val="004A520F"/>
    <w:rsid w:val="004A56D4"/>
    <w:rsid w:val="004A5B63"/>
    <w:rsid w:val="004A5CA5"/>
    <w:rsid w:val="004A6536"/>
    <w:rsid w:val="004A7430"/>
    <w:rsid w:val="004B01C5"/>
    <w:rsid w:val="004B064A"/>
    <w:rsid w:val="004B06B0"/>
    <w:rsid w:val="004B0F0F"/>
    <w:rsid w:val="004B115C"/>
    <w:rsid w:val="004B11BC"/>
    <w:rsid w:val="004B1658"/>
    <w:rsid w:val="004B165B"/>
    <w:rsid w:val="004B169B"/>
    <w:rsid w:val="004B1909"/>
    <w:rsid w:val="004B1C7D"/>
    <w:rsid w:val="004B1D31"/>
    <w:rsid w:val="004B1D6C"/>
    <w:rsid w:val="004B1E32"/>
    <w:rsid w:val="004B2306"/>
    <w:rsid w:val="004B2716"/>
    <w:rsid w:val="004B2EAA"/>
    <w:rsid w:val="004B3A2E"/>
    <w:rsid w:val="004B3C31"/>
    <w:rsid w:val="004B4345"/>
    <w:rsid w:val="004B4705"/>
    <w:rsid w:val="004B4A56"/>
    <w:rsid w:val="004B4A77"/>
    <w:rsid w:val="004B4A81"/>
    <w:rsid w:val="004B4FA3"/>
    <w:rsid w:val="004B50B0"/>
    <w:rsid w:val="004B5F55"/>
    <w:rsid w:val="004B6286"/>
    <w:rsid w:val="004B67F4"/>
    <w:rsid w:val="004B683D"/>
    <w:rsid w:val="004B6F18"/>
    <w:rsid w:val="004B73DF"/>
    <w:rsid w:val="004B7BD3"/>
    <w:rsid w:val="004B7CB7"/>
    <w:rsid w:val="004B7E72"/>
    <w:rsid w:val="004B7F42"/>
    <w:rsid w:val="004C023F"/>
    <w:rsid w:val="004C0580"/>
    <w:rsid w:val="004C0726"/>
    <w:rsid w:val="004C0EB2"/>
    <w:rsid w:val="004C23B4"/>
    <w:rsid w:val="004C24DE"/>
    <w:rsid w:val="004C2EE6"/>
    <w:rsid w:val="004C2FED"/>
    <w:rsid w:val="004C2FFB"/>
    <w:rsid w:val="004C33C3"/>
    <w:rsid w:val="004C3445"/>
    <w:rsid w:val="004C3459"/>
    <w:rsid w:val="004C40BC"/>
    <w:rsid w:val="004C4BA2"/>
    <w:rsid w:val="004C4D5A"/>
    <w:rsid w:val="004C509C"/>
    <w:rsid w:val="004C5161"/>
    <w:rsid w:val="004C51FF"/>
    <w:rsid w:val="004C546D"/>
    <w:rsid w:val="004C60BA"/>
    <w:rsid w:val="004C60D3"/>
    <w:rsid w:val="004C62E6"/>
    <w:rsid w:val="004C63B9"/>
    <w:rsid w:val="004C665E"/>
    <w:rsid w:val="004C6843"/>
    <w:rsid w:val="004C6897"/>
    <w:rsid w:val="004C6AB4"/>
    <w:rsid w:val="004C6D0E"/>
    <w:rsid w:val="004C6F2E"/>
    <w:rsid w:val="004C72DA"/>
    <w:rsid w:val="004C79E3"/>
    <w:rsid w:val="004C7ECE"/>
    <w:rsid w:val="004D03DE"/>
    <w:rsid w:val="004D06E6"/>
    <w:rsid w:val="004D0719"/>
    <w:rsid w:val="004D0984"/>
    <w:rsid w:val="004D0DBD"/>
    <w:rsid w:val="004D0FC5"/>
    <w:rsid w:val="004D1700"/>
    <w:rsid w:val="004D1B06"/>
    <w:rsid w:val="004D2229"/>
    <w:rsid w:val="004D23D9"/>
    <w:rsid w:val="004D373A"/>
    <w:rsid w:val="004D3A9E"/>
    <w:rsid w:val="004D40E5"/>
    <w:rsid w:val="004D479D"/>
    <w:rsid w:val="004D4D02"/>
    <w:rsid w:val="004D535C"/>
    <w:rsid w:val="004D563F"/>
    <w:rsid w:val="004D5BD2"/>
    <w:rsid w:val="004D5C8B"/>
    <w:rsid w:val="004D5F04"/>
    <w:rsid w:val="004D677B"/>
    <w:rsid w:val="004D6CD0"/>
    <w:rsid w:val="004D6CF7"/>
    <w:rsid w:val="004D6F95"/>
    <w:rsid w:val="004D7822"/>
    <w:rsid w:val="004D7AF4"/>
    <w:rsid w:val="004D7C35"/>
    <w:rsid w:val="004D7EBE"/>
    <w:rsid w:val="004E0589"/>
    <w:rsid w:val="004E0AE1"/>
    <w:rsid w:val="004E149F"/>
    <w:rsid w:val="004E1914"/>
    <w:rsid w:val="004E1964"/>
    <w:rsid w:val="004E1FB9"/>
    <w:rsid w:val="004E217C"/>
    <w:rsid w:val="004E2235"/>
    <w:rsid w:val="004E2432"/>
    <w:rsid w:val="004E2D3E"/>
    <w:rsid w:val="004E33D7"/>
    <w:rsid w:val="004E3487"/>
    <w:rsid w:val="004E35E1"/>
    <w:rsid w:val="004E3858"/>
    <w:rsid w:val="004E3BEB"/>
    <w:rsid w:val="004E3DB8"/>
    <w:rsid w:val="004E3FD5"/>
    <w:rsid w:val="004E4462"/>
    <w:rsid w:val="004E5569"/>
    <w:rsid w:val="004E5A81"/>
    <w:rsid w:val="004E625A"/>
    <w:rsid w:val="004E6576"/>
    <w:rsid w:val="004E6DD2"/>
    <w:rsid w:val="004E6F00"/>
    <w:rsid w:val="004E77BD"/>
    <w:rsid w:val="004E7902"/>
    <w:rsid w:val="004E7D05"/>
    <w:rsid w:val="004E7D75"/>
    <w:rsid w:val="004E7FBB"/>
    <w:rsid w:val="004F0EB4"/>
    <w:rsid w:val="004F1971"/>
    <w:rsid w:val="004F1A6C"/>
    <w:rsid w:val="004F20B2"/>
    <w:rsid w:val="004F2B73"/>
    <w:rsid w:val="004F2E1C"/>
    <w:rsid w:val="004F32AF"/>
    <w:rsid w:val="004F34E9"/>
    <w:rsid w:val="004F38B4"/>
    <w:rsid w:val="004F417C"/>
    <w:rsid w:val="004F4A61"/>
    <w:rsid w:val="004F508B"/>
    <w:rsid w:val="004F563D"/>
    <w:rsid w:val="004F5AE2"/>
    <w:rsid w:val="004F5D57"/>
    <w:rsid w:val="004F614A"/>
    <w:rsid w:val="004F617A"/>
    <w:rsid w:val="004F61B5"/>
    <w:rsid w:val="004F6680"/>
    <w:rsid w:val="004F6C5F"/>
    <w:rsid w:val="004F750E"/>
    <w:rsid w:val="004F795A"/>
    <w:rsid w:val="00500181"/>
    <w:rsid w:val="00500663"/>
    <w:rsid w:val="005006FC"/>
    <w:rsid w:val="00500AF4"/>
    <w:rsid w:val="00500DB4"/>
    <w:rsid w:val="00501273"/>
    <w:rsid w:val="005013CF"/>
    <w:rsid w:val="00501C0F"/>
    <w:rsid w:val="0050228A"/>
    <w:rsid w:val="00502C3F"/>
    <w:rsid w:val="0050339C"/>
    <w:rsid w:val="0050363D"/>
    <w:rsid w:val="005037EE"/>
    <w:rsid w:val="00503BFD"/>
    <w:rsid w:val="00504119"/>
    <w:rsid w:val="005053BB"/>
    <w:rsid w:val="00505515"/>
    <w:rsid w:val="005057C2"/>
    <w:rsid w:val="00505F59"/>
    <w:rsid w:val="00506374"/>
    <w:rsid w:val="00506D97"/>
    <w:rsid w:val="00506FEF"/>
    <w:rsid w:val="00507DDD"/>
    <w:rsid w:val="005102BB"/>
    <w:rsid w:val="00510558"/>
    <w:rsid w:val="005105B8"/>
    <w:rsid w:val="00511572"/>
    <w:rsid w:val="00511CCC"/>
    <w:rsid w:val="005122AE"/>
    <w:rsid w:val="0051266F"/>
    <w:rsid w:val="0051363C"/>
    <w:rsid w:val="005136FC"/>
    <w:rsid w:val="00513CF4"/>
    <w:rsid w:val="00514294"/>
    <w:rsid w:val="00514602"/>
    <w:rsid w:val="00515290"/>
    <w:rsid w:val="00515645"/>
    <w:rsid w:val="005159F7"/>
    <w:rsid w:val="00515E10"/>
    <w:rsid w:val="00516343"/>
    <w:rsid w:val="005178AA"/>
    <w:rsid w:val="00517E26"/>
    <w:rsid w:val="00520382"/>
    <w:rsid w:val="005203EA"/>
    <w:rsid w:val="005203FF"/>
    <w:rsid w:val="0052052A"/>
    <w:rsid w:val="0052068D"/>
    <w:rsid w:val="0052084E"/>
    <w:rsid w:val="00520E88"/>
    <w:rsid w:val="00521419"/>
    <w:rsid w:val="005215D5"/>
    <w:rsid w:val="0052164C"/>
    <w:rsid w:val="0052170B"/>
    <w:rsid w:val="005220D1"/>
    <w:rsid w:val="00522BFC"/>
    <w:rsid w:val="005237A1"/>
    <w:rsid w:val="00524433"/>
    <w:rsid w:val="00524C3A"/>
    <w:rsid w:val="0052516A"/>
    <w:rsid w:val="00525AAB"/>
    <w:rsid w:val="00525ADF"/>
    <w:rsid w:val="00525E80"/>
    <w:rsid w:val="005261ED"/>
    <w:rsid w:val="00526BBB"/>
    <w:rsid w:val="00526D52"/>
    <w:rsid w:val="00526F21"/>
    <w:rsid w:val="00527C39"/>
    <w:rsid w:val="00527EFF"/>
    <w:rsid w:val="00530783"/>
    <w:rsid w:val="005308D2"/>
    <w:rsid w:val="00531848"/>
    <w:rsid w:val="00531FA3"/>
    <w:rsid w:val="00532154"/>
    <w:rsid w:val="0053220B"/>
    <w:rsid w:val="0053229E"/>
    <w:rsid w:val="00532922"/>
    <w:rsid w:val="005337D3"/>
    <w:rsid w:val="00533CF1"/>
    <w:rsid w:val="00534A7A"/>
    <w:rsid w:val="00534AD1"/>
    <w:rsid w:val="00534EF7"/>
    <w:rsid w:val="00535081"/>
    <w:rsid w:val="005358F9"/>
    <w:rsid w:val="00535958"/>
    <w:rsid w:val="00535A68"/>
    <w:rsid w:val="00535B87"/>
    <w:rsid w:val="005360D1"/>
    <w:rsid w:val="00536ADB"/>
    <w:rsid w:val="00536C1C"/>
    <w:rsid w:val="00536C4F"/>
    <w:rsid w:val="00536F4A"/>
    <w:rsid w:val="00537497"/>
    <w:rsid w:val="005374F1"/>
    <w:rsid w:val="005377D9"/>
    <w:rsid w:val="005378C6"/>
    <w:rsid w:val="00537A84"/>
    <w:rsid w:val="0054061B"/>
    <w:rsid w:val="00540A75"/>
    <w:rsid w:val="00540DB1"/>
    <w:rsid w:val="0054108A"/>
    <w:rsid w:val="0054122E"/>
    <w:rsid w:val="0054135B"/>
    <w:rsid w:val="00541490"/>
    <w:rsid w:val="005418D8"/>
    <w:rsid w:val="00541EFB"/>
    <w:rsid w:val="0054215C"/>
    <w:rsid w:val="00542C53"/>
    <w:rsid w:val="005434E8"/>
    <w:rsid w:val="00543655"/>
    <w:rsid w:val="00543B72"/>
    <w:rsid w:val="00544487"/>
    <w:rsid w:val="005444EB"/>
    <w:rsid w:val="0054456B"/>
    <w:rsid w:val="00544D9B"/>
    <w:rsid w:val="00545188"/>
    <w:rsid w:val="0054520F"/>
    <w:rsid w:val="005454DC"/>
    <w:rsid w:val="0054552B"/>
    <w:rsid w:val="0054598B"/>
    <w:rsid w:val="00545BA4"/>
    <w:rsid w:val="00545C2A"/>
    <w:rsid w:val="0054624F"/>
    <w:rsid w:val="00546581"/>
    <w:rsid w:val="00547523"/>
    <w:rsid w:val="0055013E"/>
    <w:rsid w:val="0055026E"/>
    <w:rsid w:val="00550D35"/>
    <w:rsid w:val="00550E27"/>
    <w:rsid w:val="00551329"/>
    <w:rsid w:val="005514F5"/>
    <w:rsid w:val="00551A6C"/>
    <w:rsid w:val="00551C4F"/>
    <w:rsid w:val="00551F90"/>
    <w:rsid w:val="00552285"/>
    <w:rsid w:val="005526F7"/>
    <w:rsid w:val="00552791"/>
    <w:rsid w:val="005530E8"/>
    <w:rsid w:val="005535A1"/>
    <w:rsid w:val="00553680"/>
    <w:rsid w:val="00553E91"/>
    <w:rsid w:val="00554724"/>
    <w:rsid w:val="00554B5E"/>
    <w:rsid w:val="00555336"/>
    <w:rsid w:val="005558DC"/>
    <w:rsid w:val="00555B78"/>
    <w:rsid w:val="00555CF4"/>
    <w:rsid w:val="00556050"/>
    <w:rsid w:val="0055618E"/>
    <w:rsid w:val="0055622E"/>
    <w:rsid w:val="0055670E"/>
    <w:rsid w:val="00556A2A"/>
    <w:rsid w:val="00556C41"/>
    <w:rsid w:val="005571E1"/>
    <w:rsid w:val="00557256"/>
    <w:rsid w:val="00557A9A"/>
    <w:rsid w:val="00557B0B"/>
    <w:rsid w:val="00557BA3"/>
    <w:rsid w:val="00557C6B"/>
    <w:rsid w:val="00560AB4"/>
    <w:rsid w:val="00561457"/>
    <w:rsid w:val="00561BAB"/>
    <w:rsid w:val="00561E18"/>
    <w:rsid w:val="00561EB5"/>
    <w:rsid w:val="00562EA1"/>
    <w:rsid w:val="00563290"/>
    <w:rsid w:val="005635B3"/>
    <w:rsid w:val="0056368B"/>
    <w:rsid w:val="00563EF8"/>
    <w:rsid w:val="00564347"/>
    <w:rsid w:val="00564578"/>
    <w:rsid w:val="005653A0"/>
    <w:rsid w:val="005654B3"/>
    <w:rsid w:val="00565A01"/>
    <w:rsid w:val="00565EF6"/>
    <w:rsid w:val="00565F55"/>
    <w:rsid w:val="0056613E"/>
    <w:rsid w:val="00566575"/>
    <w:rsid w:val="005667BD"/>
    <w:rsid w:val="00566D9C"/>
    <w:rsid w:val="00567409"/>
    <w:rsid w:val="00567610"/>
    <w:rsid w:val="00567EED"/>
    <w:rsid w:val="00567FF2"/>
    <w:rsid w:val="00570431"/>
    <w:rsid w:val="005709F3"/>
    <w:rsid w:val="00570B54"/>
    <w:rsid w:val="00571684"/>
    <w:rsid w:val="005716CB"/>
    <w:rsid w:val="00571AF5"/>
    <w:rsid w:val="00572AFC"/>
    <w:rsid w:val="00573225"/>
    <w:rsid w:val="00573354"/>
    <w:rsid w:val="0057349F"/>
    <w:rsid w:val="00573C15"/>
    <w:rsid w:val="00573EF6"/>
    <w:rsid w:val="00574817"/>
    <w:rsid w:val="005748DB"/>
    <w:rsid w:val="005755D0"/>
    <w:rsid w:val="005755FB"/>
    <w:rsid w:val="00575D45"/>
    <w:rsid w:val="005767AD"/>
    <w:rsid w:val="00576874"/>
    <w:rsid w:val="00577702"/>
    <w:rsid w:val="00577D29"/>
    <w:rsid w:val="00577FEC"/>
    <w:rsid w:val="00580147"/>
    <w:rsid w:val="005803D3"/>
    <w:rsid w:val="00581396"/>
    <w:rsid w:val="005814EE"/>
    <w:rsid w:val="00581D9E"/>
    <w:rsid w:val="00581FD7"/>
    <w:rsid w:val="00582420"/>
    <w:rsid w:val="00582856"/>
    <w:rsid w:val="00582D97"/>
    <w:rsid w:val="00582F75"/>
    <w:rsid w:val="005830B1"/>
    <w:rsid w:val="005838D2"/>
    <w:rsid w:val="005839C0"/>
    <w:rsid w:val="00584310"/>
    <w:rsid w:val="00584379"/>
    <w:rsid w:val="00584574"/>
    <w:rsid w:val="005849A7"/>
    <w:rsid w:val="00584F99"/>
    <w:rsid w:val="005853C3"/>
    <w:rsid w:val="00585F59"/>
    <w:rsid w:val="0058616A"/>
    <w:rsid w:val="0058619A"/>
    <w:rsid w:val="00586372"/>
    <w:rsid w:val="00586ED8"/>
    <w:rsid w:val="00586F98"/>
    <w:rsid w:val="00587037"/>
    <w:rsid w:val="00587258"/>
    <w:rsid w:val="00587328"/>
    <w:rsid w:val="00590F47"/>
    <w:rsid w:val="005914F7"/>
    <w:rsid w:val="00591E25"/>
    <w:rsid w:val="005920E8"/>
    <w:rsid w:val="00592434"/>
    <w:rsid w:val="0059261F"/>
    <w:rsid w:val="00592801"/>
    <w:rsid w:val="00592E74"/>
    <w:rsid w:val="0059301C"/>
    <w:rsid w:val="00593334"/>
    <w:rsid w:val="005936D3"/>
    <w:rsid w:val="00593BE0"/>
    <w:rsid w:val="00593C15"/>
    <w:rsid w:val="0059471F"/>
    <w:rsid w:val="00594E97"/>
    <w:rsid w:val="00595024"/>
    <w:rsid w:val="00596505"/>
    <w:rsid w:val="00596539"/>
    <w:rsid w:val="00596CAB"/>
    <w:rsid w:val="005972B8"/>
    <w:rsid w:val="005975FA"/>
    <w:rsid w:val="005977E0"/>
    <w:rsid w:val="00597899"/>
    <w:rsid w:val="005978DE"/>
    <w:rsid w:val="005978EA"/>
    <w:rsid w:val="005A0239"/>
    <w:rsid w:val="005A03CF"/>
    <w:rsid w:val="005A041A"/>
    <w:rsid w:val="005A0908"/>
    <w:rsid w:val="005A0BA4"/>
    <w:rsid w:val="005A0DC1"/>
    <w:rsid w:val="005A0F2A"/>
    <w:rsid w:val="005A1277"/>
    <w:rsid w:val="005A13A6"/>
    <w:rsid w:val="005A184B"/>
    <w:rsid w:val="005A1980"/>
    <w:rsid w:val="005A2075"/>
    <w:rsid w:val="005A22EB"/>
    <w:rsid w:val="005A2489"/>
    <w:rsid w:val="005A2968"/>
    <w:rsid w:val="005A29BB"/>
    <w:rsid w:val="005A2CBB"/>
    <w:rsid w:val="005A2E61"/>
    <w:rsid w:val="005A2EE7"/>
    <w:rsid w:val="005A2EF7"/>
    <w:rsid w:val="005A32EC"/>
    <w:rsid w:val="005A3372"/>
    <w:rsid w:val="005A35F4"/>
    <w:rsid w:val="005A4475"/>
    <w:rsid w:val="005A48DB"/>
    <w:rsid w:val="005A4D2B"/>
    <w:rsid w:val="005A4D74"/>
    <w:rsid w:val="005A506C"/>
    <w:rsid w:val="005A5282"/>
    <w:rsid w:val="005A5569"/>
    <w:rsid w:val="005A5961"/>
    <w:rsid w:val="005A5AD5"/>
    <w:rsid w:val="005A5DFF"/>
    <w:rsid w:val="005A616D"/>
    <w:rsid w:val="005A69E7"/>
    <w:rsid w:val="005A6E02"/>
    <w:rsid w:val="005A7869"/>
    <w:rsid w:val="005A791B"/>
    <w:rsid w:val="005A7CC8"/>
    <w:rsid w:val="005B09AD"/>
    <w:rsid w:val="005B0AC3"/>
    <w:rsid w:val="005B0B40"/>
    <w:rsid w:val="005B0BD1"/>
    <w:rsid w:val="005B0D3D"/>
    <w:rsid w:val="005B0E95"/>
    <w:rsid w:val="005B103E"/>
    <w:rsid w:val="005B10FA"/>
    <w:rsid w:val="005B1538"/>
    <w:rsid w:val="005B1A3B"/>
    <w:rsid w:val="005B1F35"/>
    <w:rsid w:val="005B2024"/>
    <w:rsid w:val="005B20AE"/>
    <w:rsid w:val="005B2735"/>
    <w:rsid w:val="005B2937"/>
    <w:rsid w:val="005B29C2"/>
    <w:rsid w:val="005B2BED"/>
    <w:rsid w:val="005B31B6"/>
    <w:rsid w:val="005B31E4"/>
    <w:rsid w:val="005B3A48"/>
    <w:rsid w:val="005B3EA6"/>
    <w:rsid w:val="005B408B"/>
    <w:rsid w:val="005B40AD"/>
    <w:rsid w:val="005B4554"/>
    <w:rsid w:val="005B4FAB"/>
    <w:rsid w:val="005B4FCC"/>
    <w:rsid w:val="005B50A4"/>
    <w:rsid w:val="005B5115"/>
    <w:rsid w:val="005B538A"/>
    <w:rsid w:val="005B56C8"/>
    <w:rsid w:val="005B5E6B"/>
    <w:rsid w:val="005B5FC4"/>
    <w:rsid w:val="005B60D3"/>
    <w:rsid w:val="005B691B"/>
    <w:rsid w:val="005B77D9"/>
    <w:rsid w:val="005B7A25"/>
    <w:rsid w:val="005B7CFF"/>
    <w:rsid w:val="005B7F47"/>
    <w:rsid w:val="005C006E"/>
    <w:rsid w:val="005C01B2"/>
    <w:rsid w:val="005C149F"/>
    <w:rsid w:val="005C1776"/>
    <w:rsid w:val="005C18D9"/>
    <w:rsid w:val="005C1EBC"/>
    <w:rsid w:val="005C1FAE"/>
    <w:rsid w:val="005C256A"/>
    <w:rsid w:val="005C27C2"/>
    <w:rsid w:val="005C2D73"/>
    <w:rsid w:val="005C2F0E"/>
    <w:rsid w:val="005C2F57"/>
    <w:rsid w:val="005C2F90"/>
    <w:rsid w:val="005C3E3D"/>
    <w:rsid w:val="005C4026"/>
    <w:rsid w:val="005C4038"/>
    <w:rsid w:val="005C42C9"/>
    <w:rsid w:val="005C42F5"/>
    <w:rsid w:val="005C4636"/>
    <w:rsid w:val="005C4772"/>
    <w:rsid w:val="005C4A94"/>
    <w:rsid w:val="005C4D35"/>
    <w:rsid w:val="005C5323"/>
    <w:rsid w:val="005C55A5"/>
    <w:rsid w:val="005C57B0"/>
    <w:rsid w:val="005C5C22"/>
    <w:rsid w:val="005C5D06"/>
    <w:rsid w:val="005C6195"/>
    <w:rsid w:val="005C6284"/>
    <w:rsid w:val="005C62F3"/>
    <w:rsid w:val="005C69EC"/>
    <w:rsid w:val="005C6B5B"/>
    <w:rsid w:val="005C6DDB"/>
    <w:rsid w:val="005C7D42"/>
    <w:rsid w:val="005D0763"/>
    <w:rsid w:val="005D0E45"/>
    <w:rsid w:val="005D0E7C"/>
    <w:rsid w:val="005D0EC4"/>
    <w:rsid w:val="005D176C"/>
    <w:rsid w:val="005D1A1A"/>
    <w:rsid w:val="005D208F"/>
    <w:rsid w:val="005D288E"/>
    <w:rsid w:val="005D31FE"/>
    <w:rsid w:val="005D39EF"/>
    <w:rsid w:val="005D3D48"/>
    <w:rsid w:val="005D40E6"/>
    <w:rsid w:val="005D43F4"/>
    <w:rsid w:val="005D4678"/>
    <w:rsid w:val="005D4685"/>
    <w:rsid w:val="005D4961"/>
    <w:rsid w:val="005D4973"/>
    <w:rsid w:val="005D5352"/>
    <w:rsid w:val="005D5E02"/>
    <w:rsid w:val="005D617C"/>
    <w:rsid w:val="005D62F5"/>
    <w:rsid w:val="005D6569"/>
    <w:rsid w:val="005D695D"/>
    <w:rsid w:val="005D6999"/>
    <w:rsid w:val="005D6B24"/>
    <w:rsid w:val="005D6DF9"/>
    <w:rsid w:val="005D7A9F"/>
    <w:rsid w:val="005D7AA9"/>
    <w:rsid w:val="005D7D69"/>
    <w:rsid w:val="005E0368"/>
    <w:rsid w:val="005E0829"/>
    <w:rsid w:val="005E0C14"/>
    <w:rsid w:val="005E1270"/>
    <w:rsid w:val="005E1779"/>
    <w:rsid w:val="005E1FDF"/>
    <w:rsid w:val="005E2180"/>
    <w:rsid w:val="005E228D"/>
    <w:rsid w:val="005E2659"/>
    <w:rsid w:val="005E27A4"/>
    <w:rsid w:val="005E310E"/>
    <w:rsid w:val="005E35A3"/>
    <w:rsid w:val="005E3977"/>
    <w:rsid w:val="005E4669"/>
    <w:rsid w:val="005E476E"/>
    <w:rsid w:val="005E4DEA"/>
    <w:rsid w:val="005E4F70"/>
    <w:rsid w:val="005E5013"/>
    <w:rsid w:val="005E50F0"/>
    <w:rsid w:val="005E5927"/>
    <w:rsid w:val="005E5E4D"/>
    <w:rsid w:val="005E5EF0"/>
    <w:rsid w:val="005E622A"/>
    <w:rsid w:val="005E63A5"/>
    <w:rsid w:val="005E670F"/>
    <w:rsid w:val="005E6765"/>
    <w:rsid w:val="005E6B5D"/>
    <w:rsid w:val="005E7159"/>
    <w:rsid w:val="005E75C4"/>
    <w:rsid w:val="005E76D4"/>
    <w:rsid w:val="005E7C9E"/>
    <w:rsid w:val="005F086B"/>
    <w:rsid w:val="005F0AEC"/>
    <w:rsid w:val="005F0EDB"/>
    <w:rsid w:val="005F0EE9"/>
    <w:rsid w:val="005F11CC"/>
    <w:rsid w:val="005F121F"/>
    <w:rsid w:val="005F1A40"/>
    <w:rsid w:val="005F23C8"/>
    <w:rsid w:val="005F2547"/>
    <w:rsid w:val="005F2C74"/>
    <w:rsid w:val="005F31BC"/>
    <w:rsid w:val="005F34D0"/>
    <w:rsid w:val="005F35BB"/>
    <w:rsid w:val="005F3781"/>
    <w:rsid w:val="005F3C70"/>
    <w:rsid w:val="005F403F"/>
    <w:rsid w:val="005F46B9"/>
    <w:rsid w:val="005F4AF3"/>
    <w:rsid w:val="005F5220"/>
    <w:rsid w:val="005F568B"/>
    <w:rsid w:val="005F5B75"/>
    <w:rsid w:val="005F5D82"/>
    <w:rsid w:val="005F62A3"/>
    <w:rsid w:val="005F7A77"/>
    <w:rsid w:val="005F7FFE"/>
    <w:rsid w:val="006000F1"/>
    <w:rsid w:val="0060100E"/>
    <w:rsid w:val="00601749"/>
    <w:rsid w:val="00601D40"/>
    <w:rsid w:val="00602173"/>
    <w:rsid w:val="00602457"/>
    <w:rsid w:val="00602940"/>
    <w:rsid w:val="00602AFE"/>
    <w:rsid w:val="00602D74"/>
    <w:rsid w:val="006036CB"/>
    <w:rsid w:val="006038DD"/>
    <w:rsid w:val="00603FEF"/>
    <w:rsid w:val="00604640"/>
    <w:rsid w:val="006048BC"/>
    <w:rsid w:val="006048F2"/>
    <w:rsid w:val="00604979"/>
    <w:rsid w:val="006049B3"/>
    <w:rsid w:val="00604B14"/>
    <w:rsid w:val="00604C88"/>
    <w:rsid w:val="00604F9B"/>
    <w:rsid w:val="00605674"/>
    <w:rsid w:val="0060578F"/>
    <w:rsid w:val="006057B1"/>
    <w:rsid w:val="006057FE"/>
    <w:rsid w:val="00605C67"/>
    <w:rsid w:val="00605CE4"/>
    <w:rsid w:val="00605F0E"/>
    <w:rsid w:val="0060635A"/>
    <w:rsid w:val="00606577"/>
    <w:rsid w:val="006065DC"/>
    <w:rsid w:val="00606602"/>
    <w:rsid w:val="00606738"/>
    <w:rsid w:val="00606868"/>
    <w:rsid w:val="006069AC"/>
    <w:rsid w:val="00607773"/>
    <w:rsid w:val="006077EA"/>
    <w:rsid w:val="006079E4"/>
    <w:rsid w:val="00610062"/>
    <w:rsid w:val="0061057F"/>
    <w:rsid w:val="00610D57"/>
    <w:rsid w:val="00610DCE"/>
    <w:rsid w:val="0061139F"/>
    <w:rsid w:val="00611BED"/>
    <w:rsid w:val="006122CF"/>
    <w:rsid w:val="00612321"/>
    <w:rsid w:val="006125E5"/>
    <w:rsid w:val="00613B17"/>
    <w:rsid w:val="00614528"/>
    <w:rsid w:val="0061488B"/>
    <w:rsid w:val="00614C35"/>
    <w:rsid w:val="00614E9F"/>
    <w:rsid w:val="0061506A"/>
    <w:rsid w:val="006156BD"/>
    <w:rsid w:val="006157ED"/>
    <w:rsid w:val="00615A52"/>
    <w:rsid w:val="00615CD4"/>
    <w:rsid w:val="00616F9A"/>
    <w:rsid w:val="00617014"/>
    <w:rsid w:val="00620361"/>
    <w:rsid w:val="006207C8"/>
    <w:rsid w:val="00620841"/>
    <w:rsid w:val="00620975"/>
    <w:rsid w:val="00621742"/>
    <w:rsid w:val="0062195D"/>
    <w:rsid w:val="00621BFC"/>
    <w:rsid w:val="00622DD6"/>
    <w:rsid w:val="00622F77"/>
    <w:rsid w:val="00623FBC"/>
    <w:rsid w:val="00624094"/>
    <w:rsid w:val="006241E0"/>
    <w:rsid w:val="00624EDB"/>
    <w:rsid w:val="006251D6"/>
    <w:rsid w:val="006259C6"/>
    <w:rsid w:val="00625DF2"/>
    <w:rsid w:val="00625E3E"/>
    <w:rsid w:val="00626393"/>
    <w:rsid w:val="00626737"/>
    <w:rsid w:val="00626A48"/>
    <w:rsid w:val="00626AE8"/>
    <w:rsid w:val="00627549"/>
    <w:rsid w:val="00627CDB"/>
    <w:rsid w:val="00627D7A"/>
    <w:rsid w:val="00627E6A"/>
    <w:rsid w:val="00627ECA"/>
    <w:rsid w:val="0063044C"/>
    <w:rsid w:val="006306AA"/>
    <w:rsid w:val="00630993"/>
    <w:rsid w:val="00630A55"/>
    <w:rsid w:val="00630FB3"/>
    <w:rsid w:val="00631548"/>
    <w:rsid w:val="00631DEE"/>
    <w:rsid w:val="0063227D"/>
    <w:rsid w:val="006322C8"/>
    <w:rsid w:val="006325FC"/>
    <w:rsid w:val="00632707"/>
    <w:rsid w:val="006327FF"/>
    <w:rsid w:val="00632871"/>
    <w:rsid w:val="006333E0"/>
    <w:rsid w:val="00633C30"/>
    <w:rsid w:val="0063403F"/>
    <w:rsid w:val="006343EE"/>
    <w:rsid w:val="006354E8"/>
    <w:rsid w:val="0063552F"/>
    <w:rsid w:val="006356BC"/>
    <w:rsid w:val="00635D74"/>
    <w:rsid w:val="00635DDD"/>
    <w:rsid w:val="00635FB3"/>
    <w:rsid w:val="0063613B"/>
    <w:rsid w:val="00636200"/>
    <w:rsid w:val="006365BA"/>
    <w:rsid w:val="00636C8D"/>
    <w:rsid w:val="0063703D"/>
    <w:rsid w:val="006374E5"/>
    <w:rsid w:val="00637514"/>
    <w:rsid w:val="006406A2"/>
    <w:rsid w:val="00640A76"/>
    <w:rsid w:val="00640D62"/>
    <w:rsid w:val="00640F46"/>
    <w:rsid w:val="00641049"/>
    <w:rsid w:val="006417E1"/>
    <w:rsid w:val="00641A1B"/>
    <w:rsid w:val="00642680"/>
    <w:rsid w:val="006428CE"/>
    <w:rsid w:val="00642AC3"/>
    <w:rsid w:val="00642B6A"/>
    <w:rsid w:val="006433C6"/>
    <w:rsid w:val="00644784"/>
    <w:rsid w:val="0064490B"/>
    <w:rsid w:val="00645020"/>
    <w:rsid w:val="006458E6"/>
    <w:rsid w:val="00646793"/>
    <w:rsid w:val="00646825"/>
    <w:rsid w:val="00646BCA"/>
    <w:rsid w:val="00646F1F"/>
    <w:rsid w:val="006470B3"/>
    <w:rsid w:val="0064743B"/>
    <w:rsid w:val="006479E0"/>
    <w:rsid w:val="00647A3E"/>
    <w:rsid w:val="00647B52"/>
    <w:rsid w:val="00647D47"/>
    <w:rsid w:val="00647EE7"/>
    <w:rsid w:val="00650261"/>
    <w:rsid w:val="00650730"/>
    <w:rsid w:val="00650B8B"/>
    <w:rsid w:val="00650FDD"/>
    <w:rsid w:val="006511C3"/>
    <w:rsid w:val="00651444"/>
    <w:rsid w:val="006514EA"/>
    <w:rsid w:val="0065158C"/>
    <w:rsid w:val="006515E3"/>
    <w:rsid w:val="00651636"/>
    <w:rsid w:val="00651E07"/>
    <w:rsid w:val="00651E6A"/>
    <w:rsid w:val="00653403"/>
    <w:rsid w:val="006535D3"/>
    <w:rsid w:val="006536F5"/>
    <w:rsid w:val="006537D1"/>
    <w:rsid w:val="006542D8"/>
    <w:rsid w:val="00654E81"/>
    <w:rsid w:val="0065550B"/>
    <w:rsid w:val="006557C2"/>
    <w:rsid w:val="00656065"/>
    <w:rsid w:val="00656235"/>
    <w:rsid w:val="006562CE"/>
    <w:rsid w:val="0065630E"/>
    <w:rsid w:val="00656888"/>
    <w:rsid w:val="00656FA5"/>
    <w:rsid w:val="0065703D"/>
    <w:rsid w:val="00657150"/>
    <w:rsid w:val="0065741E"/>
    <w:rsid w:val="00657506"/>
    <w:rsid w:val="006576F3"/>
    <w:rsid w:val="00657CEB"/>
    <w:rsid w:val="00657CFA"/>
    <w:rsid w:val="00657EB8"/>
    <w:rsid w:val="006602BA"/>
    <w:rsid w:val="0066032B"/>
    <w:rsid w:val="0066034A"/>
    <w:rsid w:val="0066089F"/>
    <w:rsid w:val="00660EEB"/>
    <w:rsid w:val="00660F48"/>
    <w:rsid w:val="006611C3"/>
    <w:rsid w:val="0066123B"/>
    <w:rsid w:val="00661269"/>
    <w:rsid w:val="0066151C"/>
    <w:rsid w:val="00661541"/>
    <w:rsid w:val="006621DD"/>
    <w:rsid w:val="00662280"/>
    <w:rsid w:val="00662314"/>
    <w:rsid w:val="00662738"/>
    <w:rsid w:val="00662EFD"/>
    <w:rsid w:val="006630A6"/>
    <w:rsid w:val="006630F2"/>
    <w:rsid w:val="00663248"/>
    <w:rsid w:val="00663531"/>
    <w:rsid w:val="0066381F"/>
    <w:rsid w:val="00663A5A"/>
    <w:rsid w:val="00663E07"/>
    <w:rsid w:val="006643AE"/>
    <w:rsid w:val="00664A13"/>
    <w:rsid w:val="00664C78"/>
    <w:rsid w:val="006653D5"/>
    <w:rsid w:val="0066552C"/>
    <w:rsid w:val="00665654"/>
    <w:rsid w:val="00666190"/>
    <w:rsid w:val="00666388"/>
    <w:rsid w:val="00666466"/>
    <w:rsid w:val="00666708"/>
    <w:rsid w:val="00666C48"/>
    <w:rsid w:val="00666D3B"/>
    <w:rsid w:val="0066701A"/>
    <w:rsid w:val="006672C1"/>
    <w:rsid w:val="00667649"/>
    <w:rsid w:val="00667DA6"/>
    <w:rsid w:val="00670592"/>
    <w:rsid w:val="00670A28"/>
    <w:rsid w:val="00670ACD"/>
    <w:rsid w:val="00670BC9"/>
    <w:rsid w:val="00670C17"/>
    <w:rsid w:val="00671301"/>
    <w:rsid w:val="006713F2"/>
    <w:rsid w:val="00671BE1"/>
    <w:rsid w:val="00672356"/>
    <w:rsid w:val="0067257B"/>
    <w:rsid w:val="00672906"/>
    <w:rsid w:val="00672A49"/>
    <w:rsid w:val="00672E05"/>
    <w:rsid w:val="00673A59"/>
    <w:rsid w:val="0067565C"/>
    <w:rsid w:val="006757BF"/>
    <w:rsid w:val="00675952"/>
    <w:rsid w:val="00675970"/>
    <w:rsid w:val="00675995"/>
    <w:rsid w:val="006759B0"/>
    <w:rsid w:val="00675EB1"/>
    <w:rsid w:val="00676033"/>
    <w:rsid w:val="0067698A"/>
    <w:rsid w:val="00676C6A"/>
    <w:rsid w:val="00676F19"/>
    <w:rsid w:val="006775BF"/>
    <w:rsid w:val="0067779F"/>
    <w:rsid w:val="00680106"/>
    <w:rsid w:val="00680163"/>
    <w:rsid w:val="0068108E"/>
    <w:rsid w:val="006810E5"/>
    <w:rsid w:val="0068112C"/>
    <w:rsid w:val="006813A2"/>
    <w:rsid w:val="00681AE5"/>
    <w:rsid w:val="00681B39"/>
    <w:rsid w:val="00681ED1"/>
    <w:rsid w:val="00681F36"/>
    <w:rsid w:val="00682222"/>
    <w:rsid w:val="00682701"/>
    <w:rsid w:val="006828F7"/>
    <w:rsid w:val="00682D7E"/>
    <w:rsid w:val="00682FD2"/>
    <w:rsid w:val="00683B20"/>
    <w:rsid w:val="00683E19"/>
    <w:rsid w:val="0068483B"/>
    <w:rsid w:val="00684861"/>
    <w:rsid w:val="00684C76"/>
    <w:rsid w:val="00684E24"/>
    <w:rsid w:val="00685905"/>
    <w:rsid w:val="0068615C"/>
    <w:rsid w:val="00686C78"/>
    <w:rsid w:val="00686E8F"/>
    <w:rsid w:val="0068725B"/>
    <w:rsid w:val="00687A53"/>
    <w:rsid w:val="00687CA7"/>
    <w:rsid w:val="0069075C"/>
    <w:rsid w:val="00690BDC"/>
    <w:rsid w:val="00690E1D"/>
    <w:rsid w:val="006917AD"/>
    <w:rsid w:val="00692FA6"/>
    <w:rsid w:val="00693125"/>
    <w:rsid w:val="006933FC"/>
    <w:rsid w:val="006933FE"/>
    <w:rsid w:val="00693498"/>
    <w:rsid w:val="00693541"/>
    <w:rsid w:val="006944D1"/>
    <w:rsid w:val="006946A9"/>
    <w:rsid w:val="006948F1"/>
    <w:rsid w:val="00694C0E"/>
    <w:rsid w:val="00694EE7"/>
    <w:rsid w:val="00695FE9"/>
    <w:rsid w:val="00696069"/>
    <w:rsid w:val="00696081"/>
    <w:rsid w:val="0069629C"/>
    <w:rsid w:val="00696436"/>
    <w:rsid w:val="00696D7F"/>
    <w:rsid w:val="0069743F"/>
    <w:rsid w:val="0069754A"/>
    <w:rsid w:val="006976ED"/>
    <w:rsid w:val="00697B3C"/>
    <w:rsid w:val="00697FA2"/>
    <w:rsid w:val="006A001A"/>
    <w:rsid w:val="006A01D3"/>
    <w:rsid w:val="006A0507"/>
    <w:rsid w:val="006A0721"/>
    <w:rsid w:val="006A0818"/>
    <w:rsid w:val="006A0A5C"/>
    <w:rsid w:val="006A0C72"/>
    <w:rsid w:val="006A1551"/>
    <w:rsid w:val="006A1879"/>
    <w:rsid w:val="006A18E5"/>
    <w:rsid w:val="006A1B77"/>
    <w:rsid w:val="006A1BCD"/>
    <w:rsid w:val="006A20C0"/>
    <w:rsid w:val="006A27F7"/>
    <w:rsid w:val="006A28F4"/>
    <w:rsid w:val="006A2C4D"/>
    <w:rsid w:val="006A2E30"/>
    <w:rsid w:val="006A3A9B"/>
    <w:rsid w:val="006A42C9"/>
    <w:rsid w:val="006A4469"/>
    <w:rsid w:val="006A477A"/>
    <w:rsid w:val="006A47B9"/>
    <w:rsid w:val="006A49A2"/>
    <w:rsid w:val="006A54DE"/>
    <w:rsid w:val="006A54F7"/>
    <w:rsid w:val="006A5E4C"/>
    <w:rsid w:val="006A66CD"/>
    <w:rsid w:val="006A6DF2"/>
    <w:rsid w:val="006A71F8"/>
    <w:rsid w:val="006A7555"/>
    <w:rsid w:val="006A7A57"/>
    <w:rsid w:val="006A7DFF"/>
    <w:rsid w:val="006A7E61"/>
    <w:rsid w:val="006A7F05"/>
    <w:rsid w:val="006B0361"/>
    <w:rsid w:val="006B03C7"/>
    <w:rsid w:val="006B0419"/>
    <w:rsid w:val="006B0946"/>
    <w:rsid w:val="006B0CDB"/>
    <w:rsid w:val="006B0D79"/>
    <w:rsid w:val="006B1015"/>
    <w:rsid w:val="006B1532"/>
    <w:rsid w:val="006B15BB"/>
    <w:rsid w:val="006B1A28"/>
    <w:rsid w:val="006B1A90"/>
    <w:rsid w:val="006B1B49"/>
    <w:rsid w:val="006B1D3E"/>
    <w:rsid w:val="006B2401"/>
    <w:rsid w:val="006B24B4"/>
    <w:rsid w:val="006B29F0"/>
    <w:rsid w:val="006B2F90"/>
    <w:rsid w:val="006B312A"/>
    <w:rsid w:val="006B36FC"/>
    <w:rsid w:val="006B3826"/>
    <w:rsid w:val="006B3F55"/>
    <w:rsid w:val="006B439C"/>
    <w:rsid w:val="006B4E0A"/>
    <w:rsid w:val="006B5028"/>
    <w:rsid w:val="006B53E6"/>
    <w:rsid w:val="006B54E4"/>
    <w:rsid w:val="006B550F"/>
    <w:rsid w:val="006B56F1"/>
    <w:rsid w:val="006B59D0"/>
    <w:rsid w:val="006B64C3"/>
    <w:rsid w:val="006B6841"/>
    <w:rsid w:val="006B7286"/>
    <w:rsid w:val="006B7BA0"/>
    <w:rsid w:val="006B7C65"/>
    <w:rsid w:val="006C021F"/>
    <w:rsid w:val="006C0486"/>
    <w:rsid w:val="006C04F4"/>
    <w:rsid w:val="006C068F"/>
    <w:rsid w:val="006C07D8"/>
    <w:rsid w:val="006C0B1F"/>
    <w:rsid w:val="006C15CF"/>
    <w:rsid w:val="006C188C"/>
    <w:rsid w:val="006C1924"/>
    <w:rsid w:val="006C206E"/>
    <w:rsid w:val="006C2533"/>
    <w:rsid w:val="006C33FC"/>
    <w:rsid w:val="006C40B0"/>
    <w:rsid w:val="006C4840"/>
    <w:rsid w:val="006C4FF6"/>
    <w:rsid w:val="006C5680"/>
    <w:rsid w:val="006C5AD4"/>
    <w:rsid w:val="006C652A"/>
    <w:rsid w:val="006C684E"/>
    <w:rsid w:val="006D0E4A"/>
    <w:rsid w:val="006D1021"/>
    <w:rsid w:val="006D13B1"/>
    <w:rsid w:val="006D179A"/>
    <w:rsid w:val="006D1A4F"/>
    <w:rsid w:val="006D1C37"/>
    <w:rsid w:val="006D1E80"/>
    <w:rsid w:val="006D23F3"/>
    <w:rsid w:val="006D2909"/>
    <w:rsid w:val="006D29B1"/>
    <w:rsid w:val="006D2BAA"/>
    <w:rsid w:val="006D2E74"/>
    <w:rsid w:val="006D2F4B"/>
    <w:rsid w:val="006D311C"/>
    <w:rsid w:val="006D390F"/>
    <w:rsid w:val="006D3CDA"/>
    <w:rsid w:val="006D3D42"/>
    <w:rsid w:val="006D3DC3"/>
    <w:rsid w:val="006D4300"/>
    <w:rsid w:val="006D5397"/>
    <w:rsid w:val="006D58C5"/>
    <w:rsid w:val="006D5E8B"/>
    <w:rsid w:val="006D5EA4"/>
    <w:rsid w:val="006D655D"/>
    <w:rsid w:val="006D68DC"/>
    <w:rsid w:val="006D6C4F"/>
    <w:rsid w:val="006D6CBC"/>
    <w:rsid w:val="006D75C8"/>
    <w:rsid w:val="006D7C5C"/>
    <w:rsid w:val="006E0AD8"/>
    <w:rsid w:val="006E0C09"/>
    <w:rsid w:val="006E0CFC"/>
    <w:rsid w:val="006E0E3C"/>
    <w:rsid w:val="006E1174"/>
    <w:rsid w:val="006E1300"/>
    <w:rsid w:val="006E16FA"/>
    <w:rsid w:val="006E1A75"/>
    <w:rsid w:val="006E1D6E"/>
    <w:rsid w:val="006E297A"/>
    <w:rsid w:val="006E2A1C"/>
    <w:rsid w:val="006E2C09"/>
    <w:rsid w:val="006E3172"/>
    <w:rsid w:val="006E3226"/>
    <w:rsid w:val="006E32A1"/>
    <w:rsid w:val="006E3981"/>
    <w:rsid w:val="006E3B61"/>
    <w:rsid w:val="006E3F4B"/>
    <w:rsid w:val="006E3F4F"/>
    <w:rsid w:val="006E4567"/>
    <w:rsid w:val="006E45AF"/>
    <w:rsid w:val="006E465B"/>
    <w:rsid w:val="006E4A7A"/>
    <w:rsid w:val="006E4DE0"/>
    <w:rsid w:val="006E538C"/>
    <w:rsid w:val="006E583C"/>
    <w:rsid w:val="006E5886"/>
    <w:rsid w:val="006E670F"/>
    <w:rsid w:val="006E7345"/>
    <w:rsid w:val="006F06F4"/>
    <w:rsid w:val="006F0961"/>
    <w:rsid w:val="006F0BD8"/>
    <w:rsid w:val="006F0E20"/>
    <w:rsid w:val="006F12CE"/>
    <w:rsid w:val="006F1526"/>
    <w:rsid w:val="006F153C"/>
    <w:rsid w:val="006F183B"/>
    <w:rsid w:val="006F190F"/>
    <w:rsid w:val="006F208F"/>
    <w:rsid w:val="006F2695"/>
    <w:rsid w:val="006F27A5"/>
    <w:rsid w:val="006F3621"/>
    <w:rsid w:val="006F377A"/>
    <w:rsid w:val="006F3A0C"/>
    <w:rsid w:val="006F3B7C"/>
    <w:rsid w:val="006F3D8D"/>
    <w:rsid w:val="006F3E54"/>
    <w:rsid w:val="006F45BC"/>
    <w:rsid w:val="006F46C5"/>
    <w:rsid w:val="006F5389"/>
    <w:rsid w:val="006F54C0"/>
    <w:rsid w:val="006F57F3"/>
    <w:rsid w:val="006F5A04"/>
    <w:rsid w:val="006F6D1A"/>
    <w:rsid w:val="006F710C"/>
    <w:rsid w:val="006F72DE"/>
    <w:rsid w:val="006F73BC"/>
    <w:rsid w:val="006F7B90"/>
    <w:rsid w:val="0070046B"/>
    <w:rsid w:val="00700BDB"/>
    <w:rsid w:val="00700D69"/>
    <w:rsid w:val="00701400"/>
    <w:rsid w:val="0070150B"/>
    <w:rsid w:val="0070169B"/>
    <w:rsid w:val="00702204"/>
    <w:rsid w:val="00702A5E"/>
    <w:rsid w:val="00702BD0"/>
    <w:rsid w:val="0070340D"/>
    <w:rsid w:val="00703582"/>
    <w:rsid w:val="00703963"/>
    <w:rsid w:val="00703E1C"/>
    <w:rsid w:val="00704B7A"/>
    <w:rsid w:val="00704F6D"/>
    <w:rsid w:val="007054B6"/>
    <w:rsid w:val="00705959"/>
    <w:rsid w:val="00706464"/>
    <w:rsid w:val="0070737A"/>
    <w:rsid w:val="007075C5"/>
    <w:rsid w:val="00707D80"/>
    <w:rsid w:val="00707F07"/>
    <w:rsid w:val="00710936"/>
    <w:rsid w:val="00710BAF"/>
    <w:rsid w:val="007110D1"/>
    <w:rsid w:val="00711108"/>
    <w:rsid w:val="00711C87"/>
    <w:rsid w:val="00712D41"/>
    <w:rsid w:val="00712D81"/>
    <w:rsid w:val="007137A6"/>
    <w:rsid w:val="00714643"/>
    <w:rsid w:val="007148A4"/>
    <w:rsid w:val="0071509B"/>
    <w:rsid w:val="0071523F"/>
    <w:rsid w:val="00715311"/>
    <w:rsid w:val="007156D8"/>
    <w:rsid w:val="00715A68"/>
    <w:rsid w:val="00715C8D"/>
    <w:rsid w:val="00715FAB"/>
    <w:rsid w:val="0071678A"/>
    <w:rsid w:val="00716896"/>
    <w:rsid w:val="00716A6B"/>
    <w:rsid w:val="00716C67"/>
    <w:rsid w:val="00717983"/>
    <w:rsid w:val="00720172"/>
    <w:rsid w:val="007202C0"/>
    <w:rsid w:val="00721121"/>
    <w:rsid w:val="0072132F"/>
    <w:rsid w:val="00721461"/>
    <w:rsid w:val="0072167B"/>
    <w:rsid w:val="007219C9"/>
    <w:rsid w:val="00721C60"/>
    <w:rsid w:val="00721E72"/>
    <w:rsid w:val="007226E9"/>
    <w:rsid w:val="00722F54"/>
    <w:rsid w:val="00723323"/>
    <w:rsid w:val="00723869"/>
    <w:rsid w:val="0072392A"/>
    <w:rsid w:val="007251C4"/>
    <w:rsid w:val="0072521A"/>
    <w:rsid w:val="007257E2"/>
    <w:rsid w:val="00725837"/>
    <w:rsid w:val="00725B93"/>
    <w:rsid w:val="00725E2A"/>
    <w:rsid w:val="00725F38"/>
    <w:rsid w:val="0072605C"/>
    <w:rsid w:val="007260F8"/>
    <w:rsid w:val="007261CD"/>
    <w:rsid w:val="007262C6"/>
    <w:rsid w:val="007262FC"/>
    <w:rsid w:val="00726671"/>
    <w:rsid w:val="00726CEF"/>
    <w:rsid w:val="00727537"/>
    <w:rsid w:val="00727BA1"/>
    <w:rsid w:val="0073015C"/>
    <w:rsid w:val="00730264"/>
    <w:rsid w:val="007303CA"/>
    <w:rsid w:val="00730450"/>
    <w:rsid w:val="00730C56"/>
    <w:rsid w:val="00730E58"/>
    <w:rsid w:val="0073137F"/>
    <w:rsid w:val="00731436"/>
    <w:rsid w:val="007329AE"/>
    <w:rsid w:val="00732C26"/>
    <w:rsid w:val="00732FB5"/>
    <w:rsid w:val="00733418"/>
    <w:rsid w:val="00733622"/>
    <w:rsid w:val="007339C9"/>
    <w:rsid w:val="00733F53"/>
    <w:rsid w:val="007340C6"/>
    <w:rsid w:val="007342BF"/>
    <w:rsid w:val="0073475F"/>
    <w:rsid w:val="00734DDD"/>
    <w:rsid w:val="00735044"/>
    <w:rsid w:val="00735563"/>
    <w:rsid w:val="00735731"/>
    <w:rsid w:val="0073584E"/>
    <w:rsid w:val="00735F3D"/>
    <w:rsid w:val="00736504"/>
    <w:rsid w:val="0073666A"/>
    <w:rsid w:val="00736A89"/>
    <w:rsid w:val="00736B8B"/>
    <w:rsid w:val="00737589"/>
    <w:rsid w:val="007378DA"/>
    <w:rsid w:val="00737929"/>
    <w:rsid w:val="00737CE6"/>
    <w:rsid w:val="00737D81"/>
    <w:rsid w:val="00737FC9"/>
    <w:rsid w:val="00740353"/>
    <w:rsid w:val="007403D2"/>
    <w:rsid w:val="00740968"/>
    <w:rsid w:val="00740BC4"/>
    <w:rsid w:val="00740E44"/>
    <w:rsid w:val="00740E9A"/>
    <w:rsid w:val="0074112C"/>
    <w:rsid w:val="007412E4"/>
    <w:rsid w:val="00741317"/>
    <w:rsid w:val="007413A4"/>
    <w:rsid w:val="00741E44"/>
    <w:rsid w:val="00742702"/>
    <w:rsid w:val="00742A23"/>
    <w:rsid w:val="00742B42"/>
    <w:rsid w:val="00742EB7"/>
    <w:rsid w:val="0074359E"/>
    <w:rsid w:val="00743F17"/>
    <w:rsid w:val="00743F9A"/>
    <w:rsid w:val="00744092"/>
    <w:rsid w:val="007440A5"/>
    <w:rsid w:val="00744555"/>
    <w:rsid w:val="00744856"/>
    <w:rsid w:val="00744A37"/>
    <w:rsid w:val="00745175"/>
    <w:rsid w:val="0074650C"/>
    <w:rsid w:val="00746B8F"/>
    <w:rsid w:val="00746B96"/>
    <w:rsid w:val="00746CBE"/>
    <w:rsid w:val="00746D8D"/>
    <w:rsid w:val="00746EA6"/>
    <w:rsid w:val="007472B4"/>
    <w:rsid w:val="00747EE6"/>
    <w:rsid w:val="00747FAB"/>
    <w:rsid w:val="007500D4"/>
    <w:rsid w:val="0075084B"/>
    <w:rsid w:val="00750F4C"/>
    <w:rsid w:val="00751848"/>
    <w:rsid w:val="00751C0A"/>
    <w:rsid w:val="0075241F"/>
    <w:rsid w:val="00752753"/>
    <w:rsid w:val="007529AC"/>
    <w:rsid w:val="00753E4C"/>
    <w:rsid w:val="007544D8"/>
    <w:rsid w:val="00754546"/>
    <w:rsid w:val="00754DA7"/>
    <w:rsid w:val="0075508C"/>
    <w:rsid w:val="007554DD"/>
    <w:rsid w:val="00755578"/>
    <w:rsid w:val="007557FA"/>
    <w:rsid w:val="007558CD"/>
    <w:rsid w:val="00755C89"/>
    <w:rsid w:val="00755F19"/>
    <w:rsid w:val="00756074"/>
    <w:rsid w:val="00756B55"/>
    <w:rsid w:val="007570C2"/>
    <w:rsid w:val="00757581"/>
    <w:rsid w:val="00757879"/>
    <w:rsid w:val="00760186"/>
    <w:rsid w:val="0076089C"/>
    <w:rsid w:val="007611DF"/>
    <w:rsid w:val="0076130D"/>
    <w:rsid w:val="00761418"/>
    <w:rsid w:val="00761863"/>
    <w:rsid w:val="0076197B"/>
    <w:rsid w:val="00761A4F"/>
    <w:rsid w:val="00762396"/>
    <w:rsid w:val="00762754"/>
    <w:rsid w:val="00762854"/>
    <w:rsid w:val="0076289D"/>
    <w:rsid w:val="00762B2B"/>
    <w:rsid w:val="00762B40"/>
    <w:rsid w:val="007632B5"/>
    <w:rsid w:val="00763310"/>
    <w:rsid w:val="0076334B"/>
    <w:rsid w:val="00763579"/>
    <w:rsid w:val="00763630"/>
    <w:rsid w:val="00763CFB"/>
    <w:rsid w:val="00764470"/>
    <w:rsid w:val="007644CD"/>
    <w:rsid w:val="00764839"/>
    <w:rsid w:val="00764F00"/>
    <w:rsid w:val="0076573A"/>
    <w:rsid w:val="00765829"/>
    <w:rsid w:val="0076582D"/>
    <w:rsid w:val="0076592A"/>
    <w:rsid w:val="00766006"/>
    <w:rsid w:val="0076649A"/>
    <w:rsid w:val="0076655B"/>
    <w:rsid w:val="00766603"/>
    <w:rsid w:val="00766719"/>
    <w:rsid w:val="00766B0E"/>
    <w:rsid w:val="00766E8A"/>
    <w:rsid w:val="00767746"/>
    <w:rsid w:val="00767945"/>
    <w:rsid w:val="007679EE"/>
    <w:rsid w:val="00770025"/>
    <w:rsid w:val="007702DB"/>
    <w:rsid w:val="00770361"/>
    <w:rsid w:val="0077037D"/>
    <w:rsid w:val="007709B8"/>
    <w:rsid w:val="00770A4B"/>
    <w:rsid w:val="00770B06"/>
    <w:rsid w:val="00770B62"/>
    <w:rsid w:val="00770EE2"/>
    <w:rsid w:val="00770FCF"/>
    <w:rsid w:val="00772C38"/>
    <w:rsid w:val="00772C9A"/>
    <w:rsid w:val="00772EBF"/>
    <w:rsid w:val="00772F75"/>
    <w:rsid w:val="00772FEF"/>
    <w:rsid w:val="007731D9"/>
    <w:rsid w:val="00773516"/>
    <w:rsid w:val="007739B4"/>
    <w:rsid w:val="00773A7E"/>
    <w:rsid w:val="0077401C"/>
    <w:rsid w:val="007746D4"/>
    <w:rsid w:val="007746D9"/>
    <w:rsid w:val="00774AEA"/>
    <w:rsid w:val="00774F01"/>
    <w:rsid w:val="007750CB"/>
    <w:rsid w:val="007765AF"/>
    <w:rsid w:val="00777F16"/>
    <w:rsid w:val="00780828"/>
    <w:rsid w:val="00780B53"/>
    <w:rsid w:val="00781199"/>
    <w:rsid w:val="007811F8"/>
    <w:rsid w:val="00781631"/>
    <w:rsid w:val="007816F5"/>
    <w:rsid w:val="00781C06"/>
    <w:rsid w:val="00781D94"/>
    <w:rsid w:val="00781DE5"/>
    <w:rsid w:val="00782111"/>
    <w:rsid w:val="00783D5A"/>
    <w:rsid w:val="00783EEF"/>
    <w:rsid w:val="0078452F"/>
    <w:rsid w:val="00784616"/>
    <w:rsid w:val="0078481B"/>
    <w:rsid w:val="00785663"/>
    <w:rsid w:val="00785AD3"/>
    <w:rsid w:val="00785B16"/>
    <w:rsid w:val="007865A5"/>
    <w:rsid w:val="007868C5"/>
    <w:rsid w:val="007868DE"/>
    <w:rsid w:val="0078792E"/>
    <w:rsid w:val="00787CE7"/>
    <w:rsid w:val="00787E3A"/>
    <w:rsid w:val="00787E9D"/>
    <w:rsid w:val="00790845"/>
    <w:rsid w:val="00790E82"/>
    <w:rsid w:val="007916D7"/>
    <w:rsid w:val="00791759"/>
    <w:rsid w:val="00791D93"/>
    <w:rsid w:val="00791E45"/>
    <w:rsid w:val="0079218A"/>
    <w:rsid w:val="007921D3"/>
    <w:rsid w:val="00792470"/>
    <w:rsid w:val="00792D84"/>
    <w:rsid w:val="007933D0"/>
    <w:rsid w:val="00793D0F"/>
    <w:rsid w:val="00793D61"/>
    <w:rsid w:val="0079414C"/>
    <w:rsid w:val="00794388"/>
    <w:rsid w:val="0079473B"/>
    <w:rsid w:val="00794A7A"/>
    <w:rsid w:val="00794CF3"/>
    <w:rsid w:val="00794DEA"/>
    <w:rsid w:val="007956B1"/>
    <w:rsid w:val="0079579F"/>
    <w:rsid w:val="0079590A"/>
    <w:rsid w:val="00795D0C"/>
    <w:rsid w:val="00795DB8"/>
    <w:rsid w:val="00796811"/>
    <w:rsid w:val="0079715D"/>
    <w:rsid w:val="00797307"/>
    <w:rsid w:val="00797949"/>
    <w:rsid w:val="007A0D1D"/>
    <w:rsid w:val="007A173B"/>
    <w:rsid w:val="007A17CC"/>
    <w:rsid w:val="007A19BC"/>
    <w:rsid w:val="007A1DA0"/>
    <w:rsid w:val="007A1F7C"/>
    <w:rsid w:val="007A246C"/>
    <w:rsid w:val="007A24D3"/>
    <w:rsid w:val="007A295F"/>
    <w:rsid w:val="007A2AB9"/>
    <w:rsid w:val="007A3503"/>
    <w:rsid w:val="007A3709"/>
    <w:rsid w:val="007A3B52"/>
    <w:rsid w:val="007A3CE2"/>
    <w:rsid w:val="007A3D5F"/>
    <w:rsid w:val="007A415C"/>
    <w:rsid w:val="007A41F0"/>
    <w:rsid w:val="007A42A3"/>
    <w:rsid w:val="007A444D"/>
    <w:rsid w:val="007A4843"/>
    <w:rsid w:val="007A4B13"/>
    <w:rsid w:val="007A501A"/>
    <w:rsid w:val="007A54C9"/>
    <w:rsid w:val="007A5984"/>
    <w:rsid w:val="007A5C24"/>
    <w:rsid w:val="007A5DD6"/>
    <w:rsid w:val="007A5ECC"/>
    <w:rsid w:val="007A5F6C"/>
    <w:rsid w:val="007A60B0"/>
    <w:rsid w:val="007A6167"/>
    <w:rsid w:val="007A73FB"/>
    <w:rsid w:val="007A7641"/>
    <w:rsid w:val="007A772B"/>
    <w:rsid w:val="007A7730"/>
    <w:rsid w:val="007A7FA1"/>
    <w:rsid w:val="007A7FE1"/>
    <w:rsid w:val="007B0CB8"/>
    <w:rsid w:val="007B0F82"/>
    <w:rsid w:val="007B1194"/>
    <w:rsid w:val="007B13B9"/>
    <w:rsid w:val="007B1828"/>
    <w:rsid w:val="007B1D32"/>
    <w:rsid w:val="007B1F93"/>
    <w:rsid w:val="007B2693"/>
    <w:rsid w:val="007B26A0"/>
    <w:rsid w:val="007B270F"/>
    <w:rsid w:val="007B2926"/>
    <w:rsid w:val="007B2BA0"/>
    <w:rsid w:val="007B3436"/>
    <w:rsid w:val="007B3586"/>
    <w:rsid w:val="007B36AE"/>
    <w:rsid w:val="007B3789"/>
    <w:rsid w:val="007B39F7"/>
    <w:rsid w:val="007B442F"/>
    <w:rsid w:val="007B4C16"/>
    <w:rsid w:val="007B53A2"/>
    <w:rsid w:val="007B53EA"/>
    <w:rsid w:val="007B55A9"/>
    <w:rsid w:val="007B5ADF"/>
    <w:rsid w:val="007B5AEE"/>
    <w:rsid w:val="007B5F3F"/>
    <w:rsid w:val="007B62C6"/>
    <w:rsid w:val="007B665D"/>
    <w:rsid w:val="007B667F"/>
    <w:rsid w:val="007B675B"/>
    <w:rsid w:val="007B67C5"/>
    <w:rsid w:val="007B6882"/>
    <w:rsid w:val="007B6999"/>
    <w:rsid w:val="007B6C93"/>
    <w:rsid w:val="007B706D"/>
    <w:rsid w:val="007B794F"/>
    <w:rsid w:val="007B7B8A"/>
    <w:rsid w:val="007C012B"/>
    <w:rsid w:val="007C035E"/>
    <w:rsid w:val="007C0E5C"/>
    <w:rsid w:val="007C0F61"/>
    <w:rsid w:val="007C0FC1"/>
    <w:rsid w:val="007C151D"/>
    <w:rsid w:val="007C16EB"/>
    <w:rsid w:val="007C1A23"/>
    <w:rsid w:val="007C1AA7"/>
    <w:rsid w:val="007C2119"/>
    <w:rsid w:val="007C2499"/>
    <w:rsid w:val="007C24B4"/>
    <w:rsid w:val="007C26D5"/>
    <w:rsid w:val="007C2A75"/>
    <w:rsid w:val="007C333C"/>
    <w:rsid w:val="007C373E"/>
    <w:rsid w:val="007C3AD2"/>
    <w:rsid w:val="007C54A2"/>
    <w:rsid w:val="007C5822"/>
    <w:rsid w:val="007C5FA2"/>
    <w:rsid w:val="007C6574"/>
    <w:rsid w:val="007C6635"/>
    <w:rsid w:val="007C67FE"/>
    <w:rsid w:val="007C6C23"/>
    <w:rsid w:val="007C7551"/>
    <w:rsid w:val="007D0777"/>
    <w:rsid w:val="007D09AF"/>
    <w:rsid w:val="007D1124"/>
    <w:rsid w:val="007D1793"/>
    <w:rsid w:val="007D2422"/>
    <w:rsid w:val="007D255A"/>
    <w:rsid w:val="007D2CD3"/>
    <w:rsid w:val="007D2DD6"/>
    <w:rsid w:val="007D376C"/>
    <w:rsid w:val="007D3CD6"/>
    <w:rsid w:val="007D404E"/>
    <w:rsid w:val="007D42B0"/>
    <w:rsid w:val="007D42DF"/>
    <w:rsid w:val="007D4334"/>
    <w:rsid w:val="007D43AB"/>
    <w:rsid w:val="007D469E"/>
    <w:rsid w:val="007D522F"/>
    <w:rsid w:val="007D5329"/>
    <w:rsid w:val="007D57AD"/>
    <w:rsid w:val="007D5E57"/>
    <w:rsid w:val="007D6FAE"/>
    <w:rsid w:val="007D7038"/>
    <w:rsid w:val="007D75D0"/>
    <w:rsid w:val="007D75ED"/>
    <w:rsid w:val="007D77D1"/>
    <w:rsid w:val="007D7A5D"/>
    <w:rsid w:val="007D7DE3"/>
    <w:rsid w:val="007E0051"/>
    <w:rsid w:val="007E00DC"/>
    <w:rsid w:val="007E020B"/>
    <w:rsid w:val="007E0780"/>
    <w:rsid w:val="007E1310"/>
    <w:rsid w:val="007E15D6"/>
    <w:rsid w:val="007E2158"/>
    <w:rsid w:val="007E2260"/>
    <w:rsid w:val="007E22F7"/>
    <w:rsid w:val="007E2CDD"/>
    <w:rsid w:val="007E2E32"/>
    <w:rsid w:val="007E36B0"/>
    <w:rsid w:val="007E3E2B"/>
    <w:rsid w:val="007E4022"/>
    <w:rsid w:val="007E44CC"/>
    <w:rsid w:val="007E4A47"/>
    <w:rsid w:val="007E4FC0"/>
    <w:rsid w:val="007E5124"/>
    <w:rsid w:val="007E516A"/>
    <w:rsid w:val="007E570D"/>
    <w:rsid w:val="007E60A0"/>
    <w:rsid w:val="007E65AE"/>
    <w:rsid w:val="007E68B8"/>
    <w:rsid w:val="007E69DF"/>
    <w:rsid w:val="007E6F61"/>
    <w:rsid w:val="007F0BB4"/>
    <w:rsid w:val="007F0EAA"/>
    <w:rsid w:val="007F0F49"/>
    <w:rsid w:val="007F10E0"/>
    <w:rsid w:val="007F118D"/>
    <w:rsid w:val="007F1518"/>
    <w:rsid w:val="007F17AC"/>
    <w:rsid w:val="007F19D7"/>
    <w:rsid w:val="007F1D03"/>
    <w:rsid w:val="007F2431"/>
    <w:rsid w:val="007F2472"/>
    <w:rsid w:val="007F291D"/>
    <w:rsid w:val="007F2AF5"/>
    <w:rsid w:val="007F2D79"/>
    <w:rsid w:val="007F2F15"/>
    <w:rsid w:val="007F3025"/>
    <w:rsid w:val="007F44E1"/>
    <w:rsid w:val="007F4769"/>
    <w:rsid w:val="007F4B97"/>
    <w:rsid w:val="007F5617"/>
    <w:rsid w:val="007F56D3"/>
    <w:rsid w:val="007F5EE7"/>
    <w:rsid w:val="007F617D"/>
    <w:rsid w:val="007F6994"/>
    <w:rsid w:val="007F6EB5"/>
    <w:rsid w:val="007F7314"/>
    <w:rsid w:val="007F77E4"/>
    <w:rsid w:val="007F7904"/>
    <w:rsid w:val="007F7964"/>
    <w:rsid w:val="007F7CD0"/>
    <w:rsid w:val="00800613"/>
    <w:rsid w:val="008007D9"/>
    <w:rsid w:val="008010F6"/>
    <w:rsid w:val="00801276"/>
    <w:rsid w:val="00801762"/>
    <w:rsid w:val="008026EF"/>
    <w:rsid w:val="00802AEA"/>
    <w:rsid w:val="00802FCD"/>
    <w:rsid w:val="008031A2"/>
    <w:rsid w:val="008038D1"/>
    <w:rsid w:val="00803F99"/>
    <w:rsid w:val="00804AD4"/>
    <w:rsid w:val="00804B7F"/>
    <w:rsid w:val="00804D49"/>
    <w:rsid w:val="00804DB0"/>
    <w:rsid w:val="00804DC6"/>
    <w:rsid w:val="00804E26"/>
    <w:rsid w:val="00805A33"/>
    <w:rsid w:val="0080625E"/>
    <w:rsid w:val="0080627B"/>
    <w:rsid w:val="00806314"/>
    <w:rsid w:val="008067F0"/>
    <w:rsid w:val="008074E0"/>
    <w:rsid w:val="00807500"/>
    <w:rsid w:val="00810E56"/>
    <w:rsid w:val="008113BC"/>
    <w:rsid w:val="00811486"/>
    <w:rsid w:val="00811B72"/>
    <w:rsid w:val="00811DE2"/>
    <w:rsid w:val="00812058"/>
    <w:rsid w:val="00812155"/>
    <w:rsid w:val="008122DD"/>
    <w:rsid w:val="0081247D"/>
    <w:rsid w:val="008126B0"/>
    <w:rsid w:val="00812901"/>
    <w:rsid w:val="00813087"/>
    <w:rsid w:val="00813303"/>
    <w:rsid w:val="008135FB"/>
    <w:rsid w:val="008138F7"/>
    <w:rsid w:val="00813951"/>
    <w:rsid w:val="00814590"/>
    <w:rsid w:val="0081492C"/>
    <w:rsid w:val="008149B1"/>
    <w:rsid w:val="00815027"/>
    <w:rsid w:val="008151BF"/>
    <w:rsid w:val="008152F5"/>
    <w:rsid w:val="00815512"/>
    <w:rsid w:val="008157D8"/>
    <w:rsid w:val="00816273"/>
    <w:rsid w:val="00816848"/>
    <w:rsid w:val="00816E01"/>
    <w:rsid w:val="0081798F"/>
    <w:rsid w:val="00817C68"/>
    <w:rsid w:val="00817E3E"/>
    <w:rsid w:val="00820692"/>
    <w:rsid w:val="00820EEB"/>
    <w:rsid w:val="00821183"/>
    <w:rsid w:val="0082149F"/>
    <w:rsid w:val="00821665"/>
    <w:rsid w:val="00821B14"/>
    <w:rsid w:val="00821D42"/>
    <w:rsid w:val="00821E59"/>
    <w:rsid w:val="00821FD9"/>
    <w:rsid w:val="008222BE"/>
    <w:rsid w:val="00822A15"/>
    <w:rsid w:val="00822B83"/>
    <w:rsid w:val="008234BE"/>
    <w:rsid w:val="00823645"/>
    <w:rsid w:val="00823C5F"/>
    <w:rsid w:val="008240BB"/>
    <w:rsid w:val="008258BC"/>
    <w:rsid w:val="008259DE"/>
    <w:rsid w:val="00825F57"/>
    <w:rsid w:val="0082621E"/>
    <w:rsid w:val="00826ABB"/>
    <w:rsid w:val="00826CB2"/>
    <w:rsid w:val="00826F29"/>
    <w:rsid w:val="0082714B"/>
    <w:rsid w:val="00827A5A"/>
    <w:rsid w:val="00827D47"/>
    <w:rsid w:val="00830F5D"/>
    <w:rsid w:val="008310D3"/>
    <w:rsid w:val="0083115B"/>
    <w:rsid w:val="008311D2"/>
    <w:rsid w:val="00831203"/>
    <w:rsid w:val="0083151A"/>
    <w:rsid w:val="00831B9B"/>
    <w:rsid w:val="00831E9B"/>
    <w:rsid w:val="008324BD"/>
    <w:rsid w:val="00832530"/>
    <w:rsid w:val="00832668"/>
    <w:rsid w:val="00832F84"/>
    <w:rsid w:val="008332DB"/>
    <w:rsid w:val="008335C3"/>
    <w:rsid w:val="008335FE"/>
    <w:rsid w:val="008338B5"/>
    <w:rsid w:val="00833922"/>
    <w:rsid w:val="00833E73"/>
    <w:rsid w:val="00834010"/>
    <w:rsid w:val="00834520"/>
    <w:rsid w:val="00834FBE"/>
    <w:rsid w:val="008351A9"/>
    <w:rsid w:val="00835399"/>
    <w:rsid w:val="00835556"/>
    <w:rsid w:val="0083658D"/>
    <w:rsid w:val="008371A2"/>
    <w:rsid w:val="008400D6"/>
    <w:rsid w:val="00840371"/>
    <w:rsid w:val="0084047D"/>
    <w:rsid w:val="008405E4"/>
    <w:rsid w:val="008408A6"/>
    <w:rsid w:val="00840D8D"/>
    <w:rsid w:val="0084141C"/>
    <w:rsid w:val="008415DA"/>
    <w:rsid w:val="008416A3"/>
    <w:rsid w:val="0084189F"/>
    <w:rsid w:val="00841A8F"/>
    <w:rsid w:val="00841D7D"/>
    <w:rsid w:val="0084219D"/>
    <w:rsid w:val="008425E1"/>
    <w:rsid w:val="00842FE2"/>
    <w:rsid w:val="0084337D"/>
    <w:rsid w:val="0084339B"/>
    <w:rsid w:val="008440C6"/>
    <w:rsid w:val="00844A3D"/>
    <w:rsid w:val="00844D6A"/>
    <w:rsid w:val="00844EBA"/>
    <w:rsid w:val="00845301"/>
    <w:rsid w:val="00845887"/>
    <w:rsid w:val="00845960"/>
    <w:rsid w:val="0084665D"/>
    <w:rsid w:val="008468C9"/>
    <w:rsid w:val="00846EA3"/>
    <w:rsid w:val="00847557"/>
    <w:rsid w:val="00847BD5"/>
    <w:rsid w:val="008504C0"/>
    <w:rsid w:val="00850624"/>
    <w:rsid w:val="00850C87"/>
    <w:rsid w:val="008512E7"/>
    <w:rsid w:val="00851E6E"/>
    <w:rsid w:val="00851F78"/>
    <w:rsid w:val="00852001"/>
    <w:rsid w:val="00852332"/>
    <w:rsid w:val="0085243B"/>
    <w:rsid w:val="00852846"/>
    <w:rsid w:val="00852AB5"/>
    <w:rsid w:val="00852B46"/>
    <w:rsid w:val="008530B5"/>
    <w:rsid w:val="008535B7"/>
    <w:rsid w:val="008545D1"/>
    <w:rsid w:val="00854856"/>
    <w:rsid w:val="00854985"/>
    <w:rsid w:val="008549CD"/>
    <w:rsid w:val="00855A53"/>
    <w:rsid w:val="00855D10"/>
    <w:rsid w:val="00856273"/>
    <w:rsid w:val="008563B9"/>
    <w:rsid w:val="00856D3B"/>
    <w:rsid w:val="00857709"/>
    <w:rsid w:val="00857D67"/>
    <w:rsid w:val="00857ECB"/>
    <w:rsid w:val="00860001"/>
    <w:rsid w:val="0086010C"/>
    <w:rsid w:val="00860351"/>
    <w:rsid w:val="008607F8"/>
    <w:rsid w:val="00860809"/>
    <w:rsid w:val="00860BBD"/>
    <w:rsid w:val="00861397"/>
    <w:rsid w:val="00861973"/>
    <w:rsid w:val="008619CD"/>
    <w:rsid w:val="008619DB"/>
    <w:rsid w:val="00861A28"/>
    <w:rsid w:val="00861A4C"/>
    <w:rsid w:val="00861A73"/>
    <w:rsid w:val="00861CBF"/>
    <w:rsid w:val="00862264"/>
    <w:rsid w:val="008623A8"/>
    <w:rsid w:val="008627A8"/>
    <w:rsid w:val="008627FF"/>
    <w:rsid w:val="00862A31"/>
    <w:rsid w:val="00862C88"/>
    <w:rsid w:val="008636F6"/>
    <w:rsid w:val="00863721"/>
    <w:rsid w:val="00863C7C"/>
    <w:rsid w:val="00863C8F"/>
    <w:rsid w:val="00863F5A"/>
    <w:rsid w:val="008642EC"/>
    <w:rsid w:val="008643F2"/>
    <w:rsid w:val="0086490F"/>
    <w:rsid w:val="0086496C"/>
    <w:rsid w:val="00865208"/>
    <w:rsid w:val="00865288"/>
    <w:rsid w:val="0086578C"/>
    <w:rsid w:val="008659E6"/>
    <w:rsid w:val="00865AD5"/>
    <w:rsid w:val="00865DE2"/>
    <w:rsid w:val="00865F07"/>
    <w:rsid w:val="00866043"/>
    <w:rsid w:val="008662A7"/>
    <w:rsid w:val="00866890"/>
    <w:rsid w:val="00866ECF"/>
    <w:rsid w:val="00867483"/>
    <w:rsid w:val="0086761E"/>
    <w:rsid w:val="0086783B"/>
    <w:rsid w:val="008678B4"/>
    <w:rsid w:val="00867E1B"/>
    <w:rsid w:val="0087022C"/>
    <w:rsid w:val="00870C2C"/>
    <w:rsid w:val="00871755"/>
    <w:rsid w:val="00872042"/>
    <w:rsid w:val="008728E5"/>
    <w:rsid w:val="00872B6F"/>
    <w:rsid w:val="008732EF"/>
    <w:rsid w:val="00873930"/>
    <w:rsid w:val="00873C32"/>
    <w:rsid w:val="0087405A"/>
    <w:rsid w:val="0087422D"/>
    <w:rsid w:val="008745A4"/>
    <w:rsid w:val="00874982"/>
    <w:rsid w:val="0087498F"/>
    <w:rsid w:val="00874BFE"/>
    <w:rsid w:val="00874F0F"/>
    <w:rsid w:val="008752ED"/>
    <w:rsid w:val="0087551D"/>
    <w:rsid w:val="00876387"/>
    <w:rsid w:val="00876C6E"/>
    <w:rsid w:val="00877E08"/>
    <w:rsid w:val="00877FC5"/>
    <w:rsid w:val="008805F6"/>
    <w:rsid w:val="008806C6"/>
    <w:rsid w:val="00880969"/>
    <w:rsid w:val="0088097E"/>
    <w:rsid w:val="00881628"/>
    <w:rsid w:val="00881848"/>
    <w:rsid w:val="008818B3"/>
    <w:rsid w:val="00881949"/>
    <w:rsid w:val="00881990"/>
    <w:rsid w:val="00881F7B"/>
    <w:rsid w:val="008827DD"/>
    <w:rsid w:val="00882B3D"/>
    <w:rsid w:val="00882D1F"/>
    <w:rsid w:val="008830EB"/>
    <w:rsid w:val="00883DB9"/>
    <w:rsid w:val="00883F90"/>
    <w:rsid w:val="0088401D"/>
    <w:rsid w:val="00884E79"/>
    <w:rsid w:val="008852A5"/>
    <w:rsid w:val="008853EC"/>
    <w:rsid w:val="008858F1"/>
    <w:rsid w:val="00885B04"/>
    <w:rsid w:val="008860A5"/>
    <w:rsid w:val="00886414"/>
    <w:rsid w:val="00886679"/>
    <w:rsid w:val="00886D37"/>
    <w:rsid w:val="008878EF"/>
    <w:rsid w:val="008902A7"/>
    <w:rsid w:val="00890467"/>
    <w:rsid w:val="008904AC"/>
    <w:rsid w:val="008906D8"/>
    <w:rsid w:val="00890F8D"/>
    <w:rsid w:val="00891367"/>
    <w:rsid w:val="0089178D"/>
    <w:rsid w:val="00891958"/>
    <w:rsid w:val="00891E34"/>
    <w:rsid w:val="008925A7"/>
    <w:rsid w:val="0089293A"/>
    <w:rsid w:val="00892A8E"/>
    <w:rsid w:val="00892B97"/>
    <w:rsid w:val="00892BAB"/>
    <w:rsid w:val="00892C92"/>
    <w:rsid w:val="00892E4C"/>
    <w:rsid w:val="0089326D"/>
    <w:rsid w:val="0089352A"/>
    <w:rsid w:val="0089367F"/>
    <w:rsid w:val="00893E61"/>
    <w:rsid w:val="00893FA8"/>
    <w:rsid w:val="0089420D"/>
    <w:rsid w:val="00894407"/>
    <w:rsid w:val="008946F7"/>
    <w:rsid w:val="008947C2"/>
    <w:rsid w:val="008947EB"/>
    <w:rsid w:val="00894D6F"/>
    <w:rsid w:val="008950FB"/>
    <w:rsid w:val="0089580B"/>
    <w:rsid w:val="0089582A"/>
    <w:rsid w:val="00895DA2"/>
    <w:rsid w:val="0089619B"/>
    <w:rsid w:val="00896B70"/>
    <w:rsid w:val="00896BA3"/>
    <w:rsid w:val="0089781C"/>
    <w:rsid w:val="00897CF6"/>
    <w:rsid w:val="00897D2A"/>
    <w:rsid w:val="00897DAC"/>
    <w:rsid w:val="008A02C5"/>
    <w:rsid w:val="008A0462"/>
    <w:rsid w:val="008A08F8"/>
    <w:rsid w:val="008A09C5"/>
    <w:rsid w:val="008A0B74"/>
    <w:rsid w:val="008A0EFC"/>
    <w:rsid w:val="008A0F13"/>
    <w:rsid w:val="008A1144"/>
    <w:rsid w:val="008A17A6"/>
    <w:rsid w:val="008A1A64"/>
    <w:rsid w:val="008A1AA2"/>
    <w:rsid w:val="008A1C56"/>
    <w:rsid w:val="008A231F"/>
    <w:rsid w:val="008A23E2"/>
    <w:rsid w:val="008A257D"/>
    <w:rsid w:val="008A27D4"/>
    <w:rsid w:val="008A2C27"/>
    <w:rsid w:val="008A3000"/>
    <w:rsid w:val="008A33BA"/>
    <w:rsid w:val="008A33BE"/>
    <w:rsid w:val="008A35ED"/>
    <w:rsid w:val="008A39C2"/>
    <w:rsid w:val="008A3A67"/>
    <w:rsid w:val="008A3D1A"/>
    <w:rsid w:val="008A4902"/>
    <w:rsid w:val="008A5C9C"/>
    <w:rsid w:val="008A6359"/>
    <w:rsid w:val="008A714B"/>
    <w:rsid w:val="008A7FE2"/>
    <w:rsid w:val="008B0283"/>
    <w:rsid w:val="008B0303"/>
    <w:rsid w:val="008B03E2"/>
    <w:rsid w:val="008B05C5"/>
    <w:rsid w:val="008B06DB"/>
    <w:rsid w:val="008B0824"/>
    <w:rsid w:val="008B09D0"/>
    <w:rsid w:val="008B0AC5"/>
    <w:rsid w:val="008B0D5E"/>
    <w:rsid w:val="008B0EC4"/>
    <w:rsid w:val="008B1A18"/>
    <w:rsid w:val="008B250A"/>
    <w:rsid w:val="008B26A0"/>
    <w:rsid w:val="008B2FDA"/>
    <w:rsid w:val="008B410D"/>
    <w:rsid w:val="008B4126"/>
    <w:rsid w:val="008B416B"/>
    <w:rsid w:val="008B43BA"/>
    <w:rsid w:val="008B4476"/>
    <w:rsid w:val="008B479C"/>
    <w:rsid w:val="008B4AB4"/>
    <w:rsid w:val="008B4B71"/>
    <w:rsid w:val="008B5465"/>
    <w:rsid w:val="008B5884"/>
    <w:rsid w:val="008B5E05"/>
    <w:rsid w:val="008B6407"/>
    <w:rsid w:val="008B6563"/>
    <w:rsid w:val="008B65FF"/>
    <w:rsid w:val="008B665A"/>
    <w:rsid w:val="008B6978"/>
    <w:rsid w:val="008B6CAA"/>
    <w:rsid w:val="008B72E4"/>
    <w:rsid w:val="008B7411"/>
    <w:rsid w:val="008B7947"/>
    <w:rsid w:val="008B7BDA"/>
    <w:rsid w:val="008B7C36"/>
    <w:rsid w:val="008B7C63"/>
    <w:rsid w:val="008B7DAD"/>
    <w:rsid w:val="008C0349"/>
    <w:rsid w:val="008C0FDD"/>
    <w:rsid w:val="008C104F"/>
    <w:rsid w:val="008C2269"/>
    <w:rsid w:val="008C34FC"/>
    <w:rsid w:val="008C387F"/>
    <w:rsid w:val="008C404E"/>
    <w:rsid w:val="008C44CE"/>
    <w:rsid w:val="008C44FD"/>
    <w:rsid w:val="008C48D6"/>
    <w:rsid w:val="008C4930"/>
    <w:rsid w:val="008C4A0E"/>
    <w:rsid w:val="008C4D26"/>
    <w:rsid w:val="008C4E33"/>
    <w:rsid w:val="008C5288"/>
    <w:rsid w:val="008C59C7"/>
    <w:rsid w:val="008C5CCC"/>
    <w:rsid w:val="008C5F47"/>
    <w:rsid w:val="008C5FE6"/>
    <w:rsid w:val="008C62F6"/>
    <w:rsid w:val="008C6326"/>
    <w:rsid w:val="008C6530"/>
    <w:rsid w:val="008C76C5"/>
    <w:rsid w:val="008C7B82"/>
    <w:rsid w:val="008C7C8C"/>
    <w:rsid w:val="008C7FBE"/>
    <w:rsid w:val="008D0013"/>
    <w:rsid w:val="008D00ED"/>
    <w:rsid w:val="008D02F2"/>
    <w:rsid w:val="008D0392"/>
    <w:rsid w:val="008D06DE"/>
    <w:rsid w:val="008D082F"/>
    <w:rsid w:val="008D0A63"/>
    <w:rsid w:val="008D19C6"/>
    <w:rsid w:val="008D1AE4"/>
    <w:rsid w:val="008D1E39"/>
    <w:rsid w:val="008D2B8C"/>
    <w:rsid w:val="008D2CB1"/>
    <w:rsid w:val="008D2CD6"/>
    <w:rsid w:val="008D2F94"/>
    <w:rsid w:val="008D358B"/>
    <w:rsid w:val="008D3D28"/>
    <w:rsid w:val="008D48A5"/>
    <w:rsid w:val="008D4A67"/>
    <w:rsid w:val="008D4F10"/>
    <w:rsid w:val="008D4FBB"/>
    <w:rsid w:val="008D4FE6"/>
    <w:rsid w:val="008D6205"/>
    <w:rsid w:val="008D6B16"/>
    <w:rsid w:val="008D71EF"/>
    <w:rsid w:val="008D724F"/>
    <w:rsid w:val="008D7754"/>
    <w:rsid w:val="008D7A9D"/>
    <w:rsid w:val="008E0707"/>
    <w:rsid w:val="008E0974"/>
    <w:rsid w:val="008E0CB3"/>
    <w:rsid w:val="008E0EAE"/>
    <w:rsid w:val="008E1130"/>
    <w:rsid w:val="008E1B2C"/>
    <w:rsid w:val="008E2259"/>
    <w:rsid w:val="008E2502"/>
    <w:rsid w:val="008E2BAD"/>
    <w:rsid w:val="008E2E97"/>
    <w:rsid w:val="008E3106"/>
    <w:rsid w:val="008E36C4"/>
    <w:rsid w:val="008E3F72"/>
    <w:rsid w:val="008E4286"/>
    <w:rsid w:val="008E42E1"/>
    <w:rsid w:val="008E431C"/>
    <w:rsid w:val="008E4FE7"/>
    <w:rsid w:val="008E50E6"/>
    <w:rsid w:val="008E512F"/>
    <w:rsid w:val="008E5190"/>
    <w:rsid w:val="008E5547"/>
    <w:rsid w:val="008E5E69"/>
    <w:rsid w:val="008E67EE"/>
    <w:rsid w:val="008E6E39"/>
    <w:rsid w:val="008E7502"/>
    <w:rsid w:val="008E78E5"/>
    <w:rsid w:val="008E796B"/>
    <w:rsid w:val="008E7BEE"/>
    <w:rsid w:val="008E7DBF"/>
    <w:rsid w:val="008F08A8"/>
    <w:rsid w:val="008F1233"/>
    <w:rsid w:val="008F1727"/>
    <w:rsid w:val="008F187D"/>
    <w:rsid w:val="008F1998"/>
    <w:rsid w:val="008F1C96"/>
    <w:rsid w:val="008F22BF"/>
    <w:rsid w:val="008F3F59"/>
    <w:rsid w:val="008F4B9A"/>
    <w:rsid w:val="008F5925"/>
    <w:rsid w:val="008F5DA9"/>
    <w:rsid w:val="008F5F13"/>
    <w:rsid w:val="008F63A6"/>
    <w:rsid w:val="008F64A3"/>
    <w:rsid w:val="008F66A4"/>
    <w:rsid w:val="008F66D2"/>
    <w:rsid w:val="008F686D"/>
    <w:rsid w:val="008F6985"/>
    <w:rsid w:val="008F7066"/>
    <w:rsid w:val="008F77FD"/>
    <w:rsid w:val="008F7995"/>
    <w:rsid w:val="008F7AA4"/>
    <w:rsid w:val="008F7E88"/>
    <w:rsid w:val="008F7F5B"/>
    <w:rsid w:val="00900645"/>
    <w:rsid w:val="00900DB0"/>
    <w:rsid w:val="0090128F"/>
    <w:rsid w:val="0090189C"/>
    <w:rsid w:val="00901C97"/>
    <w:rsid w:val="00902526"/>
    <w:rsid w:val="009033F7"/>
    <w:rsid w:val="009034B0"/>
    <w:rsid w:val="00903658"/>
    <w:rsid w:val="0090378F"/>
    <w:rsid w:val="00903819"/>
    <w:rsid w:val="00903C83"/>
    <w:rsid w:val="00903F3D"/>
    <w:rsid w:val="0090418D"/>
    <w:rsid w:val="00904462"/>
    <w:rsid w:val="009044C5"/>
    <w:rsid w:val="009044F4"/>
    <w:rsid w:val="009045D8"/>
    <w:rsid w:val="00904AB3"/>
    <w:rsid w:val="00904ACB"/>
    <w:rsid w:val="00905120"/>
    <w:rsid w:val="00905419"/>
    <w:rsid w:val="00905A12"/>
    <w:rsid w:val="00905E82"/>
    <w:rsid w:val="00906027"/>
    <w:rsid w:val="009068AF"/>
    <w:rsid w:val="00906AEF"/>
    <w:rsid w:val="00907314"/>
    <w:rsid w:val="009074E0"/>
    <w:rsid w:val="00907506"/>
    <w:rsid w:val="00907812"/>
    <w:rsid w:val="0090781A"/>
    <w:rsid w:val="00907CA4"/>
    <w:rsid w:val="0091052A"/>
    <w:rsid w:val="00910658"/>
    <w:rsid w:val="00910693"/>
    <w:rsid w:val="009106B8"/>
    <w:rsid w:val="00910AAB"/>
    <w:rsid w:val="00910F16"/>
    <w:rsid w:val="00911898"/>
    <w:rsid w:val="009119AD"/>
    <w:rsid w:val="00911A93"/>
    <w:rsid w:val="00911C37"/>
    <w:rsid w:val="009123DA"/>
    <w:rsid w:val="009131F7"/>
    <w:rsid w:val="00913336"/>
    <w:rsid w:val="00913861"/>
    <w:rsid w:val="009138A5"/>
    <w:rsid w:val="009138E2"/>
    <w:rsid w:val="00914222"/>
    <w:rsid w:val="00914574"/>
    <w:rsid w:val="0091462C"/>
    <w:rsid w:val="00914691"/>
    <w:rsid w:val="00914C9C"/>
    <w:rsid w:val="009156EF"/>
    <w:rsid w:val="00916008"/>
    <w:rsid w:val="009162B7"/>
    <w:rsid w:val="00916343"/>
    <w:rsid w:val="00916766"/>
    <w:rsid w:val="00917297"/>
    <w:rsid w:val="0091730E"/>
    <w:rsid w:val="00917A60"/>
    <w:rsid w:val="00917D6D"/>
    <w:rsid w:val="00917EF6"/>
    <w:rsid w:val="00920B77"/>
    <w:rsid w:val="00920D4E"/>
    <w:rsid w:val="00921009"/>
    <w:rsid w:val="00921364"/>
    <w:rsid w:val="00921983"/>
    <w:rsid w:val="00921A0C"/>
    <w:rsid w:val="00921D2A"/>
    <w:rsid w:val="00922126"/>
    <w:rsid w:val="00922C91"/>
    <w:rsid w:val="0092351C"/>
    <w:rsid w:val="00923D3C"/>
    <w:rsid w:val="00924456"/>
    <w:rsid w:val="00924B98"/>
    <w:rsid w:val="00925010"/>
    <w:rsid w:val="009251C8"/>
    <w:rsid w:val="0092575B"/>
    <w:rsid w:val="00925C46"/>
    <w:rsid w:val="00926120"/>
    <w:rsid w:val="00926285"/>
    <w:rsid w:val="00926798"/>
    <w:rsid w:val="00926F27"/>
    <w:rsid w:val="0092709A"/>
    <w:rsid w:val="00927281"/>
    <w:rsid w:val="009277FC"/>
    <w:rsid w:val="0092798F"/>
    <w:rsid w:val="00927B24"/>
    <w:rsid w:val="00927DBA"/>
    <w:rsid w:val="00930250"/>
    <w:rsid w:val="009304D1"/>
    <w:rsid w:val="00930A3F"/>
    <w:rsid w:val="00930E61"/>
    <w:rsid w:val="00930EBF"/>
    <w:rsid w:val="00931503"/>
    <w:rsid w:val="009319F8"/>
    <w:rsid w:val="00931A30"/>
    <w:rsid w:val="00931EC4"/>
    <w:rsid w:val="00932123"/>
    <w:rsid w:val="00932972"/>
    <w:rsid w:val="00932D6E"/>
    <w:rsid w:val="009331FD"/>
    <w:rsid w:val="0093329B"/>
    <w:rsid w:val="009332D5"/>
    <w:rsid w:val="009332DF"/>
    <w:rsid w:val="00933420"/>
    <w:rsid w:val="00933CCA"/>
    <w:rsid w:val="00934410"/>
    <w:rsid w:val="00934DFC"/>
    <w:rsid w:val="0093590A"/>
    <w:rsid w:val="00935C15"/>
    <w:rsid w:val="009362E3"/>
    <w:rsid w:val="0093696D"/>
    <w:rsid w:val="00936DE6"/>
    <w:rsid w:val="00937F34"/>
    <w:rsid w:val="0094121F"/>
    <w:rsid w:val="00941AB6"/>
    <w:rsid w:val="00941B13"/>
    <w:rsid w:val="00941CF6"/>
    <w:rsid w:val="00942786"/>
    <w:rsid w:val="009435AF"/>
    <w:rsid w:val="00943757"/>
    <w:rsid w:val="00944976"/>
    <w:rsid w:val="00944A52"/>
    <w:rsid w:val="00945187"/>
    <w:rsid w:val="0094579E"/>
    <w:rsid w:val="00945C2F"/>
    <w:rsid w:val="00945EAD"/>
    <w:rsid w:val="00946A63"/>
    <w:rsid w:val="00946C16"/>
    <w:rsid w:val="00947008"/>
    <w:rsid w:val="00947B6D"/>
    <w:rsid w:val="00947C2D"/>
    <w:rsid w:val="00947D91"/>
    <w:rsid w:val="00947E57"/>
    <w:rsid w:val="0095050F"/>
    <w:rsid w:val="009508F9"/>
    <w:rsid w:val="00950BE1"/>
    <w:rsid w:val="00950EC7"/>
    <w:rsid w:val="00951442"/>
    <w:rsid w:val="00951A29"/>
    <w:rsid w:val="00951B2D"/>
    <w:rsid w:val="009520B1"/>
    <w:rsid w:val="009521E2"/>
    <w:rsid w:val="009543A4"/>
    <w:rsid w:val="00954508"/>
    <w:rsid w:val="0095481B"/>
    <w:rsid w:val="00954A9C"/>
    <w:rsid w:val="0095562D"/>
    <w:rsid w:val="00955786"/>
    <w:rsid w:val="00955C76"/>
    <w:rsid w:val="00955CA3"/>
    <w:rsid w:val="00956E3F"/>
    <w:rsid w:val="009574B9"/>
    <w:rsid w:val="009578E4"/>
    <w:rsid w:val="00960B5B"/>
    <w:rsid w:val="00960C05"/>
    <w:rsid w:val="00960DEF"/>
    <w:rsid w:val="0096107E"/>
    <w:rsid w:val="00961888"/>
    <w:rsid w:val="0096190A"/>
    <w:rsid w:val="00961BB3"/>
    <w:rsid w:val="00961D12"/>
    <w:rsid w:val="009620AC"/>
    <w:rsid w:val="00962103"/>
    <w:rsid w:val="009623AE"/>
    <w:rsid w:val="009627E3"/>
    <w:rsid w:val="00962B05"/>
    <w:rsid w:val="009633DD"/>
    <w:rsid w:val="00963A3D"/>
    <w:rsid w:val="00964E62"/>
    <w:rsid w:val="009655B2"/>
    <w:rsid w:val="00965936"/>
    <w:rsid w:val="00965B7D"/>
    <w:rsid w:val="00965E15"/>
    <w:rsid w:val="00967063"/>
    <w:rsid w:val="009671DA"/>
    <w:rsid w:val="0096720C"/>
    <w:rsid w:val="009675FD"/>
    <w:rsid w:val="00967869"/>
    <w:rsid w:val="00967B1B"/>
    <w:rsid w:val="0097036E"/>
    <w:rsid w:val="00970507"/>
    <w:rsid w:val="00970605"/>
    <w:rsid w:val="00970818"/>
    <w:rsid w:val="009708A9"/>
    <w:rsid w:val="00970EA1"/>
    <w:rsid w:val="00971010"/>
    <w:rsid w:val="00971024"/>
    <w:rsid w:val="009714BD"/>
    <w:rsid w:val="00971794"/>
    <w:rsid w:val="009718BD"/>
    <w:rsid w:val="009719E9"/>
    <w:rsid w:val="00973011"/>
    <w:rsid w:val="00973783"/>
    <w:rsid w:val="00973832"/>
    <w:rsid w:val="00973D60"/>
    <w:rsid w:val="00973F08"/>
    <w:rsid w:val="0097412F"/>
    <w:rsid w:val="00974980"/>
    <w:rsid w:val="009753B0"/>
    <w:rsid w:val="009753FC"/>
    <w:rsid w:val="00975BE5"/>
    <w:rsid w:val="009762CF"/>
    <w:rsid w:val="009764D2"/>
    <w:rsid w:val="00976F9C"/>
    <w:rsid w:val="00977C13"/>
    <w:rsid w:val="009809AC"/>
    <w:rsid w:val="009809B9"/>
    <w:rsid w:val="009809F4"/>
    <w:rsid w:val="009819CB"/>
    <w:rsid w:val="00981CA5"/>
    <w:rsid w:val="00981CD9"/>
    <w:rsid w:val="00981E90"/>
    <w:rsid w:val="00982264"/>
    <w:rsid w:val="0098293C"/>
    <w:rsid w:val="00982A09"/>
    <w:rsid w:val="00982BDC"/>
    <w:rsid w:val="00982C06"/>
    <w:rsid w:val="00982D66"/>
    <w:rsid w:val="0098324B"/>
    <w:rsid w:val="009838E3"/>
    <w:rsid w:val="00983BE9"/>
    <w:rsid w:val="00983EE8"/>
    <w:rsid w:val="00983FB9"/>
    <w:rsid w:val="00984148"/>
    <w:rsid w:val="009841E3"/>
    <w:rsid w:val="009848EF"/>
    <w:rsid w:val="009849C2"/>
    <w:rsid w:val="00984CCC"/>
    <w:rsid w:val="00984E84"/>
    <w:rsid w:val="009852FA"/>
    <w:rsid w:val="00985362"/>
    <w:rsid w:val="00985C2E"/>
    <w:rsid w:val="00986263"/>
    <w:rsid w:val="00986835"/>
    <w:rsid w:val="0098734A"/>
    <w:rsid w:val="00987404"/>
    <w:rsid w:val="009874D5"/>
    <w:rsid w:val="009875DF"/>
    <w:rsid w:val="009905FD"/>
    <w:rsid w:val="00990B11"/>
    <w:rsid w:val="00990D2E"/>
    <w:rsid w:val="0099150E"/>
    <w:rsid w:val="00991AF9"/>
    <w:rsid w:val="00991B2B"/>
    <w:rsid w:val="00992012"/>
    <w:rsid w:val="00992270"/>
    <w:rsid w:val="00992AA6"/>
    <w:rsid w:val="00992DFA"/>
    <w:rsid w:val="0099300D"/>
    <w:rsid w:val="0099367C"/>
    <w:rsid w:val="00993D53"/>
    <w:rsid w:val="00993EAA"/>
    <w:rsid w:val="00993EBE"/>
    <w:rsid w:val="00994281"/>
    <w:rsid w:val="009946B7"/>
    <w:rsid w:val="0099581E"/>
    <w:rsid w:val="0099589F"/>
    <w:rsid w:val="00995DFB"/>
    <w:rsid w:val="009960C4"/>
    <w:rsid w:val="00996203"/>
    <w:rsid w:val="00996225"/>
    <w:rsid w:val="0099646A"/>
    <w:rsid w:val="009973C9"/>
    <w:rsid w:val="00997813"/>
    <w:rsid w:val="00997B54"/>
    <w:rsid w:val="00997F6F"/>
    <w:rsid w:val="009A091D"/>
    <w:rsid w:val="009A0ABC"/>
    <w:rsid w:val="009A0E44"/>
    <w:rsid w:val="009A109F"/>
    <w:rsid w:val="009A1109"/>
    <w:rsid w:val="009A179A"/>
    <w:rsid w:val="009A184E"/>
    <w:rsid w:val="009A18F7"/>
    <w:rsid w:val="009A1E74"/>
    <w:rsid w:val="009A2148"/>
    <w:rsid w:val="009A292E"/>
    <w:rsid w:val="009A3428"/>
    <w:rsid w:val="009A3B44"/>
    <w:rsid w:val="009A5449"/>
    <w:rsid w:val="009A57DF"/>
    <w:rsid w:val="009A61D6"/>
    <w:rsid w:val="009A61DA"/>
    <w:rsid w:val="009A6AB6"/>
    <w:rsid w:val="009A7C43"/>
    <w:rsid w:val="009A7E12"/>
    <w:rsid w:val="009A7E16"/>
    <w:rsid w:val="009B0B54"/>
    <w:rsid w:val="009B1206"/>
    <w:rsid w:val="009B18A3"/>
    <w:rsid w:val="009B1CA0"/>
    <w:rsid w:val="009B1CFB"/>
    <w:rsid w:val="009B1D36"/>
    <w:rsid w:val="009B205B"/>
    <w:rsid w:val="009B22EC"/>
    <w:rsid w:val="009B2A8B"/>
    <w:rsid w:val="009B2ADA"/>
    <w:rsid w:val="009B2F9A"/>
    <w:rsid w:val="009B3705"/>
    <w:rsid w:val="009B3CAD"/>
    <w:rsid w:val="009B3D31"/>
    <w:rsid w:val="009B3ECF"/>
    <w:rsid w:val="009B42EE"/>
    <w:rsid w:val="009B470E"/>
    <w:rsid w:val="009B4BB3"/>
    <w:rsid w:val="009B540E"/>
    <w:rsid w:val="009B5816"/>
    <w:rsid w:val="009B5FC6"/>
    <w:rsid w:val="009B6238"/>
    <w:rsid w:val="009B6694"/>
    <w:rsid w:val="009B7139"/>
    <w:rsid w:val="009B72F5"/>
    <w:rsid w:val="009B7A4A"/>
    <w:rsid w:val="009B7C6E"/>
    <w:rsid w:val="009C09C9"/>
    <w:rsid w:val="009C0B52"/>
    <w:rsid w:val="009C0C36"/>
    <w:rsid w:val="009C0E09"/>
    <w:rsid w:val="009C121A"/>
    <w:rsid w:val="009C2142"/>
    <w:rsid w:val="009C2302"/>
    <w:rsid w:val="009C299E"/>
    <w:rsid w:val="009C29A5"/>
    <w:rsid w:val="009C2D85"/>
    <w:rsid w:val="009C3869"/>
    <w:rsid w:val="009C3920"/>
    <w:rsid w:val="009C3FBB"/>
    <w:rsid w:val="009C49E6"/>
    <w:rsid w:val="009C516B"/>
    <w:rsid w:val="009C55B3"/>
    <w:rsid w:val="009C5A6A"/>
    <w:rsid w:val="009C5A7E"/>
    <w:rsid w:val="009C5B7A"/>
    <w:rsid w:val="009C6125"/>
    <w:rsid w:val="009C6271"/>
    <w:rsid w:val="009C6720"/>
    <w:rsid w:val="009C6ECF"/>
    <w:rsid w:val="009C6EFB"/>
    <w:rsid w:val="009C7347"/>
    <w:rsid w:val="009C751D"/>
    <w:rsid w:val="009C775F"/>
    <w:rsid w:val="009C7D0F"/>
    <w:rsid w:val="009D087F"/>
    <w:rsid w:val="009D0DCE"/>
    <w:rsid w:val="009D2006"/>
    <w:rsid w:val="009D2233"/>
    <w:rsid w:val="009D265B"/>
    <w:rsid w:val="009D2B7D"/>
    <w:rsid w:val="009D2ECC"/>
    <w:rsid w:val="009D3009"/>
    <w:rsid w:val="009D32A7"/>
    <w:rsid w:val="009D37E1"/>
    <w:rsid w:val="009D398D"/>
    <w:rsid w:val="009D469E"/>
    <w:rsid w:val="009D47EF"/>
    <w:rsid w:val="009D48FE"/>
    <w:rsid w:val="009D4BEE"/>
    <w:rsid w:val="009D4FEE"/>
    <w:rsid w:val="009D50B8"/>
    <w:rsid w:val="009D6175"/>
    <w:rsid w:val="009D65FB"/>
    <w:rsid w:val="009D6806"/>
    <w:rsid w:val="009D688D"/>
    <w:rsid w:val="009D68D2"/>
    <w:rsid w:val="009D6EFC"/>
    <w:rsid w:val="009D702A"/>
    <w:rsid w:val="009D705A"/>
    <w:rsid w:val="009D7B7B"/>
    <w:rsid w:val="009D7D09"/>
    <w:rsid w:val="009E01CE"/>
    <w:rsid w:val="009E08D1"/>
    <w:rsid w:val="009E13C3"/>
    <w:rsid w:val="009E1CE3"/>
    <w:rsid w:val="009E232C"/>
    <w:rsid w:val="009E2628"/>
    <w:rsid w:val="009E29AE"/>
    <w:rsid w:val="009E2C5D"/>
    <w:rsid w:val="009E34FC"/>
    <w:rsid w:val="009E4011"/>
    <w:rsid w:val="009E411A"/>
    <w:rsid w:val="009E4956"/>
    <w:rsid w:val="009E4E97"/>
    <w:rsid w:val="009E5194"/>
    <w:rsid w:val="009E5ABA"/>
    <w:rsid w:val="009E5BA7"/>
    <w:rsid w:val="009E5CBD"/>
    <w:rsid w:val="009E6197"/>
    <w:rsid w:val="009E7203"/>
    <w:rsid w:val="009E7870"/>
    <w:rsid w:val="009E797D"/>
    <w:rsid w:val="009E7AB0"/>
    <w:rsid w:val="009E7C3A"/>
    <w:rsid w:val="009E7F60"/>
    <w:rsid w:val="009F058A"/>
    <w:rsid w:val="009F1112"/>
    <w:rsid w:val="009F2178"/>
    <w:rsid w:val="009F244E"/>
    <w:rsid w:val="009F251D"/>
    <w:rsid w:val="009F260A"/>
    <w:rsid w:val="009F2718"/>
    <w:rsid w:val="009F29B5"/>
    <w:rsid w:val="009F2BAC"/>
    <w:rsid w:val="009F3613"/>
    <w:rsid w:val="009F3B64"/>
    <w:rsid w:val="009F41C3"/>
    <w:rsid w:val="009F4A50"/>
    <w:rsid w:val="009F5150"/>
    <w:rsid w:val="009F5394"/>
    <w:rsid w:val="009F6652"/>
    <w:rsid w:val="009F6A56"/>
    <w:rsid w:val="009F6CBE"/>
    <w:rsid w:val="009F6D66"/>
    <w:rsid w:val="009F7003"/>
    <w:rsid w:val="009F7288"/>
    <w:rsid w:val="009F7835"/>
    <w:rsid w:val="009F7889"/>
    <w:rsid w:val="009F7B88"/>
    <w:rsid w:val="00A000DE"/>
    <w:rsid w:val="00A01437"/>
    <w:rsid w:val="00A016D6"/>
    <w:rsid w:val="00A017EE"/>
    <w:rsid w:val="00A0239E"/>
    <w:rsid w:val="00A0318F"/>
    <w:rsid w:val="00A0353A"/>
    <w:rsid w:val="00A03B5A"/>
    <w:rsid w:val="00A03C69"/>
    <w:rsid w:val="00A04694"/>
    <w:rsid w:val="00A048D0"/>
    <w:rsid w:val="00A04D64"/>
    <w:rsid w:val="00A05210"/>
    <w:rsid w:val="00A05461"/>
    <w:rsid w:val="00A055C1"/>
    <w:rsid w:val="00A057EE"/>
    <w:rsid w:val="00A05B99"/>
    <w:rsid w:val="00A05D17"/>
    <w:rsid w:val="00A05D8C"/>
    <w:rsid w:val="00A05FF4"/>
    <w:rsid w:val="00A06001"/>
    <w:rsid w:val="00A06044"/>
    <w:rsid w:val="00A061D3"/>
    <w:rsid w:val="00A0635F"/>
    <w:rsid w:val="00A06791"/>
    <w:rsid w:val="00A06E2D"/>
    <w:rsid w:val="00A06E9D"/>
    <w:rsid w:val="00A07169"/>
    <w:rsid w:val="00A07424"/>
    <w:rsid w:val="00A07684"/>
    <w:rsid w:val="00A07F04"/>
    <w:rsid w:val="00A104A5"/>
    <w:rsid w:val="00A10619"/>
    <w:rsid w:val="00A10816"/>
    <w:rsid w:val="00A11082"/>
    <w:rsid w:val="00A11665"/>
    <w:rsid w:val="00A12719"/>
    <w:rsid w:val="00A12785"/>
    <w:rsid w:val="00A12A19"/>
    <w:rsid w:val="00A133F1"/>
    <w:rsid w:val="00A13E3F"/>
    <w:rsid w:val="00A14049"/>
    <w:rsid w:val="00A14118"/>
    <w:rsid w:val="00A14276"/>
    <w:rsid w:val="00A144DA"/>
    <w:rsid w:val="00A145F6"/>
    <w:rsid w:val="00A14877"/>
    <w:rsid w:val="00A15487"/>
    <w:rsid w:val="00A16150"/>
    <w:rsid w:val="00A16488"/>
    <w:rsid w:val="00A164FD"/>
    <w:rsid w:val="00A2018E"/>
    <w:rsid w:val="00A2028A"/>
    <w:rsid w:val="00A20CBA"/>
    <w:rsid w:val="00A21862"/>
    <w:rsid w:val="00A21AC1"/>
    <w:rsid w:val="00A220C0"/>
    <w:rsid w:val="00A2243F"/>
    <w:rsid w:val="00A225DC"/>
    <w:rsid w:val="00A22B92"/>
    <w:rsid w:val="00A233D9"/>
    <w:rsid w:val="00A23EDF"/>
    <w:rsid w:val="00A244C6"/>
    <w:rsid w:val="00A24A4F"/>
    <w:rsid w:val="00A24BB0"/>
    <w:rsid w:val="00A24CAD"/>
    <w:rsid w:val="00A2541D"/>
    <w:rsid w:val="00A25460"/>
    <w:rsid w:val="00A25E49"/>
    <w:rsid w:val="00A267E4"/>
    <w:rsid w:val="00A26853"/>
    <w:rsid w:val="00A26D30"/>
    <w:rsid w:val="00A27523"/>
    <w:rsid w:val="00A27783"/>
    <w:rsid w:val="00A306B1"/>
    <w:rsid w:val="00A306D9"/>
    <w:rsid w:val="00A3093F"/>
    <w:rsid w:val="00A30C26"/>
    <w:rsid w:val="00A31060"/>
    <w:rsid w:val="00A31114"/>
    <w:rsid w:val="00A31CAE"/>
    <w:rsid w:val="00A31CFE"/>
    <w:rsid w:val="00A31DE3"/>
    <w:rsid w:val="00A31E9D"/>
    <w:rsid w:val="00A3264D"/>
    <w:rsid w:val="00A32EC6"/>
    <w:rsid w:val="00A32FB7"/>
    <w:rsid w:val="00A33222"/>
    <w:rsid w:val="00A33592"/>
    <w:rsid w:val="00A336BA"/>
    <w:rsid w:val="00A33C7A"/>
    <w:rsid w:val="00A33E42"/>
    <w:rsid w:val="00A341F3"/>
    <w:rsid w:val="00A346D4"/>
    <w:rsid w:val="00A34831"/>
    <w:rsid w:val="00A3597E"/>
    <w:rsid w:val="00A35C63"/>
    <w:rsid w:val="00A35F58"/>
    <w:rsid w:val="00A364B1"/>
    <w:rsid w:val="00A36A42"/>
    <w:rsid w:val="00A36D95"/>
    <w:rsid w:val="00A379D0"/>
    <w:rsid w:val="00A4004F"/>
    <w:rsid w:val="00A40375"/>
    <w:rsid w:val="00A404A0"/>
    <w:rsid w:val="00A40B0C"/>
    <w:rsid w:val="00A40B69"/>
    <w:rsid w:val="00A4138A"/>
    <w:rsid w:val="00A41C14"/>
    <w:rsid w:val="00A41C96"/>
    <w:rsid w:val="00A41ECD"/>
    <w:rsid w:val="00A42281"/>
    <w:rsid w:val="00A42A76"/>
    <w:rsid w:val="00A42ADC"/>
    <w:rsid w:val="00A42D7F"/>
    <w:rsid w:val="00A431ED"/>
    <w:rsid w:val="00A439F6"/>
    <w:rsid w:val="00A43A47"/>
    <w:rsid w:val="00A43A85"/>
    <w:rsid w:val="00A43EBD"/>
    <w:rsid w:val="00A43ECE"/>
    <w:rsid w:val="00A43F60"/>
    <w:rsid w:val="00A442BD"/>
    <w:rsid w:val="00A4430C"/>
    <w:rsid w:val="00A444C8"/>
    <w:rsid w:val="00A44F6B"/>
    <w:rsid w:val="00A45380"/>
    <w:rsid w:val="00A45430"/>
    <w:rsid w:val="00A46284"/>
    <w:rsid w:val="00A4660D"/>
    <w:rsid w:val="00A467B9"/>
    <w:rsid w:val="00A46AA1"/>
    <w:rsid w:val="00A46E21"/>
    <w:rsid w:val="00A4726D"/>
    <w:rsid w:val="00A473EB"/>
    <w:rsid w:val="00A5014B"/>
    <w:rsid w:val="00A50169"/>
    <w:rsid w:val="00A5060D"/>
    <w:rsid w:val="00A50D71"/>
    <w:rsid w:val="00A51488"/>
    <w:rsid w:val="00A5176C"/>
    <w:rsid w:val="00A5193F"/>
    <w:rsid w:val="00A51BEC"/>
    <w:rsid w:val="00A526C5"/>
    <w:rsid w:val="00A529DF"/>
    <w:rsid w:val="00A52ACC"/>
    <w:rsid w:val="00A531DF"/>
    <w:rsid w:val="00A53497"/>
    <w:rsid w:val="00A53522"/>
    <w:rsid w:val="00A53705"/>
    <w:rsid w:val="00A53BCC"/>
    <w:rsid w:val="00A53F95"/>
    <w:rsid w:val="00A53FCC"/>
    <w:rsid w:val="00A54070"/>
    <w:rsid w:val="00A543CE"/>
    <w:rsid w:val="00A54475"/>
    <w:rsid w:val="00A55967"/>
    <w:rsid w:val="00A55B06"/>
    <w:rsid w:val="00A56489"/>
    <w:rsid w:val="00A56850"/>
    <w:rsid w:val="00A570B7"/>
    <w:rsid w:val="00A5733F"/>
    <w:rsid w:val="00A57519"/>
    <w:rsid w:val="00A57F1E"/>
    <w:rsid w:val="00A607C5"/>
    <w:rsid w:val="00A609C8"/>
    <w:rsid w:val="00A60FF9"/>
    <w:rsid w:val="00A61338"/>
    <w:rsid w:val="00A616F4"/>
    <w:rsid w:val="00A621B9"/>
    <w:rsid w:val="00A6235F"/>
    <w:rsid w:val="00A629A4"/>
    <w:rsid w:val="00A62ACC"/>
    <w:rsid w:val="00A62BF4"/>
    <w:rsid w:val="00A63B6C"/>
    <w:rsid w:val="00A648AE"/>
    <w:rsid w:val="00A64B08"/>
    <w:rsid w:val="00A64BC9"/>
    <w:rsid w:val="00A65075"/>
    <w:rsid w:val="00A658C2"/>
    <w:rsid w:val="00A65B24"/>
    <w:rsid w:val="00A6715B"/>
    <w:rsid w:val="00A675F7"/>
    <w:rsid w:val="00A67DCF"/>
    <w:rsid w:val="00A67F41"/>
    <w:rsid w:val="00A67F5D"/>
    <w:rsid w:val="00A7000F"/>
    <w:rsid w:val="00A70516"/>
    <w:rsid w:val="00A70F7B"/>
    <w:rsid w:val="00A712CE"/>
    <w:rsid w:val="00A71604"/>
    <w:rsid w:val="00A7181B"/>
    <w:rsid w:val="00A71A88"/>
    <w:rsid w:val="00A7289F"/>
    <w:rsid w:val="00A72A2F"/>
    <w:rsid w:val="00A73202"/>
    <w:rsid w:val="00A741DC"/>
    <w:rsid w:val="00A7460D"/>
    <w:rsid w:val="00A74DC9"/>
    <w:rsid w:val="00A7543D"/>
    <w:rsid w:val="00A75602"/>
    <w:rsid w:val="00A76244"/>
    <w:rsid w:val="00A76444"/>
    <w:rsid w:val="00A766BA"/>
    <w:rsid w:val="00A76880"/>
    <w:rsid w:val="00A76F50"/>
    <w:rsid w:val="00A778B0"/>
    <w:rsid w:val="00A77BBD"/>
    <w:rsid w:val="00A80316"/>
    <w:rsid w:val="00A80825"/>
    <w:rsid w:val="00A80C35"/>
    <w:rsid w:val="00A816C6"/>
    <w:rsid w:val="00A817AD"/>
    <w:rsid w:val="00A81883"/>
    <w:rsid w:val="00A8204D"/>
    <w:rsid w:val="00A822EE"/>
    <w:rsid w:val="00A8245A"/>
    <w:rsid w:val="00A82508"/>
    <w:rsid w:val="00A82594"/>
    <w:rsid w:val="00A82750"/>
    <w:rsid w:val="00A82B30"/>
    <w:rsid w:val="00A82C34"/>
    <w:rsid w:val="00A82CE6"/>
    <w:rsid w:val="00A8300D"/>
    <w:rsid w:val="00A836DB"/>
    <w:rsid w:val="00A83A19"/>
    <w:rsid w:val="00A83A1F"/>
    <w:rsid w:val="00A83EAD"/>
    <w:rsid w:val="00A843A8"/>
    <w:rsid w:val="00A8444F"/>
    <w:rsid w:val="00A84955"/>
    <w:rsid w:val="00A84C2D"/>
    <w:rsid w:val="00A851D0"/>
    <w:rsid w:val="00A853D4"/>
    <w:rsid w:val="00A856B3"/>
    <w:rsid w:val="00A8686D"/>
    <w:rsid w:val="00A869D9"/>
    <w:rsid w:val="00A8704B"/>
    <w:rsid w:val="00A8757D"/>
    <w:rsid w:val="00A876BC"/>
    <w:rsid w:val="00A9028C"/>
    <w:rsid w:val="00A9048D"/>
    <w:rsid w:val="00A904CE"/>
    <w:rsid w:val="00A905AE"/>
    <w:rsid w:val="00A90D6E"/>
    <w:rsid w:val="00A90F6F"/>
    <w:rsid w:val="00A91050"/>
    <w:rsid w:val="00A91789"/>
    <w:rsid w:val="00A918E3"/>
    <w:rsid w:val="00A91D68"/>
    <w:rsid w:val="00A920F4"/>
    <w:rsid w:val="00A92111"/>
    <w:rsid w:val="00A922CA"/>
    <w:rsid w:val="00A92888"/>
    <w:rsid w:val="00A92918"/>
    <w:rsid w:val="00A9298F"/>
    <w:rsid w:val="00A92E4B"/>
    <w:rsid w:val="00A93246"/>
    <w:rsid w:val="00A933DB"/>
    <w:rsid w:val="00A93B2E"/>
    <w:rsid w:val="00A93B4F"/>
    <w:rsid w:val="00A93D1B"/>
    <w:rsid w:val="00A9438D"/>
    <w:rsid w:val="00A9456B"/>
    <w:rsid w:val="00A94ADB"/>
    <w:rsid w:val="00A94D81"/>
    <w:rsid w:val="00A94E15"/>
    <w:rsid w:val="00A9519D"/>
    <w:rsid w:val="00A9584A"/>
    <w:rsid w:val="00A95BB7"/>
    <w:rsid w:val="00A95C51"/>
    <w:rsid w:val="00A96140"/>
    <w:rsid w:val="00A966A7"/>
    <w:rsid w:val="00A96D5B"/>
    <w:rsid w:val="00A96F27"/>
    <w:rsid w:val="00A971B9"/>
    <w:rsid w:val="00A9734F"/>
    <w:rsid w:val="00A977FB"/>
    <w:rsid w:val="00A97967"/>
    <w:rsid w:val="00AA04B0"/>
    <w:rsid w:val="00AA0B5A"/>
    <w:rsid w:val="00AA136E"/>
    <w:rsid w:val="00AA1975"/>
    <w:rsid w:val="00AA2013"/>
    <w:rsid w:val="00AA228C"/>
    <w:rsid w:val="00AA22BF"/>
    <w:rsid w:val="00AA2304"/>
    <w:rsid w:val="00AA2EAF"/>
    <w:rsid w:val="00AA2F84"/>
    <w:rsid w:val="00AA3017"/>
    <w:rsid w:val="00AA37F6"/>
    <w:rsid w:val="00AA3948"/>
    <w:rsid w:val="00AA394C"/>
    <w:rsid w:val="00AA3CD8"/>
    <w:rsid w:val="00AA3E73"/>
    <w:rsid w:val="00AA3FD9"/>
    <w:rsid w:val="00AA40F3"/>
    <w:rsid w:val="00AA46F6"/>
    <w:rsid w:val="00AA4C7A"/>
    <w:rsid w:val="00AA5264"/>
    <w:rsid w:val="00AA5337"/>
    <w:rsid w:val="00AA5F73"/>
    <w:rsid w:val="00AA619A"/>
    <w:rsid w:val="00AA62D0"/>
    <w:rsid w:val="00AA6520"/>
    <w:rsid w:val="00AA69ED"/>
    <w:rsid w:val="00AA727E"/>
    <w:rsid w:val="00AA72EF"/>
    <w:rsid w:val="00AA7BC5"/>
    <w:rsid w:val="00AA7E31"/>
    <w:rsid w:val="00AB02F1"/>
    <w:rsid w:val="00AB06B8"/>
    <w:rsid w:val="00AB0FCA"/>
    <w:rsid w:val="00AB1462"/>
    <w:rsid w:val="00AB271D"/>
    <w:rsid w:val="00AB2907"/>
    <w:rsid w:val="00AB2BA7"/>
    <w:rsid w:val="00AB30C7"/>
    <w:rsid w:val="00AB3559"/>
    <w:rsid w:val="00AB36F2"/>
    <w:rsid w:val="00AB371E"/>
    <w:rsid w:val="00AB3F47"/>
    <w:rsid w:val="00AB453C"/>
    <w:rsid w:val="00AB493A"/>
    <w:rsid w:val="00AB50A7"/>
    <w:rsid w:val="00AB6374"/>
    <w:rsid w:val="00AB65A2"/>
    <w:rsid w:val="00AB67F5"/>
    <w:rsid w:val="00AB7176"/>
    <w:rsid w:val="00AB7C2D"/>
    <w:rsid w:val="00AB7C47"/>
    <w:rsid w:val="00AB7CC5"/>
    <w:rsid w:val="00AC0B1D"/>
    <w:rsid w:val="00AC10B1"/>
    <w:rsid w:val="00AC144B"/>
    <w:rsid w:val="00AC150B"/>
    <w:rsid w:val="00AC15CE"/>
    <w:rsid w:val="00AC22D5"/>
    <w:rsid w:val="00AC2469"/>
    <w:rsid w:val="00AC389F"/>
    <w:rsid w:val="00AC3E9C"/>
    <w:rsid w:val="00AC4044"/>
    <w:rsid w:val="00AC460A"/>
    <w:rsid w:val="00AC4B27"/>
    <w:rsid w:val="00AC4C56"/>
    <w:rsid w:val="00AC4DFF"/>
    <w:rsid w:val="00AC5141"/>
    <w:rsid w:val="00AC53F7"/>
    <w:rsid w:val="00AC547F"/>
    <w:rsid w:val="00AC62CE"/>
    <w:rsid w:val="00AC6641"/>
    <w:rsid w:val="00AC6831"/>
    <w:rsid w:val="00AC69AA"/>
    <w:rsid w:val="00AC72F2"/>
    <w:rsid w:val="00AC75D1"/>
    <w:rsid w:val="00AC7F62"/>
    <w:rsid w:val="00AD0229"/>
    <w:rsid w:val="00AD0708"/>
    <w:rsid w:val="00AD0948"/>
    <w:rsid w:val="00AD1491"/>
    <w:rsid w:val="00AD1D8C"/>
    <w:rsid w:val="00AD1F78"/>
    <w:rsid w:val="00AD1FCA"/>
    <w:rsid w:val="00AD205E"/>
    <w:rsid w:val="00AD2AE5"/>
    <w:rsid w:val="00AD347C"/>
    <w:rsid w:val="00AD3A57"/>
    <w:rsid w:val="00AD3BE7"/>
    <w:rsid w:val="00AD3BF1"/>
    <w:rsid w:val="00AD4091"/>
    <w:rsid w:val="00AD44AB"/>
    <w:rsid w:val="00AD4B55"/>
    <w:rsid w:val="00AD4E16"/>
    <w:rsid w:val="00AD50A3"/>
    <w:rsid w:val="00AD5A8D"/>
    <w:rsid w:val="00AD61F9"/>
    <w:rsid w:val="00AD67A9"/>
    <w:rsid w:val="00AD6C7F"/>
    <w:rsid w:val="00AD6E57"/>
    <w:rsid w:val="00AD6E6F"/>
    <w:rsid w:val="00AD70D5"/>
    <w:rsid w:val="00AD7168"/>
    <w:rsid w:val="00AD743A"/>
    <w:rsid w:val="00AD7643"/>
    <w:rsid w:val="00AE0232"/>
    <w:rsid w:val="00AE16EC"/>
    <w:rsid w:val="00AE1736"/>
    <w:rsid w:val="00AE1A36"/>
    <w:rsid w:val="00AE1F77"/>
    <w:rsid w:val="00AE1F80"/>
    <w:rsid w:val="00AE2D3A"/>
    <w:rsid w:val="00AE3072"/>
    <w:rsid w:val="00AE3960"/>
    <w:rsid w:val="00AE39C8"/>
    <w:rsid w:val="00AE3BF7"/>
    <w:rsid w:val="00AE4142"/>
    <w:rsid w:val="00AE4415"/>
    <w:rsid w:val="00AE458A"/>
    <w:rsid w:val="00AE4CEA"/>
    <w:rsid w:val="00AE4D6D"/>
    <w:rsid w:val="00AE4DF8"/>
    <w:rsid w:val="00AE4FE6"/>
    <w:rsid w:val="00AE53D2"/>
    <w:rsid w:val="00AE63AE"/>
    <w:rsid w:val="00AE63B6"/>
    <w:rsid w:val="00AE6644"/>
    <w:rsid w:val="00AE6FD9"/>
    <w:rsid w:val="00AE7048"/>
    <w:rsid w:val="00AE70AC"/>
    <w:rsid w:val="00AE78A5"/>
    <w:rsid w:val="00AE7907"/>
    <w:rsid w:val="00AE7A75"/>
    <w:rsid w:val="00AE7B17"/>
    <w:rsid w:val="00AE7FE8"/>
    <w:rsid w:val="00AF02DB"/>
    <w:rsid w:val="00AF033E"/>
    <w:rsid w:val="00AF0D36"/>
    <w:rsid w:val="00AF2775"/>
    <w:rsid w:val="00AF2962"/>
    <w:rsid w:val="00AF2AFF"/>
    <w:rsid w:val="00AF2B6E"/>
    <w:rsid w:val="00AF2E7F"/>
    <w:rsid w:val="00AF30FE"/>
    <w:rsid w:val="00AF3206"/>
    <w:rsid w:val="00AF3AB8"/>
    <w:rsid w:val="00AF3BE6"/>
    <w:rsid w:val="00AF3D45"/>
    <w:rsid w:val="00AF3EE9"/>
    <w:rsid w:val="00AF4D73"/>
    <w:rsid w:val="00AF5057"/>
    <w:rsid w:val="00AF5A7A"/>
    <w:rsid w:val="00AF5A97"/>
    <w:rsid w:val="00AF5D78"/>
    <w:rsid w:val="00AF6107"/>
    <w:rsid w:val="00AF6164"/>
    <w:rsid w:val="00AF6305"/>
    <w:rsid w:val="00AF6512"/>
    <w:rsid w:val="00AF662F"/>
    <w:rsid w:val="00AF6874"/>
    <w:rsid w:val="00AF6BFF"/>
    <w:rsid w:val="00AF6C69"/>
    <w:rsid w:val="00AF6C7F"/>
    <w:rsid w:val="00AF7359"/>
    <w:rsid w:val="00B007DE"/>
    <w:rsid w:val="00B007FD"/>
    <w:rsid w:val="00B0100B"/>
    <w:rsid w:val="00B01500"/>
    <w:rsid w:val="00B016C6"/>
    <w:rsid w:val="00B0180A"/>
    <w:rsid w:val="00B020A9"/>
    <w:rsid w:val="00B023C3"/>
    <w:rsid w:val="00B02A70"/>
    <w:rsid w:val="00B02C38"/>
    <w:rsid w:val="00B02F17"/>
    <w:rsid w:val="00B03181"/>
    <w:rsid w:val="00B031AE"/>
    <w:rsid w:val="00B032EC"/>
    <w:rsid w:val="00B03799"/>
    <w:rsid w:val="00B0487C"/>
    <w:rsid w:val="00B0551E"/>
    <w:rsid w:val="00B05540"/>
    <w:rsid w:val="00B06003"/>
    <w:rsid w:val="00B06011"/>
    <w:rsid w:val="00B060B3"/>
    <w:rsid w:val="00B07650"/>
    <w:rsid w:val="00B0798E"/>
    <w:rsid w:val="00B10272"/>
    <w:rsid w:val="00B10357"/>
    <w:rsid w:val="00B104F1"/>
    <w:rsid w:val="00B10C56"/>
    <w:rsid w:val="00B10C72"/>
    <w:rsid w:val="00B10D00"/>
    <w:rsid w:val="00B10DC2"/>
    <w:rsid w:val="00B112AC"/>
    <w:rsid w:val="00B11C26"/>
    <w:rsid w:val="00B11ED9"/>
    <w:rsid w:val="00B124A1"/>
    <w:rsid w:val="00B127F8"/>
    <w:rsid w:val="00B12BBB"/>
    <w:rsid w:val="00B12C4B"/>
    <w:rsid w:val="00B12FDA"/>
    <w:rsid w:val="00B13258"/>
    <w:rsid w:val="00B13721"/>
    <w:rsid w:val="00B144E2"/>
    <w:rsid w:val="00B14854"/>
    <w:rsid w:val="00B14F26"/>
    <w:rsid w:val="00B150E2"/>
    <w:rsid w:val="00B153A9"/>
    <w:rsid w:val="00B158C9"/>
    <w:rsid w:val="00B1624C"/>
    <w:rsid w:val="00B17260"/>
    <w:rsid w:val="00B17B7D"/>
    <w:rsid w:val="00B17F93"/>
    <w:rsid w:val="00B202D1"/>
    <w:rsid w:val="00B20D40"/>
    <w:rsid w:val="00B20D8B"/>
    <w:rsid w:val="00B20F7B"/>
    <w:rsid w:val="00B21392"/>
    <w:rsid w:val="00B21A15"/>
    <w:rsid w:val="00B2257F"/>
    <w:rsid w:val="00B22BF2"/>
    <w:rsid w:val="00B23908"/>
    <w:rsid w:val="00B23B07"/>
    <w:rsid w:val="00B23B31"/>
    <w:rsid w:val="00B23BE0"/>
    <w:rsid w:val="00B242AF"/>
    <w:rsid w:val="00B24548"/>
    <w:rsid w:val="00B249C7"/>
    <w:rsid w:val="00B25183"/>
    <w:rsid w:val="00B252CD"/>
    <w:rsid w:val="00B2575D"/>
    <w:rsid w:val="00B25B38"/>
    <w:rsid w:val="00B25BEA"/>
    <w:rsid w:val="00B25E99"/>
    <w:rsid w:val="00B26084"/>
    <w:rsid w:val="00B26086"/>
    <w:rsid w:val="00B26453"/>
    <w:rsid w:val="00B26863"/>
    <w:rsid w:val="00B2687E"/>
    <w:rsid w:val="00B26D3F"/>
    <w:rsid w:val="00B26E2C"/>
    <w:rsid w:val="00B26ECF"/>
    <w:rsid w:val="00B27017"/>
    <w:rsid w:val="00B27E7E"/>
    <w:rsid w:val="00B301EB"/>
    <w:rsid w:val="00B30523"/>
    <w:rsid w:val="00B305F9"/>
    <w:rsid w:val="00B30AA5"/>
    <w:rsid w:val="00B30B52"/>
    <w:rsid w:val="00B30E68"/>
    <w:rsid w:val="00B31094"/>
    <w:rsid w:val="00B3130A"/>
    <w:rsid w:val="00B3151A"/>
    <w:rsid w:val="00B31894"/>
    <w:rsid w:val="00B31C33"/>
    <w:rsid w:val="00B31F51"/>
    <w:rsid w:val="00B31FB5"/>
    <w:rsid w:val="00B3201B"/>
    <w:rsid w:val="00B320CB"/>
    <w:rsid w:val="00B3216B"/>
    <w:rsid w:val="00B323C6"/>
    <w:rsid w:val="00B3250A"/>
    <w:rsid w:val="00B32657"/>
    <w:rsid w:val="00B32880"/>
    <w:rsid w:val="00B32B26"/>
    <w:rsid w:val="00B32BFA"/>
    <w:rsid w:val="00B32E52"/>
    <w:rsid w:val="00B32FBD"/>
    <w:rsid w:val="00B34820"/>
    <w:rsid w:val="00B34D7A"/>
    <w:rsid w:val="00B3503E"/>
    <w:rsid w:val="00B353C5"/>
    <w:rsid w:val="00B362D5"/>
    <w:rsid w:val="00B36559"/>
    <w:rsid w:val="00B3669E"/>
    <w:rsid w:val="00B36774"/>
    <w:rsid w:val="00B36FB1"/>
    <w:rsid w:val="00B375ED"/>
    <w:rsid w:val="00B401B5"/>
    <w:rsid w:val="00B4064D"/>
    <w:rsid w:val="00B40B07"/>
    <w:rsid w:val="00B416C4"/>
    <w:rsid w:val="00B4176C"/>
    <w:rsid w:val="00B41CC7"/>
    <w:rsid w:val="00B42280"/>
    <w:rsid w:val="00B42866"/>
    <w:rsid w:val="00B42AE8"/>
    <w:rsid w:val="00B42F47"/>
    <w:rsid w:val="00B43052"/>
    <w:rsid w:val="00B43558"/>
    <w:rsid w:val="00B43AD6"/>
    <w:rsid w:val="00B43F40"/>
    <w:rsid w:val="00B44288"/>
    <w:rsid w:val="00B44530"/>
    <w:rsid w:val="00B44A85"/>
    <w:rsid w:val="00B44F13"/>
    <w:rsid w:val="00B4624E"/>
    <w:rsid w:val="00B46681"/>
    <w:rsid w:val="00B46E69"/>
    <w:rsid w:val="00B4796A"/>
    <w:rsid w:val="00B47991"/>
    <w:rsid w:val="00B47A1D"/>
    <w:rsid w:val="00B50181"/>
    <w:rsid w:val="00B506BD"/>
    <w:rsid w:val="00B5156E"/>
    <w:rsid w:val="00B51645"/>
    <w:rsid w:val="00B51F07"/>
    <w:rsid w:val="00B521E0"/>
    <w:rsid w:val="00B52583"/>
    <w:rsid w:val="00B528A8"/>
    <w:rsid w:val="00B5325D"/>
    <w:rsid w:val="00B53930"/>
    <w:rsid w:val="00B540CE"/>
    <w:rsid w:val="00B5446B"/>
    <w:rsid w:val="00B5475A"/>
    <w:rsid w:val="00B5485B"/>
    <w:rsid w:val="00B55729"/>
    <w:rsid w:val="00B566DD"/>
    <w:rsid w:val="00B569DD"/>
    <w:rsid w:val="00B56ABA"/>
    <w:rsid w:val="00B56BD0"/>
    <w:rsid w:val="00B572D9"/>
    <w:rsid w:val="00B60182"/>
    <w:rsid w:val="00B60694"/>
    <w:rsid w:val="00B610BA"/>
    <w:rsid w:val="00B612F4"/>
    <w:rsid w:val="00B613C0"/>
    <w:rsid w:val="00B61890"/>
    <w:rsid w:val="00B619BE"/>
    <w:rsid w:val="00B621B2"/>
    <w:rsid w:val="00B626BA"/>
    <w:rsid w:val="00B62ECE"/>
    <w:rsid w:val="00B62F94"/>
    <w:rsid w:val="00B6341F"/>
    <w:rsid w:val="00B63CAF"/>
    <w:rsid w:val="00B64155"/>
    <w:rsid w:val="00B6417A"/>
    <w:rsid w:val="00B64660"/>
    <w:rsid w:val="00B64A17"/>
    <w:rsid w:val="00B652C4"/>
    <w:rsid w:val="00B65894"/>
    <w:rsid w:val="00B65A76"/>
    <w:rsid w:val="00B65E40"/>
    <w:rsid w:val="00B666F9"/>
    <w:rsid w:val="00B66817"/>
    <w:rsid w:val="00B677F5"/>
    <w:rsid w:val="00B70428"/>
    <w:rsid w:val="00B70576"/>
    <w:rsid w:val="00B727C7"/>
    <w:rsid w:val="00B72BDF"/>
    <w:rsid w:val="00B72D9F"/>
    <w:rsid w:val="00B72F0F"/>
    <w:rsid w:val="00B732B3"/>
    <w:rsid w:val="00B73555"/>
    <w:rsid w:val="00B73CA8"/>
    <w:rsid w:val="00B73D44"/>
    <w:rsid w:val="00B73D5C"/>
    <w:rsid w:val="00B747B2"/>
    <w:rsid w:val="00B74C50"/>
    <w:rsid w:val="00B75612"/>
    <w:rsid w:val="00B758CE"/>
    <w:rsid w:val="00B76785"/>
    <w:rsid w:val="00B77173"/>
    <w:rsid w:val="00B77A60"/>
    <w:rsid w:val="00B77E4C"/>
    <w:rsid w:val="00B77E59"/>
    <w:rsid w:val="00B80289"/>
    <w:rsid w:val="00B803CB"/>
    <w:rsid w:val="00B805EC"/>
    <w:rsid w:val="00B80961"/>
    <w:rsid w:val="00B80B58"/>
    <w:rsid w:val="00B8107C"/>
    <w:rsid w:val="00B81CDB"/>
    <w:rsid w:val="00B821A7"/>
    <w:rsid w:val="00B8241B"/>
    <w:rsid w:val="00B82455"/>
    <w:rsid w:val="00B8266D"/>
    <w:rsid w:val="00B82E14"/>
    <w:rsid w:val="00B82F0C"/>
    <w:rsid w:val="00B830AB"/>
    <w:rsid w:val="00B83691"/>
    <w:rsid w:val="00B83744"/>
    <w:rsid w:val="00B83F21"/>
    <w:rsid w:val="00B840EF"/>
    <w:rsid w:val="00B842FD"/>
    <w:rsid w:val="00B845DD"/>
    <w:rsid w:val="00B84A95"/>
    <w:rsid w:val="00B84DD3"/>
    <w:rsid w:val="00B85526"/>
    <w:rsid w:val="00B85604"/>
    <w:rsid w:val="00B85690"/>
    <w:rsid w:val="00B858D0"/>
    <w:rsid w:val="00B85D37"/>
    <w:rsid w:val="00B85E16"/>
    <w:rsid w:val="00B86305"/>
    <w:rsid w:val="00B86738"/>
    <w:rsid w:val="00B87103"/>
    <w:rsid w:val="00B87402"/>
    <w:rsid w:val="00B87522"/>
    <w:rsid w:val="00B87707"/>
    <w:rsid w:val="00B87B97"/>
    <w:rsid w:val="00B87FD9"/>
    <w:rsid w:val="00B90D65"/>
    <w:rsid w:val="00B90F9E"/>
    <w:rsid w:val="00B91515"/>
    <w:rsid w:val="00B9186E"/>
    <w:rsid w:val="00B91DBC"/>
    <w:rsid w:val="00B92360"/>
    <w:rsid w:val="00B92571"/>
    <w:rsid w:val="00B92845"/>
    <w:rsid w:val="00B9288C"/>
    <w:rsid w:val="00B92894"/>
    <w:rsid w:val="00B93625"/>
    <w:rsid w:val="00B938DD"/>
    <w:rsid w:val="00B93E8E"/>
    <w:rsid w:val="00B949EC"/>
    <w:rsid w:val="00B9538A"/>
    <w:rsid w:val="00B95891"/>
    <w:rsid w:val="00B95AE2"/>
    <w:rsid w:val="00B95CFA"/>
    <w:rsid w:val="00B95F03"/>
    <w:rsid w:val="00B9628B"/>
    <w:rsid w:val="00B96AFE"/>
    <w:rsid w:val="00B96C7E"/>
    <w:rsid w:val="00B96FBF"/>
    <w:rsid w:val="00B974A0"/>
    <w:rsid w:val="00B978C1"/>
    <w:rsid w:val="00BA03A3"/>
    <w:rsid w:val="00BA08B0"/>
    <w:rsid w:val="00BA0AA4"/>
    <w:rsid w:val="00BA1A19"/>
    <w:rsid w:val="00BA1C24"/>
    <w:rsid w:val="00BA230C"/>
    <w:rsid w:val="00BA2339"/>
    <w:rsid w:val="00BA27FD"/>
    <w:rsid w:val="00BA28C7"/>
    <w:rsid w:val="00BA297C"/>
    <w:rsid w:val="00BA2C3F"/>
    <w:rsid w:val="00BA2EAA"/>
    <w:rsid w:val="00BA2EEB"/>
    <w:rsid w:val="00BA34B7"/>
    <w:rsid w:val="00BA34DA"/>
    <w:rsid w:val="00BA35F1"/>
    <w:rsid w:val="00BA3B77"/>
    <w:rsid w:val="00BA46CA"/>
    <w:rsid w:val="00BA5302"/>
    <w:rsid w:val="00BA5821"/>
    <w:rsid w:val="00BA5E5C"/>
    <w:rsid w:val="00BA6030"/>
    <w:rsid w:val="00BA6A0D"/>
    <w:rsid w:val="00BA7627"/>
    <w:rsid w:val="00BA7658"/>
    <w:rsid w:val="00BA7B03"/>
    <w:rsid w:val="00BA7BE5"/>
    <w:rsid w:val="00BA7CD5"/>
    <w:rsid w:val="00BA7CF9"/>
    <w:rsid w:val="00BB0B31"/>
    <w:rsid w:val="00BB0EEB"/>
    <w:rsid w:val="00BB1081"/>
    <w:rsid w:val="00BB11D8"/>
    <w:rsid w:val="00BB1291"/>
    <w:rsid w:val="00BB17AA"/>
    <w:rsid w:val="00BB2468"/>
    <w:rsid w:val="00BB25F6"/>
    <w:rsid w:val="00BB2A74"/>
    <w:rsid w:val="00BB2B11"/>
    <w:rsid w:val="00BB2D54"/>
    <w:rsid w:val="00BB3B00"/>
    <w:rsid w:val="00BB3FDD"/>
    <w:rsid w:val="00BB468F"/>
    <w:rsid w:val="00BB4E73"/>
    <w:rsid w:val="00BB5461"/>
    <w:rsid w:val="00BB58D5"/>
    <w:rsid w:val="00BB5BF2"/>
    <w:rsid w:val="00BB5ED9"/>
    <w:rsid w:val="00BB6739"/>
    <w:rsid w:val="00BB6CF0"/>
    <w:rsid w:val="00BB6D6D"/>
    <w:rsid w:val="00BB71CC"/>
    <w:rsid w:val="00BB71D3"/>
    <w:rsid w:val="00BB7347"/>
    <w:rsid w:val="00BB7618"/>
    <w:rsid w:val="00BB778E"/>
    <w:rsid w:val="00BC020C"/>
    <w:rsid w:val="00BC0A59"/>
    <w:rsid w:val="00BC0A91"/>
    <w:rsid w:val="00BC0D72"/>
    <w:rsid w:val="00BC0DF4"/>
    <w:rsid w:val="00BC14EA"/>
    <w:rsid w:val="00BC1DDC"/>
    <w:rsid w:val="00BC1F04"/>
    <w:rsid w:val="00BC2562"/>
    <w:rsid w:val="00BC4467"/>
    <w:rsid w:val="00BC460F"/>
    <w:rsid w:val="00BC50CB"/>
    <w:rsid w:val="00BC51B0"/>
    <w:rsid w:val="00BC53B3"/>
    <w:rsid w:val="00BC57A9"/>
    <w:rsid w:val="00BC58DF"/>
    <w:rsid w:val="00BC59AA"/>
    <w:rsid w:val="00BC5E1F"/>
    <w:rsid w:val="00BC639B"/>
    <w:rsid w:val="00BC670B"/>
    <w:rsid w:val="00BC7450"/>
    <w:rsid w:val="00BC7BA6"/>
    <w:rsid w:val="00BC7BB3"/>
    <w:rsid w:val="00BC7ED3"/>
    <w:rsid w:val="00BD0BAB"/>
    <w:rsid w:val="00BD1563"/>
    <w:rsid w:val="00BD1853"/>
    <w:rsid w:val="00BD28F8"/>
    <w:rsid w:val="00BD2994"/>
    <w:rsid w:val="00BD2B38"/>
    <w:rsid w:val="00BD33FC"/>
    <w:rsid w:val="00BD36A3"/>
    <w:rsid w:val="00BD3B6C"/>
    <w:rsid w:val="00BD3E33"/>
    <w:rsid w:val="00BD3F5D"/>
    <w:rsid w:val="00BD3FE5"/>
    <w:rsid w:val="00BD4044"/>
    <w:rsid w:val="00BD5706"/>
    <w:rsid w:val="00BD615D"/>
    <w:rsid w:val="00BD6E1F"/>
    <w:rsid w:val="00BD7063"/>
    <w:rsid w:val="00BD7270"/>
    <w:rsid w:val="00BD741C"/>
    <w:rsid w:val="00BD7799"/>
    <w:rsid w:val="00BD7D82"/>
    <w:rsid w:val="00BE070E"/>
    <w:rsid w:val="00BE0D02"/>
    <w:rsid w:val="00BE12A7"/>
    <w:rsid w:val="00BE197E"/>
    <w:rsid w:val="00BE1D05"/>
    <w:rsid w:val="00BE1E31"/>
    <w:rsid w:val="00BE2598"/>
    <w:rsid w:val="00BE2721"/>
    <w:rsid w:val="00BE29E4"/>
    <w:rsid w:val="00BE2F33"/>
    <w:rsid w:val="00BE39B3"/>
    <w:rsid w:val="00BE3CEA"/>
    <w:rsid w:val="00BE3CF5"/>
    <w:rsid w:val="00BE3D91"/>
    <w:rsid w:val="00BE4ABE"/>
    <w:rsid w:val="00BE4E62"/>
    <w:rsid w:val="00BE4FEB"/>
    <w:rsid w:val="00BE5495"/>
    <w:rsid w:val="00BE6089"/>
    <w:rsid w:val="00BE63D1"/>
    <w:rsid w:val="00BE6BEA"/>
    <w:rsid w:val="00BE6C0C"/>
    <w:rsid w:val="00BE6C4E"/>
    <w:rsid w:val="00BE6CBF"/>
    <w:rsid w:val="00BE759D"/>
    <w:rsid w:val="00BE778E"/>
    <w:rsid w:val="00BE7C40"/>
    <w:rsid w:val="00BF01B0"/>
    <w:rsid w:val="00BF0498"/>
    <w:rsid w:val="00BF04F6"/>
    <w:rsid w:val="00BF0645"/>
    <w:rsid w:val="00BF08EB"/>
    <w:rsid w:val="00BF0CDD"/>
    <w:rsid w:val="00BF11D0"/>
    <w:rsid w:val="00BF1741"/>
    <w:rsid w:val="00BF2148"/>
    <w:rsid w:val="00BF2275"/>
    <w:rsid w:val="00BF3520"/>
    <w:rsid w:val="00BF3BBB"/>
    <w:rsid w:val="00BF41DA"/>
    <w:rsid w:val="00BF4698"/>
    <w:rsid w:val="00BF471A"/>
    <w:rsid w:val="00BF4D38"/>
    <w:rsid w:val="00BF4DD4"/>
    <w:rsid w:val="00BF5323"/>
    <w:rsid w:val="00BF626A"/>
    <w:rsid w:val="00BF64D2"/>
    <w:rsid w:val="00BF6A10"/>
    <w:rsid w:val="00BF6A3A"/>
    <w:rsid w:val="00BF6A4C"/>
    <w:rsid w:val="00BF7441"/>
    <w:rsid w:val="00BF79CA"/>
    <w:rsid w:val="00C0027F"/>
    <w:rsid w:val="00C0053C"/>
    <w:rsid w:val="00C00626"/>
    <w:rsid w:val="00C00D6C"/>
    <w:rsid w:val="00C01623"/>
    <w:rsid w:val="00C01B17"/>
    <w:rsid w:val="00C01F33"/>
    <w:rsid w:val="00C02011"/>
    <w:rsid w:val="00C02310"/>
    <w:rsid w:val="00C0231A"/>
    <w:rsid w:val="00C02519"/>
    <w:rsid w:val="00C025E6"/>
    <w:rsid w:val="00C02617"/>
    <w:rsid w:val="00C02DCF"/>
    <w:rsid w:val="00C03109"/>
    <w:rsid w:val="00C03238"/>
    <w:rsid w:val="00C036D0"/>
    <w:rsid w:val="00C037C7"/>
    <w:rsid w:val="00C03E41"/>
    <w:rsid w:val="00C04121"/>
    <w:rsid w:val="00C04918"/>
    <w:rsid w:val="00C04957"/>
    <w:rsid w:val="00C05438"/>
    <w:rsid w:val="00C05765"/>
    <w:rsid w:val="00C05DC6"/>
    <w:rsid w:val="00C068E9"/>
    <w:rsid w:val="00C069FB"/>
    <w:rsid w:val="00C06BEA"/>
    <w:rsid w:val="00C07375"/>
    <w:rsid w:val="00C07759"/>
    <w:rsid w:val="00C07972"/>
    <w:rsid w:val="00C07F56"/>
    <w:rsid w:val="00C07F76"/>
    <w:rsid w:val="00C1071A"/>
    <w:rsid w:val="00C10A48"/>
    <w:rsid w:val="00C11E5F"/>
    <w:rsid w:val="00C11F1D"/>
    <w:rsid w:val="00C12262"/>
    <w:rsid w:val="00C12348"/>
    <w:rsid w:val="00C12583"/>
    <w:rsid w:val="00C1272A"/>
    <w:rsid w:val="00C12801"/>
    <w:rsid w:val="00C12C08"/>
    <w:rsid w:val="00C12EA5"/>
    <w:rsid w:val="00C1332F"/>
    <w:rsid w:val="00C13C05"/>
    <w:rsid w:val="00C13C10"/>
    <w:rsid w:val="00C13CD5"/>
    <w:rsid w:val="00C14550"/>
    <w:rsid w:val="00C14B2E"/>
    <w:rsid w:val="00C14CFE"/>
    <w:rsid w:val="00C14F84"/>
    <w:rsid w:val="00C1584F"/>
    <w:rsid w:val="00C15880"/>
    <w:rsid w:val="00C15A76"/>
    <w:rsid w:val="00C1613F"/>
    <w:rsid w:val="00C16626"/>
    <w:rsid w:val="00C16AB8"/>
    <w:rsid w:val="00C16F39"/>
    <w:rsid w:val="00C1753A"/>
    <w:rsid w:val="00C1776D"/>
    <w:rsid w:val="00C2045E"/>
    <w:rsid w:val="00C20875"/>
    <w:rsid w:val="00C20A88"/>
    <w:rsid w:val="00C20B59"/>
    <w:rsid w:val="00C212E0"/>
    <w:rsid w:val="00C21592"/>
    <w:rsid w:val="00C219D4"/>
    <w:rsid w:val="00C21AF0"/>
    <w:rsid w:val="00C21E64"/>
    <w:rsid w:val="00C21EF4"/>
    <w:rsid w:val="00C22039"/>
    <w:rsid w:val="00C2205A"/>
    <w:rsid w:val="00C22365"/>
    <w:rsid w:val="00C22C52"/>
    <w:rsid w:val="00C230C0"/>
    <w:rsid w:val="00C23116"/>
    <w:rsid w:val="00C23A0C"/>
    <w:rsid w:val="00C23EDD"/>
    <w:rsid w:val="00C23F65"/>
    <w:rsid w:val="00C241DA"/>
    <w:rsid w:val="00C24DB5"/>
    <w:rsid w:val="00C25738"/>
    <w:rsid w:val="00C25B7F"/>
    <w:rsid w:val="00C25C6B"/>
    <w:rsid w:val="00C25E18"/>
    <w:rsid w:val="00C25F07"/>
    <w:rsid w:val="00C25FAB"/>
    <w:rsid w:val="00C2660B"/>
    <w:rsid w:val="00C26AC6"/>
    <w:rsid w:val="00C27369"/>
    <w:rsid w:val="00C30150"/>
    <w:rsid w:val="00C305AF"/>
    <w:rsid w:val="00C30877"/>
    <w:rsid w:val="00C30B7E"/>
    <w:rsid w:val="00C30D56"/>
    <w:rsid w:val="00C30D6D"/>
    <w:rsid w:val="00C31229"/>
    <w:rsid w:val="00C32654"/>
    <w:rsid w:val="00C3277A"/>
    <w:rsid w:val="00C32D56"/>
    <w:rsid w:val="00C32D8D"/>
    <w:rsid w:val="00C32ED2"/>
    <w:rsid w:val="00C33ABF"/>
    <w:rsid w:val="00C33BE9"/>
    <w:rsid w:val="00C33E4A"/>
    <w:rsid w:val="00C34038"/>
    <w:rsid w:val="00C34153"/>
    <w:rsid w:val="00C343BD"/>
    <w:rsid w:val="00C344E5"/>
    <w:rsid w:val="00C3476A"/>
    <w:rsid w:val="00C34D63"/>
    <w:rsid w:val="00C3528F"/>
    <w:rsid w:val="00C3535C"/>
    <w:rsid w:val="00C35ED3"/>
    <w:rsid w:val="00C36019"/>
    <w:rsid w:val="00C36E6D"/>
    <w:rsid w:val="00C36E75"/>
    <w:rsid w:val="00C375B1"/>
    <w:rsid w:val="00C404B7"/>
    <w:rsid w:val="00C407A2"/>
    <w:rsid w:val="00C40965"/>
    <w:rsid w:val="00C40D8B"/>
    <w:rsid w:val="00C41220"/>
    <w:rsid w:val="00C412CE"/>
    <w:rsid w:val="00C42088"/>
    <w:rsid w:val="00C421B4"/>
    <w:rsid w:val="00C4239E"/>
    <w:rsid w:val="00C42C1B"/>
    <w:rsid w:val="00C4338F"/>
    <w:rsid w:val="00C43AEF"/>
    <w:rsid w:val="00C442F3"/>
    <w:rsid w:val="00C444D2"/>
    <w:rsid w:val="00C44FD5"/>
    <w:rsid w:val="00C45108"/>
    <w:rsid w:val="00C45D9E"/>
    <w:rsid w:val="00C4620C"/>
    <w:rsid w:val="00C4642F"/>
    <w:rsid w:val="00C46651"/>
    <w:rsid w:val="00C46A0C"/>
    <w:rsid w:val="00C46CE8"/>
    <w:rsid w:val="00C4736B"/>
    <w:rsid w:val="00C47472"/>
    <w:rsid w:val="00C47681"/>
    <w:rsid w:val="00C4777A"/>
    <w:rsid w:val="00C50552"/>
    <w:rsid w:val="00C50D90"/>
    <w:rsid w:val="00C5112A"/>
    <w:rsid w:val="00C513E5"/>
    <w:rsid w:val="00C51894"/>
    <w:rsid w:val="00C51A42"/>
    <w:rsid w:val="00C51B18"/>
    <w:rsid w:val="00C51E8A"/>
    <w:rsid w:val="00C51FFF"/>
    <w:rsid w:val="00C52BFA"/>
    <w:rsid w:val="00C52DD2"/>
    <w:rsid w:val="00C52F17"/>
    <w:rsid w:val="00C53055"/>
    <w:rsid w:val="00C531FE"/>
    <w:rsid w:val="00C532D4"/>
    <w:rsid w:val="00C5377F"/>
    <w:rsid w:val="00C5385D"/>
    <w:rsid w:val="00C53F9B"/>
    <w:rsid w:val="00C53FE2"/>
    <w:rsid w:val="00C54D60"/>
    <w:rsid w:val="00C54E09"/>
    <w:rsid w:val="00C54F09"/>
    <w:rsid w:val="00C55201"/>
    <w:rsid w:val="00C5546E"/>
    <w:rsid w:val="00C554BA"/>
    <w:rsid w:val="00C55680"/>
    <w:rsid w:val="00C558F4"/>
    <w:rsid w:val="00C55E17"/>
    <w:rsid w:val="00C562B3"/>
    <w:rsid w:val="00C56849"/>
    <w:rsid w:val="00C57A32"/>
    <w:rsid w:val="00C57BF8"/>
    <w:rsid w:val="00C57E37"/>
    <w:rsid w:val="00C61162"/>
    <w:rsid w:val="00C6147C"/>
    <w:rsid w:val="00C614AB"/>
    <w:rsid w:val="00C61EA9"/>
    <w:rsid w:val="00C61FDA"/>
    <w:rsid w:val="00C62D65"/>
    <w:rsid w:val="00C62F4B"/>
    <w:rsid w:val="00C63248"/>
    <w:rsid w:val="00C63632"/>
    <w:rsid w:val="00C64566"/>
    <w:rsid w:val="00C646F2"/>
    <w:rsid w:val="00C6495F"/>
    <w:rsid w:val="00C64E93"/>
    <w:rsid w:val="00C65CFC"/>
    <w:rsid w:val="00C65FE6"/>
    <w:rsid w:val="00C66225"/>
    <w:rsid w:val="00C66BA0"/>
    <w:rsid w:val="00C66D5D"/>
    <w:rsid w:val="00C66FE4"/>
    <w:rsid w:val="00C673C1"/>
    <w:rsid w:val="00C673F1"/>
    <w:rsid w:val="00C675C9"/>
    <w:rsid w:val="00C67664"/>
    <w:rsid w:val="00C67B11"/>
    <w:rsid w:val="00C70488"/>
    <w:rsid w:val="00C70A97"/>
    <w:rsid w:val="00C711EE"/>
    <w:rsid w:val="00C717E3"/>
    <w:rsid w:val="00C71EE4"/>
    <w:rsid w:val="00C72084"/>
    <w:rsid w:val="00C72A2F"/>
    <w:rsid w:val="00C72C1C"/>
    <w:rsid w:val="00C73249"/>
    <w:rsid w:val="00C73327"/>
    <w:rsid w:val="00C7355E"/>
    <w:rsid w:val="00C738B7"/>
    <w:rsid w:val="00C739BF"/>
    <w:rsid w:val="00C74275"/>
    <w:rsid w:val="00C748D4"/>
    <w:rsid w:val="00C74CEA"/>
    <w:rsid w:val="00C75184"/>
    <w:rsid w:val="00C7550B"/>
    <w:rsid w:val="00C75A1B"/>
    <w:rsid w:val="00C75B4C"/>
    <w:rsid w:val="00C75D62"/>
    <w:rsid w:val="00C75D94"/>
    <w:rsid w:val="00C76296"/>
    <w:rsid w:val="00C76454"/>
    <w:rsid w:val="00C76947"/>
    <w:rsid w:val="00C772F6"/>
    <w:rsid w:val="00C77DDA"/>
    <w:rsid w:val="00C77E6A"/>
    <w:rsid w:val="00C77E9A"/>
    <w:rsid w:val="00C80285"/>
    <w:rsid w:val="00C80DE3"/>
    <w:rsid w:val="00C80F01"/>
    <w:rsid w:val="00C80FBB"/>
    <w:rsid w:val="00C81249"/>
    <w:rsid w:val="00C8170D"/>
    <w:rsid w:val="00C81D7E"/>
    <w:rsid w:val="00C824A3"/>
    <w:rsid w:val="00C8265B"/>
    <w:rsid w:val="00C82942"/>
    <w:rsid w:val="00C8296E"/>
    <w:rsid w:val="00C82D1B"/>
    <w:rsid w:val="00C8368D"/>
    <w:rsid w:val="00C841D6"/>
    <w:rsid w:val="00C8440E"/>
    <w:rsid w:val="00C84737"/>
    <w:rsid w:val="00C852A2"/>
    <w:rsid w:val="00C85A3A"/>
    <w:rsid w:val="00C86CC1"/>
    <w:rsid w:val="00C8711E"/>
    <w:rsid w:val="00C879EF"/>
    <w:rsid w:val="00C900EA"/>
    <w:rsid w:val="00C91081"/>
    <w:rsid w:val="00C91702"/>
    <w:rsid w:val="00C91A81"/>
    <w:rsid w:val="00C91E59"/>
    <w:rsid w:val="00C9206E"/>
    <w:rsid w:val="00C92115"/>
    <w:rsid w:val="00C92702"/>
    <w:rsid w:val="00C9288F"/>
    <w:rsid w:val="00C92A96"/>
    <w:rsid w:val="00C92F56"/>
    <w:rsid w:val="00C93081"/>
    <w:rsid w:val="00C9368A"/>
    <w:rsid w:val="00C93860"/>
    <w:rsid w:val="00C94167"/>
    <w:rsid w:val="00C945F1"/>
    <w:rsid w:val="00C94892"/>
    <w:rsid w:val="00C948D1"/>
    <w:rsid w:val="00C94A6B"/>
    <w:rsid w:val="00C95170"/>
    <w:rsid w:val="00C955F5"/>
    <w:rsid w:val="00C9590D"/>
    <w:rsid w:val="00C961F6"/>
    <w:rsid w:val="00C96719"/>
    <w:rsid w:val="00C96A6E"/>
    <w:rsid w:val="00C96AC5"/>
    <w:rsid w:val="00C96F49"/>
    <w:rsid w:val="00C9704F"/>
    <w:rsid w:val="00C970AF"/>
    <w:rsid w:val="00C972FE"/>
    <w:rsid w:val="00C975B6"/>
    <w:rsid w:val="00C97981"/>
    <w:rsid w:val="00C97BCE"/>
    <w:rsid w:val="00C97E3C"/>
    <w:rsid w:val="00C97EF1"/>
    <w:rsid w:val="00CA0969"/>
    <w:rsid w:val="00CA09BF"/>
    <w:rsid w:val="00CA11F1"/>
    <w:rsid w:val="00CA16C6"/>
    <w:rsid w:val="00CA1ACD"/>
    <w:rsid w:val="00CA28B9"/>
    <w:rsid w:val="00CA2BF7"/>
    <w:rsid w:val="00CA2E03"/>
    <w:rsid w:val="00CA3561"/>
    <w:rsid w:val="00CA3599"/>
    <w:rsid w:val="00CA366D"/>
    <w:rsid w:val="00CA43FF"/>
    <w:rsid w:val="00CA44A4"/>
    <w:rsid w:val="00CA481D"/>
    <w:rsid w:val="00CA4833"/>
    <w:rsid w:val="00CA48A5"/>
    <w:rsid w:val="00CA4EB9"/>
    <w:rsid w:val="00CA504A"/>
    <w:rsid w:val="00CA5342"/>
    <w:rsid w:val="00CA54F6"/>
    <w:rsid w:val="00CA55A2"/>
    <w:rsid w:val="00CA598A"/>
    <w:rsid w:val="00CA5B7C"/>
    <w:rsid w:val="00CA5E19"/>
    <w:rsid w:val="00CA6134"/>
    <w:rsid w:val="00CA6779"/>
    <w:rsid w:val="00CA6CB9"/>
    <w:rsid w:val="00CA6DFD"/>
    <w:rsid w:val="00CA6FE5"/>
    <w:rsid w:val="00CA715E"/>
    <w:rsid w:val="00CA729D"/>
    <w:rsid w:val="00CA7860"/>
    <w:rsid w:val="00CA7BA3"/>
    <w:rsid w:val="00CA7C99"/>
    <w:rsid w:val="00CB05EA"/>
    <w:rsid w:val="00CB102D"/>
    <w:rsid w:val="00CB1238"/>
    <w:rsid w:val="00CB1701"/>
    <w:rsid w:val="00CB173F"/>
    <w:rsid w:val="00CB20B8"/>
    <w:rsid w:val="00CB2514"/>
    <w:rsid w:val="00CB2F89"/>
    <w:rsid w:val="00CB32AF"/>
    <w:rsid w:val="00CB3A71"/>
    <w:rsid w:val="00CB44CF"/>
    <w:rsid w:val="00CB4C2C"/>
    <w:rsid w:val="00CB574E"/>
    <w:rsid w:val="00CB5D68"/>
    <w:rsid w:val="00CB5FD6"/>
    <w:rsid w:val="00CB61DA"/>
    <w:rsid w:val="00CB6862"/>
    <w:rsid w:val="00CB6D11"/>
    <w:rsid w:val="00CB733D"/>
    <w:rsid w:val="00CB7416"/>
    <w:rsid w:val="00CC0334"/>
    <w:rsid w:val="00CC0387"/>
    <w:rsid w:val="00CC03A9"/>
    <w:rsid w:val="00CC0E1D"/>
    <w:rsid w:val="00CC1339"/>
    <w:rsid w:val="00CC142C"/>
    <w:rsid w:val="00CC15F2"/>
    <w:rsid w:val="00CC173E"/>
    <w:rsid w:val="00CC1775"/>
    <w:rsid w:val="00CC1933"/>
    <w:rsid w:val="00CC200A"/>
    <w:rsid w:val="00CC2414"/>
    <w:rsid w:val="00CC265E"/>
    <w:rsid w:val="00CC27FC"/>
    <w:rsid w:val="00CC2959"/>
    <w:rsid w:val="00CC2986"/>
    <w:rsid w:val="00CC2D56"/>
    <w:rsid w:val="00CC2F7C"/>
    <w:rsid w:val="00CC3D8A"/>
    <w:rsid w:val="00CC3E91"/>
    <w:rsid w:val="00CC4B3A"/>
    <w:rsid w:val="00CC4C0B"/>
    <w:rsid w:val="00CC4C1F"/>
    <w:rsid w:val="00CC5589"/>
    <w:rsid w:val="00CC5C35"/>
    <w:rsid w:val="00CC5ECD"/>
    <w:rsid w:val="00CC61F4"/>
    <w:rsid w:val="00CC63A8"/>
    <w:rsid w:val="00CC63BC"/>
    <w:rsid w:val="00CC651D"/>
    <w:rsid w:val="00CC655C"/>
    <w:rsid w:val="00CC65AC"/>
    <w:rsid w:val="00CC746C"/>
    <w:rsid w:val="00CD07E2"/>
    <w:rsid w:val="00CD0BB6"/>
    <w:rsid w:val="00CD0EB1"/>
    <w:rsid w:val="00CD1AEF"/>
    <w:rsid w:val="00CD20D1"/>
    <w:rsid w:val="00CD28C6"/>
    <w:rsid w:val="00CD32B3"/>
    <w:rsid w:val="00CD390B"/>
    <w:rsid w:val="00CD4631"/>
    <w:rsid w:val="00CD4D8F"/>
    <w:rsid w:val="00CD51A0"/>
    <w:rsid w:val="00CD5812"/>
    <w:rsid w:val="00CD5C6A"/>
    <w:rsid w:val="00CD6073"/>
    <w:rsid w:val="00CD6192"/>
    <w:rsid w:val="00CD6BD0"/>
    <w:rsid w:val="00CD6C12"/>
    <w:rsid w:val="00CD6FCA"/>
    <w:rsid w:val="00CD708F"/>
    <w:rsid w:val="00CD73CF"/>
    <w:rsid w:val="00CD778C"/>
    <w:rsid w:val="00CE0159"/>
    <w:rsid w:val="00CE0237"/>
    <w:rsid w:val="00CE0358"/>
    <w:rsid w:val="00CE03A6"/>
    <w:rsid w:val="00CE0853"/>
    <w:rsid w:val="00CE09D7"/>
    <w:rsid w:val="00CE0C53"/>
    <w:rsid w:val="00CE0CAA"/>
    <w:rsid w:val="00CE111B"/>
    <w:rsid w:val="00CE13A8"/>
    <w:rsid w:val="00CE14B7"/>
    <w:rsid w:val="00CE19C8"/>
    <w:rsid w:val="00CE1E04"/>
    <w:rsid w:val="00CE2CA2"/>
    <w:rsid w:val="00CE311C"/>
    <w:rsid w:val="00CE32A0"/>
    <w:rsid w:val="00CE391F"/>
    <w:rsid w:val="00CE39B0"/>
    <w:rsid w:val="00CE3DBD"/>
    <w:rsid w:val="00CE4FBD"/>
    <w:rsid w:val="00CE571F"/>
    <w:rsid w:val="00CE6004"/>
    <w:rsid w:val="00CE6844"/>
    <w:rsid w:val="00CE6917"/>
    <w:rsid w:val="00CE692D"/>
    <w:rsid w:val="00CE6EAF"/>
    <w:rsid w:val="00CE7808"/>
    <w:rsid w:val="00CE7CCB"/>
    <w:rsid w:val="00CF0ABD"/>
    <w:rsid w:val="00CF0EFC"/>
    <w:rsid w:val="00CF11A7"/>
    <w:rsid w:val="00CF169C"/>
    <w:rsid w:val="00CF189A"/>
    <w:rsid w:val="00CF18B8"/>
    <w:rsid w:val="00CF19F9"/>
    <w:rsid w:val="00CF2D8A"/>
    <w:rsid w:val="00CF33ED"/>
    <w:rsid w:val="00CF3678"/>
    <w:rsid w:val="00CF40EC"/>
    <w:rsid w:val="00CF4314"/>
    <w:rsid w:val="00CF475B"/>
    <w:rsid w:val="00CF58FA"/>
    <w:rsid w:val="00CF61BB"/>
    <w:rsid w:val="00CF67B3"/>
    <w:rsid w:val="00CF691F"/>
    <w:rsid w:val="00CF6A1E"/>
    <w:rsid w:val="00CF6AC8"/>
    <w:rsid w:val="00CF6B92"/>
    <w:rsid w:val="00CF6D49"/>
    <w:rsid w:val="00CF7085"/>
    <w:rsid w:val="00CF7A7C"/>
    <w:rsid w:val="00CF7B93"/>
    <w:rsid w:val="00D0056F"/>
    <w:rsid w:val="00D012C4"/>
    <w:rsid w:val="00D013CD"/>
    <w:rsid w:val="00D01733"/>
    <w:rsid w:val="00D017A3"/>
    <w:rsid w:val="00D01D19"/>
    <w:rsid w:val="00D022E1"/>
    <w:rsid w:val="00D02AE6"/>
    <w:rsid w:val="00D02EE6"/>
    <w:rsid w:val="00D02F23"/>
    <w:rsid w:val="00D02FAA"/>
    <w:rsid w:val="00D03584"/>
    <w:rsid w:val="00D03930"/>
    <w:rsid w:val="00D03A4F"/>
    <w:rsid w:val="00D0410A"/>
    <w:rsid w:val="00D04542"/>
    <w:rsid w:val="00D0487F"/>
    <w:rsid w:val="00D04E62"/>
    <w:rsid w:val="00D053E8"/>
    <w:rsid w:val="00D0557A"/>
    <w:rsid w:val="00D05EBE"/>
    <w:rsid w:val="00D067A8"/>
    <w:rsid w:val="00D067B8"/>
    <w:rsid w:val="00D068AF"/>
    <w:rsid w:val="00D10226"/>
    <w:rsid w:val="00D10670"/>
    <w:rsid w:val="00D10A0C"/>
    <w:rsid w:val="00D11047"/>
    <w:rsid w:val="00D1104A"/>
    <w:rsid w:val="00D11D50"/>
    <w:rsid w:val="00D11E07"/>
    <w:rsid w:val="00D11F6B"/>
    <w:rsid w:val="00D12899"/>
    <w:rsid w:val="00D12DF5"/>
    <w:rsid w:val="00D134D7"/>
    <w:rsid w:val="00D1393E"/>
    <w:rsid w:val="00D13A9D"/>
    <w:rsid w:val="00D13D20"/>
    <w:rsid w:val="00D1419E"/>
    <w:rsid w:val="00D149FF"/>
    <w:rsid w:val="00D14B1A"/>
    <w:rsid w:val="00D15B39"/>
    <w:rsid w:val="00D164EC"/>
    <w:rsid w:val="00D1672C"/>
    <w:rsid w:val="00D16B75"/>
    <w:rsid w:val="00D16DF2"/>
    <w:rsid w:val="00D1705D"/>
    <w:rsid w:val="00D17289"/>
    <w:rsid w:val="00D174E8"/>
    <w:rsid w:val="00D17B0E"/>
    <w:rsid w:val="00D17DDE"/>
    <w:rsid w:val="00D17F14"/>
    <w:rsid w:val="00D17FF4"/>
    <w:rsid w:val="00D204EB"/>
    <w:rsid w:val="00D206D1"/>
    <w:rsid w:val="00D2076B"/>
    <w:rsid w:val="00D207BE"/>
    <w:rsid w:val="00D20FF1"/>
    <w:rsid w:val="00D21424"/>
    <w:rsid w:val="00D216C3"/>
    <w:rsid w:val="00D21A3D"/>
    <w:rsid w:val="00D2204F"/>
    <w:rsid w:val="00D22126"/>
    <w:rsid w:val="00D22135"/>
    <w:rsid w:val="00D2223A"/>
    <w:rsid w:val="00D22382"/>
    <w:rsid w:val="00D22A1B"/>
    <w:rsid w:val="00D2302C"/>
    <w:rsid w:val="00D23451"/>
    <w:rsid w:val="00D24024"/>
    <w:rsid w:val="00D2443B"/>
    <w:rsid w:val="00D252C7"/>
    <w:rsid w:val="00D25456"/>
    <w:rsid w:val="00D25A19"/>
    <w:rsid w:val="00D25F43"/>
    <w:rsid w:val="00D2649C"/>
    <w:rsid w:val="00D2695D"/>
    <w:rsid w:val="00D26A0A"/>
    <w:rsid w:val="00D27011"/>
    <w:rsid w:val="00D272F8"/>
    <w:rsid w:val="00D274C9"/>
    <w:rsid w:val="00D277CE"/>
    <w:rsid w:val="00D27A97"/>
    <w:rsid w:val="00D27EF2"/>
    <w:rsid w:val="00D3025B"/>
    <w:rsid w:val="00D302D0"/>
    <w:rsid w:val="00D30670"/>
    <w:rsid w:val="00D30DEF"/>
    <w:rsid w:val="00D30FDC"/>
    <w:rsid w:val="00D318D6"/>
    <w:rsid w:val="00D31B3D"/>
    <w:rsid w:val="00D3200B"/>
    <w:rsid w:val="00D320BE"/>
    <w:rsid w:val="00D321D5"/>
    <w:rsid w:val="00D32339"/>
    <w:rsid w:val="00D333E0"/>
    <w:rsid w:val="00D33A75"/>
    <w:rsid w:val="00D33D19"/>
    <w:rsid w:val="00D34004"/>
    <w:rsid w:val="00D34699"/>
    <w:rsid w:val="00D347D0"/>
    <w:rsid w:val="00D34A04"/>
    <w:rsid w:val="00D34A99"/>
    <w:rsid w:val="00D34E05"/>
    <w:rsid w:val="00D35578"/>
    <w:rsid w:val="00D35C4D"/>
    <w:rsid w:val="00D365F2"/>
    <w:rsid w:val="00D3678A"/>
    <w:rsid w:val="00D368EB"/>
    <w:rsid w:val="00D36D27"/>
    <w:rsid w:val="00D3747B"/>
    <w:rsid w:val="00D4038F"/>
    <w:rsid w:val="00D406FD"/>
    <w:rsid w:val="00D408E1"/>
    <w:rsid w:val="00D40CD3"/>
    <w:rsid w:val="00D4142D"/>
    <w:rsid w:val="00D414DE"/>
    <w:rsid w:val="00D41514"/>
    <w:rsid w:val="00D41531"/>
    <w:rsid w:val="00D41951"/>
    <w:rsid w:val="00D419FD"/>
    <w:rsid w:val="00D41C04"/>
    <w:rsid w:val="00D41FB1"/>
    <w:rsid w:val="00D420CB"/>
    <w:rsid w:val="00D42616"/>
    <w:rsid w:val="00D4283A"/>
    <w:rsid w:val="00D428B0"/>
    <w:rsid w:val="00D42C57"/>
    <w:rsid w:val="00D436F0"/>
    <w:rsid w:val="00D437E8"/>
    <w:rsid w:val="00D43B93"/>
    <w:rsid w:val="00D43C2E"/>
    <w:rsid w:val="00D43C9A"/>
    <w:rsid w:val="00D444E9"/>
    <w:rsid w:val="00D453BC"/>
    <w:rsid w:val="00D4580A"/>
    <w:rsid w:val="00D45BA0"/>
    <w:rsid w:val="00D45F3E"/>
    <w:rsid w:val="00D462EB"/>
    <w:rsid w:val="00D46AF2"/>
    <w:rsid w:val="00D46E4D"/>
    <w:rsid w:val="00D5013E"/>
    <w:rsid w:val="00D51AAC"/>
    <w:rsid w:val="00D51D84"/>
    <w:rsid w:val="00D52104"/>
    <w:rsid w:val="00D52284"/>
    <w:rsid w:val="00D527EC"/>
    <w:rsid w:val="00D531B8"/>
    <w:rsid w:val="00D53608"/>
    <w:rsid w:val="00D53939"/>
    <w:rsid w:val="00D54A25"/>
    <w:rsid w:val="00D54CFD"/>
    <w:rsid w:val="00D55113"/>
    <w:rsid w:val="00D55372"/>
    <w:rsid w:val="00D55546"/>
    <w:rsid w:val="00D5562E"/>
    <w:rsid w:val="00D55B25"/>
    <w:rsid w:val="00D55B61"/>
    <w:rsid w:val="00D55C7A"/>
    <w:rsid w:val="00D564CF"/>
    <w:rsid w:val="00D56777"/>
    <w:rsid w:val="00D56EF8"/>
    <w:rsid w:val="00D57399"/>
    <w:rsid w:val="00D57B07"/>
    <w:rsid w:val="00D57C02"/>
    <w:rsid w:val="00D602B4"/>
    <w:rsid w:val="00D6045A"/>
    <w:rsid w:val="00D60C9B"/>
    <w:rsid w:val="00D611CC"/>
    <w:rsid w:val="00D61A49"/>
    <w:rsid w:val="00D61F91"/>
    <w:rsid w:val="00D62001"/>
    <w:rsid w:val="00D620A8"/>
    <w:rsid w:val="00D621FB"/>
    <w:rsid w:val="00D622F1"/>
    <w:rsid w:val="00D627B4"/>
    <w:rsid w:val="00D62977"/>
    <w:rsid w:val="00D62D4E"/>
    <w:rsid w:val="00D62EE1"/>
    <w:rsid w:val="00D6310B"/>
    <w:rsid w:val="00D63AE7"/>
    <w:rsid w:val="00D63EA3"/>
    <w:rsid w:val="00D63F6C"/>
    <w:rsid w:val="00D64220"/>
    <w:rsid w:val="00D64897"/>
    <w:rsid w:val="00D64CC0"/>
    <w:rsid w:val="00D64D9E"/>
    <w:rsid w:val="00D66EDA"/>
    <w:rsid w:val="00D670A9"/>
    <w:rsid w:val="00D67559"/>
    <w:rsid w:val="00D67A03"/>
    <w:rsid w:val="00D67F30"/>
    <w:rsid w:val="00D70117"/>
    <w:rsid w:val="00D70348"/>
    <w:rsid w:val="00D7034A"/>
    <w:rsid w:val="00D703E8"/>
    <w:rsid w:val="00D704DD"/>
    <w:rsid w:val="00D7056E"/>
    <w:rsid w:val="00D70BCC"/>
    <w:rsid w:val="00D71357"/>
    <w:rsid w:val="00D713F2"/>
    <w:rsid w:val="00D716C0"/>
    <w:rsid w:val="00D71A61"/>
    <w:rsid w:val="00D71FCC"/>
    <w:rsid w:val="00D72BA5"/>
    <w:rsid w:val="00D7313E"/>
    <w:rsid w:val="00D73346"/>
    <w:rsid w:val="00D7344C"/>
    <w:rsid w:val="00D7369E"/>
    <w:rsid w:val="00D73DD4"/>
    <w:rsid w:val="00D73F8A"/>
    <w:rsid w:val="00D73F9F"/>
    <w:rsid w:val="00D74057"/>
    <w:rsid w:val="00D740B5"/>
    <w:rsid w:val="00D743CE"/>
    <w:rsid w:val="00D747EA"/>
    <w:rsid w:val="00D75001"/>
    <w:rsid w:val="00D75A52"/>
    <w:rsid w:val="00D75B27"/>
    <w:rsid w:val="00D76290"/>
    <w:rsid w:val="00D769FB"/>
    <w:rsid w:val="00D76A3B"/>
    <w:rsid w:val="00D77351"/>
    <w:rsid w:val="00D77426"/>
    <w:rsid w:val="00D775B8"/>
    <w:rsid w:val="00D77B0E"/>
    <w:rsid w:val="00D77BA7"/>
    <w:rsid w:val="00D8010F"/>
    <w:rsid w:val="00D80149"/>
    <w:rsid w:val="00D8028D"/>
    <w:rsid w:val="00D808F8"/>
    <w:rsid w:val="00D80A9A"/>
    <w:rsid w:val="00D80D85"/>
    <w:rsid w:val="00D81680"/>
    <w:rsid w:val="00D81ABD"/>
    <w:rsid w:val="00D81B9E"/>
    <w:rsid w:val="00D820A5"/>
    <w:rsid w:val="00D820E0"/>
    <w:rsid w:val="00D82A21"/>
    <w:rsid w:val="00D82E5D"/>
    <w:rsid w:val="00D82ED1"/>
    <w:rsid w:val="00D83242"/>
    <w:rsid w:val="00D8382B"/>
    <w:rsid w:val="00D83932"/>
    <w:rsid w:val="00D83992"/>
    <w:rsid w:val="00D83DEE"/>
    <w:rsid w:val="00D83EEC"/>
    <w:rsid w:val="00D83F50"/>
    <w:rsid w:val="00D846DC"/>
    <w:rsid w:val="00D849D2"/>
    <w:rsid w:val="00D84C00"/>
    <w:rsid w:val="00D8540D"/>
    <w:rsid w:val="00D857A4"/>
    <w:rsid w:val="00D859B2"/>
    <w:rsid w:val="00D85CF6"/>
    <w:rsid w:val="00D86084"/>
    <w:rsid w:val="00D867B9"/>
    <w:rsid w:val="00D86A80"/>
    <w:rsid w:val="00D86C6E"/>
    <w:rsid w:val="00D8734A"/>
    <w:rsid w:val="00D87385"/>
    <w:rsid w:val="00D87B7E"/>
    <w:rsid w:val="00D9103B"/>
    <w:rsid w:val="00D9104F"/>
    <w:rsid w:val="00D91845"/>
    <w:rsid w:val="00D91960"/>
    <w:rsid w:val="00D9293E"/>
    <w:rsid w:val="00D93585"/>
    <w:rsid w:val="00D93656"/>
    <w:rsid w:val="00D93A71"/>
    <w:rsid w:val="00D93ACF"/>
    <w:rsid w:val="00D94136"/>
    <w:rsid w:val="00D9453B"/>
    <w:rsid w:val="00D9492C"/>
    <w:rsid w:val="00D9554B"/>
    <w:rsid w:val="00D95569"/>
    <w:rsid w:val="00D95839"/>
    <w:rsid w:val="00D95894"/>
    <w:rsid w:val="00D95D44"/>
    <w:rsid w:val="00D967CA"/>
    <w:rsid w:val="00D96A19"/>
    <w:rsid w:val="00D96FA9"/>
    <w:rsid w:val="00D97501"/>
    <w:rsid w:val="00D97FD2"/>
    <w:rsid w:val="00DA06CB"/>
    <w:rsid w:val="00DA0794"/>
    <w:rsid w:val="00DA1CB0"/>
    <w:rsid w:val="00DA3609"/>
    <w:rsid w:val="00DA557A"/>
    <w:rsid w:val="00DA6079"/>
    <w:rsid w:val="00DA6300"/>
    <w:rsid w:val="00DA65DA"/>
    <w:rsid w:val="00DA66B0"/>
    <w:rsid w:val="00DA7B35"/>
    <w:rsid w:val="00DA7ED2"/>
    <w:rsid w:val="00DB0590"/>
    <w:rsid w:val="00DB05F9"/>
    <w:rsid w:val="00DB1717"/>
    <w:rsid w:val="00DB2446"/>
    <w:rsid w:val="00DB2FE3"/>
    <w:rsid w:val="00DB36E2"/>
    <w:rsid w:val="00DB4488"/>
    <w:rsid w:val="00DB493A"/>
    <w:rsid w:val="00DB4A3B"/>
    <w:rsid w:val="00DB4F50"/>
    <w:rsid w:val="00DB54E3"/>
    <w:rsid w:val="00DB55F1"/>
    <w:rsid w:val="00DB56DC"/>
    <w:rsid w:val="00DB5D59"/>
    <w:rsid w:val="00DB62B9"/>
    <w:rsid w:val="00DB6E35"/>
    <w:rsid w:val="00DB71D9"/>
    <w:rsid w:val="00DB7833"/>
    <w:rsid w:val="00DB7B29"/>
    <w:rsid w:val="00DB7B2D"/>
    <w:rsid w:val="00DB7BE1"/>
    <w:rsid w:val="00DB7C0E"/>
    <w:rsid w:val="00DB7E48"/>
    <w:rsid w:val="00DB7F14"/>
    <w:rsid w:val="00DC03EA"/>
    <w:rsid w:val="00DC04EA"/>
    <w:rsid w:val="00DC0589"/>
    <w:rsid w:val="00DC1421"/>
    <w:rsid w:val="00DC20BF"/>
    <w:rsid w:val="00DC25B7"/>
    <w:rsid w:val="00DC329B"/>
    <w:rsid w:val="00DC32C3"/>
    <w:rsid w:val="00DC33D0"/>
    <w:rsid w:val="00DC36FA"/>
    <w:rsid w:val="00DC39C3"/>
    <w:rsid w:val="00DC3D27"/>
    <w:rsid w:val="00DC426B"/>
    <w:rsid w:val="00DC4E35"/>
    <w:rsid w:val="00DC5568"/>
    <w:rsid w:val="00DC5D55"/>
    <w:rsid w:val="00DC5F9C"/>
    <w:rsid w:val="00DC62A8"/>
    <w:rsid w:val="00DC64B8"/>
    <w:rsid w:val="00DC6B66"/>
    <w:rsid w:val="00DC733F"/>
    <w:rsid w:val="00DC73A6"/>
    <w:rsid w:val="00DC7971"/>
    <w:rsid w:val="00DD0184"/>
    <w:rsid w:val="00DD03FB"/>
    <w:rsid w:val="00DD074F"/>
    <w:rsid w:val="00DD0D60"/>
    <w:rsid w:val="00DD18E2"/>
    <w:rsid w:val="00DD19E8"/>
    <w:rsid w:val="00DD1B1A"/>
    <w:rsid w:val="00DD1F7B"/>
    <w:rsid w:val="00DD2662"/>
    <w:rsid w:val="00DD2B7A"/>
    <w:rsid w:val="00DD3278"/>
    <w:rsid w:val="00DD3728"/>
    <w:rsid w:val="00DD38CD"/>
    <w:rsid w:val="00DD38DC"/>
    <w:rsid w:val="00DD3DA4"/>
    <w:rsid w:val="00DD437E"/>
    <w:rsid w:val="00DD4EE7"/>
    <w:rsid w:val="00DD5159"/>
    <w:rsid w:val="00DD5176"/>
    <w:rsid w:val="00DD554B"/>
    <w:rsid w:val="00DD61FE"/>
    <w:rsid w:val="00DD62A7"/>
    <w:rsid w:val="00DD6B0B"/>
    <w:rsid w:val="00DD6B36"/>
    <w:rsid w:val="00DD6E93"/>
    <w:rsid w:val="00DD7A14"/>
    <w:rsid w:val="00DE0629"/>
    <w:rsid w:val="00DE078A"/>
    <w:rsid w:val="00DE08F2"/>
    <w:rsid w:val="00DE0A54"/>
    <w:rsid w:val="00DE1090"/>
    <w:rsid w:val="00DE1288"/>
    <w:rsid w:val="00DE26E1"/>
    <w:rsid w:val="00DE2837"/>
    <w:rsid w:val="00DE2BBB"/>
    <w:rsid w:val="00DE2FF2"/>
    <w:rsid w:val="00DE32D0"/>
    <w:rsid w:val="00DE3313"/>
    <w:rsid w:val="00DE35EC"/>
    <w:rsid w:val="00DE37F1"/>
    <w:rsid w:val="00DE3CB0"/>
    <w:rsid w:val="00DE3FC5"/>
    <w:rsid w:val="00DE49D4"/>
    <w:rsid w:val="00DE4A29"/>
    <w:rsid w:val="00DE4BA1"/>
    <w:rsid w:val="00DE4EB2"/>
    <w:rsid w:val="00DE4F26"/>
    <w:rsid w:val="00DE5BB8"/>
    <w:rsid w:val="00DE60B6"/>
    <w:rsid w:val="00DE62A2"/>
    <w:rsid w:val="00DE6791"/>
    <w:rsid w:val="00DE6D48"/>
    <w:rsid w:val="00DE71D5"/>
    <w:rsid w:val="00DE7468"/>
    <w:rsid w:val="00DE75DE"/>
    <w:rsid w:val="00DE77F0"/>
    <w:rsid w:val="00DF008D"/>
    <w:rsid w:val="00DF029D"/>
    <w:rsid w:val="00DF02A8"/>
    <w:rsid w:val="00DF215B"/>
    <w:rsid w:val="00DF2321"/>
    <w:rsid w:val="00DF242E"/>
    <w:rsid w:val="00DF2819"/>
    <w:rsid w:val="00DF3051"/>
    <w:rsid w:val="00DF33BC"/>
    <w:rsid w:val="00DF33EB"/>
    <w:rsid w:val="00DF3576"/>
    <w:rsid w:val="00DF3BB4"/>
    <w:rsid w:val="00DF3C41"/>
    <w:rsid w:val="00DF431F"/>
    <w:rsid w:val="00DF4A3E"/>
    <w:rsid w:val="00DF528B"/>
    <w:rsid w:val="00DF581A"/>
    <w:rsid w:val="00DF5E64"/>
    <w:rsid w:val="00DF61ED"/>
    <w:rsid w:val="00DF6485"/>
    <w:rsid w:val="00DF6AFA"/>
    <w:rsid w:val="00DF6FE2"/>
    <w:rsid w:val="00DF7609"/>
    <w:rsid w:val="00DF763B"/>
    <w:rsid w:val="00DF7850"/>
    <w:rsid w:val="00DF7878"/>
    <w:rsid w:val="00DF787B"/>
    <w:rsid w:val="00DF7880"/>
    <w:rsid w:val="00DF7A4D"/>
    <w:rsid w:val="00DF7A8F"/>
    <w:rsid w:val="00DF7C9E"/>
    <w:rsid w:val="00DF7CCB"/>
    <w:rsid w:val="00DF7E47"/>
    <w:rsid w:val="00E00230"/>
    <w:rsid w:val="00E0051A"/>
    <w:rsid w:val="00E00568"/>
    <w:rsid w:val="00E010F8"/>
    <w:rsid w:val="00E02063"/>
    <w:rsid w:val="00E02C2F"/>
    <w:rsid w:val="00E02D42"/>
    <w:rsid w:val="00E035AD"/>
    <w:rsid w:val="00E03B94"/>
    <w:rsid w:val="00E03F88"/>
    <w:rsid w:val="00E04824"/>
    <w:rsid w:val="00E06446"/>
    <w:rsid w:val="00E06848"/>
    <w:rsid w:val="00E06AF6"/>
    <w:rsid w:val="00E075C8"/>
    <w:rsid w:val="00E10BAD"/>
    <w:rsid w:val="00E10C37"/>
    <w:rsid w:val="00E11B0C"/>
    <w:rsid w:val="00E12071"/>
    <w:rsid w:val="00E126BE"/>
    <w:rsid w:val="00E129F8"/>
    <w:rsid w:val="00E12B03"/>
    <w:rsid w:val="00E12CC2"/>
    <w:rsid w:val="00E12EA5"/>
    <w:rsid w:val="00E133D3"/>
    <w:rsid w:val="00E13779"/>
    <w:rsid w:val="00E13D17"/>
    <w:rsid w:val="00E141DF"/>
    <w:rsid w:val="00E1465F"/>
    <w:rsid w:val="00E148EF"/>
    <w:rsid w:val="00E14A15"/>
    <w:rsid w:val="00E14AE5"/>
    <w:rsid w:val="00E1515B"/>
    <w:rsid w:val="00E1523E"/>
    <w:rsid w:val="00E154E3"/>
    <w:rsid w:val="00E1590F"/>
    <w:rsid w:val="00E15C51"/>
    <w:rsid w:val="00E16043"/>
    <w:rsid w:val="00E16147"/>
    <w:rsid w:val="00E16160"/>
    <w:rsid w:val="00E16368"/>
    <w:rsid w:val="00E16DBA"/>
    <w:rsid w:val="00E172A7"/>
    <w:rsid w:val="00E1779F"/>
    <w:rsid w:val="00E1794D"/>
    <w:rsid w:val="00E202E0"/>
    <w:rsid w:val="00E20818"/>
    <w:rsid w:val="00E20E4F"/>
    <w:rsid w:val="00E20EDA"/>
    <w:rsid w:val="00E20FFA"/>
    <w:rsid w:val="00E21885"/>
    <w:rsid w:val="00E21B02"/>
    <w:rsid w:val="00E21FE6"/>
    <w:rsid w:val="00E221EC"/>
    <w:rsid w:val="00E22928"/>
    <w:rsid w:val="00E22DF4"/>
    <w:rsid w:val="00E22E2C"/>
    <w:rsid w:val="00E230FF"/>
    <w:rsid w:val="00E23691"/>
    <w:rsid w:val="00E23FDC"/>
    <w:rsid w:val="00E24113"/>
    <w:rsid w:val="00E2424D"/>
    <w:rsid w:val="00E24F6B"/>
    <w:rsid w:val="00E2597D"/>
    <w:rsid w:val="00E26A14"/>
    <w:rsid w:val="00E271F8"/>
    <w:rsid w:val="00E27254"/>
    <w:rsid w:val="00E27589"/>
    <w:rsid w:val="00E275CD"/>
    <w:rsid w:val="00E278D3"/>
    <w:rsid w:val="00E30C9F"/>
    <w:rsid w:val="00E31193"/>
    <w:rsid w:val="00E31197"/>
    <w:rsid w:val="00E3147F"/>
    <w:rsid w:val="00E315F1"/>
    <w:rsid w:val="00E319B8"/>
    <w:rsid w:val="00E31F86"/>
    <w:rsid w:val="00E3240E"/>
    <w:rsid w:val="00E333EE"/>
    <w:rsid w:val="00E3386F"/>
    <w:rsid w:val="00E34721"/>
    <w:rsid w:val="00E3475F"/>
    <w:rsid w:val="00E35098"/>
    <w:rsid w:val="00E352D4"/>
    <w:rsid w:val="00E356D1"/>
    <w:rsid w:val="00E3579B"/>
    <w:rsid w:val="00E35A09"/>
    <w:rsid w:val="00E35E6C"/>
    <w:rsid w:val="00E360FC"/>
    <w:rsid w:val="00E3610F"/>
    <w:rsid w:val="00E363EB"/>
    <w:rsid w:val="00E3692F"/>
    <w:rsid w:val="00E36B9A"/>
    <w:rsid w:val="00E36EE6"/>
    <w:rsid w:val="00E37061"/>
    <w:rsid w:val="00E379CE"/>
    <w:rsid w:val="00E40CB4"/>
    <w:rsid w:val="00E413F5"/>
    <w:rsid w:val="00E41AA9"/>
    <w:rsid w:val="00E41E94"/>
    <w:rsid w:val="00E42011"/>
    <w:rsid w:val="00E4241C"/>
    <w:rsid w:val="00E42637"/>
    <w:rsid w:val="00E42650"/>
    <w:rsid w:val="00E42866"/>
    <w:rsid w:val="00E42DF3"/>
    <w:rsid w:val="00E430F9"/>
    <w:rsid w:val="00E43D7E"/>
    <w:rsid w:val="00E43DAC"/>
    <w:rsid w:val="00E43EB7"/>
    <w:rsid w:val="00E44172"/>
    <w:rsid w:val="00E441A1"/>
    <w:rsid w:val="00E44403"/>
    <w:rsid w:val="00E44719"/>
    <w:rsid w:val="00E4480E"/>
    <w:rsid w:val="00E44905"/>
    <w:rsid w:val="00E45315"/>
    <w:rsid w:val="00E4550C"/>
    <w:rsid w:val="00E45BDC"/>
    <w:rsid w:val="00E46065"/>
    <w:rsid w:val="00E46BCE"/>
    <w:rsid w:val="00E46CC6"/>
    <w:rsid w:val="00E4788B"/>
    <w:rsid w:val="00E47B97"/>
    <w:rsid w:val="00E51337"/>
    <w:rsid w:val="00E51A2E"/>
    <w:rsid w:val="00E51E85"/>
    <w:rsid w:val="00E524C2"/>
    <w:rsid w:val="00E52DD6"/>
    <w:rsid w:val="00E5394F"/>
    <w:rsid w:val="00E53A6F"/>
    <w:rsid w:val="00E53AA7"/>
    <w:rsid w:val="00E53DDB"/>
    <w:rsid w:val="00E53F88"/>
    <w:rsid w:val="00E542EB"/>
    <w:rsid w:val="00E54631"/>
    <w:rsid w:val="00E5464D"/>
    <w:rsid w:val="00E54684"/>
    <w:rsid w:val="00E54A33"/>
    <w:rsid w:val="00E55357"/>
    <w:rsid w:val="00E55668"/>
    <w:rsid w:val="00E55900"/>
    <w:rsid w:val="00E55CCE"/>
    <w:rsid w:val="00E562A7"/>
    <w:rsid w:val="00E56574"/>
    <w:rsid w:val="00E56BE0"/>
    <w:rsid w:val="00E56CCD"/>
    <w:rsid w:val="00E56F6D"/>
    <w:rsid w:val="00E5781B"/>
    <w:rsid w:val="00E600D2"/>
    <w:rsid w:val="00E610CB"/>
    <w:rsid w:val="00E61533"/>
    <w:rsid w:val="00E6240D"/>
    <w:rsid w:val="00E63430"/>
    <w:rsid w:val="00E63A69"/>
    <w:rsid w:val="00E63B96"/>
    <w:rsid w:val="00E63BF7"/>
    <w:rsid w:val="00E64096"/>
    <w:rsid w:val="00E64125"/>
    <w:rsid w:val="00E641FC"/>
    <w:rsid w:val="00E644BE"/>
    <w:rsid w:val="00E64563"/>
    <w:rsid w:val="00E64DD5"/>
    <w:rsid w:val="00E64EDB"/>
    <w:rsid w:val="00E64F4C"/>
    <w:rsid w:val="00E6534D"/>
    <w:rsid w:val="00E657C1"/>
    <w:rsid w:val="00E6660C"/>
    <w:rsid w:val="00E66A64"/>
    <w:rsid w:val="00E66B46"/>
    <w:rsid w:val="00E66EE0"/>
    <w:rsid w:val="00E66FCC"/>
    <w:rsid w:val="00E674C2"/>
    <w:rsid w:val="00E676FF"/>
    <w:rsid w:val="00E67B46"/>
    <w:rsid w:val="00E67CB5"/>
    <w:rsid w:val="00E67EA2"/>
    <w:rsid w:val="00E67EDD"/>
    <w:rsid w:val="00E701F2"/>
    <w:rsid w:val="00E7070D"/>
    <w:rsid w:val="00E70D84"/>
    <w:rsid w:val="00E71228"/>
    <w:rsid w:val="00E7135D"/>
    <w:rsid w:val="00E71A93"/>
    <w:rsid w:val="00E71D69"/>
    <w:rsid w:val="00E7255A"/>
    <w:rsid w:val="00E7271E"/>
    <w:rsid w:val="00E72860"/>
    <w:rsid w:val="00E7312C"/>
    <w:rsid w:val="00E7338B"/>
    <w:rsid w:val="00E7355E"/>
    <w:rsid w:val="00E73902"/>
    <w:rsid w:val="00E741D0"/>
    <w:rsid w:val="00E74FB2"/>
    <w:rsid w:val="00E753A2"/>
    <w:rsid w:val="00E75994"/>
    <w:rsid w:val="00E75AE0"/>
    <w:rsid w:val="00E76097"/>
    <w:rsid w:val="00E765C6"/>
    <w:rsid w:val="00E765E9"/>
    <w:rsid w:val="00E76690"/>
    <w:rsid w:val="00E7686B"/>
    <w:rsid w:val="00E76C37"/>
    <w:rsid w:val="00E76DD6"/>
    <w:rsid w:val="00E76FA1"/>
    <w:rsid w:val="00E773CD"/>
    <w:rsid w:val="00E8088F"/>
    <w:rsid w:val="00E80C7D"/>
    <w:rsid w:val="00E81138"/>
    <w:rsid w:val="00E81794"/>
    <w:rsid w:val="00E81A40"/>
    <w:rsid w:val="00E821C2"/>
    <w:rsid w:val="00E82677"/>
    <w:rsid w:val="00E82A41"/>
    <w:rsid w:val="00E8312C"/>
    <w:rsid w:val="00E83495"/>
    <w:rsid w:val="00E839A6"/>
    <w:rsid w:val="00E83AD0"/>
    <w:rsid w:val="00E843A0"/>
    <w:rsid w:val="00E857C6"/>
    <w:rsid w:val="00E85E7E"/>
    <w:rsid w:val="00E8606A"/>
    <w:rsid w:val="00E861C0"/>
    <w:rsid w:val="00E86CDD"/>
    <w:rsid w:val="00E86E99"/>
    <w:rsid w:val="00E878B1"/>
    <w:rsid w:val="00E87A48"/>
    <w:rsid w:val="00E87BA3"/>
    <w:rsid w:val="00E87C93"/>
    <w:rsid w:val="00E87D7E"/>
    <w:rsid w:val="00E901C8"/>
    <w:rsid w:val="00E910F9"/>
    <w:rsid w:val="00E918AB"/>
    <w:rsid w:val="00E91D87"/>
    <w:rsid w:val="00E91EE2"/>
    <w:rsid w:val="00E91F65"/>
    <w:rsid w:val="00E92E50"/>
    <w:rsid w:val="00E92F07"/>
    <w:rsid w:val="00E9316A"/>
    <w:rsid w:val="00E9319E"/>
    <w:rsid w:val="00E9330F"/>
    <w:rsid w:val="00E93ADA"/>
    <w:rsid w:val="00E93FC0"/>
    <w:rsid w:val="00E93FF5"/>
    <w:rsid w:val="00E9456E"/>
    <w:rsid w:val="00E955B1"/>
    <w:rsid w:val="00E95E9A"/>
    <w:rsid w:val="00E961BB"/>
    <w:rsid w:val="00E964B5"/>
    <w:rsid w:val="00E967A3"/>
    <w:rsid w:val="00E97445"/>
    <w:rsid w:val="00E97648"/>
    <w:rsid w:val="00E97AD1"/>
    <w:rsid w:val="00E97C18"/>
    <w:rsid w:val="00EA01F7"/>
    <w:rsid w:val="00EA0350"/>
    <w:rsid w:val="00EA0379"/>
    <w:rsid w:val="00EA0DB3"/>
    <w:rsid w:val="00EA15F7"/>
    <w:rsid w:val="00EA168A"/>
    <w:rsid w:val="00EA1D0F"/>
    <w:rsid w:val="00EA218E"/>
    <w:rsid w:val="00EA24CE"/>
    <w:rsid w:val="00EA2533"/>
    <w:rsid w:val="00EA25DE"/>
    <w:rsid w:val="00EA2903"/>
    <w:rsid w:val="00EA2C70"/>
    <w:rsid w:val="00EA3149"/>
    <w:rsid w:val="00EA33DD"/>
    <w:rsid w:val="00EA380D"/>
    <w:rsid w:val="00EA383A"/>
    <w:rsid w:val="00EA3AB4"/>
    <w:rsid w:val="00EA3AEB"/>
    <w:rsid w:val="00EA3F1E"/>
    <w:rsid w:val="00EA428B"/>
    <w:rsid w:val="00EA4C63"/>
    <w:rsid w:val="00EA5226"/>
    <w:rsid w:val="00EA54A5"/>
    <w:rsid w:val="00EA5C2A"/>
    <w:rsid w:val="00EA5E2A"/>
    <w:rsid w:val="00EA5E72"/>
    <w:rsid w:val="00EA6026"/>
    <w:rsid w:val="00EA613F"/>
    <w:rsid w:val="00EA67FD"/>
    <w:rsid w:val="00EA6CB5"/>
    <w:rsid w:val="00EA6F69"/>
    <w:rsid w:val="00EA7798"/>
    <w:rsid w:val="00EA7A48"/>
    <w:rsid w:val="00EA7BA5"/>
    <w:rsid w:val="00EB0789"/>
    <w:rsid w:val="00EB07E4"/>
    <w:rsid w:val="00EB090D"/>
    <w:rsid w:val="00EB09FB"/>
    <w:rsid w:val="00EB0A20"/>
    <w:rsid w:val="00EB0B1C"/>
    <w:rsid w:val="00EB0BD3"/>
    <w:rsid w:val="00EB2002"/>
    <w:rsid w:val="00EB2B8A"/>
    <w:rsid w:val="00EB2DCB"/>
    <w:rsid w:val="00EB3017"/>
    <w:rsid w:val="00EB3041"/>
    <w:rsid w:val="00EB3DC5"/>
    <w:rsid w:val="00EB443E"/>
    <w:rsid w:val="00EB4B0A"/>
    <w:rsid w:val="00EB505C"/>
    <w:rsid w:val="00EB52C6"/>
    <w:rsid w:val="00EB5649"/>
    <w:rsid w:val="00EB579D"/>
    <w:rsid w:val="00EB5898"/>
    <w:rsid w:val="00EB5C25"/>
    <w:rsid w:val="00EB5E3F"/>
    <w:rsid w:val="00EB633C"/>
    <w:rsid w:val="00EB6511"/>
    <w:rsid w:val="00EB6CAE"/>
    <w:rsid w:val="00EB7445"/>
    <w:rsid w:val="00EB75BB"/>
    <w:rsid w:val="00EB762C"/>
    <w:rsid w:val="00EB7914"/>
    <w:rsid w:val="00EB7EDA"/>
    <w:rsid w:val="00EC0083"/>
    <w:rsid w:val="00EC035B"/>
    <w:rsid w:val="00EC0B8D"/>
    <w:rsid w:val="00EC13CB"/>
    <w:rsid w:val="00EC14BE"/>
    <w:rsid w:val="00EC1AFE"/>
    <w:rsid w:val="00EC20BB"/>
    <w:rsid w:val="00EC35E7"/>
    <w:rsid w:val="00EC3C22"/>
    <w:rsid w:val="00EC4119"/>
    <w:rsid w:val="00EC42F3"/>
    <w:rsid w:val="00EC4F4B"/>
    <w:rsid w:val="00EC5617"/>
    <w:rsid w:val="00EC60D6"/>
    <w:rsid w:val="00EC6C28"/>
    <w:rsid w:val="00EC7055"/>
    <w:rsid w:val="00EC71D8"/>
    <w:rsid w:val="00EC75D4"/>
    <w:rsid w:val="00EC7F35"/>
    <w:rsid w:val="00ED0465"/>
    <w:rsid w:val="00ED0B11"/>
    <w:rsid w:val="00ED16D8"/>
    <w:rsid w:val="00ED1A6E"/>
    <w:rsid w:val="00ED1B2E"/>
    <w:rsid w:val="00ED1C01"/>
    <w:rsid w:val="00ED1E60"/>
    <w:rsid w:val="00ED229B"/>
    <w:rsid w:val="00ED2AD6"/>
    <w:rsid w:val="00ED4319"/>
    <w:rsid w:val="00ED545F"/>
    <w:rsid w:val="00ED5EB3"/>
    <w:rsid w:val="00ED6334"/>
    <w:rsid w:val="00ED63C6"/>
    <w:rsid w:val="00ED68DC"/>
    <w:rsid w:val="00ED6D52"/>
    <w:rsid w:val="00ED73E7"/>
    <w:rsid w:val="00ED79E2"/>
    <w:rsid w:val="00ED7FA4"/>
    <w:rsid w:val="00EE0831"/>
    <w:rsid w:val="00EE0C22"/>
    <w:rsid w:val="00EE0C49"/>
    <w:rsid w:val="00EE1662"/>
    <w:rsid w:val="00EE186F"/>
    <w:rsid w:val="00EE22C6"/>
    <w:rsid w:val="00EE22E8"/>
    <w:rsid w:val="00EE246F"/>
    <w:rsid w:val="00EE28A3"/>
    <w:rsid w:val="00EE2A48"/>
    <w:rsid w:val="00EE2EBF"/>
    <w:rsid w:val="00EE3632"/>
    <w:rsid w:val="00EE3658"/>
    <w:rsid w:val="00EE3FCA"/>
    <w:rsid w:val="00EE4393"/>
    <w:rsid w:val="00EE54D9"/>
    <w:rsid w:val="00EE55FC"/>
    <w:rsid w:val="00EE5DAF"/>
    <w:rsid w:val="00EE6148"/>
    <w:rsid w:val="00EE69D0"/>
    <w:rsid w:val="00EE6A55"/>
    <w:rsid w:val="00EE6AB1"/>
    <w:rsid w:val="00EE6E25"/>
    <w:rsid w:val="00EE7B4F"/>
    <w:rsid w:val="00EE7C66"/>
    <w:rsid w:val="00EF1240"/>
    <w:rsid w:val="00EF1479"/>
    <w:rsid w:val="00EF15CB"/>
    <w:rsid w:val="00EF1C7C"/>
    <w:rsid w:val="00EF22D6"/>
    <w:rsid w:val="00EF238B"/>
    <w:rsid w:val="00EF27F5"/>
    <w:rsid w:val="00EF28A1"/>
    <w:rsid w:val="00EF2AA5"/>
    <w:rsid w:val="00EF3664"/>
    <w:rsid w:val="00EF3F3B"/>
    <w:rsid w:val="00EF3FF7"/>
    <w:rsid w:val="00EF43B7"/>
    <w:rsid w:val="00EF4401"/>
    <w:rsid w:val="00EF48A0"/>
    <w:rsid w:val="00EF5530"/>
    <w:rsid w:val="00EF567B"/>
    <w:rsid w:val="00EF591D"/>
    <w:rsid w:val="00EF5FFF"/>
    <w:rsid w:val="00EF65E6"/>
    <w:rsid w:val="00EF6839"/>
    <w:rsid w:val="00EF683C"/>
    <w:rsid w:val="00EF7684"/>
    <w:rsid w:val="00EF7698"/>
    <w:rsid w:val="00EF7BEF"/>
    <w:rsid w:val="00F0025E"/>
    <w:rsid w:val="00F00719"/>
    <w:rsid w:val="00F00E96"/>
    <w:rsid w:val="00F01162"/>
    <w:rsid w:val="00F01285"/>
    <w:rsid w:val="00F01744"/>
    <w:rsid w:val="00F01F58"/>
    <w:rsid w:val="00F021B9"/>
    <w:rsid w:val="00F0266B"/>
    <w:rsid w:val="00F02A91"/>
    <w:rsid w:val="00F02E7B"/>
    <w:rsid w:val="00F034B1"/>
    <w:rsid w:val="00F034F1"/>
    <w:rsid w:val="00F03504"/>
    <w:rsid w:val="00F0488C"/>
    <w:rsid w:val="00F04A5C"/>
    <w:rsid w:val="00F05481"/>
    <w:rsid w:val="00F05894"/>
    <w:rsid w:val="00F06390"/>
    <w:rsid w:val="00F06845"/>
    <w:rsid w:val="00F1003F"/>
    <w:rsid w:val="00F10346"/>
    <w:rsid w:val="00F10B15"/>
    <w:rsid w:val="00F11BBA"/>
    <w:rsid w:val="00F12257"/>
    <w:rsid w:val="00F12446"/>
    <w:rsid w:val="00F125CF"/>
    <w:rsid w:val="00F12DFB"/>
    <w:rsid w:val="00F12ED1"/>
    <w:rsid w:val="00F12FE6"/>
    <w:rsid w:val="00F13394"/>
    <w:rsid w:val="00F137A1"/>
    <w:rsid w:val="00F137F8"/>
    <w:rsid w:val="00F13D71"/>
    <w:rsid w:val="00F13E2A"/>
    <w:rsid w:val="00F142BC"/>
    <w:rsid w:val="00F14AF5"/>
    <w:rsid w:val="00F14D28"/>
    <w:rsid w:val="00F14E8F"/>
    <w:rsid w:val="00F14FA4"/>
    <w:rsid w:val="00F154B8"/>
    <w:rsid w:val="00F154DC"/>
    <w:rsid w:val="00F15638"/>
    <w:rsid w:val="00F15E79"/>
    <w:rsid w:val="00F160B9"/>
    <w:rsid w:val="00F1646E"/>
    <w:rsid w:val="00F165DA"/>
    <w:rsid w:val="00F1711F"/>
    <w:rsid w:val="00F174A4"/>
    <w:rsid w:val="00F1762D"/>
    <w:rsid w:val="00F17C48"/>
    <w:rsid w:val="00F17E3D"/>
    <w:rsid w:val="00F17E3F"/>
    <w:rsid w:val="00F17E95"/>
    <w:rsid w:val="00F17EEE"/>
    <w:rsid w:val="00F2040D"/>
    <w:rsid w:val="00F2101C"/>
    <w:rsid w:val="00F2196F"/>
    <w:rsid w:val="00F21E48"/>
    <w:rsid w:val="00F2210F"/>
    <w:rsid w:val="00F222E7"/>
    <w:rsid w:val="00F223CE"/>
    <w:rsid w:val="00F22D34"/>
    <w:rsid w:val="00F233A9"/>
    <w:rsid w:val="00F24BD5"/>
    <w:rsid w:val="00F24E0E"/>
    <w:rsid w:val="00F252FF"/>
    <w:rsid w:val="00F25B22"/>
    <w:rsid w:val="00F26439"/>
    <w:rsid w:val="00F26502"/>
    <w:rsid w:val="00F266D8"/>
    <w:rsid w:val="00F26750"/>
    <w:rsid w:val="00F2677A"/>
    <w:rsid w:val="00F27224"/>
    <w:rsid w:val="00F27458"/>
    <w:rsid w:val="00F3069B"/>
    <w:rsid w:val="00F3091B"/>
    <w:rsid w:val="00F314AD"/>
    <w:rsid w:val="00F315D5"/>
    <w:rsid w:val="00F31832"/>
    <w:rsid w:val="00F3235D"/>
    <w:rsid w:val="00F32AB2"/>
    <w:rsid w:val="00F3309A"/>
    <w:rsid w:val="00F33779"/>
    <w:rsid w:val="00F339B3"/>
    <w:rsid w:val="00F33D9B"/>
    <w:rsid w:val="00F33FCC"/>
    <w:rsid w:val="00F34D19"/>
    <w:rsid w:val="00F34E5F"/>
    <w:rsid w:val="00F352B8"/>
    <w:rsid w:val="00F35A83"/>
    <w:rsid w:val="00F35F73"/>
    <w:rsid w:val="00F35F91"/>
    <w:rsid w:val="00F362DE"/>
    <w:rsid w:val="00F365AC"/>
    <w:rsid w:val="00F377F9"/>
    <w:rsid w:val="00F37979"/>
    <w:rsid w:val="00F37EA1"/>
    <w:rsid w:val="00F37F57"/>
    <w:rsid w:val="00F40146"/>
    <w:rsid w:val="00F40430"/>
    <w:rsid w:val="00F405B9"/>
    <w:rsid w:val="00F4092C"/>
    <w:rsid w:val="00F40EE7"/>
    <w:rsid w:val="00F41312"/>
    <w:rsid w:val="00F41394"/>
    <w:rsid w:val="00F417AF"/>
    <w:rsid w:val="00F418E9"/>
    <w:rsid w:val="00F41F6D"/>
    <w:rsid w:val="00F420BE"/>
    <w:rsid w:val="00F42822"/>
    <w:rsid w:val="00F42D4E"/>
    <w:rsid w:val="00F4307D"/>
    <w:rsid w:val="00F431E0"/>
    <w:rsid w:val="00F439F9"/>
    <w:rsid w:val="00F44464"/>
    <w:rsid w:val="00F4496D"/>
    <w:rsid w:val="00F44A60"/>
    <w:rsid w:val="00F45CA2"/>
    <w:rsid w:val="00F46797"/>
    <w:rsid w:val="00F46BB7"/>
    <w:rsid w:val="00F46E6D"/>
    <w:rsid w:val="00F4797D"/>
    <w:rsid w:val="00F501DD"/>
    <w:rsid w:val="00F50B34"/>
    <w:rsid w:val="00F50FB7"/>
    <w:rsid w:val="00F512DA"/>
    <w:rsid w:val="00F514B7"/>
    <w:rsid w:val="00F51994"/>
    <w:rsid w:val="00F51C00"/>
    <w:rsid w:val="00F51D37"/>
    <w:rsid w:val="00F520C0"/>
    <w:rsid w:val="00F52FFF"/>
    <w:rsid w:val="00F534A2"/>
    <w:rsid w:val="00F53521"/>
    <w:rsid w:val="00F538F0"/>
    <w:rsid w:val="00F53A75"/>
    <w:rsid w:val="00F53D55"/>
    <w:rsid w:val="00F54147"/>
    <w:rsid w:val="00F5515C"/>
    <w:rsid w:val="00F554BE"/>
    <w:rsid w:val="00F555F6"/>
    <w:rsid w:val="00F5615D"/>
    <w:rsid w:val="00F56166"/>
    <w:rsid w:val="00F56431"/>
    <w:rsid w:val="00F5765D"/>
    <w:rsid w:val="00F579F0"/>
    <w:rsid w:val="00F57A5E"/>
    <w:rsid w:val="00F60098"/>
    <w:rsid w:val="00F60790"/>
    <w:rsid w:val="00F609E2"/>
    <w:rsid w:val="00F60F7F"/>
    <w:rsid w:val="00F610C0"/>
    <w:rsid w:val="00F614C3"/>
    <w:rsid w:val="00F61BCE"/>
    <w:rsid w:val="00F61FAB"/>
    <w:rsid w:val="00F62062"/>
    <w:rsid w:val="00F622BF"/>
    <w:rsid w:val="00F62666"/>
    <w:rsid w:val="00F62741"/>
    <w:rsid w:val="00F62811"/>
    <w:rsid w:val="00F629FC"/>
    <w:rsid w:val="00F62EFD"/>
    <w:rsid w:val="00F62F63"/>
    <w:rsid w:val="00F62FF8"/>
    <w:rsid w:val="00F63DD6"/>
    <w:rsid w:val="00F642B8"/>
    <w:rsid w:val="00F64342"/>
    <w:rsid w:val="00F64F7A"/>
    <w:rsid w:val="00F64FE3"/>
    <w:rsid w:val="00F65284"/>
    <w:rsid w:val="00F655A8"/>
    <w:rsid w:val="00F65918"/>
    <w:rsid w:val="00F6592A"/>
    <w:rsid w:val="00F6641F"/>
    <w:rsid w:val="00F66DF6"/>
    <w:rsid w:val="00F670B9"/>
    <w:rsid w:val="00F67100"/>
    <w:rsid w:val="00F67222"/>
    <w:rsid w:val="00F6749B"/>
    <w:rsid w:val="00F674EA"/>
    <w:rsid w:val="00F67AEB"/>
    <w:rsid w:val="00F67B85"/>
    <w:rsid w:val="00F701D5"/>
    <w:rsid w:val="00F70BF6"/>
    <w:rsid w:val="00F70D7B"/>
    <w:rsid w:val="00F7127E"/>
    <w:rsid w:val="00F7186A"/>
    <w:rsid w:val="00F71CEF"/>
    <w:rsid w:val="00F71FF3"/>
    <w:rsid w:val="00F72138"/>
    <w:rsid w:val="00F723C0"/>
    <w:rsid w:val="00F72497"/>
    <w:rsid w:val="00F73162"/>
    <w:rsid w:val="00F73E7C"/>
    <w:rsid w:val="00F73FC1"/>
    <w:rsid w:val="00F74043"/>
    <w:rsid w:val="00F74063"/>
    <w:rsid w:val="00F7421E"/>
    <w:rsid w:val="00F742E0"/>
    <w:rsid w:val="00F74980"/>
    <w:rsid w:val="00F74C55"/>
    <w:rsid w:val="00F74E1C"/>
    <w:rsid w:val="00F751C4"/>
    <w:rsid w:val="00F75478"/>
    <w:rsid w:val="00F75E8B"/>
    <w:rsid w:val="00F760F1"/>
    <w:rsid w:val="00F76644"/>
    <w:rsid w:val="00F7692C"/>
    <w:rsid w:val="00F76ADF"/>
    <w:rsid w:val="00F76B60"/>
    <w:rsid w:val="00F76C0D"/>
    <w:rsid w:val="00F7738A"/>
    <w:rsid w:val="00F77440"/>
    <w:rsid w:val="00F777BC"/>
    <w:rsid w:val="00F777C3"/>
    <w:rsid w:val="00F77A04"/>
    <w:rsid w:val="00F77AC3"/>
    <w:rsid w:val="00F8059F"/>
    <w:rsid w:val="00F8083E"/>
    <w:rsid w:val="00F809ED"/>
    <w:rsid w:val="00F80DB3"/>
    <w:rsid w:val="00F80EAD"/>
    <w:rsid w:val="00F81011"/>
    <w:rsid w:val="00F812B0"/>
    <w:rsid w:val="00F8174E"/>
    <w:rsid w:val="00F823A2"/>
    <w:rsid w:val="00F82611"/>
    <w:rsid w:val="00F82CB3"/>
    <w:rsid w:val="00F83315"/>
    <w:rsid w:val="00F833BE"/>
    <w:rsid w:val="00F834BD"/>
    <w:rsid w:val="00F83C78"/>
    <w:rsid w:val="00F84353"/>
    <w:rsid w:val="00F844CC"/>
    <w:rsid w:val="00F84742"/>
    <w:rsid w:val="00F84BD2"/>
    <w:rsid w:val="00F84D85"/>
    <w:rsid w:val="00F857E1"/>
    <w:rsid w:val="00F85AEC"/>
    <w:rsid w:val="00F87211"/>
    <w:rsid w:val="00F87700"/>
    <w:rsid w:val="00F8771F"/>
    <w:rsid w:val="00F87DE2"/>
    <w:rsid w:val="00F90611"/>
    <w:rsid w:val="00F906B3"/>
    <w:rsid w:val="00F906CD"/>
    <w:rsid w:val="00F906FA"/>
    <w:rsid w:val="00F90B52"/>
    <w:rsid w:val="00F90D98"/>
    <w:rsid w:val="00F90F1A"/>
    <w:rsid w:val="00F9130A"/>
    <w:rsid w:val="00F913D9"/>
    <w:rsid w:val="00F91D01"/>
    <w:rsid w:val="00F91D87"/>
    <w:rsid w:val="00F91EC6"/>
    <w:rsid w:val="00F92029"/>
    <w:rsid w:val="00F92045"/>
    <w:rsid w:val="00F92462"/>
    <w:rsid w:val="00F926F1"/>
    <w:rsid w:val="00F92F53"/>
    <w:rsid w:val="00F930F6"/>
    <w:rsid w:val="00F931AA"/>
    <w:rsid w:val="00F936FA"/>
    <w:rsid w:val="00F94C2F"/>
    <w:rsid w:val="00F94CD3"/>
    <w:rsid w:val="00F94EE1"/>
    <w:rsid w:val="00F953D8"/>
    <w:rsid w:val="00F95EF4"/>
    <w:rsid w:val="00F96869"/>
    <w:rsid w:val="00F97089"/>
    <w:rsid w:val="00F97C23"/>
    <w:rsid w:val="00F97E95"/>
    <w:rsid w:val="00F97F4B"/>
    <w:rsid w:val="00FA05EA"/>
    <w:rsid w:val="00FA1D6D"/>
    <w:rsid w:val="00FA24A2"/>
    <w:rsid w:val="00FA262D"/>
    <w:rsid w:val="00FA345B"/>
    <w:rsid w:val="00FA3510"/>
    <w:rsid w:val="00FA3643"/>
    <w:rsid w:val="00FA3A19"/>
    <w:rsid w:val="00FA3BD4"/>
    <w:rsid w:val="00FA3DB8"/>
    <w:rsid w:val="00FA419A"/>
    <w:rsid w:val="00FA5A0C"/>
    <w:rsid w:val="00FA5D39"/>
    <w:rsid w:val="00FA5DE5"/>
    <w:rsid w:val="00FA6291"/>
    <w:rsid w:val="00FA63C6"/>
    <w:rsid w:val="00FA66B6"/>
    <w:rsid w:val="00FA6C6B"/>
    <w:rsid w:val="00FA6D5F"/>
    <w:rsid w:val="00FA7658"/>
    <w:rsid w:val="00FA79EC"/>
    <w:rsid w:val="00FA7A36"/>
    <w:rsid w:val="00FA7B88"/>
    <w:rsid w:val="00FA7DB3"/>
    <w:rsid w:val="00FB0BDD"/>
    <w:rsid w:val="00FB10D4"/>
    <w:rsid w:val="00FB11D2"/>
    <w:rsid w:val="00FB138A"/>
    <w:rsid w:val="00FB1438"/>
    <w:rsid w:val="00FB1863"/>
    <w:rsid w:val="00FB1B52"/>
    <w:rsid w:val="00FB2907"/>
    <w:rsid w:val="00FB3224"/>
    <w:rsid w:val="00FB3761"/>
    <w:rsid w:val="00FB3CCB"/>
    <w:rsid w:val="00FB3E78"/>
    <w:rsid w:val="00FB42E3"/>
    <w:rsid w:val="00FB43D8"/>
    <w:rsid w:val="00FB46DB"/>
    <w:rsid w:val="00FB48E2"/>
    <w:rsid w:val="00FB4AA5"/>
    <w:rsid w:val="00FB5846"/>
    <w:rsid w:val="00FB5EC1"/>
    <w:rsid w:val="00FB6228"/>
    <w:rsid w:val="00FB64E0"/>
    <w:rsid w:val="00FB6A18"/>
    <w:rsid w:val="00FB733D"/>
    <w:rsid w:val="00FB7422"/>
    <w:rsid w:val="00FB7552"/>
    <w:rsid w:val="00FB7BD2"/>
    <w:rsid w:val="00FC06C8"/>
    <w:rsid w:val="00FC0886"/>
    <w:rsid w:val="00FC13EE"/>
    <w:rsid w:val="00FC1C11"/>
    <w:rsid w:val="00FC20EA"/>
    <w:rsid w:val="00FC21C3"/>
    <w:rsid w:val="00FC22C2"/>
    <w:rsid w:val="00FC23B1"/>
    <w:rsid w:val="00FC256E"/>
    <w:rsid w:val="00FC2991"/>
    <w:rsid w:val="00FC2F3C"/>
    <w:rsid w:val="00FC2F5E"/>
    <w:rsid w:val="00FC2FA7"/>
    <w:rsid w:val="00FC3002"/>
    <w:rsid w:val="00FC4053"/>
    <w:rsid w:val="00FC44FE"/>
    <w:rsid w:val="00FC4D70"/>
    <w:rsid w:val="00FC4EA6"/>
    <w:rsid w:val="00FC5291"/>
    <w:rsid w:val="00FC539F"/>
    <w:rsid w:val="00FC53F0"/>
    <w:rsid w:val="00FC5688"/>
    <w:rsid w:val="00FC58E7"/>
    <w:rsid w:val="00FC6045"/>
    <w:rsid w:val="00FC60F1"/>
    <w:rsid w:val="00FC61B7"/>
    <w:rsid w:val="00FC64DD"/>
    <w:rsid w:val="00FC6B81"/>
    <w:rsid w:val="00FC7751"/>
    <w:rsid w:val="00FC7906"/>
    <w:rsid w:val="00FC7ECA"/>
    <w:rsid w:val="00FD020C"/>
    <w:rsid w:val="00FD03E3"/>
    <w:rsid w:val="00FD0843"/>
    <w:rsid w:val="00FD09B0"/>
    <w:rsid w:val="00FD0EE1"/>
    <w:rsid w:val="00FD0FA0"/>
    <w:rsid w:val="00FD113C"/>
    <w:rsid w:val="00FD12AE"/>
    <w:rsid w:val="00FD1668"/>
    <w:rsid w:val="00FD204C"/>
    <w:rsid w:val="00FD295F"/>
    <w:rsid w:val="00FD2B26"/>
    <w:rsid w:val="00FD2FA4"/>
    <w:rsid w:val="00FD33EA"/>
    <w:rsid w:val="00FD3ABA"/>
    <w:rsid w:val="00FD3EF8"/>
    <w:rsid w:val="00FD3FB7"/>
    <w:rsid w:val="00FD498A"/>
    <w:rsid w:val="00FD4D69"/>
    <w:rsid w:val="00FD4F3F"/>
    <w:rsid w:val="00FD4FB1"/>
    <w:rsid w:val="00FD50AD"/>
    <w:rsid w:val="00FD511A"/>
    <w:rsid w:val="00FD5A64"/>
    <w:rsid w:val="00FD6074"/>
    <w:rsid w:val="00FD6498"/>
    <w:rsid w:val="00FD7026"/>
    <w:rsid w:val="00FD708D"/>
    <w:rsid w:val="00FD78C0"/>
    <w:rsid w:val="00FD7D75"/>
    <w:rsid w:val="00FD7DFA"/>
    <w:rsid w:val="00FD7E59"/>
    <w:rsid w:val="00FE01AF"/>
    <w:rsid w:val="00FE0418"/>
    <w:rsid w:val="00FE18D1"/>
    <w:rsid w:val="00FE224E"/>
    <w:rsid w:val="00FE23C7"/>
    <w:rsid w:val="00FE2809"/>
    <w:rsid w:val="00FE2D40"/>
    <w:rsid w:val="00FE3659"/>
    <w:rsid w:val="00FE3A6A"/>
    <w:rsid w:val="00FE3D89"/>
    <w:rsid w:val="00FE482D"/>
    <w:rsid w:val="00FE4E7F"/>
    <w:rsid w:val="00FE51DC"/>
    <w:rsid w:val="00FE53AD"/>
    <w:rsid w:val="00FE764C"/>
    <w:rsid w:val="00FE7C58"/>
    <w:rsid w:val="00FF0A07"/>
    <w:rsid w:val="00FF15B9"/>
    <w:rsid w:val="00FF178F"/>
    <w:rsid w:val="00FF1798"/>
    <w:rsid w:val="00FF1D94"/>
    <w:rsid w:val="00FF1DE9"/>
    <w:rsid w:val="00FF1FF2"/>
    <w:rsid w:val="00FF20D7"/>
    <w:rsid w:val="00FF2CAB"/>
    <w:rsid w:val="00FF353D"/>
    <w:rsid w:val="00FF397C"/>
    <w:rsid w:val="00FF454F"/>
    <w:rsid w:val="00FF4CD6"/>
    <w:rsid w:val="00FF5E01"/>
    <w:rsid w:val="00FF5E13"/>
    <w:rsid w:val="00FF6785"/>
    <w:rsid w:val="00FF6B9A"/>
    <w:rsid w:val="00FF6E5F"/>
    <w:rsid w:val="00FF6F37"/>
    <w:rsid w:val="00FF7169"/>
    <w:rsid w:val="00FF76F7"/>
    <w:rsid w:val="00FF7B7E"/>
    <w:rsid w:val="00FF7F68"/>
    <w:rsid w:val="01A61E09"/>
    <w:rsid w:val="036A1F1E"/>
    <w:rsid w:val="03FD0A81"/>
    <w:rsid w:val="044A3E16"/>
    <w:rsid w:val="06614F08"/>
    <w:rsid w:val="08210A15"/>
    <w:rsid w:val="08AE7783"/>
    <w:rsid w:val="09420CB4"/>
    <w:rsid w:val="0A9F38F9"/>
    <w:rsid w:val="0B354E7A"/>
    <w:rsid w:val="0C610FDC"/>
    <w:rsid w:val="0CB40DE6"/>
    <w:rsid w:val="0D272137"/>
    <w:rsid w:val="0D6D14C9"/>
    <w:rsid w:val="0D7942F6"/>
    <w:rsid w:val="104C37BF"/>
    <w:rsid w:val="114669A8"/>
    <w:rsid w:val="118006DC"/>
    <w:rsid w:val="11863344"/>
    <w:rsid w:val="12C235D4"/>
    <w:rsid w:val="12CE230D"/>
    <w:rsid w:val="14382EE1"/>
    <w:rsid w:val="172857E9"/>
    <w:rsid w:val="17416AA1"/>
    <w:rsid w:val="17646D1F"/>
    <w:rsid w:val="1D854AFC"/>
    <w:rsid w:val="1E4349AC"/>
    <w:rsid w:val="1F073974"/>
    <w:rsid w:val="1F235EF3"/>
    <w:rsid w:val="1FDB35E7"/>
    <w:rsid w:val="1FE37FDB"/>
    <w:rsid w:val="206430BE"/>
    <w:rsid w:val="20B748A9"/>
    <w:rsid w:val="222C0C9D"/>
    <w:rsid w:val="25161EF5"/>
    <w:rsid w:val="261E7C99"/>
    <w:rsid w:val="27683ADA"/>
    <w:rsid w:val="278C7B3F"/>
    <w:rsid w:val="284705A3"/>
    <w:rsid w:val="28BE14E7"/>
    <w:rsid w:val="29127DFB"/>
    <w:rsid w:val="2B2E6169"/>
    <w:rsid w:val="2BA1784B"/>
    <w:rsid w:val="2C1B14AA"/>
    <w:rsid w:val="2C2E44B5"/>
    <w:rsid w:val="2D001A84"/>
    <w:rsid w:val="2D0A3843"/>
    <w:rsid w:val="2D537521"/>
    <w:rsid w:val="2DD971B0"/>
    <w:rsid w:val="2E640206"/>
    <w:rsid w:val="2EC44879"/>
    <w:rsid w:val="305C5FA6"/>
    <w:rsid w:val="31E5360E"/>
    <w:rsid w:val="328A5CFA"/>
    <w:rsid w:val="32D05268"/>
    <w:rsid w:val="33CA7F63"/>
    <w:rsid w:val="368D718F"/>
    <w:rsid w:val="38550CF9"/>
    <w:rsid w:val="393D0171"/>
    <w:rsid w:val="39401CCF"/>
    <w:rsid w:val="39D05271"/>
    <w:rsid w:val="39FF1629"/>
    <w:rsid w:val="3A895415"/>
    <w:rsid w:val="3B0D4F38"/>
    <w:rsid w:val="3B601BF5"/>
    <w:rsid w:val="3D07322A"/>
    <w:rsid w:val="3F2F47CE"/>
    <w:rsid w:val="402F6236"/>
    <w:rsid w:val="404E0631"/>
    <w:rsid w:val="416C7E54"/>
    <w:rsid w:val="41E1157E"/>
    <w:rsid w:val="46A8262C"/>
    <w:rsid w:val="481C0CDA"/>
    <w:rsid w:val="4C747C65"/>
    <w:rsid w:val="4D4A1749"/>
    <w:rsid w:val="4D5A6B9E"/>
    <w:rsid w:val="4DD22A69"/>
    <w:rsid w:val="4EA30099"/>
    <w:rsid w:val="4EB70217"/>
    <w:rsid w:val="4FAC1EA3"/>
    <w:rsid w:val="5270551B"/>
    <w:rsid w:val="536E21EE"/>
    <w:rsid w:val="548E44C7"/>
    <w:rsid w:val="54C67EA4"/>
    <w:rsid w:val="55164323"/>
    <w:rsid w:val="57D20EFB"/>
    <w:rsid w:val="5B0608E3"/>
    <w:rsid w:val="5ECF6FC2"/>
    <w:rsid w:val="60A26178"/>
    <w:rsid w:val="61301555"/>
    <w:rsid w:val="62466860"/>
    <w:rsid w:val="633C0DEA"/>
    <w:rsid w:val="64CF6897"/>
    <w:rsid w:val="64E149E4"/>
    <w:rsid w:val="65082116"/>
    <w:rsid w:val="671B23FA"/>
    <w:rsid w:val="674C4533"/>
    <w:rsid w:val="68056FA5"/>
    <w:rsid w:val="699C0483"/>
    <w:rsid w:val="6A1954FA"/>
    <w:rsid w:val="6A7F7974"/>
    <w:rsid w:val="6B001203"/>
    <w:rsid w:val="6D155F31"/>
    <w:rsid w:val="6D8049B5"/>
    <w:rsid w:val="71FF1004"/>
    <w:rsid w:val="740B1FF0"/>
    <w:rsid w:val="74421B3B"/>
    <w:rsid w:val="749F77DE"/>
    <w:rsid w:val="751370E0"/>
    <w:rsid w:val="7562469E"/>
    <w:rsid w:val="780B4B05"/>
    <w:rsid w:val="793B4DF1"/>
    <w:rsid w:val="796E2148"/>
    <w:rsid w:val="7BB2734C"/>
    <w:rsid w:val="7DA13C48"/>
    <w:rsid w:val="7E447D30"/>
    <w:rsid w:val="7EFF2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2"/>
    <w:qFormat/>
    <w:uiPriority w:val="9"/>
    <w:pPr>
      <w:keepNext/>
      <w:keepLines/>
      <w:spacing w:before="260" w:after="260" w:line="416" w:lineRule="auto"/>
      <w:outlineLvl w:val="2"/>
    </w:pPr>
    <w:rPr>
      <w:b/>
      <w:bCs/>
      <w:kern w:val="0"/>
      <w:sz w:val="32"/>
      <w:szCs w:val="32"/>
    </w:rPr>
  </w:style>
  <w:style w:type="paragraph" w:styleId="6">
    <w:name w:val="heading 4"/>
    <w:basedOn w:val="1"/>
    <w:next w:val="1"/>
    <w:link w:val="40"/>
    <w:qFormat/>
    <w:uiPriority w:val="9"/>
    <w:pPr>
      <w:keepNext/>
      <w:keepLines/>
      <w:spacing w:before="280" w:after="290" w:line="376" w:lineRule="auto"/>
      <w:outlineLvl w:val="3"/>
    </w:pPr>
    <w:rPr>
      <w:rFonts w:ascii="Cambria" w:hAnsi="Cambria"/>
      <w:b/>
      <w:bCs/>
      <w:kern w:val="0"/>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7">
    <w:name w:val="annotation text"/>
    <w:basedOn w:val="1"/>
    <w:link w:val="48"/>
    <w:unhideWhenUsed/>
    <w:qFormat/>
    <w:uiPriority w:val="99"/>
    <w:pPr>
      <w:jc w:val="left"/>
    </w:pPr>
  </w:style>
  <w:style w:type="paragraph" w:styleId="8">
    <w:name w:val="Body Text"/>
    <w:basedOn w:val="1"/>
    <w:link w:val="38"/>
    <w:qFormat/>
    <w:uiPriority w:val="0"/>
    <w:pPr>
      <w:spacing w:after="120"/>
    </w:pPr>
    <w:rPr>
      <w:kern w:val="0"/>
      <w:sz w:val="20"/>
      <w:szCs w:val="24"/>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43"/>
    <w:qFormat/>
    <w:uiPriority w:val="0"/>
    <w:rPr>
      <w:rFonts w:ascii="宋体" w:hAnsi="Courier New"/>
      <w:kern w:val="0"/>
      <w:sz w:val="20"/>
      <w:szCs w:val="24"/>
    </w:rPr>
  </w:style>
  <w:style w:type="paragraph" w:styleId="11">
    <w:name w:val="Date"/>
    <w:basedOn w:val="1"/>
    <w:next w:val="1"/>
    <w:link w:val="47"/>
    <w:unhideWhenUsed/>
    <w:qFormat/>
    <w:uiPriority w:val="0"/>
    <w:pPr>
      <w:ind w:left="100" w:leftChars="2500"/>
    </w:pPr>
  </w:style>
  <w:style w:type="paragraph" w:styleId="12">
    <w:name w:val="Balloon Text"/>
    <w:basedOn w:val="1"/>
    <w:link w:val="55"/>
    <w:unhideWhenUsed/>
    <w:qFormat/>
    <w:uiPriority w:val="99"/>
    <w:rPr>
      <w:kern w:val="0"/>
      <w:sz w:val="18"/>
      <w:szCs w:val="18"/>
    </w:rPr>
  </w:style>
  <w:style w:type="paragraph" w:styleId="13">
    <w:name w:val="footer"/>
    <w:basedOn w:val="1"/>
    <w:link w:val="51"/>
    <w:unhideWhenUsed/>
    <w:qFormat/>
    <w:uiPriority w:val="99"/>
    <w:pPr>
      <w:tabs>
        <w:tab w:val="center" w:pos="4153"/>
        <w:tab w:val="right" w:pos="8306"/>
      </w:tabs>
      <w:snapToGrid w:val="0"/>
      <w:jc w:val="left"/>
    </w:pPr>
    <w:rPr>
      <w:kern w:val="0"/>
      <w:sz w:val="18"/>
      <w:szCs w:val="18"/>
    </w:rPr>
  </w:style>
  <w:style w:type="paragraph" w:styleId="14">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widowControl/>
      <w:tabs>
        <w:tab w:val="right" w:leader="dot" w:pos="8273"/>
      </w:tabs>
      <w:spacing w:line="360" w:lineRule="auto"/>
      <w:jc w:val="left"/>
    </w:pPr>
    <w:rPr>
      <w:rFonts w:eastAsia="黑体"/>
      <w:kern w:val="0"/>
      <w:sz w:val="22"/>
    </w:rPr>
  </w:style>
  <w:style w:type="paragraph" w:styleId="16">
    <w:name w:val="toc 2"/>
    <w:basedOn w:val="1"/>
    <w:next w:val="1"/>
    <w:unhideWhenUsed/>
    <w:qFormat/>
    <w:uiPriority w:val="39"/>
    <w:pPr>
      <w:widowControl/>
      <w:tabs>
        <w:tab w:val="right" w:leader="dot" w:pos="8302"/>
      </w:tabs>
      <w:spacing w:after="100" w:line="276" w:lineRule="auto"/>
      <w:ind w:left="221"/>
      <w:jc w:val="left"/>
    </w:pPr>
    <w:rPr>
      <w:kern w:val="0"/>
      <w:sz w:val="22"/>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annotation subject"/>
    <w:basedOn w:val="7"/>
    <w:next w:val="7"/>
    <w:link w:val="54"/>
    <w:unhideWhenUsed/>
    <w:qFormat/>
    <w:uiPriority w:val="99"/>
    <w:rPr>
      <w:b/>
      <w:bCs/>
      <w:kern w:val="0"/>
      <w:sz w:val="20"/>
      <w:szCs w:val="20"/>
    </w:rPr>
  </w:style>
  <w:style w:type="paragraph" w:styleId="19">
    <w:name w:val="Body Text First Indent"/>
    <w:basedOn w:val="8"/>
    <w:link w:val="37"/>
    <w:unhideWhenUsed/>
    <w:qFormat/>
    <w:uiPriority w:val="99"/>
    <w:pPr>
      <w:ind w:firstLine="420" w:firstLineChars="100"/>
    </w:pPr>
    <w:rPr>
      <w:rFonts w:ascii="Calibri" w:hAnsi="Calibri"/>
      <w:kern w:val="2"/>
      <w:sz w:val="21"/>
      <w:szCs w:val="2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FollowedHyperlink"/>
    <w:unhideWhenUsed/>
    <w:qFormat/>
    <w:uiPriority w:val="99"/>
    <w:rPr>
      <w:color w:val="800080"/>
      <w:u w:val="single"/>
    </w:rPr>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paragraph" w:customStyle="1" w:styleId="27">
    <w:name w:val="_Style 202"/>
    <w:basedOn w:val="1"/>
    <w:qFormat/>
    <w:uiPriority w:val="0"/>
    <w:pPr>
      <w:tabs>
        <w:tab w:val="left" w:pos="360"/>
      </w:tabs>
    </w:pPr>
    <w:rPr>
      <w:szCs w:val="24"/>
    </w:rPr>
  </w:style>
  <w:style w:type="paragraph" w:customStyle="1" w:styleId="28">
    <w:name w:val="保留正文"/>
    <w:basedOn w:val="8"/>
    <w:qFormat/>
    <w:uiPriority w:val="0"/>
    <w:pPr>
      <w:keepNext/>
      <w:spacing w:after="160"/>
    </w:pPr>
  </w:style>
  <w:style w:type="paragraph" w:customStyle="1" w:styleId="29">
    <w:name w:val="列出段落1"/>
    <w:basedOn w:val="1"/>
    <w:qFormat/>
    <w:uiPriority w:val="34"/>
    <w:pPr>
      <w:ind w:firstLine="420" w:firstLineChars="200"/>
    </w:pPr>
    <w:rPr>
      <w:rFonts w:ascii="Calibri" w:hAnsi="Calibri" w:cs="黑体"/>
    </w:rPr>
  </w:style>
  <w:style w:type="paragraph" w:customStyle="1" w:styleId="30">
    <w:name w:val="1 Char Char Char Char"/>
    <w:basedOn w:val="1"/>
    <w:qFormat/>
    <w:uiPriority w:val="0"/>
    <w:pPr>
      <w:spacing w:after="160" w:line="240" w:lineRule="exact"/>
    </w:pPr>
    <w:rPr>
      <w:szCs w:val="24"/>
    </w:rPr>
  </w:style>
  <w:style w:type="paragraph" w:customStyle="1" w:styleId="31">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32">
    <w:name w:val="列表段落1"/>
    <w:basedOn w:val="1"/>
    <w:link w:val="42"/>
    <w:qFormat/>
    <w:uiPriority w:val="34"/>
    <w:pPr>
      <w:ind w:firstLine="420" w:firstLineChars="200"/>
    </w:pPr>
  </w:style>
  <w:style w:type="paragraph" w:customStyle="1" w:styleId="33">
    <w:name w:val="正文缩进4格"/>
    <w:basedOn w:val="34"/>
    <w:qFormat/>
    <w:uiPriority w:val="0"/>
    <w:pPr>
      <w:spacing w:line="340" w:lineRule="exact"/>
      <w:ind w:firstLine="315" w:firstLineChars="0"/>
    </w:pPr>
    <w:rPr>
      <w:rFonts w:ascii="宋体" w:eastAsia="宋体"/>
      <w:sz w:val="24"/>
      <w:szCs w:val="24"/>
    </w:rPr>
  </w:style>
  <w:style w:type="paragraph" w:customStyle="1" w:styleId="34">
    <w:name w:val="正文缩进2格"/>
    <w:basedOn w:val="1"/>
    <w:link w:val="46"/>
    <w:qFormat/>
    <w:uiPriority w:val="0"/>
    <w:pPr>
      <w:spacing w:line="600" w:lineRule="exact"/>
      <w:ind w:firstLine="639" w:firstLineChars="206"/>
    </w:pPr>
    <w:rPr>
      <w:rFonts w:ascii="仿宋_GB2312" w:hAnsi="宋体" w:eastAsia="仿宋_GB2312"/>
      <w:kern w:val="0"/>
      <w:sz w:val="31"/>
      <w:szCs w:val="28"/>
    </w:rPr>
  </w:style>
  <w:style w:type="paragraph" w:customStyle="1" w:styleId="3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Char1 Char Char Char"/>
    <w:basedOn w:val="1"/>
    <w:qFormat/>
    <w:uiPriority w:val="0"/>
    <w:rPr>
      <w:rFonts w:ascii="黑体" w:hAnsi="Verdana" w:eastAsia="黑体"/>
      <w:kern w:val="0"/>
      <w:sz w:val="32"/>
      <w:szCs w:val="32"/>
      <w:lang w:eastAsia="en-US"/>
    </w:rPr>
  </w:style>
  <w:style w:type="character" w:customStyle="1" w:styleId="37">
    <w:name w:val="正文首行缩进 Char"/>
    <w:basedOn w:val="38"/>
    <w:link w:val="19"/>
    <w:semiHidden/>
    <w:qFormat/>
    <w:uiPriority w:val="99"/>
    <w:rPr>
      <w:rFonts w:ascii="Times New Roman" w:hAnsi="Times New Roman" w:eastAsia="宋体" w:cs="Times New Roman"/>
      <w:kern w:val="2"/>
      <w:sz w:val="21"/>
      <w:szCs w:val="22"/>
    </w:rPr>
  </w:style>
  <w:style w:type="character" w:customStyle="1" w:styleId="38">
    <w:name w:val="正文文本 Char1"/>
    <w:link w:val="8"/>
    <w:qFormat/>
    <w:uiPriority w:val="0"/>
    <w:rPr>
      <w:rFonts w:ascii="Times New Roman" w:hAnsi="Times New Roman" w:eastAsia="宋体" w:cs="Times New Roman"/>
      <w:szCs w:val="24"/>
    </w:rPr>
  </w:style>
  <w:style w:type="character" w:customStyle="1" w:styleId="39">
    <w:name w:val="标题 2 Char"/>
    <w:link w:val="4"/>
    <w:qFormat/>
    <w:uiPriority w:val="9"/>
    <w:rPr>
      <w:rFonts w:ascii="Cambria" w:hAnsi="Cambria" w:eastAsia="宋体" w:cs="Times New Roman"/>
      <w:b/>
      <w:bCs/>
      <w:sz w:val="32"/>
      <w:szCs w:val="32"/>
    </w:rPr>
  </w:style>
  <w:style w:type="character" w:customStyle="1" w:styleId="40">
    <w:name w:val="标题 4 Char"/>
    <w:link w:val="6"/>
    <w:semiHidden/>
    <w:qFormat/>
    <w:uiPriority w:val="9"/>
    <w:rPr>
      <w:rFonts w:ascii="Cambria" w:hAnsi="Cambria" w:eastAsia="宋体" w:cs="Times New Roman"/>
      <w:b/>
      <w:bCs/>
      <w:sz w:val="28"/>
      <w:szCs w:val="28"/>
    </w:rPr>
  </w:style>
  <w:style w:type="character" w:customStyle="1" w:styleId="41">
    <w:name w:val="样式 楷体_GB2312 小四"/>
    <w:qFormat/>
    <w:uiPriority w:val="0"/>
    <w:rPr>
      <w:rFonts w:ascii="楷体_GB2312" w:hAnsi="楷体_GB2312" w:eastAsia="仿宋_GB2312"/>
      <w:sz w:val="24"/>
    </w:rPr>
  </w:style>
  <w:style w:type="character" w:customStyle="1" w:styleId="42">
    <w:name w:val="列出段落 Char"/>
    <w:link w:val="32"/>
    <w:qFormat/>
    <w:uiPriority w:val="34"/>
  </w:style>
  <w:style w:type="character" w:customStyle="1" w:styleId="43">
    <w:name w:val="纯文本 Char1"/>
    <w:link w:val="10"/>
    <w:qFormat/>
    <w:uiPriority w:val="0"/>
    <w:rPr>
      <w:rFonts w:ascii="宋体" w:hAnsi="Courier New" w:eastAsia="宋体"/>
      <w:szCs w:val="24"/>
    </w:rPr>
  </w:style>
  <w:style w:type="character" w:customStyle="1" w:styleId="44">
    <w:name w:val="正文文本 Char"/>
    <w:basedOn w:val="22"/>
    <w:semiHidden/>
    <w:qFormat/>
    <w:uiPriority w:val="99"/>
  </w:style>
  <w:style w:type="character" w:customStyle="1" w:styleId="45">
    <w:name w:val="p141"/>
    <w:qFormat/>
    <w:uiPriority w:val="0"/>
    <w:rPr>
      <w:sz w:val="21"/>
      <w:szCs w:val="21"/>
    </w:rPr>
  </w:style>
  <w:style w:type="character" w:customStyle="1" w:styleId="46">
    <w:name w:val="正文缩进2格 Char"/>
    <w:link w:val="34"/>
    <w:qFormat/>
    <w:uiPriority w:val="0"/>
    <w:rPr>
      <w:rFonts w:ascii="仿宋_GB2312" w:hAnsi="宋体" w:eastAsia="仿宋_GB2312" w:cs="Times New Roman"/>
      <w:sz w:val="31"/>
      <w:szCs w:val="28"/>
    </w:rPr>
  </w:style>
  <w:style w:type="character" w:customStyle="1" w:styleId="47">
    <w:name w:val="日期 Char"/>
    <w:basedOn w:val="22"/>
    <w:link w:val="11"/>
    <w:semiHidden/>
    <w:qFormat/>
    <w:uiPriority w:val="99"/>
  </w:style>
  <w:style w:type="character" w:customStyle="1" w:styleId="48">
    <w:name w:val="批注文字 Char"/>
    <w:basedOn w:val="22"/>
    <w:link w:val="7"/>
    <w:semiHidden/>
    <w:qFormat/>
    <w:uiPriority w:val="99"/>
  </w:style>
  <w:style w:type="character" w:customStyle="1" w:styleId="49">
    <w:name w:val="标题 1 Char"/>
    <w:link w:val="3"/>
    <w:qFormat/>
    <w:uiPriority w:val="9"/>
    <w:rPr>
      <w:b/>
      <w:bCs/>
      <w:kern w:val="44"/>
      <w:sz w:val="44"/>
      <w:szCs w:val="44"/>
    </w:rPr>
  </w:style>
  <w:style w:type="character" w:customStyle="1" w:styleId="50">
    <w:name w:val="正文缩进2格 Char Char"/>
    <w:qFormat/>
    <w:uiPriority w:val="0"/>
    <w:rPr>
      <w:rFonts w:ascii="仿宋_GB2312" w:hAnsi="宋体" w:eastAsia="仿宋_GB2312"/>
      <w:kern w:val="2"/>
      <w:sz w:val="31"/>
      <w:szCs w:val="28"/>
      <w:lang w:val="en-US" w:eastAsia="zh-CN" w:bidi="ar-SA"/>
    </w:rPr>
  </w:style>
  <w:style w:type="character" w:customStyle="1" w:styleId="51">
    <w:name w:val="页脚 Char"/>
    <w:link w:val="13"/>
    <w:qFormat/>
    <w:uiPriority w:val="99"/>
    <w:rPr>
      <w:sz w:val="18"/>
      <w:szCs w:val="18"/>
    </w:rPr>
  </w:style>
  <w:style w:type="character" w:customStyle="1" w:styleId="52">
    <w:name w:val="标题 3 Char"/>
    <w:link w:val="5"/>
    <w:semiHidden/>
    <w:qFormat/>
    <w:uiPriority w:val="9"/>
    <w:rPr>
      <w:b/>
      <w:bCs/>
      <w:sz w:val="32"/>
      <w:szCs w:val="32"/>
    </w:rPr>
  </w:style>
  <w:style w:type="character" w:customStyle="1" w:styleId="53">
    <w:name w:val="纯文本 Char"/>
    <w:semiHidden/>
    <w:qFormat/>
    <w:uiPriority w:val="99"/>
    <w:rPr>
      <w:rFonts w:ascii="宋体" w:hAnsi="Courier New" w:eastAsia="宋体" w:cs="Courier New"/>
      <w:szCs w:val="21"/>
    </w:rPr>
  </w:style>
  <w:style w:type="character" w:customStyle="1" w:styleId="54">
    <w:name w:val="批注主题 Char"/>
    <w:link w:val="18"/>
    <w:semiHidden/>
    <w:qFormat/>
    <w:uiPriority w:val="99"/>
    <w:rPr>
      <w:b/>
      <w:bCs/>
    </w:rPr>
  </w:style>
  <w:style w:type="character" w:customStyle="1" w:styleId="55">
    <w:name w:val="批注框文本 Char"/>
    <w:link w:val="12"/>
    <w:semiHidden/>
    <w:qFormat/>
    <w:uiPriority w:val="99"/>
    <w:rPr>
      <w:sz w:val="18"/>
      <w:szCs w:val="18"/>
    </w:rPr>
  </w:style>
  <w:style w:type="character" w:customStyle="1" w:styleId="56">
    <w:name w:val="页眉 Char"/>
    <w:link w:val="14"/>
    <w:qFormat/>
    <w:uiPriority w:val="99"/>
    <w:rPr>
      <w:sz w:val="18"/>
      <w:szCs w:val="18"/>
    </w:rPr>
  </w:style>
  <w:style w:type="character" w:customStyle="1" w:styleId="57">
    <w:name w:val="标题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7108</Words>
  <Characters>7399</Characters>
  <Lines>170</Lines>
  <Paragraphs>48</Paragraphs>
  <TotalTime>38</TotalTime>
  <ScaleCrop>false</ScaleCrop>
  <LinksUpToDate>false</LinksUpToDate>
  <CharactersWithSpaces>7590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2020-02-21T00:59:00Z</dcterms:created>
  <dc:creator>Chinese User</dc:creator>
  <cp:lastModifiedBy>俊辉</cp:lastModifiedBy>
  <cp:lastPrinted>2026-04-15T00:35:00Z</cp:lastPrinted>
  <dcterms:modified xsi:type="dcterms:W3CDTF">2026-04-15T07:46:37Z</dcterms:modified>
  <dc:title>财政资金定期保值增值业务项目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12336199876B49E496AD95B620D98E5B</vt:lpwstr>
  </property>
  <property fmtid="{D5CDD505-2E9C-101B-9397-08002B2CF9AE}" pid="4" name="KSOTemplateDocerSaveRecord">
    <vt:lpwstr>eyJoZGlkIjoiMjk4ZWQzZDg3ODBkNmY0MTlmYjFhNWQ0ODljOGIxN2IiLCJ1c2VySWQiOiIzNDU5ODM4NjIifQ==</vt:lpwstr>
  </property>
</Properties>
</file>