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2" w:lineRule="auto"/>
        <w:ind w:right="54"/>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东莞市凤岗镇竹尾田村易发路地块1“工改工”项目</w:t>
      </w:r>
      <w:r>
        <w:rPr>
          <w:rFonts w:ascii="Times New Roman" w:hAnsi="Times New Roman" w:eastAsia="方正小标宋简体" w:cs="Times New Roman"/>
          <w:color w:val="auto"/>
          <w:sz w:val="44"/>
          <w:szCs w:val="44"/>
        </w:rPr>
        <w:t>“三旧”改造总体实施方案</w:t>
      </w:r>
    </w:p>
    <w:p>
      <w:pPr>
        <w:spacing w:line="352" w:lineRule="auto"/>
        <w:ind w:right="54"/>
        <w:rPr>
          <w:rFonts w:ascii="Times New Roman" w:hAnsi="Times New Roman" w:eastAsia="仿宋_GB2312" w:cs="Times New Roman"/>
          <w:color w:val="auto"/>
          <w:sz w:val="32"/>
          <w:szCs w:val="32"/>
        </w:rPr>
      </w:pP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为实施国土空间总体规划、 “三旧”改造专项规划和年度实施计划，我市</w:t>
      </w:r>
      <w:r>
        <w:rPr>
          <w:rFonts w:hint="eastAsia" w:ascii="Times New Roman" w:hAnsi="Times New Roman" w:eastAsia="仿宋_GB2312" w:cs="Times New Roman"/>
          <w:color w:val="auto"/>
          <w:sz w:val="32"/>
          <w:szCs w:val="32"/>
        </w:rPr>
        <w:t>凤岗</w:t>
      </w:r>
      <w:r>
        <w:rPr>
          <w:rFonts w:ascii="Times New Roman" w:hAnsi="Times New Roman" w:eastAsia="仿宋_GB2312" w:cs="Times New Roman"/>
          <w:color w:val="auto"/>
          <w:sz w:val="32"/>
          <w:szCs w:val="32"/>
        </w:rPr>
        <w:t>镇人民政府拟实施</w:t>
      </w:r>
      <w:r>
        <w:rPr>
          <w:rFonts w:hint="eastAsia" w:ascii="Times New Roman" w:hAnsi="Times New Roman" w:eastAsia="仿宋_GB2312" w:cs="Times New Roman"/>
          <w:color w:val="auto"/>
          <w:sz w:val="32"/>
          <w:szCs w:val="32"/>
        </w:rPr>
        <w:t>东莞市凤岗镇竹尾田村易发路地块1“工改工”项目</w:t>
      </w:r>
      <w:r>
        <w:rPr>
          <w:rFonts w:ascii="Times New Roman" w:hAnsi="Times New Roman" w:eastAsia="仿宋_GB2312" w:cs="Times New Roman"/>
          <w:color w:val="auto"/>
          <w:sz w:val="32"/>
          <w:szCs w:val="32"/>
        </w:rPr>
        <w:t>，对位于</w:t>
      </w:r>
      <w:r>
        <w:rPr>
          <w:rFonts w:hint="eastAsia" w:ascii="Times New Roman" w:hAnsi="Times New Roman" w:eastAsia="仿宋_GB2312" w:cs="Times New Roman"/>
          <w:color w:val="auto"/>
          <w:sz w:val="32"/>
          <w:szCs w:val="32"/>
        </w:rPr>
        <w:t>竹尾</w:t>
      </w:r>
      <w:r>
        <w:rPr>
          <w:rFonts w:ascii="Times New Roman" w:hAnsi="Times New Roman" w:eastAsia="仿宋_GB2312" w:cs="Times New Roman"/>
          <w:color w:val="auto"/>
          <w:sz w:val="32"/>
          <w:szCs w:val="32"/>
        </w:rPr>
        <w:t>田村</w:t>
      </w:r>
      <w:r>
        <w:rPr>
          <w:rFonts w:hint="eastAsia" w:ascii="Times New Roman" w:hAnsi="Times New Roman" w:eastAsia="仿宋_GB2312" w:cs="Times New Roman"/>
          <w:color w:val="auto"/>
          <w:sz w:val="32"/>
          <w:szCs w:val="32"/>
        </w:rPr>
        <w:t>凤深大道与易发路的交汇处</w:t>
      </w:r>
      <w:r>
        <w:rPr>
          <w:rFonts w:ascii="Times New Roman" w:hAnsi="Times New Roman" w:eastAsia="仿宋_GB2312" w:cs="Times New Roman"/>
          <w:color w:val="auto"/>
          <w:sz w:val="32"/>
          <w:szCs w:val="32"/>
        </w:rPr>
        <w:t>的旧厂房用地进行改造。总体实施方案如下：</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一、规划情况</w:t>
      </w:r>
      <w:bookmarkStart w:id="0" w:name="_GoBack"/>
      <w:bookmarkEnd w:id="0"/>
    </w:p>
    <w:p>
      <w:pPr>
        <w:spacing w:line="352" w:lineRule="auto"/>
        <w:ind w:right="54"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东莞市凤岗镇竹尾田村易发路地块1“工改工”项目</w:t>
      </w:r>
      <w:r>
        <w:rPr>
          <w:rFonts w:ascii="Times New Roman" w:hAnsi="Times New Roman" w:eastAsia="仿宋_GB2312" w:cs="Times New Roman"/>
          <w:color w:val="auto"/>
          <w:sz w:val="32"/>
          <w:szCs w:val="32"/>
        </w:rPr>
        <w:t>用地涉及</w:t>
      </w:r>
      <w:r>
        <w:rPr>
          <w:rFonts w:hint="eastAsia" w:ascii="Times New Roman" w:hAnsi="Times New Roman" w:eastAsia="仿宋_GB2312" w:cs="Times New Roman"/>
          <w:color w:val="auto"/>
          <w:sz w:val="32"/>
          <w:szCs w:val="32"/>
        </w:rPr>
        <w:t>东莞市凤岗镇竹塘片区</w:t>
      </w:r>
      <w:r>
        <w:rPr>
          <w:rFonts w:ascii="Times New Roman" w:hAnsi="Times New Roman" w:eastAsia="仿宋_GB2312" w:cs="Times New Roman"/>
          <w:color w:val="auto"/>
          <w:sz w:val="32"/>
          <w:szCs w:val="32"/>
        </w:rPr>
        <w:t>控制性详细规划范围内的10-05地块。</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二、改造</w:t>
      </w:r>
      <w:r>
        <w:rPr>
          <w:rFonts w:hint="eastAsia"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基本情况</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东莞市凤岗镇竹尾田村易发路地块1“工改工”项目</w:t>
      </w:r>
      <w:r>
        <w:rPr>
          <w:rFonts w:ascii="Times New Roman" w:hAnsi="Times New Roman" w:eastAsia="仿宋_GB2312" w:cs="Times New Roman"/>
          <w:color w:val="auto"/>
          <w:sz w:val="32"/>
          <w:szCs w:val="32"/>
        </w:rPr>
        <w:t>位于</w:t>
      </w:r>
      <w:r>
        <w:rPr>
          <w:rFonts w:hint="eastAsia" w:ascii="Times New Roman" w:hAnsi="Times New Roman" w:eastAsia="仿宋_GB2312" w:cs="Times New Roman"/>
          <w:color w:val="auto"/>
          <w:sz w:val="32"/>
          <w:szCs w:val="32"/>
        </w:rPr>
        <w:t>竹尾田村凤深大道与易发路的交汇处</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总面积为4.4436公顷。采用公开招引实施主体模式，</w:t>
      </w:r>
      <w:r>
        <w:rPr>
          <w:rFonts w:hint="eastAsia" w:ascii="Times New Roman" w:hAnsi="Times New Roman" w:eastAsia="仿宋_GB2312" w:cs="Times New Roman"/>
          <w:color w:val="auto"/>
          <w:sz w:val="32"/>
          <w:szCs w:val="32"/>
        </w:rPr>
        <w:t>东莞市联东金</w:t>
      </w:r>
      <w:r>
        <w:rPr>
          <w:rFonts w:hint="eastAsia" w:ascii="仿宋" w:hAnsi="仿宋" w:eastAsia="仿宋" w:cs="微软雅黑"/>
          <w:color w:val="auto"/>
          <w:sz w:val="32"/>
          <w:szCs w:val="32"/>
        </w:rPr>
        <w:t>峯</w:t>
      </w:r>
      <w:r>
        <w:rPr>
          <w:rFonts w:hint="eastAsia" w:ascii="仿宋_GB2312" w:hAnsi="仿宋_GB2312" w:eastAsia="仿宋_GB2312" w:cs="仿宋_GB2312"/>
          <w:color w:val="auto"/>
          <w:sz w:val="32"/>
          <w:szCs w:val="32"/>
        </w:rPr>
        <w:t>实业有限公司</w:t>
      </w:r>
      <w:r>
        <w:rPr>
          <w:rFonts w:ascii="Times New Roman" w:hAnsi="Times New Roman" w:eastAsia="仿宋_GB2312" w:cs="Times New Roman"/>
          <w:color w:val="auto"/>
          <w:sz w:val="32"/>
          <w:szCs w:val="32"/>
        </w:rPr>
        <w:t>已完成要约收购，于2024年</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月取得成交确认书，由其作为改造主体实施改造。改造</w:t>
      </w:r>
      <w:r>
        <w:rPr>
          <w:rFonts w:hint="eastAsia"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现状主要为旧厂房，总建筑面积约37597.88平方米，容积率为0.85。</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实施改造面积为4.4436公顷，标图建库面积为4.4436公顷，标图建库号44190021750。其中集体土地4.4436公顷</w:t>
      </w:r>
      <w:r>
        <w:rPr>
          <w:rFonts w:hint="eastAsia"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建设用地</w:t>
      </w:r>
      <w:r>
        <w:rPr>
          <w:rFonts w:ascii="Times New Roman" w:hAnsi="Times New Roman" w:eastAsia="仿宋_GB2312" w:cs="Times New Roman"/>
          <w:color w:val="auto"/>
          <w:sz w:val="32"/>
          <w:szCs w:val="32"/>
        </w:rPr>
        <w:t>4.4436公顷</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，集体土地所有权人为</w:t>
      </w:r>
      <w:r>
        <w:rPr>
          <w:rFonts w:hint="eastAsia" w:ascii="Times New Roman" w:hAnsi="Times New Roman" w:eastAsia="仿宋_GB2312" w:cs="Times New Roman"/>
          <w:color w:val="auto"/>
          <w:sz w:val="32"/>
          <w:szCs w:val="32"/>
        </w:rPr>
        <w:t>东莞市凤岗镇竹尾田股份经济联合社</w:t>
      </w:r>
      <w:r>
        <w:rPr>
          <w:rFonts w:ascii="Times New Roman" w:hAnsi="Times New Roman" w:eastAsia="仿宋_GB2312" w:cs="Times New Roman"/>
          <w:color w:val="auto"/>
          <w:sz w:val="32"/>
          <w:szCs w:val="32"/>
        </w:rPr>
        <w:t>，有合法用地手续2.7460公顷，无合法用地手续1.6976公顷。改造范围内土地界址、地类、面积清楚，土地权属无争议。</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项目改造范围符合国土空间规划管控规则，位于城镇开发边界内，</w:t>
      </w:r>
      <w:r>
        <w:rPr>
          <w:rFonts w:hint="eastAsia" w:ascii="仿宋_GB2312" w:hAnsi="Times New Roman" w:eastAsia="仿宋_GB2312" w:cs="Times New Roman"/>
          <w:color w:val="auto"/>
          <w:sz w:val="32"/>
          <w:szCs w:val="32"/>
        </w:rPr>
        <w:t>不涉及占用生态保护红线</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陆域</w:t>
      </w:r>
      <w:r>
        <w:rPr>
          <w:rFonts w:hint="eastAsia" w:ascii="仿宋_GB2312"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，不占用永久基本农田，符合控制性详细规划</w:t>
      </w:r>
      <w:r>
        <w:rPr>
          <w:rFonts w:hint="eastAsia" w:ascii="Times New Roman" w:hAnsi="Times New Roman" w:eastAsia="仿宋_GB2312" w:cs="Times New Roman"/>
          <w:color w:val="auto"/>
          <w:sz w:val="32"/>
          <w:szCs w:val="32"/>
        </w:rPr>
        <w:t>。</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根据已批</w:t>
      </w:r>
      <w:r>
        <w:rPr>
          <w:rFonts w:hint="eastAsia"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规划方案，拟改造为</w:t>
      </w:r>
      <w:r>
        <w:rPr>
          <w:rFonts w:hint="eastAsia" w:ascii="Times New Roman" w:hAnsi="Times New Roman" w:eastAsia="仿宋_GB2312" w:cs="Times New Roman"/>
          <w:color w:val="auto"/>
          <w:sz w:val="32"/>
          <w:szCs w:val="32"/>
        </w:rPr>
        <w:t>工业</w:t>
      </w:r>
      <w:r>
        <w:rPr>
          <w:rFonts w:ascii="Times New Roman" w:hAnsi="Times New Roman" w:eastAsia="仿宋_GB2312" w:cs="Times New Roman"/>
          <w:color w:val="auto"/>
          <w:sz w:val="32"/>
          <w:szCs w:val="32"/>
        </w:rPr>
        <w:t>用途、</w:t>
      </w:r>
      <w:r>
        <w:rPr>
          <w:rFonts w:hint="eastAsia" w:ascii="Times New Roman" w:hAnsi="Times New Roman" w:eastAsia="仿宋_GB2312" w:cs="Times New Roman"/>
          <w:color w:val="auto"/>
          <w:sz w:val="32"/>
          <w:szCs w:val="32"/>
        </w:rPr>
        <w:t>道路</w:t>
      </w:r>
      <w:r>
        <w:rPr>
          <w:rFonts w:ascii="Times New Roman" w:hAnsi="Times New Roman" w:eastAsia="仿宋_GB2312" w:cs="Times New Roman"/>
          <w:color w:val="auto"/>
          <w:sz w:val="32"/>
          <w:szCs w:val="32"/>
        </w:rPr>
        <w:t>用途，具体情况如下：</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其中工业用地为3.9410公顷，容积率为3.5，总建筑面积为137936.68平方米；</w:t>
      </w:r>
      <w:r>
        <w:rPr>
          <w:rFonts w:hint="eastAsia" w:ascii="Times New Roman" w:hAnsi="Times New Roman" w:eastAsia="仿宋_GB2312" w:cs="Times New Roman"/>
          <w:color w:val="auto"/>
          <w:sz w:val="32"/>
          <w:szCs w:val="32"/>
        </w:rPr>
        <w:t>道路</w:t>
      </w:r>
      <w:r>
        <w:rPr>
          <w:rFonts w:ascii="Times New Roman" w:hAnsi="Times New Roman" w:eastAsia="仿宋_GB2312" w:cs="Times New Roman"/>
          <w:color w:val="auto"/>
          <w:sz w:val="32"/>
          <w:szCs w:val="32"/>
        </w:rPr>
        <w:t>用地0.5025公顷。</w:t>
      </w:r>
      <w:r>
        <w:rPr>
          <w:rFonts w:hint="eastAsia" w:ascii="Times New Roman" w:hAnsi="Times New Roman" w:eastAsia="仿宋_GB2312" w:cs="Times New Roman"/>
          <w:color w:val="auto"/>
          <w:sz w:val="32"/>
          <w:szCs w:val="32"/>
        </w:rPr>
        <w:t>改造范围内道路</w:t>
      </w:r>
      <w:r>
        <w:rPr>
          <w:rFonts w:ascii="Times New Roman" w:hAnsi="Times New Roman" w:eastAsia="仿宋_GB2312" w:cs="Times New Roman"/>
          <w:color w:val="auto"/>
          <w:sz w:val="32"/>
          <w:szCs w:val="32"/>
        </w:rPr>
        <w:t>用地</w:t>
      </w:r>
      <w:r>
        <w:rPr>
          <w:rFonts w:hint="eastAsia" w:ascii="Times New Roman" w:hAnsi="Times New Roman" w:eastAsia="仿宋_GB2312" w:cs="Times New Roman"/>
          <w:color w:val="auto"/>
          <w:sz w:val="32"/>
          <w:szCs w:val="32"/>
        </w:rPr>
        <w:t>由改造主体提供土地并完成拆除，凤岗镇人民政府统筹与项目实施建设。</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三、改造意愿及补偿安置情况</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一</w:t>
      </w:r>
      <w:r>
        <w:rPr>
          <w:rFonts w:hint="eastAsia" w:ascii="仿宋_GB2312"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改造意愿情况。</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凤岗</w:t>
      </w:r>
      <w:r>
        <w:rPr>
          <w:rFonts w:ascii="Times New Roman" w:hAnsi="Times New Roman" w:eastAsia="仿宋_GB2312" w:cs="Times New Roman"/>
          <w:color w:val="auto"/>
          <w:sz w:val="32"/>
          <w:szCs w:val="32"/>
        </w:rPr>
        <w:t>镇人民政府已按照法律法规及东莞市“三旧”改造政策规定，就改造范围、土地现状、改造主体及拟改造情况、补偿安置方式及标准等事项充分征求原权利人的意见，并经全部原权利人同意。</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改造范围内涉及农村集体土地，已经通过该农村集体经济组织成员的股东大会表决通过以上事项。</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二</w:t>
      </w:r>
      <w:r>
        <w:rPr>
          <w:rFonts w:hint="eastAsia" w:ascii="仿宋_GB2312"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补偿安置情况。</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凤岗镇人民政府已制定补偿安置方案，明确采取</w:t>
      </w:r>
      <w:r>
        <w:rPr>
          <w:rFonts w:hint="eastAsia" w:ascii="Times New Roman" w:hAnsi="Times New Roman" w:eastAsia="仿宋_GB2312" w:cs="Times New Roman"/>
          <w:color w:val="auto"/>
          <w:sz w:val="32"/>
          <w:szCs w:val="32"/>
        </w:rPr>
        <w:t>物业补偿与货币补偿相结合</w:t>
      </w:r>
      <w:r>
        <w:rPr>
          <w:rFonts w:ascii="Times New Roman" w:hAnsi="Times New Roman" w:eastAsia="仿宋_GB2312" w:cs="Times New Roman"/>
          <w:color w:val="auto"/>
          <w:sz w:val="32"/>
          <w:szCs w:val="32"/>
        </w:rPr>
        <w:t>等方式对原权利人进行补偿安置，</w:t>
      </w:r>
      <w:r>
        <w:rPr>
          <w:rFonts w:hint="eastAsia" w:ascii="Times New Roman" w:hAnsi="Times New Roman" w:eastAsia="仿宋_GB2312" w:cs="Times New Roman"/>
          <w:color w:val="auto"/>
          <w:sz w:val="32"/>
          <w:szCs w:val="32"/>
        </w:rPr>
        <w:t>东莞市联东金</w:t>
      </w:r>
      <w:r>
        <w:rPr>
          <w:rFonts w:hint="eastAsia" w:ascii="仿宋" w:hAnsi="仿宋" w:eastAsia="仿宋" w:cs="微软雅黑"/>
          <w:color w:val="auto"/>
          <w:sz w:val="32"/>
          <w:szCs w:val="32"/>
        </w:rPr>
        <w:t>峯</w:t>
      </w:r>
      <w:r>
        <w:rPr>
          <w:rFonts w:hint="eastAsia" w:ascii="仿宋_GB2312" w:hAnsi="仿宋_GB2312" w:eastAsia="仿宋_GB2312" w:cs="仿宋_GB2312"/>
          <w:color w:val="auto"/>
          <w:sz w:val="32"/>
          <w:szCs w:val="32"/>
        </w:rPr>
        <w:t>实业有限公司</w:t>
      </w:r>
      <w:r>
        <w:rPr>
          <w:rFonts w:ascii="Times New Roman" w:hAnsi="Times New Roman" w:eastAsia="仿宋_GB2312" w:cs="Times New Roman"/>
          <w:color w:val="auto"/>
          <w:sz w:val="32"/>
          <w:szCs w:val="32"/>
        </w:rPr>
        <w:t>已完成要约收购，并已取得成交确认书。其中公开交易方案中约定由实施主体补偿</w:t>
      </w:r>
      <w:r>
        <w:rPr>
          <w:rFonts w:hint="eastAsia" w:ascii="Times New Roman" w:hAnsi="Times New Roman" w:eastAsia="仿宋_GB2312" w:cs="Times New Roman"/>
          <w:color w:val="auto"/>
          <w:sz w:val="32"/>
          <w:szCs w:val="32"/>
        </w:rPr>
        <w:t>东莞市凤岗镇竹尾田股份经济联合社</w:t>
      </w:r>
      <w:r>
        <w:rPr>
          <w:rFonts w:ascii="Times New Roman" w:hAnsi="Times New Roman" w:eastAsia="仿宋_GB2312" w:cs="Times New Roman"/>
          <w:color w:val="auto"/>
          <w:sz w:val="32"/>
          <w:szCs w:val="32"/>
        </w:rPr>
        <w:t>货币2500万元，国有性质</w:t>
      </w:r>
      <w:r>
        <w:rPr>
          <w:rFonts w:hint="eastAsia" w:ascii="Times New Roman" w:hAnsi="Times New Roman" w:eastAsia="仿宋_GB2312" w:cs="Times New Roman"/>
          <w:color w:val="auto"/>
          <w:sz w:val="32"/>
          <w:szCs w:val="32"/>
        </w:rPr>
        <w:t>工业用房</w:t>
      </w:r>
      <w:r>
        <w:rPr>
          <w:rFonts w:ascii="Times New Roman" w:hAnsi="Times New Roman" w:eastAsia="仿宋_GB2312" w:cs="Times New Roman"/>
          <w:color w:val="auto"/>
          <w:sz w:val="32"/>
          <w:szCs w:val="32"/>
        </w:rPr>
        <w:t>41381平方米及</w:t>
      </w:r>
      <w:r>
        <w:rPr>
          <w:rFonts w:hint="eastAsia" w:ascii="Times New Roman" w:hAnsi="Times New Roman" w:eastAsia="仿宋_GB2312" w:cs="Times New Roman"/>
          <w:color w:val="auto"/>
          <w:sz w:val="32"/>
          <w:szCs w:val="32"/>
        </w:rPr>
        <w:t>配套停车位249个</w:t>
      </w:r>
      <w:r>
        <w:rPr>
          <w:rFonts w:ascii="Times New Roman" w:hAnsi="Times New Roman" w:eastAsia="仿宋_GB2312" w:cs="Times New Roman"/>
          <w:color w:val="auto"/>
          <w:sz w:val="32"/>
          <w:szCs w:val="32"/>
        </w:rPr>
        <w:t>。</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三</w:t>
      </w:r>
      <w:r>
        <w:rPr>
          <w:rFonts w:hint="eastAsia" w:ascii="仿宋_GB2312"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开展社会稳定风险评估情况。</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改造地块涉及征收土地4.4436公顷，已按规定开展社会稳定风险评估</w:t>
      </w:r>
      <w:r>
        <w:rPr>
          <w:rFonts w:hint="eastAsia" w:ascii="Times New Roman" w:hAnsi="Times New Roman" w:eastAsia="仿宋_GB2312" w:cs="Times New Roman"/>
          <w:color w:val="auto"/>
          <w:sz w:val="32"/>
          <w:szCs w:val="32"/>
        </w:rPr>
        <w:t>。</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四、拟办理用地手续情况</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改造范围内1.6976公顷集体土地申请完善转用手续，其中1.6976公顷集体土地于2006年发生违法用地行为，已按用地行为发生时的土地管理法律政策落实处理</w:t>
      </w:r>
      <w:r>
        <w:rPr>
          <w:rFonts w:hint="eastAsia"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处罚</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，处罚文号为凤自然资（旧改）</w:t>
      </w:r>
      <w:r>
        <w:rPr>
          <w:rFonts w:hint="eastAsia" w:ascii="Times New Roman" w:hAnsi="Times New Roman" w:eastAsia="仿宋_GB2312" w:cs="Times New Roman"/>
          <w:color w:val="auto"/>
          <w:sz w:val="32"/>
          <w:szCs w:val="32"/>
        </w:rPr>
        <w:t>决字</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2023</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2号</w:t>
      </w:r>
      <w:r>
        <w:rPr>
          <w:rFonts w:hint="eastAsia" w:ascii="Times New Roman" w:hAnsi="Times New Roman" w:eastAsia="仿宋_GB2312" w:cs="Times New Roman"/>
          <w:color w:val="auto"/>
          <w:sz w:val="32"/>
          <w:szCs w:val="32"/>
        </w:rPr>
        <w:t>。</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w:t>
      </w:r>
      <w:r>
        <w:rPr>
          <w:rFonts w:hint="eastAsia" w:ascii="Times New Roman" w:hAnsi="Times New Roman" w:eastAsia="仿宋_GB2312" w:cs="Times New Roman"/>
          <w:color w:val="auto"/>
          <w:sz w:val="32"/>
          <w:szCs w:val="32"/>
        </w:rPr>
        <w:t>东莞市凤岗镇竹尾田股份经济联合社</w:t>
      </w:r>
      <w:r>
        <w:rPr>
          <w:rFonts w:ascii="Times New Roman" w:hAnsi="Times New Roman" w:eastAsia="仿宋_GB2312" w:cs="Times New Roman"/>
          <w:color w:val="auto"/>
          <w:sz w:val="32"/>
          <w:szCs w:val="32"/>
        </w:rPr>
        <w:t>组织依法表决同意，申请将</w:t>
      </w:r>
      <w:r>
        <w:rPr>
          <w:rFonts w:hint="eastAsia" w:ascii="Times New Roman" w:hAnsi="Times New Roman" w:eastAsia="仿宋_GB2312" w:cs="Times New Roman"/>
          <w:color w:val="auto"/>
          <w:sz w:val="32"/>
          <w:szCs w:val="32"/>
        </w:rPr>
        <w:t>4.4436公顷</w:t>
      </w:r>
      <w:r>
        <w:rPr>
          <w:rFonts w:ascii="Times New Roman" w:hAnsi="Times New Roman" w:eastAsia="仿宋_GB2312" w:cs="Times New Roman"/>
          <w:color w:val="auto"/>
          <w:sz w:val="32"/>
          <w:szCs w:val="32"/>
        </w:rPr>
        <w:t>集体建设用地转为国有建设用地，交由</w:t>
      </w:r>
      <w:r>
        <w:rPr>
          <w:rFonts w:hint="eastAsia" w:ascii="Times New Roman" w:hAnsi="Times New Roman" w:eastAsia="仿宋_GB2312" w:cs="Times New Roman"/>
          <w:color w:val="auto"/>
          <w:sz w:val="32"/>
          <w:szCs w:val="32"/>
        </w:rPr>
        <w:t>东莞市联东金</w:t>
      </w:r>
      <w:r>
        <w:rPr>
          <w:rFonts w:hint="eastAsia" w:ascii="仿宋" w:hAnsi="仿宋" w:eastAsia="仿宋" w:cs="微软雅黑"/>
          <w:color w:val="auto"/>
          <w:sz w:val="32"/>
          <w:szCs w:val="32"/>
        </w:rPr>
        <w:t>峯</w:t>
      </w:r>
      <w:r>
        <w:rPr>
          <w:rFonts w:hint="eastAsia" w:ascii="仿宋_GB2312" w:hAnsi="仿宋_GB2312" w:eastAsia="仿宋_GB2312" w:cs="仿宋_GB2312"/>
          <w:color w:val="auto"/>
          <w:sz w:val="32"/>
          <w:szCs w:val="32"/>
        </w:rPr>
        <w:t>实业有限公司</w:t>
      </w:r>
      <w:r>
        <w:rPr>
          <w:rFonts w:ascii="Times New Roman" w:hAnsi="Times New Roman" w:eastAsia="仿宋_GB2312" w:cs="Times New Roman"/>
          <w:color w:val="auto"/>
          <w:sz w:val="32"/>
          <w:szCs w:val="32"/>
        </w:rPr>
        <w:t>进行改造。</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五、收储情况</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经核查，地块不存在债权债务及法律纠纷，符合地价评估及土壤环境评估等开发要求。</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六、供地情况</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改造项目开发周期为</w:t>
      </w:r>
      <w:r>
        <w:rPr>
          <w:rFonts w:hint="eastAsia" w:ascii="Times New Roman" w:hAnsi="Times New Roman" w:eastAsia="仿宋_GB2312" w:cs="Times New Roman"/>
          <w:color w:val="auto"/>
          <w:sz w:val="32"/>
          <w:szCs w:val="32"/>
        </w:rPr>
        <w:t>：改造项目在签订《国有建设用地使用权出让合同》之日起</w:t>
      </w:r>
      <w:r>
        <w:rPr>
          <w:rFonts w:ascii="Times New Roman" w:hAnsi="Times New Roman" w:eastAsia="仿宋_GB2312" w:cs="Times New Roman"/>
          <w:color w:val="auto"/>
          <w:sz w:val="32"/>
          <w:szCs w:val="32"/>
        </w:rPr>
        <w:t>36</w:t>
      </w:r>
      <w:r>
        <w:rPr>
          <w:rFonts w:hint="eastAsia" w:ascii="Times New Roman" w:hAnsi="Times New Roman" w:eastAsia="仿宋_GB2312" w:cs="Times New Roman"/>
          <w:color w:val="auto"/>
          <w:sz w:val="32"/>
          <w:szCs w:val="32"/>
        </w:rPr>
        <w:t>个月内竣工（开发建设期以签订土地出让合同为准）</w:t>
      </w:r>
      <w:r>
        <w:rPr>
          <w:rFonts w:ascii="Times New Roman" w:hAnsi="Times New Roman" w:eastAsia="仿宋_GB2312" w:cs="Times New Roman"/>
          <w:color w:val="auto"/>
          <w:sz w:val="32"/>
          <w:szCs w:val="32"/>
        </w:rPr>
        <w:t>，开发面积3.9410公顷。</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改造主体申请以协议出让方式办理供地手续，拟供地面积为39410.48平方米，具体情况如下：面积为39410.48平方米，土地用途为</w:t>
      </w:r>
      <w:r>
        <w:rPr>
          <w:rFonts w:hint="eastAsia" w:ascii="Times New Roman" w:hAnsi="Times New Roman" w:eastAsia="仿宋_GB2312" w:cs="Times New Roman"/>
          <w:color w:val="auto"/>
          <w:sz w:val="32"/>
          <w:szCs w:val="32"/>
        </w:rPr>
        <w:t>一类工业用地</w:t>
      </w:r>
      <w:r>
        <w:rPr>
          <w:rFonts w:ascii="Times New Roman" w:hAnsi="Times New Roman" w:eastAsia="仿宋_GB2312" w:cs="Times New Roman"/>
          <w:color w:val="auto"/>
          <w:sz w:val="32"/>
          <w:szCs w:val="32"/>
        </w:rPr>
        <w:t>，容积率3.5，计容建筑面积137936.68平方米，最大高度60米；由</w:t>
      </w:r>
      <w:r>
        <w:rPr>
          <w:rFonts w:hint="eastAsia" w:ascii="Times New Roman" w:hAnsi="Times New Roman" w:eastAsia="仿宋_GB2312" w:cs="Times New Roman"/>
          <w:color w:val="auto"/>
          <w:sz w:val="32"/>
          <w:szCs w:val="32"/>
        </w:rPr>
        <w:t>东莞市联东金</w:t>
      </w:r>
      <w:r>
        <w:rPr>
          <w:rFonts w:hint="eastAsia" w:ascii="仿宋" w:hAnsi="仿宋" w:eastAsia="仿宋" w:cs="微软雅黑"/>
          <w:color w:val="auto"/>
          <w:sz w:val="32"/>
          <w:szCs w:val="32"/>
        </w:rPr>
        <w:t>峯</w:t>
      </w:r>
      <w:r>
        <w:rPr>
          <w:rFonts w:hint="eastAsia" w:ascii="仿宋_GB2312" w:hAnsi="仿宋_GB2312" w:eastAsia="仿宋_GB2312" w:cs="仿宋_GB2312"/>
          <w:color w:val="auto"/>
          <w:sz w:val="32"/>
          <w:szCs w:val="32"/>
        </w:rPr>
        <w:t>实业有限公司</w:t>
      </w:r>
      <w:r>
        <w:rPr>
          <w:rFonts w:ascii="Times New Roman" w:hAnsi="Times New Roman" w:eastAsia="仿宋_GB2312" w:cs="Times New Roman"/>
          <w:color w:val="auto"/>
          <w:sz w:val="32"/>
          <w:szCs w:val="32"/>
        </w:rPr>
        <w:t>作为开发主体投资建设。</w:t>
      </w:r>
      <w:r>
        <w:rPr>
          <w:rFonts w:hint="eastAsia" w:ascii="Times New Roman" w:hAnsi="Times New Roman" w:eastAsia="仿宋_GB2312" w:cs="Times New Roman"/>
          <w:color w:val="auto"/>
          <w:sz w:val="32"/>
          <w:szCs w:val="32"/>
        </w:rPr>
        <w:t>本项目为存量“工改工”项目，最高分割转让比例为</w:t>
      </w:r>
      <w:r>
        <w:rPr>
          <w:rFonts w:hint="eastAsia" w:ascii="仿宋_GB2312" w:hAnsi="Times New Roman" w:eastAsia="仿宋_GB2312" w:cs="Times New Roman"/>
          <w:color w:val="auto"/>
          <w:sz w:val="32"/>
          <w:szCs w:val="32"/>
        </w:rPr>
        <w:t>（工业生产用房总计容建筑面积</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赔付的工业生产用房计容建筑面积）</w:t>
      </w:r>
      <w:r>
        <w:rPr>
          <w:rFonts w:hint="eastAsia" w:ascii="Times New Roman" w:hAnsi="Times New Roman" w:eastAsia="仿宋_GB2312" w:cs="Times New Roman"/>
          <w:color w:val="auto"/>
          <w:sz w:val="32"/>
          <w:szCs w:val="32"/>
        </w:rPr>
        <w:t>的70%。</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内道路配建，面积为5025.46平方米</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项目开发主体提供公共设施所需用地</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由凤岗镇人民政府统筹与项目同步实施建设</w:t>
      </w:r>
      <w:r>
        <w:rPr>
          <w:rFonts w:hint="eastAsia" w:ascii="Times New Roman" w:hAnsi="Times New Roman" w:eastAsia="仿宋_GB2312" w:cs="Times New Roman"/>
          <w:color w:val="auto"/>
          <w:sz w:val="32"/>
          <w:szCs w:val="32"/>
        </w:rPr>
        <w:t>。</w:t>
      </w:r>
    </w:p>
    <w:p>
      <w:pPr>
        <w:spacing w:line="352" w:lineRule="auto"/>
        <w:ind w:right="54"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七、其他</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一</w:t>
      </w:r>
      <w:r>
        <w:rPr>
          <w:rFonts w:hint="eastAsia" w:ascii="仿宋_GB2312"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资金筹措。项目改造成本为52783万元，拟投入改造资金为52783万元，拟筹措资金方式包括自有资金、合作单位投入、银行借贷、市场融资等。</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二</w:t>
      </w:r>
      <w:r>
        <w:rPr>
          <w:rFonts w:hint="eastAsia" w:ascii="仿宋_GB2312"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签订合同。改造主体在取得总体实施方案批复并完成产权注销之日起一个月内签订土地出让合同。</w:t>
      </w:r>
    </w:p>
    <w:p>
      <w:pPr>
        <w:spacing w:line="352" w:lineRule="auto"/>
        <w:ind w:right="54" w:firstLine="640" w:firstLineChars="200"/>
        <w:rPr>
          <w:rFonts w:ascii="Times New Roman"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三</w:t>
      </w:r>
      <w:r>
        <w:rPr>
          <w:rFonts w:hint="eastAsia" w:ascii="仿宋_GB2312"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实施监管。改造</w:t>
      </w:r>
      <w:r>
        <w:rPr>
          <w:rFonts w:hint="eastAsia" w:ascii="Times New Roman" w:hAnsi="Times New Roman" w:eastAsia="仿宋_GB2312" w:cs="Times New Roman"/>
          <w:color w:val="auto"/>
          <w:sz w:val="32"/>
          <w:szCs w:val="32"/>
        </w:rPr>
        <w:t>项目</w:t>
      </w:r>
      <w:r>
        <w:rPr>
          <w:rFonts w:ascii="Times New Roman" w:hAnsi="Times New Roman" w:eastAsia="仿宋_GB2312" w:cs="Times New Roman"/>
          <w:color w:val="auto"/>
          <w:sz w:val="32"/>
          <w:szCs w:val="32"/>
        </w:rPr>
        <w:t>实施监管按照后续签订的监管协议执行。</w:t>
      </w:r>
    </w:p>
    <w:p>
      <w:pPr>
        <w:spacing w:line="352" w:lineRule="auto"/>
        <w:ind w:right="54"/>
        <w:rPr>
          <w:rFonts w:ascii="Times New Roman" w:hAnsi="Times New Roman" w:eastAsia="仿宋_GB2312" w:cs="Times New Roman"/>
          <w:color w:val="auto"/>
          <w:sz w:val="32"/>
          <w:szCs w:val="32"/>
        </w:rPr>
      </w:pPr>
    </w:p>
    <w:p>
      <w:pPr>
        <w:spacing w:line="352" w:lineRule="auto"/>
        <w:ind w:right="54" w:firstLine="640" w:firstLineChars="200"/>
        <w:rPr>
          <w:rFonts w:ascii="Times New Roman" w:hAnsi="Times New Roman" w:eastAsia="仿宋_GB2312" w:cs="Times New Roman"/>
          <w:color w:val="auto"/>
          <w:sz w:val="32"/>
          <w:szCs w:val="32"/>
        </w:rPr>
      </w:pPr>
    </w:p>
    <w:p>
      <w:pPr>
        <w:spacing w:line="352" w:lineRule="auto"/>
        <w:ind w:right="54"/>
        <w:jc w:val="righ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凤岗</w:t>
      </w:r>
      <w:r>
        <w:rPr>
          <w:rFonts w:ascii="Times New Roman" w:hAnsi="Times New Roman" w:eastAsia="仿宋_GB2312" w:cs="Times New Roman"/>
          <w:color w:val="auto"/>
          <w:sz w:val="32"/>
          <w:szCs w:val="32"/>
        </w:rPr>
        <w:t>镇人民政府</w:t>
      </w:r>
    </w:p>
    <w:p>
      <w:pPr>
        <w:spacing w:line="352" w:lineRule="auto"/>
        <w:ind w:right="54"/>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日</w:t>
      </w:r>
    </w:p>
    <w:sectPr>
      <w:footerReference r:id="rId3" w:type="default"/>
      <w:pgSz w:w="11906" w:h="16839"/>
      <w:pgMar w:top="1431" w:right="1423" w:bottom="1837" w:left="1590" w:header="0" w:footer="15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083144"/>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spacing w:before="1" w:line="188" w:lineRule="auto"/>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OTY1ZWZiMmNjYzE2NjIxOWQ3ZTQxYWQzZTE1NzU3ZjEifQ=="/>
  </w:docVars>
  <w:rsids>
    <w:rsidRoot w:val="00E01615"/>
    <w:rsid w:val="00000BBF"/>
    <w:rsid w:val="00052BD1"/>
    <w:rsid w:val="00060D9D"/>
    <w:rsid w:val="00090BCE"/>
    <w:rsid w:val="00097666"/>
    <w:rsid w:val="000A6D88"/>
    <w:rsid w:val="000B4B68"/>
    <w:rsid w:val="000C2C81"/>
    <w:rsid w:val="000F25CC"/>
    <w:rsid w:val="0013292C"/>
    <w:rsid w:val="00133A3C"/>
    <w:rsid w:val="00143DED"/>
    <w:rsid w:val="0017221C"/>
    <w:rsid w:val="00176536"/>
    <w:rsid w:val="001C0D19"/>
    <w:rsid w:val="001C402F"/>
    <w:rsid w:val="001E36C8"/>
    <w:rsid w:val="00227A03"/>
    <w:rsid w:val="00232BF3"/>
    <w:rsid w:val="00267140"/>
    <w:rsid w:val="002936EA"/>
    <w:rsid w:val="00324AE6"/>
    <w:rsid w:val="003378E3"/>
    <w:rsid w:val="00337EA2"/>
    <w:rsid w:val="003656F9"/>
    <w:rsid w:val="00384693"/>
    <w:rsid w:val="003A238F"/>
    <w:rsid w:val="003A2E39"/>
    <w:rsid w:val="003D0595"/>
    <w:rsid w:val="003E61E4"/>
    <w:rsid w:val="003E7209"/>
    <w:rsid w:val="004122E8"/>
    <w:rsid w:val="00426A92"/>
    <w:rsid w:val="00430DA5"/>
    <w:rsid w:val="00436769"/>
    <w:rsid w:val="00437F12"/>
    <w:rsid w:val="00451EB5"/>
    <w:rsid w:val="004666F2"/>
    <w:rsid w:val="004766A1"/>
    <w:rsid w:val="00543705"/>
    <w:rsid w:val="005602D5"/>
    <w:rsid w:val="005D2DFA"/>
    <w:rsid w:val="005E25A1"/>
    <w:rsid w:val="005F2130"/>
    <w:rsid w:val="005F4DC7"/>
    <w:rsid w:val="0060107C"/>
    <w:rsid w:val="00603B73"/>
    <w:rsid w:val="006C51C2"/>
    <w:rsid w:val="006F12AD"/>
    <w:rsid w:val="0074675B"/>
    <w:rsid w:val="00766CA9"/>
    <w:rsid w:val="00783A29"/>
    <w:rsid w:val="00790D44"/>
    <w:rsid w:val="007953FC"/>
    <w:rsid w:val="008161A7"/>
    <w:rsid w:val="008171AC"/>
    <w:rsid w:val="00844474"/>
    <w:rsid w:val="00856D3F"/>
    <w:rsid w:val="00884709"/>
    <w:rsid w:val="008A16A7"/>
    <w:rsid w:val="008B6B60"/>
    <w:rsid w:val="008C3D8D"/>
    <w:rsid w:val="008E7D75"/>
    <w:rsid w:val="00964501"/>
    <w:rsid w:val="009714E4"/>
    <w:rsid w:val="0098762E"/>
    <w:rsid w:val="009A7454"/>
    <w:rsid w:val="009D78C8"/>
    <w:rsid w:val="009F5E79"/>
    <w:rsid w:val="00A142BD"/>
    <w:rsid w:val="00A14922"/>
    <w:rsid w:val="00A77DE4"/>
    <w:rsid w:val="00A85FED"/>
    <w:rsid w:val="00A947FE"/>
    <w:rsid w:val="00AB2C5C"/>
    <w:rsid w:val="00AB5AF0"/>
    <w:rsid w:val="00AC2948"/>
    <w:rsid w:val="00B06C2F"/>
    <w:rsid w:val="00B35AF3"/>
    <w:rsid w:val="00B50D35"/>
    <w:rsid w:val="00B62721"/>
    <w:rsid w:val="00B92EAA"/>
    <w:rsid w:val="00B9608A"/>
    <w:rsid w:val="00BC3D09"/>
    <w:rsid w:val="00BD1EE3"/>
    <w:rsid w:val="00BD3196"/>
    <w:rsid w:val="00C0183E"/>
    <w:rsid w:val="00C1357D"/>
    <w:rsid w:val="00C4580E"/>
    <w:rsid w:val="00C4621F"/>
    <w:rsid w:val="00C56E04"/>
    <w:rsid w:val="00C74B5D"/>
    <w:rsid w:val="00C824E3"/>
    <w:rsid w:val="00CC196A"/>
    <w:rsid w:val="00CD1E1C"/>
    <w:rsid w:val="00D17F09"/>
    <w:rsid w:val="00D56EE5"/>
    <w:rsid w:val="00D57419"/>
    <w:rsid w:val="00DB4708"/>
    <w:rsid w:val="00DB6E02"/>
    <w:rsid w:val="00DC1FB6"/>
    <w:rsid w:val="00DC6E81"/>
    <w:rsid w:val="00DF0792"/>
    <w:rsid w:val="00DF0B61"/>
    <w:rsid w:val="00DF64BA"/>
    <w:rsid w:val="00E01615"/>
    <w:rsid w:val="00E07312"/>
    <w:rsid w:val="00E71112"/>
    <w:rsid w:val="00E76D17"/>
    <w:rsid w:val="00E94A14"/>
    <w:rsid w:val="00EB450D"/>
    <w:rsid w:val="00EC6636"/>
    <w:rsid w:val="00EE53F1"/>
    <w:rsid w:val="00EF3F35"/>
    <w:rsid w:val="00F36671"/>
    <w:rsid w:val="00F60984"/>
    <w:rsid w:val="00F85026"/>
    <w:rsid w:val="00FC199C"/>
    <w:rsid w:val="00FD4E15"/>
    <w:rsid w:val="6BB91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Char"/>
    <w:basedOn w:val="5"/>
    <w:link w:val="3"/>
    <w:autoRedefine/>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7F8A-90E3-45F0-8222-6CB94B12283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277</Words>
  <Characters>1582</Characters>
  <Lines>13</Lines>
  <Paragraphs>3</Paragraphs>
  <TotalTime>1514</TotalTime>
  <ScaleCrop>false</ScaleCrop>
  <LinksUpToDate>false</LinksUpToDate>
  <CharactersWithSpaces>1856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2023-08-06T01:18:00Z</dcterms:created>
  <dc:creator>Administrator</dc:creator>
  <cp:lastModifiedBy>客侨凤岗</cp:lastModifiedBy>
  <cp:lastPrinted>2024-05-08T03:59:00Z</cp:lastPrinted>
  <dcterms:modified xsi:type="dcterms:W3CDTF">2024-05-10T03:43:03Z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2023-08-06T09:16:40Z</vt:filetime>
  </property>
  <property fmtid="{D5CDD505-2E9C-101B-9397-08002B2CF9AE}" pid="4" name="KSOProductBuildVer">
    <vt:lpwstr>2052-12.1.0.16729</vt:lpwstr>
  </property>
  <property fmtid="{D5CDD505-2E9C-101B-9397-08002B2CF9AE}" pid="5" name="ICV">
    <vt:lpwstr>2B79B43DAA744BA09EA8F409BD2455CD_12</vt:lpwstr>
  </property>
</Properties>
</file>