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margin" w:tblpXSpec="center" w:tblpY="1491"/>
        <w:tblW w:w="0" w:type="auto"/>
        <w:tblInd w:w="0" w:type="dxa"/>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18"/>
      </w:tblGrid>
      <w:tr>
        <w:tblPrEx>
          <w:tblBorders>
            <w:top w:val="none" w:color="auto" w:sz="0" w:space="0"/>
            <w:left w:val="none" w:color="auto" w:sz="0" w:space="0"/>
            <w:bottom w:val="thinThickSmallGap" w:color="FF0000" w:sz="2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9718" w:type="dxa"/>
            <w:vAlign w:val="center"/>
          </w:tcPr>
          <w:p>
            <w:pPr>
              <w:spacing w:before="156" w:beforeLines="50" w:line="600" w:lineRule="exact"/>
              <w:jc w:val="distribute"/>
              <w:rPr>
                <w:rFonts w:hint="default" w:ascii="Times New Roman" w:hAnsi="Times New Roman" w:eastAsia="华康简标题宋" w:cs="Times New Roman"/>
                <w:color w:val="FF0000"/>
                <w:w w:val="95"/>
                <w:sz w:val="76"/>
                <w:szCs w:val="76"/>
              </w:rPr>
            </w:pPr>
            <w:r>
              <w:rPr>
                <w:rFonts w:hint="default" w:ascii="Times New Roman" w:hAnsi="Times New Roman" w:eastAsia="华康简标题宋" w:cs="Times New Roman"/>
                <w:color w:val="FF0000"/>
                <w:w w:val="95"/>
                <w:sz w:val="76"/>
                <w:szCs w:val="76"/>
              </w:rPr>
              <w:t>东莞市自然资源局大岭山分局</w:t>
            </w:r>
          </w:p>
        </w:tc>
      </w:tr>
    </w:tbl>
    <w:p>
      <w:pPr>
        <w:snapToGrid w:val="0"/>
        <w:spacing w:line="600" w:lineRule="exact"/>
        <w:jc w:val="both"/>
        <w:rPr>
          <w:rFonts w:hint="default" w:ascii="Times New Roman" w:hAnsi="Times New Roman" w:eastAsia="方正小标宋简体" w:cs="Times New Roman"/>
          <w:bCs/>
          <w:sz w:val="44"/>
          <w:szCs w:val="44"/>
        </w:rPr>
      </w:pPr>
      <w:bookmarkStart w:id="0" w:name="OLE_LINK5"/>
    </w:p>
    <w:bookmarkEnd w:id="0"/>
    <w:p>
      <w:pPr>
        <w:numPr>
          <w:ilvl w:val="0"/>
          <w:numId w:val="0"/>
        </w:numPr>
        <w:spacing w:line="600" w:lineRule="exact"/>
        <w:jc w:val="center"/>
        <w:rPr>
          <w:rFonts w:hint="default" w:ascii="Times New Roman" w:hAnsi="Times New Roman" w:eastAsia="华康简标题宋" w:cs="Times New Roman"/>
          <w:sz w:val="44"/>
          <w:szCs w:val="44"/>
          <w:lang w:val="en-US" w:eastAsia="zh-CN"/>
        </w:rPr>
      </w:pPr>
      <w:r>
        <w:rPr>
          <w:rFonts w:hint="default" w:ascii="Times New Roman" w:hAnsi="Times New Roman" w:eastAsia="华康简标题宋" w:cs="Times New Roman"/>
          <w:bCs/>
          <w:sz w:val="44"/>
          <w:szCs w:val="44"/>
          <w:lang w:val="en-US" w:eastAsia="zh-CN"/>
        </w:rPr>
        <w:t>东莞市大岭山镇城镇建设用地规模落实方案（东莞市大岭山镇纵塘大道连通厚大路工程项目）的公告</w:t>
      </w: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p>
    <w:p>
      <w:pPr>
        <w:spacing w:line="600" w:lineRule="exact"/>
        <w:ind w:firstLine="775" w:firstLineChars="250"/>
        <w:rPr>
          <w:rFonts w:hint="default" w:ascii="Times New Roman" w:hAnsi="Times New Roman" w:eastAsia="仿宋_GB2312" w:cs="Times New Roman"/>
          <w:kern w:val="0"/>
          <w:sz w:val="31"/>
          <w:szCs w:val="31"/>
        </w:rPr>
      </w:pPr>
      <w:r>
        <w:rPr>
          <w:rFonts w:hint="default" w:ascii="Times New Roman" w:hAnsi="Times New Roman" w:eastAsia="仿宋_GB2312" w:cs="Times New Roman"/>
          <w:kern w:val="0"/>
          <w:sz w:val="31"/>
          <w:szCs w:val="31"/>
        </w:rPr>
        <w:t>根据《东莞市大岭山镇城镇建设用地规模落实方案(东莞市大岭山镇纵塘大道连通厚大路工程项目)》（编号：441900</w:t>
      </w:r>
      <w:r>
        <w:rPr>
          <w:rFonts w:hint="default" w:ascii="Times New Roman" w:hAnsi="Times New Roman" w:eastAsia="仿宋_GB2312" w:cs="Times New Roman"/>
          <w:kern w:val="0"/>
          <w:sz w:val="31"/>
          <w:szCs w:val="31"/>
          <w:lang w:val="en-US" w:eastAsia="zh-CN"/>
        </w:rPr>
        <w:t>20250005</w:t>
      </w:r>
      <w:r>
        <w:rPr>
          <w:rFonts w:hint="default" w:ascii="Times New Roman" w:hAnsi="Times New Roman" w:eastAsia="仿宋_GB2312" w:cs="Times New Roman"/>
          <w:kern w:val="0"/>
          <w:sz w:val="31"/>
          <w:szCs w:val="31"/>
        </w:rPr>
        <w:t>），东莞市大岭山镇城镇建设用地规模落实方案(东莞市大岭山镇纵塘大道连通厚大路工程项目)已经东莞市自然资源局批准同意。现根据有关规定，就上述方案的有关内容，公告如下：</w:t>
      </w:r>
    </w:p>
    <w:p>
      <w:pPr>
        <w:numPr>
          <w:ilvl w:val="0"/>
          <w:numId w:val="1"/>
        </w:numPr>
        <w:spacing w:line="600" w:lineRule="exact"/>
        <w:ind w:left="1220" w:leftChars="0" w:hanging="590" w:firstLineChars="0"/>
        <w:rPr>
          <w:rFonts w:hint="default" w:ascii="Times New Roman" w:hAnsi="Times New Roman" w:eastAsia="仿宋_GB2312" w:cs="Times New Roman"/>
          <w:b/>
          <w:bCs/>
          <w:kern w:val="0"/>
          <w:sz w:val="31"/>
          <w:szCs w:val="31"/>
        </w:rPr>
      </w:pPr>
      <w:r>
        <w:rPr>
          <w:rFonts w:hint="default" w:ascii="Times New Roman" w:hAnsi="Times New Roman" w:eastAsia="仿宋_GB2312" w:cs="Times New Roman"/>
          <w:b/>
          <w:bCs/>
          <w:kern w:val="0"/>
          <w:sz w:val="31"/>
          <w:szCs w:val="31"/>
        </w:rPr>
        <w:t>城镇开发边界外新增城镇建设用地规模落实原因</w:t>
      </w:r>
    </w:p>
    <w:p>
      <w:pPr>
        <w:numPr>
          <w:ilvl w:val="0"/>
          <w:numId w:val="0"/>
        </w:numPr>
        <w:spacing w:line="600" w:lineRule="exact"/>
        <w:ind w:firstLine="620" w:firstLineChars="200"/>
        <w:rPr>
          <w:rFonts w:hint="default" w:ascii="Times New Roman" w:hAnsi="Times New Roman" w:eastAsia="仿宋_GB2312" w:cs="Times New Roman"/>
          <w:kern w:val="0"/>
          <w:sz w:val="31"/>
          <w:szCs w:val="31"/>
        </w:rPr>
      </w:pPr>
      <w:r>
        <w:rPr>
          <w:rFonts w:hint="default" w:ascii="Times New Roman" w:hAnsi="Times New Roman" w:eastAsia="仿宋_GB2312" w:cs="Times New Roman"/>
          <w:kern w:val="0"/>
          <w:sz w:val="31"/>
          <w:szCs w:val="31"/>
        </w:rPr>
        <w:t>为完善片区道路交通体系，大岭山镇拟开展纵</w:t>
      </w:r>
      <w:bookmarkStart w:id="1" w:name="_GoBack"/>
      <w:bookmarkEnd w:id="1"/>
      <w:r>
        <w:rPr>
          <w:rFonts w:hint="default" w:ascii="Times New Roman" w:hAnsi="Times New Roman" w:eastAsia="仿宋_GB2312" w:cs="Times New Roman"/>
          <w:kern w:val="0"/>
          <w:sz w:val="31"/>
          <w:szCs w:val="31"/>
        </w:rPr>
        <w:t>塘大道连通厚大路工程项目）建设，该项目有0.1530公顷用地需通过编制城镇建设用地规模落实方案，落实城镇用地规模。按照《广东省自然资源厅关于做好城镇开发边界管理的通知（试行）》（粤自然资发〔2024〕4号）等文件，大岭山镇组织编制了《东莞市大岭山镇城镇建设用地规模落实方案（东莞市大岭山镇纵塘大道连通厚大路工程项目）》，经</w:t>
      </w:r>
      <w:r>
        <w:rPr>
          <w:rFonts w:hint="default" w:ascii="Times New Roman" w:hAnsi="Times New Roman" w:eastAsia="仿宋_GB2312" w:cs="Times New Roman"/>
          <w:kern w:val="0"/>
          <w:sz w:val="31"/>
          <w:szCs w:val="31"/>
          <w:lang w:eastAsia="zh-CN"/>
        </w:rPr>
        <w:t>市自然资源局</w:t>
      </w:r>
      <w:r>
        <w:rPr>
          <w:rFonts w:hint="default" w:ascii="Times New Roman" w:hAnsi="Times New Roman" w:eastAsia="仿宋_GB2312" w:cs="Times New Roman"/>
          <w:kern w:val="0"/>
          <w:sz w:val="31"/>
          <w:szCs w:val="31"/>
        </w:rPr>
        <w:t>审批后局部调整了大岭山镇城镇开发边界外新增城镇建设用地布局。</w:t>
      </w:r>
    </w:p>
    <w:p>
      <w:pPr>
        <w:numPr>
          <w:ilvl w:val="0"/>
          <w:numId w:val="1"/>
        </w:numPr>
        <w:spacing w:line="600" w:lineRule="exact"/>
        <w:ind w:left="1220" w:leftChars="0" w:hanging="590" w:firstLineChars="0"/>
        <w:rPr>
          <w:rFonts w:hint="default" w:ascii="Times New Roman" w:hAnsi="Times New Roman" w:eastAsia="仿宋_GB2312" w:cs="Times New Roman"/>
          <w:b/>
          <w:bCs/>
          <w:kern w:val="0"/>
          <w:sz w:val="31"/>
          <w:szCs w:val="31"/>
        </w:rPr>
      </w:pPr>
      <w:r>
        <w:rPr>
          <w:rFonts w:hint="default" w:ascii="Times New Roman" w:hAnsi="Times New Roman" w:eastAsia="仿宋_GB2312" w:cs="Times New Roman"/>
          <w:b/>
          <w:bCs/>
          <w:kern w:val="0"/>
          <w:sz w:val="31"/>
          <w:szCs w:val="31"/>
        </w:rPr>
        <w:t>城镇开发边界外新增城镇建设用地规模落实情况</w:t>
      </w:r>
    </w:p>
    <w:p>
      <w:pPr>
        <w:numPr>
          <w:ilvl w:val="0"/>
          <w:numId w:val="0"/>
        </w:numPr>
        <w:spacing w:line="600" w:lineRule="exact"/>
        <w:ind w:firstLine="620" w:firstLineChars="200"/>
        <w:rPr>
          <w:rFonts w:hint="default" w:ascii="Times New Roman" w:hAnsi="Times New Roman" w:eastAsia="仿宋_GB2312" w:cs="Times New Roman"/>
          <w:kern w:val="0"/>
          <w:sz w:val="31"/>
          <w:szCs w:val="31"/>
        </w:rPr>
      </w:pPr>
      <w:r>
        <w:rPr>
          <w:rFonts w:hint="default" w:ascii="Times New Roman" w:hAnsi="Times New Roman" w:eastAsia="仿宋_GB2312" w:cs="Times New Roman"/>
          <w:kern w:val="0"/>
          <w:sz w:val="31"/>
          <w:szCs w:val="31"/>
        </w:rPr>
        <w:t>本次城镇开发边界外新增城镇建设用地规模落实使用涉及总面积0.1530公顷，使用后均落实为城镇建设用地。</w:t>
      </w:r>
    </w:p>
    <w:p>
      <w:pPr>
        <w:numPr>
          <w:ilvl w:val="0"/>
          <w:numId w:val="1"/>
        </w:numPr>
        <w:spacing w:line="600" w:lineRule="exact"/>
        <w:ind w:left="1220" w:leftChars="0" w:hanging="590" w:firstLineChars="0"/>
        <w:rPr>
          <w:rFonts w:hint="default" w:ascii="Times New Roman" w:hAnsi="Times New Roman" w:eastAsia="仿宋_GB2312" w:cs="Times New Roman"/>
          <w:b/>
          <w:bCs/>
          <w:kern w:val="0"/>
          <w:sz w:val="31"/>
          <w:szCs w:val="31"/>
        </w:rPr>
      </w:pPr>
      <w:r>
        <w:rPr>
          <w:rFonts w:hint="default" w:ascii="Times New Roman" w:hAnsi="Times New Roman" w:eastAsia="仿宋_GB2312" w:cs="Times New Roman"/>
          <w:b/>
          <w:bCs/>
          <w:kern w:val="0"/>
          <w:sz w:val="31"/>
          <w:szCs w:val="31"/>
        </w:rPr>
        <w:t>国土空间总体规划控制线管控要求</w:t>
      </w:r>
    </w:p>
    <w:p>
      <w:pPr>
        <w:spacing w:line="600" w:lineRule="exact"/>
        <w:ind w:firstLine="775" w:firstLineChars="250"/>
        <w:rPr>
          <w:rFonts w:hint="default" w:ascii="Times New Roman" w:hAnsi="Times New Roman" w:eastAsia="仿宋_GB2312" w:cs="Times New Roman"/>
          <w:b w:val="0"/>
          <w:bCs w:val="0"/>
          <w:kern w:val="0"/>
          <w:sz w:val="31"/>
          <w:szCs w:val="31"/>
        </w:rPr>
      </w:pPr>
      <w:r>
        <w:rPr>
          <w:rFonts w:hint="default" w:ascii="Times New Roman" w:hAnsi="Times New Roman" w:eastAsia="仿宋_GB2312" w:cs="Times New Roman"/>
          <w:b w:val="0"/>
          <w:bCs w:val="0"/>
          <w:kern w:val="0"/>
          <w:sz w:val="31"/>
          <w:szCs w:val="31"/>
        </w:rPr>
        <w:t>本次落实地块完全位于城镇开发边界外，与生态保护红线、永久基本农田、城市四线、自然保护地、历史文物保护线等国土空间总体规划控制线无冲突。后期将按照省自然资源厅统一工作部署等量缩减城镇开发边界内规划新增城镇建设用地规模，确保规划新增城镇建设用地规模和城镇开发边界扩展倍数不突破。</w:t>
      </w:r>
    </w:p>
    <w:p>
      <w:pPr>
        <w:numPr>
          <w:ilvl w:val="0"/>
          <w:numId w:val="1"/>
        </w:numPr>
        <w:spacing w:line="600" w:lineRule="exact"/>
        <w:ind w:left="1220" w:leftChars="0" w:hanging="590" w:firstLineChars="0"/>
        <w:rPr>
          <w:rFonts w:hint="default" w:ascii="Times New Roman" w:hAnsi="Times New Roman" w:eastAsia="仿宋_GB2312" w:cs="Times New Roman"/>
          <w:b/>
          <w:bCs/>
          <w:kern w:val="0"/>
          <w:sz w:val="31"/>
          <w:szCs w:val="31"/>
        </w:rPr>
      </w:pPr>
      <w:r>
        <w:rPr>
          <w:rFonts w:hint="default" w:ascii="Times New Roman" w:hAnsi="Times New Roman" w:eastAsia="仿宋_GB2312" w:cs="Times New Roman"/>
          <w:b/>
          <w:bCs/>
          <w:kern w:val="0"/>
          <w:sz w:val="31"/>
          <w:szCs w:val="31"/>
        </w:rPr>
        <w:t>批准机关：东莞市自然资源局</w:t>
      </w:r>
    </w:p>
    <w:p>
      <w:pPr>
        <w:numPr>
          <w:ilvl w:val="0"/>
          <w:numId w:val="1"/>
        </w:numPr>
        <w:spacing w:line="600" w:lineRule="exact"/>
        <w:ind w:left="1220" w:leftChars="0" w:hanging="590" w:firstLineChars="0"/>
        <w:rPr>
          <w:rFonts w:hint="default" w:ascii="Times New Roman" w:hAnsi="Times New Roman" w:eastAsia="仿宋_GB2312" w:cs="Times New Roman"/>
          <w:b/>
          <w:bCs/>
          <w:kern w:val="0"/>
          <w:sz w:val="31"/>
          <w:szCs w:val="31"/>
        </w:rPr>
      </w:pPr>
      <w:r>
        <w:rPr>
          <w:rFonts w:hint="default" w:ascii="Times New Roman" w:hAnsi="Times New Roman" w:eastAsia="仿宋_GB2312" w:cs="Times New Roman"/>
          <w:b/>
          <w:bCs/>
          <w:kern w:val="0"/>
          <w:sz w:val="31"/>
          <w:szCs w:val="31"/>
          <w:lang w:val="en-US" w:eastAsia="zh-CN"/>
        </w:rPr>
        <w:t>批准日期：2025年10月16日</w:t>
      </w:r>
    </w:p>
    <w:p>
      <w:pPr>
        <w:widowControl/>
        <w:numPr>
          <w:ilvl w:val="0"/>
          <w:numId w:val="0"/>
        </w:numPr>
        <w:spacing w:line="520" w:lineRule="exact"/>
        <w:jc w:val="both"/>
        <w:rPr>
          <w:rFonts w:hint="default" w:ascii="Times New Roman" w:hAnsi="Times New Roman" w:eastAsia="仿宋_GB2312" w:cs="Times New Roman"/>
          <w:kern w:val="0"/>
          <w:sz w:val="31"/>
          <w:szCs w:val="31"/>
          <w:lang w:val="en-US" w:eastAsia="zh-CN"/>
        </w:rPr>
      </w:pPr>
    </w:p>
    <w:p>
      <w:pPr>
        <w:widowControl/>
        <w:numPr>
          <w:ilvl w:val="0"/>
          <w:numId w:val="0"/>
        </w:numPr>
        <w:spacing w:line="520" w:lineRule="exact"/>
        <w:ind w:leftChars="300"/>
        <w:jc w:val="both"/>
        <w:rPr>
          <w:rFonts w:hint="default" w:ascii="Times New Roman" w:hAnsi="Times New Roman" w:eastAsia="仿宋_GB2312" w:cs="Times New Roman"/>
          <w:kern w:val="0"/>
          <w:sz w:val="31"/>
          <w:szCs w:val="31"/>
          <w:lang w:val="en-US" w:eastAsia="zh-CN"/>
        </w:rPr>
      </w:pPr>
      <w:r>
        <w:rPr>
          <w:rFonts w:hint="default" w:ascii="Times New Roman" w:hAnsi="Times New Roman" w:eastAsia="仿宋_GB2312" w:cs="Times New Roman"/>
          <w:kern w:val="0"/>
          <w:sz w:val="31"/>
          <w:szCs w:val="31"/>
          <w:lang w:val="en-US" w:eastAsia="zh-CN"/>
        </w:rPr>
        <w:t>附图：</w:t>
      </w:r>
    </w:p>
    <w:p>
      <w:pPr>
        <w:widowControl/>
        <w:numPr>
          <w:ilvl w:val="0"/>
          <w:numId w:val="2"/>
        </w:numPr>
        <w:tabs>
          <w:tab w:val="clear" w:pos="312"/>
        </w:tabs>
        <w:spacing w:line="520" w:lineRule="exact"/>
        <w:ind w:left="1260" w:leftChars="0" w:firstLineChars="0"/>
        <w:jc w:val="both"/>
        <w:rPr>
          <w:rFonts w:hint="default" w:ascii="Times New Roman" w:hAnsi="Times New Roman" w:eastAsia="仿宋_GB2312" w:cs="Times New Roman"/>
          <w:kern w:val="0"/>
          <w:sz w:val="31"/>
          <w:szCs w:val="31"/>
          <w:lang w:val="en-US" w:eastAsia="zh-CN"/>
        </w:rPr>
      </w:pPr>
      <w:r>
        <w:rPr>
          <w:rFonts w:hint="default" w:ascii="Times New Roman" w:hAnsi="Times New Roman" w:eastAsia="仿宋_GB2312" w:cs="Times New Roman"/>
          <w:kern w:val="0"/>
          <w:sz w:val="31"/>
          <w:szCs w:val="31"/>
          <w:lang w:val="en-US" w:eastAsia="zh-CN"/>
        </w:rPr>
        <w:t>落实地块前土地使用规划图</w:t>
      </w:r>
    </w:p>
    <w:p>
      <w:pPr>
        <w:widowControl/>
        <w:numPr>
          <w:ilvl w:val="0"/>
          <w:numId w:val="2"/>
        </w:numPr>
        <w:tabs>
          <w:tab w:val="clear" w:pos="312"/>
        </w:tabs>
        <w:spacing w:line="520" w:lineRule="exact"/>
        <w:ind w:left="1260" w:leftChars="0" w:firstLineChars="0"/>
        <w:jc w:val="both"/>
        <w:rPr>
          <w:rFonts w:hint="default" w:ascii="Times New Roman" w:hAnsi="Times New Roman" w:eastAsia="仿宋_GB2312" w:cs="Times New Roman"/>
          <w:kern w:val="0"/>
          <w:sz w:val="31"/>
          <w:szCs w:val="31"/>
          <w:lang w:val="en-US" w:eastAsia="zh-CN"/>
        </w:rPr>
      </w:pPr>
      <w:r>
        <w:rPr>
          <w:rFonts w:hint="default" w:ascii="Times New Roman" w:hAnsi="Times New Roman" w:eastAsia="仿宋_GB2312" w:cs="Times New Roman"/>
          <w:kern w:val="0"/>
          <w:sz w:val="31"/>
          <w:szCs w:val="31"/>
          <w:lang w:val="en-US" w:eastAsia="zh-CN"/>
        </w:rPr>
        <w:t>落实地块后土地使用规划图</w:t>
      </w:r>
    </w:p>
    <w:p>
      <w:pPr>
        <w:spacing w:line="360" w:lineRule="auto"/>
        <w:ind w:firstLine="640" w:firstLineChars="200"/>
        <w:jc w:val="left"/>
        <w:rPr>
          <w:rFonts w:hint="default" w:ascii="Times New Roman" w:hAnsi="Times New Roman" w:eastAsia="仿宋_GB2312" w:cs="Times New Roman"/>
          <w:sz w:val="32"/>
          <w:szCs w:val="32"/>
        </w:rPr>
      </w:pPr>
    </w:p>
    <w:p>
      <w:pPr>
        <w:spacing w:line="360" w:lineRule="auto"/>
        <w:ind w:firstLine="640" w:firstLineChars="200"/>
        <w:jc w:val="left"/>
        <w:rPr>
          <w:rFonts w:hint="default" w:ascii="Times New Roman" w:hAnsi="Times New Roman" w:eastAsia="仿宋_GB2312" w:cs="Times New Roman"/>
          <w:sz w:val="32"/>
          <w:szCs w:val="32"/>
        </w:rPr>
      </w:pPr>
    </w:p>
    <w:p>
      <w:pPr>
        <w:spacing w:line="360" w:lineRule="auto"/>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东莞市自然资源局大岭山分局</w:t>
      </w:r>
    </w:p>
    <w:p>
      <w:pPr>
        <w:spacing w:line="360" w:lineRule="auto"/>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rPr>
        <w:t>25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p>
    <w:p>
      <w:pPr>
        <w:spacing w:line="360" w:lineRule="auto"/>
        <w:jc w:val="left"/>
        <w:rPr>
          <w:rFonts w:hint="default" w:ascii="Times New Roman" w:hAnsi="Times New Roman" w:eastAsia="仿宋_GB2312" w:cs="Times New Roman"/>
          <w:sz w:val="32"/>
          <w:szCs w:val="32"/>
          <w:lang w:val="en-US" w:eastAsia="zh-CN"/>
        </w:rPr>
      </w:pPr>
    </w:p>
    <w:p>
      <w:pPr>
        <w:spacing w:line="360" w:lineRule="auto"/>
        <w:jc w:val="left"/>
        <w:rPr>
          <w:rFonts w:hint="default" w:ascii="Times New Roman" w:hAnsi="Times New Roman" w:eastAsia="仿宋_GB2312" w:cs="Times New Roman"/>
          <w:sz w:val="32"/>
          <w:szCs w:val="32"/>
          <w:lang w:val="en-US" w:eastAsia="zh-CN"/>
        </w:rPr>
      </w:pPr>
    </w:p>
    <w:p>
      <w:pPr>
        <w:spacing w:line="360" w:lineRule="auto"/>
        <w:jc w:val="left"/>
        <w:rPr>
          <w:rFonts w:hint="default" w:ascii="Times New Roman" w:hAnsi="Times New Roman" w:eastAsia="仿宋_GB2312" w:cs="Times New Roman"/>
          <w:sz w:val="32"/>
          <w:szCs w:val="32"/>
          <w:lang w:val="en-US" w:eastAsia="zh-CN"/>
        </w:rPr>
      </w:pPr>
    </w:p>
    <w:p>
      <w:pPr>
        <w:spacing w:line="360" w:lineRule="auto"/>
        <w:jc w:val="left"/>
        <w:rPr>
          <w:rFonts w:hint="default" w:ascii="Times New Roman" w:hAnsi="Times New Roman" w:eastAsia="仿宋_GB2312" w:cs="Times New Roman"/>
          <w:sz w:val="32"/>
          <w:szCs w:val="32"/>
          <w:lang w:val="en-US" w:eastAsia="zh-CN"/>
        </w:rPr>
      </w:pPr>
    </w:p>
    <w:p>
      <w:pPr>
        <w:spacing w:line="360" w:lineRule="auto"/>
        <w:jc w:val="left"/>
        <w:rPr>
          <w:rFonts w:hint="default" w:ascii="Times New Roman" w:hAnsi="Times New Roman" w:eastAsia="仿宋_GB2312" w:cs="Times New Roman"/>
          <w:sz w:val="32"/>
          <w:szCs w:val="32"/>
          <w:lang w:val="en-US" w:eastAsia="zh-CN"/>
        </w:rPr>
      </w:pPr>
    </w:p>
    <w:p>
      <w:pPr>
        <w:spacing w:line="360" w:lineRule="auto"/>
        <w:jc w:val="both"/>
        <w:rPr>
          <w:rFonts w:hint="default" w:ascii="Times New Roman" w:hAnsi="Times New Roman" w:eastAsia="仿宋_GB2312" w:cs="Times New Roman"/>
          <w:sz w:val="32"/>
          <w:szCs w:val="32"/>
          <w:lang w:val="en-US" w:eastAsia="zh-CN"/>
        </w:rPr>
      </w:pPr>
    </w:p>
    <w:sectPr>
      <w:headerReference r:id="rId3" w:type="default"/>
      <w:footerReference r:id="rId4" w:type="default"/>
      <w:footerReference r:id="rId5" w:type="even"/>
      <w:pgSz w:w="11906" w:h="16838"/>
      <w:pgMar w:top="1440" w:right="1474" w:bottom="1440" w:left="1531" w:header="851" w:footer="992" w:gutter="0"/>
      <w:pgBorders w:display="firstPage">
        <w:bottom w:val="thickThinSmallGap" w:color="FF0000" w:sz="24" w:space="1"/>
      </w:pgBorders>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56F416-E60B-43B5-ACAB-A396D55F30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panose1 w:val="02010609000101010101"/>
    <w:charset w:val="86"/>
    <w:family w:val="modern"/>
    <w:pitch w:val="default"/>
    <w:sig w:usb0="00000000" w:usb1="00000000" w:usb2="00000000" w:usb3="00000000" w:csb0="00000000" w:csb1="00000000"/>
    <w:embedRegular r:id="rId2" w:fontKey="{EF35F23F-75D6-495B-ADCC-897F0EA73F56}"/>
  </w:font>
  <w:font w:name="方正小标宋简体">
    <w:panose1 w:val="02000000000000000000"/>
    <w:charset w:val="86"/>
    <w:family w:val="auto"/>
    <w:pitch w:val="default"/>
    <w:sig w:usb0="00000001" w:usb1="080E0000" w:usb2="00000000" w:usb3="00000000" w:csb0="00040000" w:csb1="00000000"/>
    <w:embedRegular r:id="rId3" w:fontKey="{E872B297-B437-4D68-9846-198D56242DA4}"/>
  </w:font>
  <w:font w:name="仿宋_GB2312">
    <w:panose1 w:val="02010609030101010101"/>
    <w:charset w:val="86"/>
    <w:family w:val="auto"/>
    <w:pitch w:val="default"/>
    <w:sig w:usb0="00000001" w:usb1="080E0000" w:usb2="00000000" w:usb3="00000000" w:csb0="00040000" w:csb1="00000000"/>
    <w:embedRegular r:id="rId4" w:fontKey="{F632C4B7-06FE-45C4-A5FE-CEE313CB5D23}"/>
  </w:font>
  <w:font w:name="华康简标题宋">
    <w:panose1 w:val="02010609000101010101"/>
    <w:charset w:val="00"/>
    <w:family w:val="auto"/>
    <w:pitch w:val="default"/>
    <w:sig w:usb0="00000000" w:usb1="00000000" w:usb2="00000000" w:usb3="00000000" w:csb0="00000000" w:csb1="00000000"/>
    <w:embedRegular r:id="rId5" w:fontKey="{2C4FCF82-163E-49A1-B6A7-29657026EE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fldChar w:fldCharType="begin"/>
    </w:r>
    <w:r>
      <w:rPr>
        <w:rStyle w:val="14"/>
      </w:rPr>
      <w:instrText xml:space="preserve">PAGE  </w:instrText>
    </w:r>
    <w:r>
      <w:fldChar w:fldCharType="separate"/>
    </w:r>
    <w:r>
      <w:rPr>
        <w:rStyle w:val="14"/>
      </w:rPr>
      <w:t>- 1 -</w: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ascii="黑体" w:eastAsia="黑体"/>
        <w:sz w:val="31"/>
        <w:szCs w:val="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4388C"/>
    <w:multiLevelType w:val="singleLevel"/>
    <w:tmpl w:val="9074388C"/>
    <w:lvl w:ilvl="0" w:tentative="0">
      <w:start w:val="1"/>
      <w:numFmt w:val="decimal"/>
      <w:lvlText w:val="%1."/>
      <w:lvlJc w:val="left"/>
      <w:pPr>
        <w:tabs>
          <w:tab w:val="left" w:pos="312"/>
        </w:tabs>
        <w:ind w:left="1260"/>
      </w:pPr>
    </w:lvl>
  </w:abstractNum>
  <w:abstractNum w:abstractNumId="1">
    <w:nsid w:val="E88A4C6A"/>
    <w:multiLevelType w:val="multilevel"/>
    <w:tmpl w:val="E88A4C6A"/>
    <w:lvl w:ilvl="0" w:tentative="0">
      <w:start w:val="1"/>
      <w:numFmt w:val="chineseCounting"/>
      <w:suff w:val="nothing"/>
      <w:lvlText w:val="%1、"/>
      <w:lvlJc w:val="left"/>
      <w:pPr>
        <w:ind w:left="1220" w:hanging="590"/>
      </w:pPr>
      <w:rPr>
        <w:rFonts w:hint="eastAsia"/>
        <w:b/>
        <w:bCs/>
      </w:rPr>
    </w:lvl>
    <w:lvl w:ilvl="1" w:tentative="0">
      <w:start w:val="1"/>
      <w:numFmt w:val="decimal"/>
      <w:suff w:val="nothing"/>
      <w:lvlText w:val="%2．"/>
      <w:lvlJc w:val="left"/>
      <w:pPr>
        <w:ind w:left="630" w:firstLine="0"/>
      </w:pPr>
      <w:rPr>
        <w:rFonts w:hint="eastAsia"/>
      </w:rPr>
    </w:lvl>
    <w:lvl w:ilvl="2" w:tentative="0">
      <w:start w:val="1"/>
      <w:numFmt w:val="decimal"/>
      <w:suff w:val="nothing"/>
      <w:lvlText w:val="（%3）"/>
      <w:lvlJc w:val="left"/>
      <w:pPr>
        <w:ind w:left="630" w:firstLine="0"/>
      </w:pPr>
      <w:rPr>
        <w:rFonts w:hint="eastAsia"/>
      </w:rPr>
    </w:lvl>
    <w:lvl w:ilvl="3" w:tentative="0">
      <w:start w:val="1"/>
      <w:numFmt w:val="decimalEnclosedCircleChinese"/>
      <w:suff w:val="nothing"/>
      <w:lvlText w:val="%4"/>
      <w:lvlJc w:val="left"/>
      <w:pPr>
        <w:ind w:left="630" w:firstLine="0"/>
      </w:pPr>
      <w:rPr>
        <w:rFonts w:hint="eastAsia"/>
      </w:rPr>
    </w:lvl>
    <w:lvl w:ilvl="4" w:tentative="0">
      <w:start w:val="1"/>
      <w:numFmt w:val="decimal"/>
      <w:suff w:val="nothing"/>
      <w:lvlText w:val="%5）"/>
      <w:lvlJc w:val="left"/>
      <w:pPr>
        <w:ind w:left="630" w:firstLine="0"/>
      </w:pPr>
      <w:rPr>
        <w:rFonts w:hint="eastAsia"/>
      </w:rPr>
    </w:lvl>
    <w:lvl w:ilvl="5" w:tentative="0">
      <w:start w:val="1"/>
      <w:numFmt w:val="lowerLetter"/>
      <w:suff w:val="nothing"/>
      <w:lvlText w:val="%6．"/>
      <w:lvlJc w:val="left"/>
      <w:pPr>
        <w:ind w:left="630" w:firstLine="0"/>
      </w:pPr>
      <w:rPr>
        <w:rFonts w:hint="eastAsia"/>
      </w:rPr>
    </w:lvl>
    <w:lvl w:ilvl="6" w:tentative="0">
      <w:start w:val="1"/>
      <w:numFmt w:val="lowerLetter"/>
      <w:suff w:val="nothing"/>
      <w:lvlText w:val="%7）"/>
      <w:lvlJc w:val="left"/>
      <w:pPr>
        <w:ind w:left="630" w:firstLine="0"/>
      </w:pPr>
      <w:rPr>
        <w:rFonts w:hint="eastAsia"/>
      </w:rPr>
    </w:lvl>
    <w:lvl w:ilvl="7" w:tentative="0">
      <w:start w:val="1"/>
      <w:numFmt w:val="lowerRoman"/>
      <w:suff w:val="nothing"/>
      <w:lvlText w:val="%8．"/>
      <w:lvlJc w:val="left"/>
      <w:pPr>
        <w:ind w:left="630" w:firstLine="0"/>
      </w:pPr>
      <w:rPr>
        <w:rFonts w:hint="eastAsia"/>
      </w:rPr>
    </w:lvl>
    <w:lvl w:ilvl="8" w:tentative="0">
      <w:start w:val="1"/>
      <w:numFmt w:val="lowerRoman"/>
      <w:suff w:val="nothing"/>
      <w:lvlText w:val="%9）"/>
      <w:lvlJc w:val="left"/>
      <w:pPr>
        <w:ind w:left="63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A5209"/>
    <w:rsid w:val="0B9177C4"/>
    <w:rsid w:val="11C95327"/>
    <w:rsid w:val="14516CF3"/>
    <w:rsid w:val="1F332F28"/>
    <w:rsid w:val="25EF041F"/>
    <w:rsid w:val="2D377DFC"/>
    <w:rsid w:val="2D4773B4"/>
    <w:rsid w:val="327E79BE"/>
    <w:rsid w:val="50E532F3"/>
    <w:rsid w:val="61EF0AC4"/>
    <w:rsid w:val="61F538D8"/>
    <w:rsid w:val="629C2AA0"/>
    <w:rsid w:val="6F667F57"/>
    <w:rsid w:val="7359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caption"/>
    <w:next w:val="1"/>
    <w:qFormat/>
    <w:uiPriority w:val="35"/>
    <w:pPr>
      <w:widowControl w:val="0"/>
      <w:spacing w:before="152" w:after="160"/>
      <w:jc w:val="both"/>
    </w:pPr>
    <w:rPr>
      <w:rFonts w:ascii="Arial" w:hAnsi="Arial" w:eastAsia="黑体" w:cs="Arial"/>
      <w:kern w:val="2"/>
      <w:lang w:val="en-US" w:eastAsia="zh-CN" w:bidi="ar-SA"/>
    </w:rPr>
  </w:style>
  <w:style w:type="paragraph" w:styleId="4">
    <w:name w:val="Body Text Indent"/>
    <w:basedOn w:val="1"/>
    <w:qFormat/>
    <w:uiPriority w:val="0"/>
    <w:pPr>
      <w:topLinePunct/>
      <w:autoSpaceDE w:val="0"/>
      <w:autoSpaceDN w:val="0"/>
      <w:spacing w:line="540" w:lineRule="atLeast"/>
      <w:ind w:firstLine="600"/>
    </w:pPr>
    <w:rPr>
      <w:rFonts w:ascii="华康简标题宋"/>
      <w:sz w:val="30"/>
    </w:rPr>
  </w:style>
  <w:style w:type="paragraph" w:styleId="5">
    <w:name w:val="Date"/>
    <w:basedOn w:val="1"/>
    <w:next w:val="1"/>
    <w:link w:val="17"/>
    <w:qFormat/>
    <w:uiPriority w:val="0"/>
    <w:pPr>
      <w:ind w:left="100" w:leftChars="2500"/>
    </w:pPr>
  </w:style>
  <w:style w:type="paragraph" w:styleId="6">
    <w:name w:val="Body Text Indent 2"/>
    <w:basedOn w:val="1"/>
    <w:qFormat/>
    <w:uiPriority w:val="0"/>
    <w:pPr>
      <w:spacing w:line="480" w:lineRule="auto"/>
      <w:ind w:left="420" w:leftChars="200"/>
    </w:pPr>
    <w:rPr>
      <w:rFonts w:ascii="Calibri" w:hAnsi="Calibri"/>
    </w:rPr>
  </w:style>
  <w:style w:type="paragraph" w:styleId="7">
    <w:name w:val="footer"/>
    <w:basedOn w:val="1"/>
    <w:qFormat/>
    <w:uiPriority w:val="0"/>
    <w:pPr>
      <w:tabs>
        <w:tab w:val="center" w:pos="4153"/>
        <w:tab w:val="right" w:pos="8306"/>
      </w:tabs>
      <w:snapToGrid w:val="0"/>
      <w:jc w:val="left"/>
    </w:pPr>
    <w:rPr>
      <w:rFonts w:eastAsia="Times New Roman"/>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next w:val="1"/>
    <w:qFormat/>
    <w:uiPriority w:val="0"/>
    <w:pPr>
      <w:ind w:firstLine="420"/>
    </w:pPr>
    <w:rPr>
      <w:rFonts w:ascii="Times New Roman"/>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page number"/>
    <w:basedOn w:val="13"/>
    <w:qFormat/>
    <w:uiPriority w:val="0"/>
  </w:style>
  <w:style w:type="character" w:styleId="15">
    <w:name w:val="FollowedHyperlink"/>
    <w:basedOn w:val="13"/>
    <w:qFormat/>
    <w:uiPriority w:val="0"/>
    <w:rPr>
      <w:color w:val="800080"/>
      <w:sz w:val="18"/>
      <w:szCs w:val="18"/>
      <w:u w:val="none"/>
    </w:rPr>
  </w:style>
  <w:style w:type="character" w:styleId="16">
    <w:name w:val="Hyperlink"/>
    <w:basedOn w:val="13"/>
    <w:qFormat/>
    <w:uiPriority w:val="0"/>
    <w:rPr>
      <w:color w:val="0000FF"/>
      <w:sz w:val="18"/>
      <w:szCs w:val="18"/>
      <w:u w:val="none"/>
    </w:rPr>
  </w:style>
  <w:style w:type="character" w:customStyle="1" w:styleId="17">
    <w:name w:val="日期 字符"/>
    <w:basedOn w:val="13"/>
    <w:link w:val="5"/>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文件红头模板.dotx</Template>
  <Pages>6</Pages>
  <Words>547</Words>
  <Characters>628</Characters>
  <Lines>12</Lines>
  <Paragraphs>3</Paragraphs>
  <TotalTime>2</TotalTime>
  <ScaleCrop>false</ScaleCrop>
  <LinksUpToDate>false</LinksUpToDate>
  <CharactersWithSpaces>667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2020-04-03T10:39:00Z</dcterms:created>
  <dc:creator>泽士古</dc:creator>
  <cp:lastModifiedBy>Administrator</cp:lastModifiedBy>
  <cp:lastPrinted>2025-04-03T15:04:00Z</cp:lastPrinted>
  <dcterms:modified xsi:type="dcterms:W3CDTF">2025-10-17T03:11:16Z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5F8CE60C4B3943989C79DD8EFA53C166_13</vt:lpwstr>
  </property>
  <property fmtid="{D5CDD505-2E9C-101B-9397-08002B2CF9AE}" pid="4" name="KSOTemplateDocerSaveRecord">
    <vt:lpwstr>eyJoZGlkIjoiNjU0ZTc3NTNlZmNkZmM4OWI4ZTFlN2RhYTQ5Y2Q5YzkiLCJ1c2VySWQiOiIxNjU2Mzg1MzcxIn0=</vt:lpwstr>
  </property>
</Properties>
</file>