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424"/>
        </w:tabs>
        <w:ind w:right="210" w:rightChars="100" w:firstLine="840" w:firstLineChars="300"/>
        <w:rPr>
          <w:rFonts w:hint="eastAsia" w:ascii="Times New Roman" w:hAnsi="Times New Roman" w:eastAsia="仿宋_GB2312"/>
          <w:sz w:val="28"/>
          <w:szCs w:val="28"/>
          <w:lang w:eastAsia="zh-CN"/>
        </w:rPr>
      </w:pPr>
      <w:bookmarkStart w:id="0" w:name="_GoBack"/>
      <w:bookmarkEnd w:id="0"/>
      <w:r>
        <w:rPr>
          <w:rFonts w:hint="eastAsia" w:ascii="Times New Roman" w:hAnsi="Times New Roman" w:eastAsia="仿宋_GB2312"/>
          <w:sz w:val="28"/>
          <w:szCs w:val="28"/>
        </w:rPr>
        <w:t>附</w:t>
      </w:r>
      <w:r>
        <w:rPr>
          <w:rFonts w:hint="default" w:ascii="Times New Roman" w:hAnsi="Times New Roman" w:eastAsia="仿宋_GB2312" w:cs="Times New Roman"/>
          <w:sz w:val="28"/>
          <w:szCs w:val="28"/>
        </w:rPr>
        <w:t>件：1</w:t>
      </w:r>
      <w:r>
        <w:rPr>
          <w:rFonts w:hint="eastAsia" w:ascii="Times New Roman" w:hAnsi="Times New Roman" w:eastAsia="仿宋_GB2312" w:cs="Times New Roman"/>
          <w:sz w:val="28"/>
          <w:szCs w:val="28"/>
          <w:lang w:eastAsia="zh-CN"/>
        </w:rPr>
        <w:tab/>
      </w:r>
    </w:p>
    <w:p>
      <w:pPr>
        <w:ind w:right="210" w:rightChars="100"/>
        <w:jc w:val="center"/>
        <w:rPr>
          <w:rFonts w:hint="default" w:ascii="Times New Roman" w:hAnsi="Times New Roman" w:eastAsia="华文中宋" w:cs="Times New Roman"/>
          <w:color w:val="000000"/>
          <w:kern w:val="0"/>
          <w:sz w:val="32"/>
          <w:szCs w:val="32"/>
        </w:rPr>
      </w:pPr>
      <w:r>
        <w:rPr>
          <w:rFonts w:hint="default" w:ascii="Times New Roman" w:hAnsi="Times New Roman" w:eastAsia="华文中宋" w:cs="Times New Roman"/>
          <w:color w:val="000000"/>
          <w:kern w:val="0"/>
          <w:sz w:val="32"/>
          <w:szCs w:val="32"/>
        </w:rPr>
        <w:t>2024年度第一批次道滘镇产业空间增效激发招商引资活力专项资金审核明细表</w:t>
      </w:r>
    </w:p>
    <w:p>
      <w:pPr>
        <w:ind w:right="210" w:rightChars="100"/>
        <w:jc w:val="left"/>
        <w:rPr>
          <w:rFonts w:hint="default" w:ascii="Times New Roman" w:hAnsi="Times New Roman" w:cs="Times New Roman"/>
          <w:color w:val="000000"/>
          <w:kern w:val="0"/>
          <w:sz w:val="22"/>
        </w:rPr>
      </w:pPr>
    </w:p>
    <w:p>
      <w:pPr>
        <w:ind w:right="210" w:rightChars="100" w:firstLine="1760" w:firstLineChars="800"/>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xml:space="preserve">制表单位：投资促进中心                                                                     </w:t>
      </w:r>
      <w:r>
        <w:rPr>
          <w:rFonts w:hint="eastAsia" w:ascii="Times New Roman" w:hAnsi="Times New Roman" w:cs="Times New Roman"/>
          <w:color w:val="000000"/>
          <w:kern w:val="0"/>
          <w:sz w:val="22"/>
          <w:lang w:val="en-US" w:eastAsia="zh-CN"/>
        </w:rPr>
        <w:t xml:space="preserve">       </w:t>
      </w:r>
      <w:r>
        <w:rPr>
          <w:rFonts w:hint="default" w:ascii="Times New Roman" w:hAnsi="Times New Roman" w:cs="Times New Roman"/>
          <w:color w:val="000000"/>
          <w:kern w:val="0"/>
          <w:sz w:val="22"/>
        </w:rPr>
        <w:t xml:space="preserve"> 单位：元</w:t>
      </w:r>
    </w:p>
    <w:tbl>
      <w:tblPr>
        <w:tblStyle w:val="4"/>
        <w:tblpPr w:leftFromText="180" w:rightFromText="180" w:vertAnchor="text" w:horzAnchor="page" w:tblpXSpec="center" w:tblpY="313"/>
        <w:tblOverlap w:val="never"/>
        <w:tblW w:w="11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0"/>
        <w:gridCol w:w="2019"/>
        <w:gridCol w:w="2074"/>
        <w:gridCol w:w="3119"/>
        <w:gridCol w:w="949"/>
        <w:gridCol w:w="1036"/>
        <w:gridCol w:w="992"/>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blHeader/>
          <w:jc w:val="center"/>
        </w:trPr>
        <w:tc>
          <w:tcPr>
            <w:tcW w:w="600" w:type="dxa"/>
            <w:shd w:val="clear" w:color="auto" w:fill="FFFFFF"/>
            <w:noWrap w:val="0"/>
            <w:vAlign w:val="center"/>
          </w:tcPr>
          <w:p>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rPr>
              <w:t>序号</w:t>
            </w:r>
          </w:p>
        </w:tc>
        <w:tc>
          <w:tcPr>
            <w:tcW w:w="2019" w:type="dxa"/>
            <w:shd w:val="clear" w:color="auto" w:fill="auto"/>
            <w:noWrap w:val="0"/>
            <w:vAlign w:val="center"/>
          </w:tcPr>
          <w:p>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rPr>
              <w:t>申报单位</w:t>
            </w:r>
          </w:p>
        </w:tc>
        <w:tc>
          <w:tcPr>
            <w:tcW w:w="2074" w:type="dxa"/>
            <w:shd w:val="clear" w:color="auto" w:fill="FFFFFF"/>
            <w:noWrap w:val="0"/>
            <w:vAlign w:val="center"/>
          </w:tcPr>
          <w:p>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rPr>
              <w:t>申请项目</w:t>
            </w:r>
          </w:p>
        </w:tc>
        <w:tc>
          <w:tcPr>
            <w:tcW w:w="3119" w:type="dxa"/>
            <w:shd w:val="clear" w:color="auto" w:fill="FFFFFF"/>
            <w:noWrap w:val="0"/>
            <w:vAlign w:val="center"/>
          </w:tcPr>
          <w:p>
            <w:pPr>
              <w:widowControl/>
              <w:jc w:val="center"/>
              <w:textAlignment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奖补标准</w:t>
            </w:r>
          </w:p>
        </w:tc>
        <w:tc>
          <w:tcPr>
            <w:tcW w:w="949" w:type="dxa"/>
            <w:shd w:val="clear" w:color="auto" w:fill="FFFFFF"/>
            <w:noWrap w:val="0"/>
            <w:vAlign w:val="center"/>
          </w:tcPr>
          <w:p>
            <w:pPr>
              <w:widowControl/>
              <w:jc w:val="center"/>
              <w:textAlignment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申请奖补金额</w:t>
            </w:r>
          </w:p>
        </w:tc>
        <w:tc>
          <w:tcPr>
            <w:tcW w:w="1036" w:type="dxa"/>
            <w:shd w:val="clear" w:color="auto" w:fill="FFFFFF"/>
            <w:noWrap w:val="0"/>
            <w:vAlign w:val="center"/>
          </w:tcPr>
          <w:p>
            <w:pPr>
              <w:widowControl/>
              <w:jc w:val="center"/>
              <w:textAlignment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核定金额</w:t>
            </w:r>
          </w:p>
        </w:tc>
        <w:tc>
          <w:tcPr>
            <w:tcW w:w="992" w:type="dxa"/>
            <w:shd w:val="clear" w:color="auto" w:fill="FFFFFF"/>
            <w:noWrap w:val="0"/>
            <w:vAlign w:val="center"/>
          </w:tcPr>
          <w:p>
            <w:pPr>
              <w:widowControl/>
              <w:jc w:val="center"/>
              <w:textAlignment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核定总金额</w:t>
            </w:r>
          </w:p>
        </w:tc>
        <w:tc>
          <w:tcPr>
            <w:tcW w:w="1134" w:type="dxa"/>
            <w:shd w:val="clear" w:color="auto" w:fill="FFFFFF"/>
            <w:noWrap w:val="0"/>
            <w:vAlign w:val="center"/>
          </w:tcPr>
          <w:p>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600" w:type="dxa"/>
            <w:shd w:val="clear" w:color="auto" w:fill="FFFFFF"/>
            <w:noWrap w:val="0"/>
            <w:vAlign w:val="center"/>
          </w:tcPr>
          <w:p>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1</w:t>
            </w:r>
          </w:p>
        </w:tc>
        <w:tc>
          <w:tcPr>
            <w:tcW w:w="2019" w:type="dxa"/>
            <w:shd w:val="clear" w:color="auto" w:fill="auto"/>
            <w:noWrap w:val="0"/>
            <w:vAlign w:val="center"/>
          </w:tcPr>
          <w:p>
            <w:pPr>
              <w:jc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广东洋基科技有限公司</w:t>
            </w:r>
          </w:p>
        </w:tc>
        <w:tc>
          <w:tcPr>
            <w:tcW w:w="2074" w:type="dxa"/>
            <w:shd w:val="clear" w:color="auto" w:fill="FFFFFF"/>
            <w:noWrap w:val="0"/>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第（八）条</w:t>
            </w:r>
          </w:p>
          <w:p>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sz w:val="18"/>
                <w:szCs w:val="18"/>
              </w:rPr>
              <w:t>固定资产投资奖励</w:t>
            </w:r>
          </w:p>
        </w:tc>
        <w:tc>
          <w:tcPr>
            <w:tcW w:w="3119" w:type="dxa"/>
            <w:shd w:val="clear" w:color="auto" w:fill="FFFFFF"/>
            <w:noWrap w:val="0"/>
            <w:vAlign w:val="center"/>
          </w:tcPr>
          <w:p>
            <w:pPr>
              <w:jc w:val="left"/>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新落户我镇且符合我镇产业导向的产业项目，自落户首年内，固定资产投资（此项仅计算设备、配套设施等投资，不考虑土地购置、厂房建设投入）达500万元（含）以上的，项目方可按项目固定资产投资的10‰申请一次性奖励，最高奖励不超过100万元。</w:t>
            </w:r>
          </w:p>
        </w:tc>
        <w:tc>
          <w:tcPr>
            <w:tcW w:w="949" w:type="dxa"/>
            <w:shd w:val="clear" w:color="auto" w:fill="FFFFFF"/>
            <w:noWrap w:val="0"/>
            <w:vAlign w:val="center"/>
          </w:tcPr>
          <w:p>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103,663</w:t>
            </w:r>
          </w:p>
        </w:tc>
        <w:tc>
          <w:tcPr>
            <w:tcW w:w="1036" w:type="dxa"/>
            <w:shd w:val="clear" w:color="auto" w:fill="FFFFFF"/>
            <w:noWrap w:val="0"/>
            <w:vAlign w:val="center"/>
          </w:tcPr>
          <w:p>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103,663</w:t>
            </w:r>
          </w:p>
        </w:tc>
        <w:tc>
          <w:tcPr>
            <w:tcW w:w="992" w:type="dxa"/>
            <w:shd w:val="clear" w:color="auto" w:fill="FFFFFF"/>
            <w:noWrap w:val="0"/>
            <w:vAlign w:val="center"/>
          </w:tcPr>
          <w:p>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103,663</w:t>
            </w:r>
          </w:p>
        </w:tc>
        <w:tc>
          <w:tcPr>
            <w:tcW w:w="1134" w:type="dxa"/>
            <w:shd w:val="clear" w:color="auto" w:fill="FFFFFF"/>
            <w:noWrap w:val="0"/>
            <w:vAlign w:val="center"/>
          </w:tcPr>
          <w:p>
            <w:pPr>
              <w:jc w:val="center"/>
              <w:rPr>
                <w:rFonts w:hint="default" w:ascii="Times New Roman" w:hAnsi="Times New Roman" w:cs="Times New Roman"/>
                <w:color w:val="000000"/>
                <w:kern w:val="0"/>
                <w:sz w:val="18"/>
                <w:szCs w:val="1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600" w:type="dxa"/>
            <w:shd w:val="clear" w:color="auto" w:fill="FFFFFF"/>
            <w:noWrap w:val="0"/>
            <w:vAlign w:val="center"/>
          </w:tcPr>
          <w:p>
            <w:pPr>
              <w:widowControl/>
              <w:jc w:val="center"/>
              <w:textAlignment w:val="center"/>
              <w:rPr>
                <w:rFonts w:hint="default" w:ascii="Times New Roman" w:hAnsi="Times New Roman" w:cs="Times New Roman"/>
                <w:b/>
                <w:bCs/>
                <w:color w:val="000000"/>
                <w:kern w:val="0"/>
                <w:sz w:val="18"/>
                <w:szCs w:val="18"/>
              </w:rPr>
            </w:pPr>
          </w:p>
        </w:tc>
        <w:tc>
          <w:tcPr>
            <w:tcW w:w="2019" w:type="dxa"/>
            <w:shd w:val="clear" w:color="auto" w:fill="auto"/>
            <w:noWrap w:val="0"/>
            <w:vAlign w:val="center"/>
          </w:tcPr>
          <w:p>
            <w:pPr>
              <w:jc w:val="center"/>
              <w:rPr>
                <w:rFonts w:hint="default" w:ascii="Times New Roman" w:hAnsi="Times New Roman" w:cs="Times New Roman"/>
                <w:color w:val="000000"/>
                <w:kern w:val="0"/>
                <w:sz w:val="18"/>
                <w:szCs w:val="18"/>
              </w:rPr>
            </w:pPr>
          </w:p>
        </w:tc>
        <w:tc>
          <w:tcPr>
            <w:tcW w:w="2074" w:type="dxa"/>
            <w:shd w:val="clear" w:color="auto" w:fill="FFFFFF"/>
            <w:noWrap w:val="0"/>
            <w:vAlign w:val="center"/>
          </w:tcPr>
          <w:p>
            <w:pPr>
              <w:widowControl/>
              <w:jc w:val="center"/>
              <w:textAlignment w:val="center"/>
              <w:rPr>
                <w:rFonts w:hint="default" w:ascii="Times New Roman" w:hAnsi="Times New Roman" w:cs="Times New Roman"/>
                <w:color w:val="000000"/>
                <w:kern w:val="0"/>
                <w:sz w:val="18"/>
                <w:szCs w:val="18"/>
              </w:rPr>
            </w:pPr>
          </w:p>
        </w:tc>
        <w:tc>
          <w:tcPr>
            <w:tcW w:w="3119" w:type="dxa"/>
            <w:shd w:val="clear" w:color="auto" w:fill="FFFFFF"/>
            <w:noWrap w:val="0"/>
            <w:vAlign w:val="center"/>
          </w:tcPr>
          <w:p>
            <w:pPr>
              <w:jc w:val="center"/>
              <w:rPr>
                <w:rFonts w:hint="default" w:ascii="Times New Roman" w:hAnsi="Times New Roman" w:cs="Times New Roman"/>
                <w:color w:val="000000"/>
                <w:kern w:val="0"/>
                <w:sz w:val="18"/>
                <w:szCs w:val="18"/>
              </w:rPr>
            </w:pPr>
            <w:r>
              <w:rPr>
                <w:rFonts w:hint="default" w:ascii="Times New Roman" w:hAnsi="Times New Roman" w:cs="Times New Roman"/>
                <w:b/>
                <w:color w:val="000000"/>
                <w:kern w:val="0"/>
                <w:sz w:val="18"/>
                <w:szCs w:val="18"/>
              </w:rPr>
              <w:t>合计</w:t>
            </w:r>
          </w:p>
        </w:tc>
        <w:tc>
          <w:tcPr>
            <w:tcW w:w="949" w:type="dxa"/>
            <w:shd w:val="clear" w:color="auto" w:fill="FFFFFF"/>
            <w:noWrap w:val="0"/>
            <w:vAlign w:val="center"/>
          </w:tcPr>
          <w:p>
            <w:pPr>
              <w:jc w:val="center"/>
              <w:rPr>
                <w:rFonts w:hint="default" w:ascii="Times New Roman" w:hAnsi="Times New Roman" w:cs="Times New Roman"/>
                <w:b/>
                <w:color w:val="000000"/>
                <w:kern w:val="0"/>
                <w:sz w:val="18"/>
                <w:szCs w:val="18"/>
              </w:rPr>
            </w:pPr>
            <w:r>
              <w:rPr>
                <w:rFonts w:hint="default" w:ascii="Times New Roman" w:hAnsi="Times New Roman" w:cs="Times New Roman"/>
                <w:b/>
                <w:color w:val="000000"/>
                <w:kern w:val="0"/>
                <w:sz w:val="18"/>
                <w:szCs w:val="18"/>
              </w:rPr>
              <w:t>103,663</w:t>
            </w:r>
          </w:p>
        </w:tc>
        <w:tc>
          <w:tcPr>
            <w:tcW w:w="1036" w:type="dxa"/>
            <w:shd w:val="clear" w:color="auto" w:fill="FFFFFF"/>
            <w:noWrap w:val="0"/>
            <w:vAlign w:val="center"/>
          </w:tcPr>
          <w:p>
            <w:pPr>
              <w:jc w:val="center"/>
              <w:rPr>
                <w:rFonts w:hint="default" w:ascii="Times New Roman" w:hAnsi="Times New Roman" w:cs="Times New Roman"/>
                <w:b/>
                <w:color w:val="000000"/>
                <w:kern w:val="0"/>
                <w:sz w:val="18"/>
                <w:szCs w:val="18"/>
              </w:rPr>
            </w:pPr>
            <w:r>
              <w:rPr>
                <w:rFonts w:hint="default" w:ascii="Times New Roman" w:hAnsi="Times New Roman" w:cs="Times New Roman"/>
                <w:b/>
                <w:color w:val="000000"/>
                <w:kern w:val="0"/>
                <w:sz w:val="18"/>
                <w:szCs w:val="18"/>
              </w:rPr>
              <w:t>103,663</w:t>
            </w:r>
          </w:p>
        </w:tc>
        <w:tc>
          <w:tcPr>
            <w:tcW w:w="992" w:type="dxa"/>
            <w:shd w:val="clear" w:color="auto" w:fill="FFFFFF"/>
            <w:noWrap w:val="0"/>
            <w:vAlign w:val="center"/>
          </w:tcPr>
          <w:p>
            <w:pPr>
              <w:jc w:val="center"/>
              <w:rPr>
                <w:rFonts w:hint="default" w:ascii="Times New Roman" w:hAnsi="Times New Roman" w:cs="Times New Roman"/>
                <w:b/>
                <w:color w:val="000000"/>
                <w:kern w:val="0"/>
                <w:sz w:val="18"/>
                <w:szCs w:val="18"/>
              </w:rPr>
            </w:pPr>
            <w:r>
              <w:rPr>
                <w:rFonts w:hint="default" w:ascii="Times New Roman" w:hAnsi="Times New Roman" w:cs="Times New Roman"/>
                <w:b/>
                <w:color w:val="000000"/>
                <w:kern w:val="0"/>
                <w:sz w:val="18"/>
                <w:szCs w:val="18"/>
              </w:rPr>
              <w:t>103,663</w:t>
            </w:r>
          </w:p>
        </w:tc>
        <w:tc>
          <w:tcPr>
            <w:tcW w:w="1134" w:type="dxa"/>
            <w:shd w:val="clear" w:color="auto" w:fill="FFFFFF"/>
            <w:noWrap w:val="0"/>
            <w:vAlign w:val="center"/>
          </w:tcPr>
          <w:p>
            <w:pPr>
              <w:jc w:val="center"/>
              <w:rPr>
                <w:rFonts w:hint="default" w:ascii="Times New Roman" w:hAnsi="Times New Roman" w:cs="Times New Roman"/>
                <w:b/>
                <w:color w:val="000000"/>
                <w:kern w:val="0"/>
                <w:sz w:val="18"/>
                <w:szCs w:val="18"/>
              </w:rPr>
            </w:pPr>
          </w:p>
        </w:tc>
      </w:tr>
    </w:tbl>
    <w:p>
      <w:pPr>
        <w:ind w:right="210" w:rightChars="100"/>
        <w:rPr>
          <w:rFonts w:hint="default" w:ascii="Times New Roman" w:hAnsi="Times New Roman" w:eastAsia="仿宋_GB2312" w:cs="Times New Roman"/>
          <w:sz w:val="28"/>
          <w:szCs w:val="28"/>
        </w:rPr>
      </w:pP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OGVhZjI1ZDk5ODI2ODQzOTQ2MmYwMTcyNDk0NWUifQ=="/>
    <w:docVar w:name="KSO_WPS_MARK_KEY" w:val="fea43335-87bc-4a6b-bbae-d673e59ddcab"/>
  </w:docVars>
  <w:rsids>
    <w:rsidRoot w:val="124D6B53"/>
    <w:rsid w:val="124D6B53"/>
    <w:rsid w:val="428C13F3"/>
    <w:rsid w:val="468231C4"/>
    <w:rsid w:val="6C0333E5"/>
    <w:rsid w:val="7A873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270</Characters>
  <Lines>0</Lines>
  <Paragraphs>0</Paragraphs>
  <TotalTime>1</TotalTime>
  <ScaleCrop>false</ScaleCrop>
  <LinksUpToDate>false</LinksUpToDate>
  <CharactersWithSpaces>348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2024-06-27T01:39:00Z</dcterms:created>
  <dc:creator>CARINE</dc:creator>
  <cp:lastModifiedBy>CARINE</cp:lastModifiedBy>
  <cp:lastPrinted>2024-06-27T01:43:00Z</cp:lastPrinted>
  <dcterms:modified xsi:type="dcterms:W3CDTF">2024-06-28T03:26:40Z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267BFAE28B2D405089C6D291E4B3321E</vt:lpwstr>
  </property>
</Properties>
</file>