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B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eastAsia="zh-CN"/>
        </w:rPr>
      </w:pPr>
      <w:r>
        <w:rPr>
          <w:rFonts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</w:rPr>
        <w:t>虎门镇招商管理实施办法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  <w:t>试行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eastAsia="zh-CN"/>
        </w:rPr>
        <w:t>）</w:t>
      </w:r>
    </w:p>
    <w:p w14:paraId="32CFF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送审稿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</w:p>
    <w:p w14:paraId="347938AE">
      <w:pPr>
        <w:pStyle w:val="2"/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第一章  总则</w:t>
      </w:r>
    </w:p>
    <w:p w14:paraId="41E044FF">
      <w:pPr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第一条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为认真贯彻落实市、镇招商工作部署，围绕高质量可持续发展的工作思路，以重大项目建设为抓手，深入实施“制造业当家”战略，促进优势产业集聚，打造发展新质生产，根据《东莞市招商引资项目管理办法》并结合我镇实际，制定本办法。</w:t>
      </w:r>
    </w:p>
    <w:p w14:paraId="35CCC0E3">
      <w:pPr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第二条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本办法适用范围包括社区集体及镇属企业增量工业用地，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总建筑面积3000平方米（含）以上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或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2020年以后新建成投入使用的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集体厂房。</w:t>
      </w:r>
    </w:p>
    <w:p w14:paraId="3EDC5782">
      <w:pPr>
        <w:pStyle w:val="2"/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 xml:space="preserve">第二章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空间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资源</w:t>
      </w:r>
    </w:p>
    <w:p w14:paraId="37138641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空间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资源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主要包括土地资源、厂房资源，资料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相关单位提供，投资促进中心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进行收集、整理，建立镇土地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资源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库和厂房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资源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库，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并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进行统筹招商，具体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分工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如下：</w:t>
      </w:r>
    </w:p>
    <w:p w14:paraId="40AF0E36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（一）土地资源</w:t>
      </w:r>
    </w:p>
    <w:p w14:paraId="1DE44F77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主要包括增量工业用地。1.规划所根据最新的“国土空间总体规划”统计规划工业用地后，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由自然资源分局扣除已供地地块，规划所及属地社区核查地块规划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层面信息、实际使用单位等情况，形成规划层面增量工业用地土地库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。后续地块开发时需由投资促进中心按年度计划，开展摸底土地权属、纠纷、专项规划管控等工作。2.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农林水务局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广东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虎门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富民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集团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虎门太平文旅有限公司及地块所属社区配合对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地块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具体的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权属、位置、图片资料信息等进一步完善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3.“旧改”地块，由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城市更新中心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牵头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负责对“三旧”改造地块的红线、面积、位置、改造时间、图片资料信息等进行梳理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。</w:t>
      </w:r>
    </w:p>
    <w:p w14:paraId="4834227A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投资促进中心负责对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相关单位的资料进行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归集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分析、整理和归类后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，建立全镇土地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资源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库，并开展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统筹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招商工作。</w:t>
      </w:r>
    </w:p>
    <w:p w14:paraId="558EFD1B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厂房资源</w:t>
      </w:r>
    </w:p>
    <w:p w14:paraId="28CB9E14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主要包括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总建筑面积3000平方米（含）以上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或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2020年以后新建成投入使用的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集体厂房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由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农林水务局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广东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虎门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富民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集团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虎门太平文旅有限公司负责对具体的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权属、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面积、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位置、图片等资料信息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进行梳理。</w:t>
      </w:r>
    </w:p>
    <w:p w14:paraId="5B6CE152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投资促进中心负责对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以上单位的资料进行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归集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分析、整理和归类后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，建立全镇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厂房资源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库，并开展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统筹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招商工作。</w:t>
      </w:r>
    </w:p>
    <w:p w14:paraId="2D452CEB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相关单位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定期对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土地、厂房信息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进行动态更新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土地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信息每季度报送至投资促进中心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厂房信息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每月报送至投资促进中心。</w:t>
      </w:r>
    </w:p>
    <w:p w14:paraId="41E44372">
      <w:pPr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五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投资促进中心每年提前向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规划所和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城市更新中心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明确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下一年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招商所需地块的要求。</w:t>
      </w:r>
    </w:p>
    <w:p w14:paraId="65C04590">
      <w:pPr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六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招商引资顾问团队（由具有资质的企业联同相关行业专家组成）每半年根据深圳各个区的优势产业图谱，收集其出台的政策，以制定我镇招商引资的政策工具箱。</w:t>
      </w:r>
    </w:p>
    <w:p w14:paraId="4CA5A522"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第三章  项目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资源</w:t>
      </w:r>
    </w:p>
    <w:p w14:paraId="2C50A421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七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以虎门镇着力打造的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三区两带一核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产城发展格局为核心，围绕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现代纺织服装、信息传输线缆、智能终端、机器人及自动化设备、低空经济、通用智能、具身智能、前沿新材料、电子商务、文旅消费、基础数据服务、高端产业服务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等重点产业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，由投资促进中心联合经济发展局加强产业研究和研判，形成产业链招商目录。</w:t>
      </w:r>
    </w:p>
    <w:p w14:paraId="405247E2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八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针对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链主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企业和关键环节企业开展精准招商，由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镇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主要负责同志亲自谋划、亲自部署、亲自推介投资环境，亲自上门拜访、亲自参与谈判、亲自推动重大项目落地。具体由投资促进中心联合党政综合办牵头制定月度、季度走访企业（行业协会）计划，并以此为基础建立招商引资项目库。</w:t>
      </w:r>
    </w:p>
    <w:p w14:paraId="732ED180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九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投资促进中心针对统筹招商落户虎门的项目，建立常态化跟踪和服务机制，并以此为基础建立优质项目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资源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库。</w:t>
      </w:r>
    </w:p>
    <w:p w14:paraId="63122C20">
      <w:pPr>
        <w:pStyle w:val="2"/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 xml:space="preserve">第四章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土地招商</w:t>
      </w:r>
    </w:p>
    <w:p w14:paraId="65D8547F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十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根据通过新供地（指通过国有土地出让、集体流转等方式供地给企业）引进的工业项目，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须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符合市相关准入标准，规范引进流程：</w:t>
      </w:r>
    </w:p>
    <w:p w14:paraId="0A66522C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（一）意向分析。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投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资促进中心在招引企业前，要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联合招商引资顾问团队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对招引行业、企业和项目进行意向分析和研判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每年10月份前要梳理出下一年的招商方向。</w:t>
      </w:r>
    </w:p>
    <w:p w14:paraId="70BA59BC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二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）洽谈。投资促进中心初步接洽项目，根据企业提供的信息数据，对企业财务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核心技术、创新能力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等进行核实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以及对能耗、环保等建设需求进行了解。</w:t>
      </w:r>
    </w:p>
    <w:p w14:paraId="7383426C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三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）考察。投资促进中心组织工作组到企业进行实地考察，现场核实企业规模、生产经营情况等，甄别项目落地是否具有实际基础。</w:t>
      </w:r>
    </w:p>
    <w:p w14:paraId="5B199287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四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）评估。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可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委托第三方评估机构评估，评估内容包括产业准入、综合评价、风险分析、招引建议等。</w:t>
      </w:r>
    </w:p>
    <w:p w14:paraId="5DC9F3AC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）项目确定。根据项目计划、实地考察、项目评估等相关资料，由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镇主要领导牵头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组织项目专题会议，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对项目进行研判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。投资促进中心根据专题会议结果并综合项目多方面的考评因素，形成项目审定报告后，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按规定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提请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党委会、镇政府工作会议审议，确定项目引进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。若需向市申报的项目，按照程序申报。</w:t>
      </w:r>
    </w:p>
    <w:p w14:paraId="5E803FB8"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 xml:space="preserve">第五章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厂房招商</w:t>
      </w:r>
    </w:p>
    <w:p w14:paraId="351BD220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十一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纳入统筹招商的厂房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引进项目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需要符合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虎门镇产业方向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且满足以下条件之一：</w:t>
      </w:r>
    </w:p>
    <w:p w14:paraId="02F64846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上一完整会计年度营业收入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1000万（含）以上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增速不低于15%的工业企业；</w:t>
      </w:r>
    </w:p>
    <w:p w14:paraId="535B5FC0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创新型中小企业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；</w:t>
      </w:r>
    </w:p>
    <w:p w14:paraId="025211F6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规上工业企业；</w:t>
      </w:r>
    </w:p>
    <w:p w14:paraId="53070D5F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国家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级（小巨人）或省级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专精特新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；</w:t>
      </w:r>
    </w:p>
    <w:p w14:paraId="37F23966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国家级或省级制造业单项冠军企业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</w:t>
      </w:r>
    </w:p>
    <w:p w14:paraId="6B62921A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东莞市“倍增计划”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（或其他城市同等级认定）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；</w:t>
      </w:r>
    </w:p>
    <w:p w14:paraId="79B81DA3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上市公司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或其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（控股）子公司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。</w:t>
      </w:r>
    </w:p>
    <w:p w14:paraId="2D58C08D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十二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纳入统筹招商的集体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厂房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需在厂房到期前6个月，向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投资促进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中心提出申请报备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并由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投资促进中心主导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招商方向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由广东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虎门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富民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集团、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虎门太平文旅有限公司和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属地社区（小组）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落实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招商工作。租赁方式严格按照市、镇集体资产交易管理办法执行。</w:t>
      </w:r>
    </w:p>
    <w:p w14:paraId="56DB5C31">
      <w:pPr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十三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纳入统筹招商的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集体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厂房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，在租赁期满后若想续租，须提前向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农林水务局、经济发展局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投资促进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中心、生态环境分局和应急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分局征求意见。</w:t>
      </w:r>
    </w:p>
    <w:p w14:paraId="2E6B7D27">
      <w:pPr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十四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符合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第十一条要求的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企业，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优先获得集体物业的租赁权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并可根据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《东莞市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农村（社区）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集体资产交易管理办法》（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东农东规〔2025〕1号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）规定，结合企业与社区磋商意愿，组织磋商交易。</w:t>
      </w:r>
    </w:p>
    <w:p w14:paraId="7063EF53">
      <w:pPr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第十五条</w:t>
      </w:r>
      <w:r>
        <w:rPr>
          <w:rFonts w:hint="eastAsia" w:ascii="Times New Roman" w:hAnsi="Times New Roman" w:cs="Times New Roman"/>
          <w:color w:val="auto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为规范虎门镇厂房租赁市场，营造良好营商环境，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制定租约管理规定，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租期内租金和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相关费用由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镇投资促进中心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审核把关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。</w:t>
      </w:r>
    </w:p>
    <w:p w14:paraId="372F91EF">
      <w:pPr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第十六条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对于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按照第十一条成功招引优质企业的社区，我镇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shd w:val="clear" w:color="auto" w:fill="auto"/>
          <w:lang w:eastAsia="zh-CN"/>
        </w:rPr>
        <w:t>将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shd w:val="clear" w:color="auto" w:fill="auto"/>
          <w:lang w:val="en-US" w:eastAsia="zh-CN"/>
        </w:rPr>
        <w:t>根据招引的具体措施、计划以及相关投入成本对社区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shd w:val="clear" w:color="auto" w:fill="auto"/>
          <w:lang w:eastAsia="zh-CN"/>
        </w:rPr>
        <w:t>实施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shd w:val="clear" w:color="auto" w:fill="auto"/>
          <w:lang w:val="en-US" w:eastAsia="zh-CN"/>
        </w:rPr>
        <w:t>奖励；同时鼓励社区对以上优质企业给予一定免租期。</w:t>
      </w:r>
    </w:p>
    <w:p w14:paraId="4AAD698B">
      <w:pPr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第十七条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鼓励通过租赁方式建设“镇村特色产业园”，并根据实际情况制定“一园一策”奖励措施。</w:t>
      </w:r>
    </w:p>
    <w:p w14:paraId="4FEAA9EB"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 xml:space="preserve">第六章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空间增容</w:t>
      </w:r>
    </w:p>
    <w:p w14:paraId="53F550CA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需要提容的已供地工业项目，提容部分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须符合以下准入要求及效益标准：</w:t>
      </w:r>
    </w:p>
    <w:p w14:paraId="4A439122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须符合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土地、规划等相关规范要求，完善法定手续才能动工建设。未批先建，不得以任何理由申请补办手续；</w:t>
      </w:r>
    </w:p>
    <w:p w14:paraId="78C94A53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引进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为规上工业企业且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近两个完整会计年度平均产值不低于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5000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；</w:t>
      </w:r>
    </w:p>
    <w:p w14:paraId="18A07AB5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项目竣工投产后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招引企业的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年产值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需大于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800万元/亩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符合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创新型中小企业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规上工业企业、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国家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级（小巨人）或省级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专精特新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企业、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国家级或省级制造业单项冠军企业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东莞市“倍增计划”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（或其他城市同等级认定）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上市公司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或其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（控股）子公司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其中之一的企业除外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。</w:t>
      </w:r>
    </w:p>
    <w:p w14:paraId="4B228420"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 xml:space="preserve">第七章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责任机制</w:t>
      </w:r>
    </w:p>
    <w:p w14:paraId="12C3E574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九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对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新供地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工业项目，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根据签订的《项目投资协议》的约定，落实相关效益责任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。</w:t>
      </w:r>
    </w:p>
    <w:p w14:paraId="5C891BC1">
      <w:pPr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十条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为强化社区厂房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统筹招商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除滨海湾新区范围内以及当年没有可出租厂房的社区之外，各社区每年至少完成以下招商任务的其中一项：</w:t>
      </w:r>
    </w:p>
    <w:p w14:paraId="549C00B4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配合我镇招商引资工作，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根据第十一条要求当年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引入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优质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企业租赁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社区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厂房面积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超过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50%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；</w:t>
      </w:r>
    </w:p>
    <w:p w14:paraId="3C9C005D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（二）当年成功引入一个国家级专精特新“小巨人”企业；</w:t>
      </w:r>
    </w:p>
    <w:p w14:paraId="1FF3D852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当年成功引入一个市级重大项目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并落实国有出让土地。</w:t>
      </w:r>
    </w:p>
    <w:p w14:paraId="725A9E92">
      <w:pPr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二十一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以上第二十条招商任务的完成情况将作为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镇委、镇政府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决策社区增加分红事项的重要参考依据。</w:t>
      </w:r>
    </w:p>
    <w:p w14:paraId="2CA41F2F">
      <w:pPr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二十二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对于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完成第二十条招商任务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的社区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shd w:val="clear" w:color="auto" w:fill="auto"/>
          <w:lang w:val="en-US" w:eastAsia="zh-CN"/>
        </w:rPr>
        <w:t>以农林水务局当年核算干部薪酬的绩效工资为基础，奖励金额按照当年绩效工资的10%进行奖励；若未完成招商任务的，则当年不进行奖励（奖励资金由所属集体经济组织负担）。</w:t>
      </w:r>
    </w:p>
    <w:p w14:paraId="3EAD41DB">
      <w:pPr>
        <w:pStyle w:val="2"/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章  附则</w:t>
      </w:r>
    </w:p>
    <w:p w14:paraId="241FDFB5">
      <w:pPr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二十三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对于成长性强、发展前景好的优质项目，暂时未能达到本实施办法相关规定的，报请镇党委会按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一事一议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原则研究决定。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该实施办法具体操作细则另行制定指引。</w:t>
      </w:r>
    </w:p>
    <w:p w14:paraId="27A0DBC2">
      <w:pPr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二十四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本实施办法自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2026年1月1日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起施行，有效期至202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8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>年12月31日，根据实际情况适时修订，我镇此前出台的有关政策与本办法规定不一致的，按本办法规定执行。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</w:t>
      </w:r>
    </w:p>
    <w:p w14:paraId="3C9A081A">
      <w:pPr>
        <w:ind w:firstLine="643" w:firstLineChars="200"/>
        <w:rPr>
          <w:rFonts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  <w:lang w:val="en-US" w:eastAsia="zh-CN"/>
        </w:rPr>
        <w:t>二十五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highlight w:val="none"/>
        </w:rPr>
        <w:t>条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t xml:space="preserve">  本实施办法由虎门镇投资促进中心负责解释。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559D6F-7657-43E3-A607-B5FF804DAD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AAC92A7-BE2C-4485-80E4-D102F996D2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E91143-EB17-483D-8C47-30FF3F9678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799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84BBE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84BBE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27"/>
    <w:rsid w:val="000221D6"/>
    <w:rsid w:val="000429C8"/>
    <w:rsid w:val="00042AA3"/>
    <w:rsid w:val="000966BB"/>
    <w:rsid w:val="001626C1"/>
    <w:rsid w:val="001A2499"/>
    <w:rsid w:val="001A52D2"/>
    <w:rsid w:val="001A7476"/>
    <w:rsid w:val="001E1619"/>
    <w:rsid w:val="00213C45"/>
    <w:rsid w:val="00231337"/>
    <w:rsid w:val="002853B9"/>
    <w:rsid w:val="002A5878"/>
    <w:rsid w:val="002A5A75"/>
    <w:rsid w:val="002D31D5"/>
    <w:rsid w:val="00327D78"/>
    <w:rsid w:val="00327DCE"/>
    <w:rsid w:val="0033656F"/>
    <w:rsid w:val="00340EBD"/>
    <w:rsid w:val="00391406"/>
    <w:rsid w:val="003C6B32"/>
    <w:rsid w:val="004211AC"/>
    <w:rsid w:val="00456514"/>
    <w:rsid w:val="004850A2"/>
    <w:rsid w:val="004863B1"/>
    <w:rsid w:val="004E6295"/>
    <w:rsid w:val="00561A21"/>
    <w:rsid w:val="00584C28"/>
    <w:rsid w:val="00593AA3"/>
    <w:rsid w:val="005C45AB"/>
    <w:rsid w:val="00661760"/>
    <w:rsid w:val="006A2C4A"/>
    <w:rsid w:val="007261F6"/>
    <w:rsid w:val="007B7B2A"/>
    <w:rsid w:val="007C1EB4"/>
    <w:rsid w:val="00860566"/>
    <w:rsid w:val="00876745"/>
    <w:rsid w:val="00892FC8"/>
    <w:rsid w:val="008B5868"/>
    <w:rsid w:val="008C55A2"/>
    <w:rsid w:val="008E2DEA"/>
    <w:rsid w:val="008F3AE5"/>
    <w:rsid w:val="00927986"/>
    <w:rsid w:val="00962387"/>
    <w:rsid w:val="009A6F9F"/>
    <w:rsid w:val="009A7700"/>
    <w:rsid w:val="00A352D2"/>
    <w:rsid w:val="00A37327"/>
    <w:rsid w:val="00A53EBE"/>
    <w:rsid w:val="00A923D4"/>
    <w:rsid w:val="00AA0721"/>
    <w:rsid w:val="00AD0047"/>
    <w:rsid w:val="00AD10E6"/>
    <w:rsid w:val="00B40DC1"/>
    <w:rsid w:val="00B4574E"/>
    <w:rsid w:val="00C11965"/>
    <w:rsid w:val="00C14F9E"/>
    <w:rsid w:val="00CC6964"/>
    <w:rsid w:val="00D423E4"/>
    <w:rsid w:val="00D87ECA"/>
    <w:rsid w:val="00E3428A"/>
    <w:rsid w:val="00E4405E"/>
    <w:rsid w:val="00E87B24"/>
    <w:rsid w:val="00EF03C0"/>
    <w:rsid w:val="00F45F5E"/>
    <w:rsid w:val="00F81EFF"/>
    <w:rsid w:val="00F94E12"/>
    <w:rsid w:val="00FE6090"/>
    <w:rsid w:val="01AE7306"/>
    <w:rsid w:val="01BB6A52"/>
    <w:rsid w:val="01FC1281"/>
    <w:rsid w:val="023F7715"/>
    <w:rsid w:val="025A5C68"/>
    <w:rsid w:val="02830AFF"/>
    <w:rsid w:val="02AA107E"/>
    <w:rsid w:val="02B66961"/>
    <w:rsid w:val="02C1356F"/>
    <w:rsid w:val="03F82FC0"/>
    <w:rsid w:val="047E7C52"/>
    <w:rsid w:val="04A57DAB"/>
    <w:rsid w:val="056A4671"/>
    <w:rsid w:val="06B17456"/>
    <w:rsid w:val="06F20CBA"/>
    <w:rsid w:val="07302A71"/>
    <w:rsid w:val="07B0770E"/>
    <w:rsid w:val="081E4FBF"/>
    <w:rsid w:val="08535187"/>
    <w:rsid w:val="08BC7EE1"/>
    <w:rsid w:val="08CF4683"/>
    <w:rsid w:val="0966277A"/>
    <w:rsid w:val="0A4F60F9"/>
    <w:rsid w:val="0B4B0F9B"/>
    <w:rsid w:val="0B580B29"/>
    <w:rsid w:val="0B7A075E"/>
    <w:rsid w:val="0BB83A99"/>
    <w:rsid w:val="0BF930CC"/>
    <w:rsid w:val="0C1C6680"/>
    <w:rsid w:val="0D115C6A"/>
    <w:rsid w:val="0D8541C2"/>
    <w:rsid w:val="0DF10F7F"/>
    <w:rsid w:val="0E2F2E24"/>
    <w:rsid w:val="0EEA5E54"/>
    <w:rsid w:val="0F45027E"/>
    <w:rsid w:val="0F716662"/>
    <w:rsid w:val="0F916077"/>
    <w:rsid w:val="102058FC"/>
    <w:rsid w:val="10C13D1C"/>
    <w:rsid w:val="10DB3A4D"/>
    <w:rsid w:val="11360C84"/>
    <w:rsid w:val="117B0C3B"/>
    <w:rsid w:val="11B4418E"/>
    <w:rsid w:val="11CA601B"/>
    <w:rsid w:val="128611F1"/>
    <w:rsid w:val="13AC4857"/>
    <w:rsid w:val="13AE410B"/>
    <w:rsid w:val="14483D64"/>
    <w:rsid w:val="14681A9C"/>
    <w:rsid w:val="14A3275E"/>
    <w:rsid w:val="155362A8"/>
    <w:rsid w:val="15BB7384"/>
    <w:rsid w:val="15E20BF3"/>
    <w:rsid w:val="18215E90"/>
    <w:rsid w:val="18BD1C8B"/>
    <w:rsid w:val="19427712"/>
    <w:rsid w:val="19D35E9E"/>
    <w:rsid w:val="1A1B30D9"/>
    <w:rsid w:val="1A474B12"/>
    <w:rsid w:val="1B3F26C4"/>
    <w:rsid w:val="1CCC3C23"/>
    <w:rsid w:val="1CD81161"/>
    <w:rsid w:val="1D7F79CB"/>
    <w:rsid w:val="1D8666D1"/>
    <w:rsid w:val="1E307D1D"/>
    <w:rsid w:val="1F8C7CA1"/>
    <w:rsid w:val="20821695"/>
    <w:rsid w:val="20E23826"/>
    <w:rsid w:val="20EE2B16"/>
    <w:rsid w:val="21DC0ECC"/>
    <w:rsid w:val="22200746"/>
    <w:rsid w:val="222D60D3"/>
    <w:rsid w:val="226F5EAE"/>
    <w:rsid w:val="2293328A"/>
    <w:rsid w:val="22A92E2A"/>
    <w:rsid w:val="248F3D0B"/>
    <w:rsid w:val="24EC3284"/>
    <w:rsid w:val="24F134F7"/>
    <w:rsid w:val="25085CB8"/>
    <w:rsid w:val="250F7D12"/>
    <w:rsid w:val="25284930"/>
    <w:rsid w:val="25BB59F6"/>
    <w:rsid w:val="26FB52ED"/>
    <w:rsid w:val="27192832"/>
    <w:rsid w:val="277B168E"/>
    <w:rsid w:val="27933B14"/>
    <w:rsid w:val="27CD314C"/>
    <w:rsid w:val="2A36189D"/>
    <w:rsid w:val="2A8B0666"/>
    <w:rsid w:val="2AA9206F"/>
    <w:rsid w:val="2B3E0F36"/>
    <w:rsid w:val="2B6C7C6C"/>
    <w:rsid w:val="2B781AF8"/>
    <w:rsid w:val="2B8C25EC"/>
    <w:rsid w:val="2BAA160B"/>
    <w:rsid w:val="2C0B1233"/>
    <w:rsid w:val="2C2C15DC"/>
    <w:rsid w:val="2C5E7906"/>
    <w:rsid w:val="2C753C7C"/>
    <w:rsid w:val="2C9857FD"/>
    <w:rsid w:val="2CA376BD"/>
    <w:rsid w:val="2CC969F8"/>
    <w:rsid w:val="2CEA709A"/>
    <w:rsid w:val="2D3124CC"/>
    <w:rsid w:val="2DB5557B"/>
    <w:rsid w:val="2DC13FEC"/>
    <w:rsid w:val="2ED04C56"/>
    <w:rsid w:val="2F8530AA"/>
    <w:rsid w:val="2F917B56"/>
    <w:rsid w:val="30071C3A"/>
    <w:rsid w:val="300E30A0"/>
    <w:rsid w:val="304A1D40"/>
    <w:rsid w:val="30A85AFB"/>
    <w:rsid w:val="30EE1123"/>
    <w:rsid w:val="317D22B2"/>
    <w:rsid w:val="3199108F"/>
    <w:rsid w:val="31D578CB"/>
    <w:rsid w:val="320802E5"/>
    <w:rsid w:val="32110D0E"/>
    <w:rsid w:val="32FA54A5"/>
    <w:rsid w:val="33762A4A"/>
    <w:rsid w:val="34313801"/>
    <w:rsid w:val="34361F4F"/>
    <w:rsid w:val="34366A68"/>
    <w:rsid w:val="34456D1E"/>
    <w:rsid w:val="348F0527"/>
    <w:rsid w:val="349B27E2"/>
    <w:rsid w:val="34A8568F"/>
    <w:rsid w:val="34E93AEB"/>
    <w:rsid w:val="36105698"/>
    <w:rsid w:val="364E3E27"/>
    <w:rsid w:val="36A50FB2"/>
    <w:rsid w:val="37003C4A"/>
    <w:rsid w:val="39BB0F88"/>
    <w:rsid w:val="3A6746CA"/>
    <w:rsid w:val="3AED089D"/>
    <w:rsid w:val="3B2A4F56"/>
    <w:rsid w:val="3B464B22"/>
    <w:rsid w:val="3BA91BD6"/>
    <w:rsid w:val="3BDC04F6"/>
    <w:rsid w:val="3C43474B"/>
    <w:rsid w:val="3C504A40"/>
    <w:rsid w:val="3C661FDA"/>
    <w:rsid w:val="3CAC01BF"/>
    <w:rsid w:val="3D2B2D75"/>
    <w:rsid w:val="3D5877B1"/>
    <w:rsid w:val="3E610125"/>
    <w:rsid w:val="3E9E1A93"/>
    <w:rsid w:val="3EBB3258"/>
    <w:rsid w:val="3F3E79D2"/>
    <w:rsid w:val="4066497A"/>
    <w:rsid w:val="4084115C"/>
    <w:rsid w:val="421D2B0C"/>
    <w:rsid w:val="426A6ADF"/>
    <w:rsid w:val="428C42F8"/>
    <w:rsid w:val="42A57673"/>
    <w:rsid w:val="42D5752D"/>
    <w:rsid w:val="43095949"/>
    <w:rsid w:val="43A338FD"/>
    <w:rsid w:val="43AE0137"/>
    <w:rsid w:val="43DB4C8D"/>
    <w:rsid w:val="4447497A"/>
    <w:rsid w:val="44A36F5A"/>
    <w:rsid w:val="452D1DC2"/>
    <w:rsid w:val="458D0AB3"/>
    <w:rsid w:val="46A301FD"/>
    <w:rsid w:val="46E46B2F"/>
    <w:rsid w:val="49013427"/>
    <w:rsid w:val="491E315E"/>
    <w:rsid w:val="4A200FAD"/>
    <w:rsid w:val="4A880DD3"/>
    <w:rsid w:val="4AB2324E"/>
    <w:rsid w:val="4B3B66A5"/>
    <w:rsid w:val="4BCC648B"/>
    <w:rsid w:val="4CAA019C"/>
    <w:rsid w:val="4CCC2AA1"/>
    <w:rsid w:val="4D7A481D"/>
    <w:rsid w:val="4DE44FE8"/>
    <w:rsid w:val="4E1F5FAA"/>
    <w:rsid w:val="4E41243B"/>
    <w:rsid w:val="4E832A53"/>
    <w:rsid w:val="4EC70B92"/>
    <w:rsid w:val="4EF9414E"/>
    <w:rsid w:val="4F8847C5"/>
    <w:rsid w:val="4FA03191"/>
    <w:rsid w:val="4FBC5543"/>
    <w:rsid w:val="4FD317B8"/>
    <w:rsid w:val="503B0A9B"/>
    <w:rsid w:val="50407D65"/>
    <w:rsid w:val="51271DBC"/>
    <w:rsid w:val="518C60C3"/>
    <w:rsid w:val="52E669A8"/>
    <w:rsid w:val="53522541"/>
    <w:rsid w:val="53B65679"/>
    <w:rsid w:val="53C9715A"/>
    <w:rsid w:val="54387E3C"/>
    <w:rsid w:val="55910F35"/>
    <w:rsid w:val="56B57A1C"/>
    <w:rsid w:val="56CC11C5"/>
    <w:rsid w:val="57631674"/>
    <w:rsid w:val="57724DA6"/>
    <w:rsid w:val="57BD5228"/>
    <w:rsid w:val="5898534D"/>
    <w:rsid w:val="58C464AF"/>
    <w:rsid w:val="599A06DC"/>
    <w:rsid w:val="59E24004"/>
    <w:rsid w:val="5A135360"/>
    <w:rsid w:val="5A680F7C"/>
    <w:rsid w:val="5AED1980"/>
    <w:rsid w:val="5B2C2D21"/>
    <w:rsid w:val="5CFC234E"/>
    <w:rsid w:val="5D0E2082"/>
    <w:rsid w:val="5D292B67"/>
    <w:rsid w:val="5EE30B66"/>
    <w:rsid w:val="5F21609C"/>
    <w:rsid w:val="5F372E4F"/>
    <w:rsid w:val="608C7402"/>
    <w:rsid w:val="61734BA9"/>
    <w:rsid w:val="619012B7"/>
    <w:rsid w:val="61DA3AC5"/>
    <w:rsid w:val="621958CA"/>
    <w:rsid w:val="62262446"/>
    <w:rsid w:val="62B8753B"/>
    <w:rsid w:val="62BE1E0E"/>
    <w:rsid w:val="62C27E6F"/>
    <w:rsid w:val="62C5679F"/>
    <w:rsid w:val="62E81D53"/>
    <w:rsid w:val="642B3664"/>
    <w:rsid w:val="64451C8F"/>
    <w:rsid w:val="6570437A"/>
    <w:rsid w:val="657D6594"/>
    <w:rsid w:val="65B75FD5"/>
    <w:rsid w:val="65E816C2"/>
    <w:rsid w:val="66000FF2"/>
    <w:rsid w:val="6729070B"/>
    <w:rsid w:val="67A45ABC"/>
    <w:rsid w:val="67AC2BC3"/>
    <w:rsid w:val="67B6134C"/>
    <w:rsid w:val="682D5D87"/>
    <w:rsid w:val="68975621"/>
    <w:rsid w:val="68DD74D8"/>
    <w:rsid w:val="68E33322"/>
    <w:rsid w:val="69225D87"/>
    <w:rsid w:val="69AA1226"/>
    <w:rsid w:val="6A0E3E75"/>
    <w:rsid w:val="6A393A3E"/>
    <w:rsid w:val="6AA656A7"/>
    <w:rsid w:val="6B056872"/>
    <w:rsid w:val="6B0655A6"/>
    <w:rsid w:val="6C2947E2"/>
    <w:rsid w:val="6D5C2E93"/>
    <w:rsid w:val="6DF204F3"/>
    <w:rsid w:val="6DF90F09"/>
    <w:rsid w:val="6EC64D6B"/>
    <w:rsid w:val="6F5E29F5"/>
    <w:rsid w:val="70435515"/>
    <w:rsid w:val="70B00AAA"/>
    <w:rsid w:val="70D21C86"/>
    <w:rsid w:val="712D3241"/>
    <w:rsid w:val="713624D3"/>
    <w:rsid w:val="713A6965"/>
    <w:rsid w:val="72C34258"/>
    <w:rsid w:val="73846E5E"/>
    <w:rsid w:val="738A209A"/>
    <w:rsid w:val="741924C5"/>
    <w:rsid w:val="74481E55"/>
    <w:rsid w:val="74706781"/>
    <w:rsid w:val="75830558"/>
    <w:rsid w:val="75FA5A68"/>
    <w:rsid w:val="76516E0F"/>
    <w:rsid w:val="77671A0C"/>
    <w:rsid w:val="77D94A18"/>
    <w:rsid w:val="78487A16"/>
    <w:rsid w:val="79B55907"/>
    <w:rsid w:val="7A4C7141"/>
    <w:rsid w:val="7A80214C"/>
    <w:rsid w:val="7AE5221C"/>
    <w:rsid w:val="7B007056"/>
    <w:rsid w:val="7B967B01"/>
    <w:rsid w:val="7C4579C7"/>
    <w:rsid w:val="7D621F80"/>
    <w:rsid w:val="7DBD122E"/>
    <w:rsid w:val="7F24062F"/>
    <w:rsid w:val="7F7E49ED"/>
    <w:rsid w:val="7FD723D6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eastAsia="黑体"/>
      <w:b/>
      <w:bCs/>
      <w:kern w:val="44"/>
      <w:sz w:val="30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3"/>
    <w:semiHidden/>
    <w:qFormat/>
    <w:uiPriority w:val="99"/>
    <w:rPr>
      <w:rFonts w:eastAsia="仿宋" w:asciiTheme="minorHAnsi" w:hAnsiTheme="minorHAnsi" w:cstheme="minorBidi"/>
      <w:kern w:val="2"/>
      <w:sz w:val="30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eastAsia="仿宋" w:asciiTheme="minorHAnsi" w:hAnsiTheme="minorHAnsi" w:cstheme="minorBidi"/>
      <w:b/>
      <w:bCs/>
      <w:kern w:val="2"/>
      <w:sz w:val="30"/>
      <w:szCs w:val="22"/>
    </w:rPr>
  </w:style>
  <w:style w:type="character" w:customStyle="1" w:styleId="17">
    <w:name w:val="font41"/>
    <w:basedOn w:val="9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3120</Words>
  <Characters>3161</Characters>
  <Lines>47</Lines>
  <Paragraphs>13</Paragraphs>
  <TotalTime>538</TotalTime>
  <ScaleCrop>false</ScaleCrop>
  <LinksUpToDate>false</LinksUpToDate>
  <CharactersWithSpaces>3229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2024-12-26T08:53:00Z</dcterms:created>
  <dc:creator>Q</dc:creator>
  <cp:lastModifiedBy>hisbsss</cp:lastModifiedBy>
  <cp:lastPrinted>2025-07-31T01:49:08Z</cp:lastPrinted>
  <dcterms:modified xsi:type="dcterms:W3CDTF">2025-07-31T08:41:16Z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3EBF2273CA96491881A0CADD94707878_13</vt:lpwstr>
  </property>
  <property fmtid="{D5CDD505-2E9C-101B-9397-08002B2CF9AE}" pid="4" name="KSOTemplateDocerSaveRecord">
    <vt:lpwstr>eyJoZGlkIjoiZGQxNjM0NjIxMTRhYWQzNjZmNTc1ZTYyNTUzN2EwMWUiLCJ1c2VySWQiOiIyODAwMzA4OTQifQ==</vt:lpwstr>
  </property>
</Properties>
</file>