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2ECE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w w:val="95"/>
          <w:kern w:val="0"/>
          <w:sz w:val="40"/>
          <w:szCs w:val="4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w w:val="95"/>
          <w:kern w:val="0"/>
          <w:sz w:val="40"/>
          <w:szCs w:val="40"/>
          <w:lang w:val="en-US" w:eastAsia="zh-CN" w:bidi="ar-SA"/>
        </w:rPr>
        <w:t>常平镇公共停车泊位项目泊位设置方案</w:t>
      </w:r>
    </w:p>
    <w:p w14:paraId="72AE0A5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63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w w:val="95"/>
          <w:kern w:val="0"/>
          <w:sz w:val="32"/>
          <w:szCs w:val="32"/>
          <w:lang w:val="en-US" w:eastAsia="zh-CN" w:bidi="ar-SA"/>
        </w:rPr>
        <w:t>一、总则</w:t>
      </w:r>
    </w:p>
    <w:p w14:paraId="66597A1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eastAsia="zh-CN"/>
        </w:rPr>
        <w:t>常平镇道路泊位设置方案编制，依据《东莞市道路停车泊位设置工作指引（试行）》（东交〔2022〕163号）文件精神开展。道路停车泊位是镇内停车资源的有效补充，按照科学规划、总量控制的原则，在项目方案落地实施前做好充分论证，确保停车设施专项规划中各类停车设施的有效衔接；按照合法依规、规范设置的原则，严格依据《中华人民共和国道路交通安全法》《广东省道路交通安全条例》《广东省农村公路条例》《东莞市机动车停车设施管理办法》等法律法规规章要求组织实施；按照公开透明、程序严谨的原则，在实施过程中广泛征求项目设置区域内相关社会公众意见，综合考虑周边交通组织、道路等级、停车需求等因素，并每两年开展一次重新评估及申报审核，尽量做到还路于民、还路于行，保障道路通行效率。本次道路停车泊位规划</w:t>
      </w:r>
      <w:r>
        <w:rPr>
          <w:rFonts w:hint="eastAsia" w:ascii="方正仿宋_GB2312" w:hAnsi="方正仿宋_GB2312" w:eastAsia="方正仿宋_GB2312" w:cs="方正仿宋_GB2312"/>
          <w:color w:val="auto"/>
          <w:spacing w:val="13"/>
          <w:w w:val="95"/>
          <w:sz w:val="28"/>
          <w:szCs w:val="28"/>
          <w:lang w:eastAsia="zh-CN"/>
        </w:rPr>
        <w:t>期限为202</w:t>
      </w:r>
      <w:r>
        <w:rPr>
          <w:rFonts w:hint="eastAsia" w:ascii="方正仿宋_GB2312" w:hAnsi="方正仿宋_GB2312" w:eastAsia="方正仿宋_GB2312" w:cs="方正仿宋_GB2312"/>
          <w:color w:val="auto"/>
          <w:spacing w:val="13"/>
          <w:w w:val="95"/>
          <w:sz w:val="28"/>
          <w:szCs w:val="28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pacing w:val="13"/>
          <w:w w:val="95"/>
          <w:sz w:val="28"/>
          <w:szCs w:val="28"/>
          <w:lang w:eastAsia="zh-CN"/>
        </w:rPr>
        <w:t>年-20</w:t>
      </w:r>
      <w:r>
        <w:rPr>
          <w:rFonts w:hint="eastAsia" w:ascii="方正仿宋_GB2312" w:hAnsi="方正仿宋_GB2312" w:eastAsia="方正仿宋_GB2312" w:cs="方正仿宋_GB2312"/>
          <w:color w:val="auto"/>
          <w:spacing w:val="13"/>
          <w:w w:val="95"/>
          <w:sz w:val="28"/>
          <w:szCs w:val="28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color w:val="auto"/>
          <w:spacing w:val="13"/>
          <w:w w:val="95"/>
          <w:sz w:val="28"/>
          <w:szCs w:val="28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eastAsia="zh-CN"/>
        </w:rPr>
        <w:t>，范围为常平镇全域。</w:t>
      </w:r>
    </w:p>
    <w:p w14:paraId="64E6047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63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w w:val="95"/>
          <w:kern w:val="0"/>
          <w:sz w:val="32"/>
          <w:szCs w:val="32"/>
          <w:lang w:val="en-US" w:eastAsia="en-US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w w:val="95"/>
          <w:kern w:val="0"/>
          <w:sz w:val="32"/>
          <w:szCs w:val="32"/>
          <w:lang w:val="en-US" w:eastAsia="en-US" w:bidi="ar-SA"/>
        </w:rPr>
        <w:t>二、供需分析</w:t>
      </w:r>
    </w:p>
    <w:p w14:paraId="22357AF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en-US"/>
        </w:rPr>
      </w:pP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en-US"/>
        </w:rPr>
        <w:t>我镇人口基数大，汽车保有量大，停车位供需不平衡。我镇辖区管理人口多，停车位缺口非常大，停车位供需极不平衡。停车难作为常平镇发展的主要矛盾，可能引发交通拥堵、安全事故等一系列问题，严重影响了本镇居民生活品质，制约了城市发展，因此需通过加强泊位管理，制定详细道路停车泊位设置方案，引导各社区有序划设路内停车泊位，杜绝无序盲目划设，进而改善居民停车环境，引导居民合理停车，切实改善本镇居民生活环境质量。</w:t>
      </w:r>
    </w:p>
    <w:p w14:paraId="6903EC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63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w w:val="95"/>
          <w:kern w:val="0"/>
          <w:sz w:val="32"/>
          <w:szCs w:val="32"/>
          <w:lang w:val="en-US" w:eastAsia="zh-CN" w:bidi="ar-SA"/>
        </w:rPr>
        <w:t>三、工作目标</w:t>
      </w:r>
    </w:p>
    <w:p w14:paraId="0E01108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eastAsia="zh-CN"/>
        </w:rPr>
        <w:t>坚持“精准供给、盘活存量、改善秩序”的目标导向，制定全镇路内停车泊位设置方案，引导各社区有序划设路内停车泊位，缓解停车难、停车乱问题。同时通过智慧停车、共享停车、差别化停车收费管理等手段综合施策，由点及面充分盘活全镇停车资源利用效率。另外加快构建城市级智慧停车诱导体系，逐步实现新建停车设施智慧化、标准化改造和数据联网率达到100%的目标。</w:t>
      </w:r>
    </w:p>
    <w:p w14:paraId="225B8F2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63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w w:val="95"/>
          <w:kern w:val="0"/>
          <w:sz w:val="32"/>
          <w:szCs w:val="32"/>
          <w:lang w:val="en-US" w:eastAsia="zh-CN" w:bidi="ar-SA"/>
        </w:rPr>
        <w:t>四、道路停车泊位设置方案</w:t>
      </w:r>
    </w:p>
    <w:p w14:paraId="6D66BB9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eastAsia="zh-CN"/>
        </w:rPr>
        <w:t>常平镇道路泊位设置方案包含</w:t>
      </w: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zh-CN"/>
        </w:rPr>
        <w:t>16段</w:t>
      </w: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eastAsia="zh-CN"/>
        </w:rPr>
        <w:t>道路，共计</w:t>
      </w: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zh-CN"/>
        </w:rPr>
        <w:t>1347</w:t>
      </w: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eastAsia="zh-CN"/>
        </w:rPr>
        <w:t>个泊位，详细内容见表1。</w:t>
      </w:r>
    </w:p>
    <w:p w14:paraId="69CBA20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eastAsia="zh-CN"/>
        </w:rPr>
        <w:t>该方案道路泊位准停车型为：八人座及以下小型桥车。</w:t>
      </w:r>
    </w:p>
    <w:p w14:paraId="3F41232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eastAsia="zh-CN"/>
        </w:rPr>
        <w:t>具体收费时段划分、收费标准严格按照《关于调整我市机动车停放服务收费有关问题的通知》（东发改〔2019〕第468号）文件要求，实行政府指导价管理，下浮不限。具体标准详见图2。</w:t>
      </w:r>
    </w:p>
    <w:p w14:paraId="2A8C1D2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2" w:lineRule="auto"/>
        <w:jc w:val="both"/>
        <w:textAlignment w:val="baseline"/>
        <w:rPr>
          <w:rFonts w:hint="eastAsia" w:ascii="宋体" w:hAnsi="宋体" w:eastAsia="宋体" w:cs="宋体"/>
        </w:rPr>
        <w:sectPr>
          <w:pgSz w:w="11906" w:h="16839"/>
          <w:pgMar w:top="1440" w:right="1800" w:bottom="1440" w:left="1800" w:header="0" w:footer="0" w:gutter="0"/>
          <w:cols w:space="720" w:num="1"/>
        </w:sectPr>
      </w:pPr>
    </w:p>
    <w:p w14:paraId="6CDA6A4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25" w:lineRule="auto"/>
        <w:jc w:val="center"/>
        <w:textAlignment w:val="baseline"/>
        <w:rPr>
          <w:rFonts w:hint="eastAsia" w:ascii="方正仿宋_GB2312" w:hAnsi="方正仿宋_GB2312" w:eastAsia="方正仿宋_GB2312" w:cs="方正仿宋_GB2312"/>
          <w:spacing w:val="-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4"/>
          <w:szCs w:val="24"/>
        </w:rPr>
        <w:t>表1</w:t>
      </w:r>
      <w:r>
        <w:rPr>
          <w:rFonts w:hint="eastAsia" w:ascii="方正仿宋_GB2312" w:hAnsi="方正仿宋_GB2312" w:eastAsia="方正仿宋_GB2312" w:cs="方正仿宋_GB2312"/>
          <w:spacing w:val="-2"/>
          <w:sz w:val="24"/>
          <w:szCs w:val="24"/>
          <w:lang w:eastAsia="zh-CN"/>
        </w:rPr>
        <w:t>常平</w:t>
      </w:r>
      <w:r>
        <w:rPr>
          <w:rFonts w:hint="eastAsia" w:ascii="方正仿宋_GB2312" w:hAnsi="方正仿宋_GB2312" w:eastAsia="方正仿宋_GB2312" w:cs="方正仿宋_GB2312"/>
          <w:spacing w:val="-2"/>
          <w:sz w:val="24"/>
          <w:szCs w:val="24"/>
        </w:rPr>
        <w:t>镇道路停车泊位设置明细表</w:t>
      </w:r>
    </w:p>
    <w:tbl>
      <w:tblPr>
        <w:tblStyle w:val="5"/>
        <w:tblpPr w:leftFromText="180" w:rightFromText="180" w:vertAnchor="text" w:horzAnchor="page" w:tblpX="1447" w:tblpY="312"/>
        <w:tblOverlap w:val="never"/>
        <w:tblW w:w="1328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721"/>
        <w:gridCol w:w="1093"/>
        <w:gridCol w:w="1224"/>
        <w:gridCol w:w="1298"/>
        <w:gridCol w:w="1087"/>
        <w:gridCol w:w="1554"/>
        <w:gridCol w:w="1609"/>
        <w:gridCol w:w="940"/>
        <w:gridCol w:w="913"/>
        <w:gridCol w:w="1242"/>
      </w:tblGrid>
      <w:tr w14:paraId="38B9D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 w14:paraId="6C1C9D0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2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</w:rPr>
              <w:t>道路停车泊位设置明细表</w:t>
            </w:r>
          </w:p>
        </w:tc>
      </w:tr>
      <w:tr w14:paraId="7FBA0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 w14:paraId="452D06D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2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东莞市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  <w:lang w:eastAsia="zh-CN"/>
              </w:rPr>
              <w:t>常平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镇</w:t>
            </w:r>
          </w:p>
        </w:tc>
      </w:tr>
      <w:tr w14:paraId="77E7F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textDirection w:val="tbRlV"/>
            <w:vAlign w:val="center"/>
          </w:tcPr>
          <w:p w14:paraId="0BD83EE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序号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 w14:paraId="1BC4C77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道路名称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 w14:paraId="60029B0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道路</w:t>
            </w:r>
          </w:p>
          <w:p w14:paraId="752B8C1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性质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 w14:paraId="77E261B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311" w:lineRule="auto"/>
              <w:ind w:left="185" w:right="180" w:firstLine="2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</w:rPr>
              <w:t>是否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重点区域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 w14:paraId="6C803A0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311" w:lineRule="auto"/>
              <w:ind w:left="121" w:right="90" w:firstLine="61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道路</w:t>
            </w:r>
            <w:r>
              <w:rPr>
                <w:rFonts w:hint="eastAsia" w:ascii="方正仿宋_GB2312" w:hAnsi="方正仿宋_GB2312" w:eastAsia="方正仿宋_GB2312" w:cs="方正仿宋_GB2312"/>
                <w:spacing w:val="27"/>
                <w:sz w:val="21"/>
                <w:szCs w:val="21"/>
              </w:rPr>
              <w:t>长度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1"/>
                <w:szCs w:val="21"/>
              </w:rPr>
              <w:t>（米）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 w14:paraId="0A1BA66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道路</w:t>
            </w:r>
          </w:p>
          <w:p w14:paraId="4462134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宽度</w:t>
            </w:r>
          </w:p>
          <w:p w14:paraId="639244C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val="en-US" w:eastAsia="zh-CN"/>
              </w:rPr>
              <w:t>米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 w14:paraId="0A16BD5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道路车道数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 w14:paraId="641EB48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2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</w:rPr>
              <w:t>设置方式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 w14:paraId="4A4F19E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可设置泊位数（个）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 w14:paraId="0ACA464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v/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val="en-US" w:eastAsia="zh-CN"/>
              </w:rPr>
              <w:t>c</w:t>
            </w:r>
          </w:p>
          <w:p w14:paraId="2F34757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比值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 w14:paraId="7F16D84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2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</w:rPr>
              <w:t>道路设计时速km/h</w:t>
            </w:r>
          </w:p>
        </w:tc>
      </w:tr>
      <w:tr w14:paraId="56231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1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A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新南二街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6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次干路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C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6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5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F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双向2车道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6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平行式设置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5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FF7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0.75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B9A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  <w:lang w:val="en-US" w:eastAsia="zh-CN"/>
              </w:rPr>
              <w:t>30</w:t>
            </w:r>
          </w:p>
        </w:tc>
      </w:tr>
      <w:tr w14:paraId="3A6C8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3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E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汇俊中心两侧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D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次干路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5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F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D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1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双向2车道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4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平行式设置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5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715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0.74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3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  <w:lang w:val="en-US" w:eastAsia="zh-CN"/>
              </w:rPr>
              <w:t>30</w:t>
            </w:r>
          </w:p>
        </w:tc>
      </w:tr>
      <w:tr w14:paraId="4DCE6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0E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1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园林路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50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次干路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2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4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5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0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双向2车道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D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平行式设置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C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10C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0.76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5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  <w:lang w:val="en-US" w:eastAsia="zh-CN"/>
              </w:rPr>
              <w:t>30</w:t>
            </w:r>
          </w:p>
        </w:tc>
      </w:tr>
      <w:tr w14:paraId="1178F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D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7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新南路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FE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次干路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D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5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226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3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10.6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8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双向4车道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F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平行式设置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6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8F6A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0.69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0E9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50</w:t>
            </w:r>
          </w:p>
        </w:tc>
      </w:tr>
      <w:tr w14:paraId="4D9FA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5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3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新城大道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D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次干路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7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3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492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60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0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双向6车道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5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平行式设置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A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53D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0.66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4A07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60</w:t>
            </w:r>
          </w:p>
        </w:tc>
      </w:tr>
      <w:tr w14:paraId="361F7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0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4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常平大道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0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次干路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5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51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F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B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双向4车道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2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平行式设置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4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04B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val="en-US" w:eastAsia="zh-CN"/>
              </w:rPr>
              <w:t>0.65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77B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  <w:lang w:val="en-US" w:eastAsia="zh-CN"/>
              </w:rPr>
              <w:t>60</w:t>
            </w:r>
          </w:p>
        </w:tc>
      </w:tr>
      <w:tr w14:paraId="4F8EB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4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8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行政中心门口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B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次干路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1C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9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0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12.2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2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C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垂直式设置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8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C21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val="en-US" w:eastAsia="zh-CN"/>
              </w:rPr>
              <w:t>0.69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27E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  <w:lang w:val="en-US" w:eastAsia="zh-CN"/>
              </w:rPr>
              <w:t>5</w:t>
            </w:r>
          </w:p>
        </w:tc>
      </w:tr>
      <w:tr w14:paraId="66431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3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9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梵尔赛路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6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次干路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7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E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536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4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6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双向4车道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6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平行式设置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7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2C1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val="en-US" w:eastAsia="zh-CN"/>
              </w:rPr>
              <w:t>0.65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1888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  <w:lang w:val="en-US" w:eastAsia="zh-CN"/>
              </w:rPr>
              <w:t>40</w:t>
            </w:r>
          </w:p>
        </w:tc>
      </w:tr>
      <w:tr w14:paraId="4331A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0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E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邮电路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30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次干路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9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2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327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1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3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双向2车道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B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平行式设置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8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402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0.68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C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  <w:lang w:val="en-US" w:eastAsia="zh-CN"/>
              </w:rPr>
              <w:t>30</w:t>
            </w:r>
          </w:p>
        </w:tc>
      </w:tr>
      <w:tr w14:paraId="48723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4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F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东兴一街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5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次干路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2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F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430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F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8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双向2车道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D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平行式设置</w:t>
            </w:r>
          </w:p>
          <w:p w14:paraId="32DCF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倾斜式设置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4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133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val="en-US" w:eastAsia="zh-CN"/>
              </w:rPr>
              <w:t>0.67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F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  <w:lang w:val="en-US" w:eastAsia="zh-CN"/>
              </w:rPr>
              <w:t>30</w:t>
            </w:r>
          </w:p>
        </w:tc>
      </w:tr>
      <w:tr w14:paraId="4C4AD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C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4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新市三街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D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次干路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3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2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9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E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双向2车道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C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平行式设置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C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A8D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val="en-US" w:eastAsia="zh-CN"/>
              </w:rPr>
              <w:t>0.68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6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  <w:lang w:val="en-US" w:eastAsia="zh-CN"/>
              </w:rPr>
              <w:t>30</w:t>
            </w:r>
          </w:p>
        </w:tc>
      </w:tr>
      <w:tr w14:paraId="54C17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D9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7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红荔路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7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次干路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E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4C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460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1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8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双向4车道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F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平行式设置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4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856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val="en-US" w:eastAsia="zh-CN"/>
              </w:rPr>
              <w:t>0.69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439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  <w:lang w:val="en-US" w:eastAsia="zh-CN"/>
              </w:rPr>
              <w:t>50</w:t>
            </w:r>
          </w:p>
        </w:tc>
      </w:tr>
      <w:tr w14:paraId="53C83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6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A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沿河西三路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E8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次干路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9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6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2048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F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B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双向3车道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5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平行式设置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5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0D9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val="en-US" w:eastAsia="zh-CN"/>
              </w:rPr>
              <w:t>0.66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4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  <w:lang w:val="en-US" w:eastAsia="zh-CN"/>
              </w:rPr>
              <w:t>30</w:t>
            </w:r>
          </w:p>
        </w:tc>
      </w:tr>
      <w:tr w14:paraId="1D02D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4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1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沿河西一路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9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次干路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F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36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950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F2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5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双向3车道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A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平行式设置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7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3A1D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val="en-US" w:eastAsia="zh-CN"/>
              </w:rPr>
              <w:t>0.72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4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  <w:lang w:val="en-US" w:eastAsia="zh-CN"/>
              </w:rPr>
              <w:t>30</w:t>
            </w:r>
          </w:p>
        </w:tc>
      </w:tr>
      <w:tr w14:paraId="302E5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ED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6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沿河西二路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7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次干路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F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5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920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D0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6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双向3车道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4D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平行式设置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15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0885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val="en-US" w:eastAsia="zh-CN"/>
              </w:rPr>
              <w:t>0.71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E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  <w:lang w:val="en-US" w:eastAsia="zh-CN"/>
              </w:rPr>
              <w:t>30</w:t>
            </w:r>
          </w:p>
        </w:tc>
      </w:tr>
      <w:tr w14:paraId="72B4F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1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沿河东三路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1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次干路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9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F8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2083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F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D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双向4车道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E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平行式设置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36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264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A90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val="en-US" w:eastAsia="zh-CN"/>
              </w:rPr>
              <w:t>0.76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803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  <w:lang w:val="en-US" w:eastAsia="zh-CN"/>
              </w:rPr>
              <w:t>60</w:t>
            </w:r>
          </w:p>
        </w:tc>
      </w:tr>
    </w:tbl>
    <w:p w14:paraId="3BBFD54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" w:lineRule="exact"/>
        <w:jc w:val="both"/>
        <w:textAlignment w:val="baseline"/>
        <w:rPr>
          <w:rFonts w:hint="eastAsia" w:ascii="宋体" w:hAnsi="宋体" w:eastAsia="宋体" w:cs="宋体"/>
        </w:rPr>
      </w:pPr>
      <w:bookmarkStart w:id="0" w:name="_GoBack"/>
      <w:bookmarkEnd w:id="0"/>
    </w:p>
    <w:p w14:paraId="45369B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宋体" w:hAnsi="宋体" w:eastAsia="宋体" w:cs="宋体"/>
          <w:sz w:val="21"/>
        </w:rPr>
      </w:pPr>
    </w:p>
    <w:p w14:paraId="611D983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  <w:sectPr>
          <w:pgSz w:w="16839" w:h="11906"/>
          <w:pgMar w:top="1440" w:right="1800" w:bottom="1440" w:left="1800" w:header="0" w:footer="0" w:gutter="0"/>
          <w:cols w:space="720" w:num="1"/>
        </w:sectPr>
      </w:pPr>
    </w:p>
    <w:p w14:paraId="1FCFE45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4" w:line="233" w:lineRule="auto"/>
        <w:ind w:left="4196" w:hanging="4115"/>
        <w:jc w:val="center"/>
        <w:textAlignment w:val="baseline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eastAsia="宋体"/>
          <w:sz w:val="20"/>
          <w:szCs w:val="20"/>
          <w:lang w:eastAsia="zh-CN"/>
        </w:rPr>
        <w:drawing>
          <wp:inline distT="0" distB="0" distL="114300" distR="114300">
            <wp:extent cx="5725795" cy="4660900"/>
            <wp:effectExtent l="0" t="0" r="4445" b="254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C9A7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4" w:line="233" w:lineRule="auto"/>
        <w:ind w:left="4196" w:hanging="4115"/>
        <w:jc w:val="center"/>
        <w:textAlignment w:val="baseline"/>
        <w:rPr>
          <w:rFonts w:hint="eastAsia" w:ascii="宋体" w:hAnsi="宋体" w:eastAsia="宋体" w:cs="宋体"/>
          <w:spacing w:val="-4"/>
          <w:sz w:val="24"/>
          <w:szCs w:val="24"/>
        </w:rPr>
      </w:pPr>
    </w:p>
    <w:p w14:paraId="36CCC11B">
      <w:pPr>
        <w:spacing w:line="200" w:lineRule="exact"/>
        <w:rPr>
          <w:sz w:val="20"/>
          <w:szCs w:val="20"/>
        </w:rPr>
      </w:pPr>
    </w:p>
    <w:p w14:paraId="6873023C">
      <w:pPr>
        <w:spacing w:before="56" w:line="312" w:lineRule="exact"/>
        <w:ind w:left="149" w:right="116"/>
        <w:jc w:val="center"/>
        <w:rPr>
          <w:rFonts w:hint="default" w:ascii="方正仿宋_GB2312" w:hAnsi="方正仿宋_GB2312" w:eastAsia="方正仿宋_GB2312" w:cs="方正仿宋_GB2312"/>
          <w:snapToGrid w:val="0"/>
          <w:color w:val="000000"/>
          <w:spacing w:val="13"/>
          <w:w w:val="95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3"/>
          <w:w w:val="95"/>
          <w:kern w:val="0"/>
          <w:sz w:val="28"/>
          <w:szCs w:val="28"/>
          <w:lang w:val="en-US" w:eastAsia="zh-CN" w:bidi="ar-SA"/>
        </w:rPr>
        <w:t>图2 收费标准</w:t>
      </w:r>
    </w:p>
    <w:p w14:paraId="4D69D3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5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  <w:sectPr>
          <w:pgSz w:w="11906" w:h="16839"/>
          <w:pgMar w:top="1440" w:right="1800" w:bottom="1440" w:left="1800" w:header="0" w:footer="0" w:gutter="0"/>
          <w:cols w:space="720" w:num="1"/>
        </w:sectPr>
      </w:pPr>
    </w:p>
    <w:p w14:paraId="41F042A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63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w w:val="95"/>
          <w:kern w:val="0"/>
          <w:sz w:val="32"/>
          <w:szCs w:val="32"/>
          <w:lang w:val="en-US" w:eastAsia="en-US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w w:val="95"/>
          <w:kern w:val="0"/>
          <w:sz w:val="32"/>
          <w:szCs w:val="32"/>
          <w:lang w:val="en-US" w:eastAsia="en-US" w:bidi="ar-SA"/>
        </w:rPr>
        <w:t>五、部门职责</w:t>
      </w:r>
    </w:p>
    <w:p w14:paraId="4509C28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en-US"/>
        </w:rPr>
      </w:pP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en-US"/>
        </w:rPr>
        <w:t>根据《东莞市道路停车泊位设置工作指引（试行）》（东交〔2022〕163号）文件精神，</w:t>
      </w: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zh-CN"/>
        </w:rPr>
        <w:t>常平</w:t>
      </w: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en-US"/>
        </w:rPr>
        <w:t>镇道路泊位设置管理工作由各有关部门结合职能合力开展。镇规划所负责辖区停车专项规划编制、路内停车泊位设施方案编制、道路停车重点区域路段划定工作。镇交通运输分局负责辖区道路停车泊位设置的监督管理工作。镇公安分局交警大队负责辖区道路停车秩序和交通安全管理，查处擅自设置道路停车泊位的行为，协同交通运输分局指导做好道路停车泊位的设置。路内停车泊位设置具体由</w:t>
      </w: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zh-CN"/>
        </w:rPr>
        <w:t>东莞市常鸿智泊科技有限公司</w:t>
      </w: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en-US"/>
        </w:rPr>
        <w:t>或辖区居委会组织实施，通过招标的形式确认施工单位，根据泊位设置方案制定方案图纸并实施建设，对方案中划定的道路泊位安装无线NB地磁检测设备。</w:t>
      </w: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zh-CN"/>
        </w:rPr>
        <w:t>东莞市常鸿智泊科技有限公司</w:t>
      </w: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en-US"/>
        </w:rPr>
        <w:t>或辖区居委会负责验收工作，在道路停车项目建设完成后，核定方案的泊位设置情况，确认实际泊位数量，按照《东莞市智慧停车云平台数据传输协议》要求将有关停车信息数据接入市智慧停车云平台，并同步至市公安局视频云平台，实现全市停车信息统一监管。</w:t>
      </w: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zh-CN"/>
        </w:rPr>
        <w:t>东莞市常鸿智泊科技有限公司</w:t>
      </w: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en-US"/>
        </w:rPr>
        <w:t>或辖区居委会负责日常运营维护工作，一是建立机动车停放服务标准，提供相应的停车管理服务，强化设施信息、文明行为的告知提示，明确服务投诉渠道；二是结合辖区实际，制定道路停车泊位动态调整机制，根据道路停车泊位路段、需求、使用率等指标，建立运营指标体系，定期评估、优化道路停车泊位设置，适时动态调整道路停车泊位设置和收费价格，实现社会效益和用户体验“双提升”，切实提高行业服务管理水平。</w:t>
      </w:r>
    </w:p>
    <w:p w14:paraId="2F6E614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63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w w:val="95"/>
          <w:kern w:val="0"/>
          <w:sz w:val="32"/>
          <w:szCs w:val="32"/>
          <w:lang w:val="en-US" w:eastAsia="en-US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w w:val="95"/>
          <w:kern w:val="0"/>
          <w:sz w:val="32"/>
          <w:szCs w:val="32"/>
          <w:lang w:val="en-US" w:eastAsia="en-US" w:bidi="ar-SA"/>
        </w:rPr>
        <w:t>六、工作进度</w:t>
      </w:r>
    </w:p>
    <w:p w14:paraId="1F82B24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en-US"/>
        </w:rPr>
        <w:t>方案的规划筹备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en-US"/>
        </w:rPr>
        <w:t>202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en-US"/>
        </w:rPr>
        <w:t>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en-US"/>
        </w:rPr>
        <w:t>—202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en-US"/>
        </w:rPr>
        <w:t>.1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  <w:t>2</w:t>
      </w:r>
    </w:p>
    <w:p w14:paraId="5098194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en-U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en-US"/>
        </w:rPr>
        <w:t>会议审核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en-US"/>
        </w:rPr>
        <w:t>202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en-US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en-US"/>
        </w:rPr>
        <w:t>——202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en-US"/>
        </w:rPr>
        <w:t>.01</w:t>
      </w:r>
    </w:p>
    <w:p w14:paraId="68A1814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en-US"/>
        </w:rPr>
        <w:t>启动建设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en-US"/>
        </w:rPr>
        <w:t>202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en-US"/>
        </w:rPr>
        <w:t>0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  <w:t>2</w:t>
      </w:r>
    </w:p>
    <w:p w14:paraId="1E54B47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en-US"/>
        </w:rPr>
        <w:t>完工验收：202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en-US"/>
        </w:rPr>
        <w:t>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3"/>
          <w:w w:val="95"/>
          <w:sz w:val="28"/>
          <w:szCs w:val="28"/>
          <w:lang w:val="en-US" w:eastAsia="zh-CN"/>
        </w:rPr>
        <w:t>05</w:t>
      </w:r>
    </w:p>
    <w:p w14:paraId="2E25EAF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63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w w:val="95"/>
          <w:kern w:val="0"/>
          <w:sz w:val="32"/>
          <w:szCs w:val="32"/>
          <w:lang w:val="en-US" w:eastAsia="en-US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w w:val="95"/>
          <w:kern w:val="0"/>
          <w:sz w:val="32"/>
          <w:szCs w:val="32"/>
          <w:lang w:val="en-US" w:eastAsia="en-US" w:bidi="ar-SA"/>
        </w:rPr>
        <w:t>七、保障措施</w:t>
      </w:r>
    </w:p>
    <w:p w14:paraId="29A0AAB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en-US"/>
        </w:rPr>
      </w:pP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zh-CN"/>
        </w:rPr>
        <w:t>东莞市常鸿智泊科技有限公司</w:t>
      </w: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en-US"/>
        </w:rPr>
        <w:t>或辖区居委会要切实履行管理职责，做好辖区道路停车泊位设置管理，监督道路停车泊位的正常运行，镇综合交通联席办定期组织公安交警、市场监督、城市管理综合执法、自然资源等部门开展联合执法；镇公安交警部门负责按照有关规定，对违规停放影响道路交通安全的行为进行严肃查处；市场监管部门负责加强对各道路停车泊位收费情况的监督检查，加强停车服务收费行为监管，依法查处不正当价格行为。其他有关部门要按照各自职责，做好道路停车泊位管理相关工作。通过依法加强停车秩序执法管理，持续开展综合整治行动，引导市民群众树立公交出行、绿色出行的理念。</w:t>
      </w:r>
    </w:p>
    <w:p w14:paraId="3477690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auto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3D629F6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en-US"/>
        </w:rPr>
      </w:pP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en-US"/>
        </w:rPr>
        <w:t>附件：1.</w:t>
      </w: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zh-CN"/>
        </w:rPr>
        <w:t>常平镇公共停车泊位项目第一期建设方案</w:t>
      </w:r>
    </w:p>
    <w:p w14:paraId="3C9F9EA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876" w:firstLineChars="3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en-US"/>
        </w:rPr>
      </w:pP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en-US"/>
        </w:rPr>
        <w:t>2.</w:t>
      </w:r>
      <w:r>
        <w:rPr>
          <w:rFonts w:hint="eastAsia" w:ascii="方正仿宋_GB2312" w:hAnsi="方正仿宋_GB2312" w:eastAsia="方正仿宋_GB2312" w:cs="方正仿宋_GB2312"/>
          <w:spacing w:val="13"/>
          <w:w w:val="95"/>
          <w:sz w:val="28"/>
          <w:szCs w:val="28"/>
          <w:lang w:val="en-US" w:eastAsia="zh-CN"/>
        </w:rPr>
        <w:t>常平镇公共停车泊位项目第一期施工图</w:t>
      </w: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276E33"/>
    <w:rsid w:val="02516F0E"/>
    <w:rsid w:val="0C8C0749"/>
    <w:rsid w:val="100827DD"/>
    <w:rsid w:val="12137217"/>
    <w:rsid w:val="13272F7A"/>
    <w:rsid w:val="13491142"/>
    <w:rsid w:val="158B0DFA"/>
    <w:rsid w:val="16A016B4"/>
    <w:rsid w:val="17581955"/>
    <w:rsid w:val="1DB96EC4"/>
    <w:rsid w:val="206D3F96"/>
    <w:rsid w:val="244A777A"/>
    <w:rsid w:val="26C568DA"/>
    <w:rsid w:val="29D37560"/>
    <w:rsid w:val="2A6A4A2E"/>
    <w:rsid w:val="2B9D5B76"/>
    <w:rsid w:val="32AF463E"/>
    <w:rsid w:val="34054394"/>
    <w:rsid w:val="35005774"/>
    <w:rsid w:val="352025AD"/>
    <w:rsid w:val="35FF3BC9"/>
    <w:rsid w:val="37390A3C"/>
    <w:rsid w:val="40FB4EEE"/>
    <w:rsid w:val="41794A39"/>
    <w:rsid w:val="45E32481"/>
    <w:rsid w:val="48927C32"/>
    <w:rsid w:val="4F674123"/>
    <w:rsid w:val="506F328F"/>
    <w:rsid w:val="516929B4"/>
    <w:rsid w:val="54E838DC"/>
    <w:rsid w:val="56325EB0"/>
    <w:rsid w:val="56E1617D"/>
    <w:rsid w:val="61CA12DE"/>
    <w:rsid w:val="62015D11"/>
    <w:rsid w:val="65EE101C"/>
    <w:rsid w:val="68CE6E49"/>
    <w:rsid w:val="695C6115"/>
    <w:rsid w:val="6B711D7A"/>
    <w:rsid w:val="6B751E57"/>
    <w:rsid w:val="6D8C327A"/>
    <w:rsid w:val="719C7804"/>
    <w:rsid w:val="71C754A9"/>
    <w:rsid w:val="724A3704"/>
    <w:rsid w:val="72B666A4"/>
    <w:rsid w:val="74853EB9"/>
    <w:rsid w:val="76EE465E"/>
    <w:rsid w:val="7BEF61AD"/>
    <w:rsid w:val="7E033FD9"/>
    <w:rsid w:val="7E195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2394</Words>
  <Characters>2633</Characters>
  <TotalTime>3</TotalTime>
  <ScaleCrop>false</ScaleCrop>
  <LinksUpToDate>false</LinksUpToDate>
  <CharactersWithSpaces>2634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2023-12-28T11:48:00Z</dcterms:created>
  <dc:creator>ruiling</dc:creator>
  <cp:lastModifiedBy>小卖部</cp:lastModifiedBy>
  <dcterms:modified xsi:type="dcterms:W3CDTF">2025-05-16T06:03:58Z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2025-05-07T11:04:38Z</vt:filetime>
  </property>
  <property fmtid="{D5CDD505-2E9C-101B-9397-08002B2CF9AE}" pid="4" name="KSOTemplateDocerSaveRecord">
    <vt:lpwstr>eyJoZGlkIjoiYzQ0NWE0MDQ5MDljMTUzNmExYThkZGJhNTQzZjM1ZWUiLCJ1c2VySWQiOiIxNDEzOTcwODA1In0=</vt:lpwstr>
  </property>
  <property fmtid="{D5CDD505-2E9C-101B-9397-08002B2CF9AE}" pid="5" name="KSOProductBuildVer">
    <vt:lpwstr>2052-12.1.0.20784</vt:lpwstr>
  </property>
  <property fmtid="{D5CDD505-2E9C-101B-9397-08002B2CF9AE}" pid="6" name="ICV">
    <vt:lpwstr>CD3E744B226E49B1A5A5F6594AAF00A2_13</vt:lpwstr>
  </property>
</Properties>
</file>