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关于《常平镇重大行政决策程序实施细则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（代拟稿）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》的起草说明</w:t>
      </w:r>
    </w:p>
    <w:p>
      <w:pPr>
        <w:ind w:left="0" w:leftChars="0" w:firstLine="0" w:firstLineChars="0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贯彻落实《重大行政决策程序暂行条例》《广东省重大行政决策程序规定》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《东莞市重大行政决策程序规定》，</w:t>
      </w:r>
      <w:r>
        <w:rPr>
          <w:rFonts w:hint="eastAsia" w:ascii="Times New Roman" w:hAnsi="Times New Roman"/>
          <w:lang w:val="en-US" w:eastAsia="zh-CN"/>
        </w:rPr>
        <w:t>深入推进法治政府建设，健全科学、民主、依法决策机制，规范我镇重大行政决策程序，镇司法分局牵头起草了</w:t>
      </w:r>
      <w:r>
        <w:rPr>
          <w:rFonts w:hint="eastAsia" w:ascii="Times New Roman" w:hAnsi="Times New Roman"/>
        </w:rPr>
        <w:t>《常平镇重大行政决策程序实施细则》</w:t>
      </w:r>
      <w:r>
        <w:rPr>
          <w:rFonts w:hint="eastAsia" w:ascii="Times New Roman" w:hAnsi="Times New Roman"/>
          <w:lang w:eastAsia="zh-CN"/>
        </w:rPr>
        <w:t>（以下简称《实施细则》），现将有关情况说明如下：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lang w:eastAsia="zh-CN"/>
        </w:rPr>
        <w:t>一、制定《实施细则》的背景和必要性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决策是行政权力运行的起点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规范决策行为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尤其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是重大行政决策行为，是规范行政权力的重点，也是法治政府建设的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重要方面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中央、省委、市委高度重视重大行政决策工作。</w:t>
      </w:r>
      <w:r>
        <w:rPr>
          <w:rFonts w:hint="eastAsia" w:ascii="Times New Roman" w:hAnsi="Times New Roman" w:eastAsia="仿宋_GB2312"/>
          <w:sz w:val="32"/>
        </w:rPr>
        <w:t>中共中央、国务院印发</w:t>
      </w:r>
      <w:r>
        <w:rPr>
          <w:rFonts w:hint="eastAsia" w:ascii="Times New Roman" w:hAnsi="Times New Roman"/>
          <w:sz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</w:rPr>
        <w:t>《法治政府建设实施纲要（2021－2025年）》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明确提出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要“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健全行政决策制度体系，不断提升行政决策公信力和执行力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强化依法决策意识，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严格落实重大行政决策程序，加强行政决策执行和评估。为落实健全依法决策机制，推进行政决策科学化、民主化、法治化，提高决策质量，我镇于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2017年11月印发实施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常平镇政府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重大行政决策程序规定》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（常府〔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50号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（下称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《规定》），将公众参与、专家咨询、风险评估、合法性审查、集体审议“五大程序”的行政决策机制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制度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政府规范决策、提升科学依法决策水平发挥了积极作用。近两年，《重大行政决策程序暂行条例》《广东省重大行政决策程序规定》《东莞市重大行政决策程序规定》相继出台、修订，对重大行政决策管理提出了新要求，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为全面贯彻落实上级有关决策部署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，有必要</w:t>
      </w:r>
      <w:r>
        <w:rPr>
          <w:rFonts w:hint="eastAsia" w:cs="仿宋_GB2312"/>
          <w:sz w:val="32"/>
          <w:szCs w:val="32"/>
          <w:lang w:eastAsia="zh-CN"/>
        </w:rPr>
        <w:t>根据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国家、省、市对健全完善决策程序新的要求，</w:t>
      </w:r>
      <w:r>
        <w:rPr>
          <w:rFonts w:hint="eastAsia" w:cs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原《规定》</w:t>
      </w:r>
      <w:r>
        <w:rPr>
          <w:rFonts w:hint="eastAsia" w:cs="仿宋_GB2312"/>
          <w:sz w:val="32"/>
          <w:szCs w:val="32"/>
          <w:lang w:eastAsia="zh-CN"/>
        </w:rPr>
        <w:t>基础上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制定相关实施细则，</w:t>
      </w:r>
      <w:r>
        <w:rPr>
          <w:rFonts w:hint="eastAsia" w:cs="仿宋_GB2312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完善和细化</w:t>
      </w:r>
      <w:r>
        <w:rPr>
          <w:rFonts w:hint="eastAsia" w:cs="仿宋_GB2312"/>
          <w:sz w:val="32"/>
          <w:szCs w:val="32"/>
          <w:lang w:eastAsia="zh-CN"/>
        </w:rPr>
        <w:t>重大行政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决策程序相关规定。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lang w:eastAsia="zh-CN"/>
        </w:rPr>
        <w:t>二、制定《实施细则》的主要依据和程序说明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eastAsia="zh-CN"/>
        </w:rPr>
        <w:t>司法分局主要根据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《重大行政决策程序暂行条例》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（国务院令第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713号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《广东省重大行政决策程序规定》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（广东省人民政府令第288号）、《东莞市重大行政决策程序规定》（东府〔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48号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）等文件要求，结合我镇实际，在充分调研的基础上，起草了《</w:t>
      </w:r>
      <w:r>
        <w:rPr>
          <w:rFonts w:hint="eastAsia" w:ascii="Times New Roman" w:hAnsi="Times New Roman"/>
        </w:rPr>
        <w:t>常平镇重大行政决策程序实施细则</w:t>
      </w:r>
      <w:r>
        <w:rPr>
          <w:rFonts w:hint="eastAsia" w:ascii="Times New Roman" w:hAnsi="Times New Roman"/>
          <w:lang w:eastAsia="zh-CN"/>
        </w:rPr>
        <w:t>（征求意见稿）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》，向各部门（单位）征求修改意见建议，同时通过政府官方网站向社会公众公开征求意见，共收到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1条修改意见，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作进一步修改完善后最终形成送审稿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经党委（扩大）会议集体审议通过后，以镇政府名义印发实施。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lang w:eastAsia="zh-CN"/>
        </w:rPr>
      </w:pPr>
      <w:r>
        <w:rPr>
          <w:rFonts w:hint="eastAsia" w:eastAsia="黑体" w:cs="黑体"/>
          <w:lang w:eastAsia="zh-CN"/>
        </w:rPr>
        <w:t>三</w:t>
      </w:r>
      <w:r>
        <w:rPr>
          <w:rFonts w:hint="eastAsia" w:ascii="Times New Roman" w:hAnsi="Times New Roman" w:eastAsia="黑体" w:cs="黑体"/>
          <w:lang w:eastAsia="zh-CN"/>
        </w:rPr>
        <w:t>、</w:t>
      </w:r>
      <w:r>
        <w:rPr>
          <w:rFonts w:hint="eastAsia" w:eastAsia="黑体" w:cs="黑体"/>
          <w:lang w:eastAsia="zh-CN"/>
        </w:rPr>
        <w:t>预期效果和影响</w:t>
      </w:r>
    </w:p>
    <w:p>
      <w:pPr>
        <w:pStyle w:val="7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《实施细则》</w:t>
      </w:r>
      <w:r>
        <w:rPr>
          <w:rFonts w:hint="default"/>
          <w:lang w:val="en-US" w:eastAsia="zh-CN"/>
        </w:rPr>
        <w:t>明确重大行政决策必须坚持和加强党的全面领导，</w:t>
      </w:r>
      <w:r>
        <w:rPr>
          <w:rFonts w:hint="eastAsia"/>
          <w:lang w:val="en-US" w:eastAsia="zh-CN"/>
        </w:rPr>
        <w:t>印发实施《实施细则》有利于</w:t>
      </w:r>
      <w:r>
        <w:rPr>
          <w:rFonts w:hint="default"/>
          <w:lang w:val="en-US" w:eastAsia="zh-CN"/>
        </w:rPr>
        <w:t>全面贯彻党的路线方针政策和决策部署，发挥党的领导核心作用，把党的领导贯彻到重大行政决策全过程。</w:t>
      </w:r>
      <w:r>
        <w:rPr>
          <w:rFonts w:hint="eastAsia"/>
          <w:lang w:val="en-US" w:eastAsia="zh-CN"/>
        </w:rPr>
        <w:t>通过实施《实施细则》，进一步强化</w:t>
      </w:r>
      <w:r>
        <w:rPr>
          <w:rFonts w:hint="default"/>
          <w:lang w:val="en-US" w:eastAsia="zh-CN"/>
        </w:rPr>
        <w:t>公众参与、专家论证、风险评估、合法性审查和集体讨论决定等程序</w:t>
      </w:r>
      <w:r>
        <w:rPr>
          <w:rFonts w:hint="eastAsia"/>
          <w:lang w:val="en-US" w:eastAsia="zh-CN"/>
        </w:rPr>
        <w:t>落实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将有效</w:t>
      </w:r>
      <w:r>
        <w:rPr>
          <w:rFonts w:hint="default"/>
          <w:lang w:val="en-US" w:eastAsia="zh-CN"/>
        </w:rPr>
        <w:t>提升</w:t>
      </w:r>
      <w:r>
        <w:rPr>
          <w:rFonts w:hint="eastAsia"/>
          <w:lang w:val="en-US" w:eastAsia="zh-CN"/>
        </w:rPr>
        <w:t>领导干部</w:t>
      </w:r>
      <w:r>
        <w:rPr>
          <w:rFonts w:hint="default"/>
          <w:lang w:val="en-US" w:eastAsia="zh-CN"/>
        </w:rPr>
        <w:t>依法决策、依法行政</w:t>
      </w:r>
      <w:r>
        <w:rPr>
          <w:rFonts w:hint="eastAsia"/>
          <w:lang w:val="en-US" w:eastAsia="zh-CN"/>
        </w:rPr>
        <w:t>的意识和</w:t>
      </w:r>
      <w:r>
        <w:rPr>
          <w:rFonts w:hint="default"/>
          <w:lang w:val="en-US" w:eastAsia="zh-CN"/>
        </w:rPr>
        <w:t>能力，推进行政决策科学化、民主化、法治化水平，</w:t>
      </w:r>
      <w:r>
        <w:rPr>
          <w:rFonts w:hint="eastAsia"/>
          <w:lang w:val="en-US" w:eastAsia="zh-CN"/>
        </w:rPr>
        <w:t>促进</w:t>
      </w:r>
      <w:r>
        <w:rPr>
          <w:rFonts w:hint="default"/>
          <w:lang w:val="en-US" w:eastAsia="zh-CN"/>
        </w:rPr>
        <w:t>政府公信力和执行力进一步提升。</w:t>
      </w:r>
      <w:r>
        <w:rPr>
          <w:rFonts w:hint="eastAsia"/>
          <w:lang w:val="en-US" w:eastAsia="zh-CN"/>
        </w:rPr>
        <w:t>通过执行公众参与、风险评估、专家论证等程序</w:t>
      </w:r>
      <w:r>
        <w:rPr>
          <w:rFonts w:hint="default"/>
          <w:lang w:val="en-US" w:eastAsia="zh-CN"/>
        </w:rPr>
        <w:t>，将行政决策融入民心、民声、民意，</w:t>
      </w:r>
      <w:r>
        <w:rPr>
          <w:rFonts w:hint="eastAsia"/>
          <w:lang w:val="en-US" w:eastAsia="zh-CN"/>
        </w:rPr>
        <w:t>有利于保证行政决策的质量，减少决策执行时的阻力，进一步提高行政决策的效率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lang w:eastAsia="zh-CN"/>
        </w:rPr>
      </w:pPr>
      <w:r>
        <w:rPr>
          <w:rFonts w:hint="eastAsia" w:eastAsia="黑体" w:cs="黑体"/>
          <w:lang w:eastAsia="zh-CN"/>
        </w:rPr>
        <w:t>四</w:t>
      </w:r>
      <w:r>
        <w:rPr>
          <w:rFonts w:hint="eastAsia" w:ascii="Times New Roman" w:hAnsi="Times New Roman" w:eastAsia="黑体" w:cs="黑体"/>
          <w:lang w:eastAsia="zh-CN"/>
        </w:rPr>
        <w:t>、《实施细则》的主要内容</w:t>
      </w:r>
    </w:p>
    <w:p>
      <w:pPr>
        <w:pStyle w:val="7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eastAsia="zh-CN"/>
        </w:rPr>
        <w:t>《实施细则》参照省、市的体例格式，分为六章，包括总则、决策草案的形成、合法性审查和集体讨论决定、决策执行与实施后评估、法律责任和附则，一共</w:t>
      </w:r>
      <w:r>
        <w:rPr>
          <w:rFonts w:hint="eastAsia" w:ascii="Times New Roman" w:hAnsi="Times New Roman"/>
          <w:lang w:val="en-US" w:eastAsia="zh-CN"/>
        </w:rPr>
        <w:t>67条，以行政决策流程为主线，对重大行政决策事项范围、重大行政决策的作出和调整程序、重大行政决策责任追究等方面作出了具体规定。</w:t>
      </w:r>
    </w:p>
    <w:p>
      <w:pPr>
        <w:pStyle w:val="7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楷体_GB2312" w:cs="楷体_GB2312"/>
          <w:lang w:val="en-US" w:eastAsia="zh-CN"/>
        </w:rPr>
        <w:t>（一）</w:t>
      </w:r>
      <w:r>
        <w:rPr>
          <w:rFonts w:hint="eastAsia" w:eastAsia="楷体_GB2312" w:cs="楷体_GB2312"/>
          <w:lang w:val="en-US" w:eastAsia="zh-CN"/>
        </w:rPr>
        <w:t>明确</w:t>
      </w:r>
      <w:r>
        <w:rPr>
          <w:rFonts w:hint="eastAsia" w:ascii="Times New Roman" w:hAnsi="Times New Roman" w:eastAsia="楷体_GB2312" w:cs="楷体_GB2312"/>
          <w:lang w:val="en-US" w:eastAsia="zh-CN"/>
        </w:rPr>
        <w:t>重大行政决策的范围。</w:t>
      </w:r>
      <w:r>
        <w:rPr>
          <w:rFonts w:hint="eastAsia" w:ascii="Times New Roman" w:hAnsi="Times New Roman"/>
          <w:lang w:val="en-US" w:eastAsia="zh-CN"/>
        </w:rPr>
        <w:t>《实施细则》采取“列举+兜底+排除”的方式进一步细化了我</w:t>
      </w:r>
      <w:r>
        <w:rPr>
          <w:rFonts w:hint="eastAsia"/>
          <w:lang w:val="en-US" w:eastAsia="zh-CN"/>
        </w:rPr>
        <w:t>镇</w:t>
      </w:r>
      <w:r>
        <w:rPr>
          <w:rFonts w:hint="eastAsia" w:ascii="Times New Roman" w:hAnsi="Times New Roman"/>
          <w:lang w:val="en-US" w:eastAsia="zh-CN"/>
        </w:rPr>
        <w:t>重大行政决策的事项范围。将涉及经济社会发展的重大公共政策和措施、重要规划、重大公共建设项目等事项纳入重大行政决策事项范围。同时，也规定了决策事项的例外情形，对财政政策、突发事件应急处置等其他事项的决策程序，法律法规另有规定，从其规定。</w:t>
      </w:r>
    </w:p>
    <w:p>
      <w:pPr>
        <w:pStyle w:val="7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楷体_GB2312" w:cs="楷体_GB2312"/>
          <w:lang w:val="en-US" w:eastAsia="zh-CN"/>
        </w:rPr>
        <w:t>（二）</w:t>
      </w:r>
      <w:r>
        <w:rPr>
          <w:rFonts w:hint="eastAsia" w:eastAsia="楷体_GB2312" w:cs="楷体_GB2312"/>
          <w:lang w:val="en-US" w:eastAsia="zh-CN"/>
        </w:rPr>
        <w:t>规定</w:t>
      </w:r>
      <w:r>
        <w:rPr>
          <w:rFonts w:hint="eastAsia" w:ascii="Times New Roman" w:hAnsi="Times New Roman" w:eastAsia="楷体_GB2312" w:cs="楷体_GB2312"/>
          <w:lang w:val="en-US" w:eastAsia="zh-CN"/>
        </w:rPr>
        <w:t>重大行政决策的程序。</w:t>
      </w:r>
      <w:r>
        <w:rPr>
          <w:rFonts w:hint="eastAsia" w:ascii="Times New Roman" w:hAnsi="Times New Roman"/>
          <w:lang w:val="en-US" w:eastAsia="zh-CN"/>
        </w:rPr>
        <w:t>《实施细则》从决策的启动到决策后评估全过程</w:t>
      </w:r>
      <w:r>
        <w:rPr>
          <w:rFonts w:hint="eastAsia"/>
          <w:lang w:val="en-US" w:eastAsia="zh-CN"/>
        </w:rPr>
        <w:t>的</w:t>
      </w:r>
      <w:r>
        <w:rPr>
          <w:rFonts w:hint="eastAsia" w:ascii="Times New Roman" w:hAnsi="Times New Roman"/>
          <w:lang w:val="en-US" w:eastAsia="zh-CN"/>
        </w:rPr>
        <w:t>程序要求均作了规定，对重大行政决策的作出、执行、调整等各环节的工作作了明确要求。其中，决策启动是源头，《实施细则》结合我镇工作实际，对决策动议环节的工作要求进行了进一步细化，要求各职能部门立足工作实际积极主动向镇政府提出决策建议。同时，对公众参与、专家论证、风险评估、合法性审查、集体讨论等决策法定程序作出规定，要求对关系群众切身利益的事项，应当广泛听取社会公众意见，对专业性、技术性较强的决策事项，应当开展咨询论证，对可能对国家安全、公共安全、社会稳定、生态环境等方面造成不利影响的，应当进行风险评估，并明确合法性审查、集体讨论是决策必经程序，为了保证决策执行、及时发现决策偏差、提高决策纠错效果，确定了实施后评估制度。</w:t>
      </w:r>
    </w:p>
    <w:p>
      <w:pPr>
        <w:pStyle w:val="7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楷体_GB2312" w:cs="楷体_GB2312"/>
          <w:lang w:val="en-US" w:eastAsia="zh-CN"/>
        </w:rPr>
        <w:t>（三）</w:t>
      </w:r>
      <w:r>
        <w:rPr>
          <w:rFonts w:hint="eastAsia" w:eastAsia="楷体_GB2312" w:cs="楷体_GB2312"/>
          <w:lang w:val="en-US" w:eastAsia="zh-CN"/>
        </w:rPr>
        <w:t>健全</w:t>
      </w:r>
      <w:r>
        <w:rPr>
          <w:rFonts w:hint="eastAsia" w:ascii="Times New Roman" w:hAnsi="Times New Roman" w:eastAsia="楷体_GB2312" w:cs="楷体_GB2312"/>
          <w:lang w:val="en-US" w:eastAsia="zh-CN"/>
        </w:rPr>
        <w:t>重大行政决策程序执行的保障机制。</w:t>
      </w:r>
      <w:r>
        <w:rPr>
          <w:rFonts w:hint="eastAsia" w:ascii="Times New Roman" w:hAnsi="Times New Roman"/>
          <w:lang w:val="en-US" w:eastAsia="zh-CN"/>
        </w:rPr>
        <w:t>为推进重大行政决策程序规定的贯彻实施，落实决策程序制度的刚性约束，《实施细则》规定了决策执行监督和保障制度。通过向社会公众公开重大行政决策年度目录，加强社会监督。将重大行政决策工作情况作为部门（单位）依法行政考核评价的重要内容，将重大行政决策事项建议情况、决策程序履行情况、决策执行情况纳入部门（单位）年度考评内容，同时纳入法治建设督查事项范围，保证决策程序的有效执行。并且，严格执行重大行政决策终身责任追究制度及责任倒查机制，依法对违反有关规定的各类主体进行追责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、征求意见采</w:t>
      </w:r>
      <w:r>
        <w:rPr>
          <w:rFonts w:hint="eastAsia" w:eastAsia="黑体" w:cs="黑体"/>
          <w:sz w:val="32"/>
          <w:szCs w:val="32"/>
          <w:lang w:val="en-US" w:eastAsia="zh-CN"/>
        </w:rPr>
        <w:t>纳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cs="仿宋_GB2312"/>
          <w:color w:val="auto"/>
          <w:sz w:val="32"/>
          <w:szCs w:val="36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6"/>
          <w:lang w:val="en-US" w:eastAsia="zh-CN"/>
        </w:rPr>
        <w:t>月</w:t>
      </w:r>
      <w:r>
        <w:rPr>
          <w:rFonts w:hint="eastAsia" w:ascii="Times New Roman" w:hAnsi="Times New Roman" w:cs="仿宋_GB2312"/>
          <w:color w:val="auto"/>
          <w:sz w:val="32"/>
          <w:szCs w:val="36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32"/>
          <w:szCs w:val="36"/>
          <w:lang w:val="en-US" w:eastAsia="zh-CN"/>
        </w:rPr>
        <w:t>日</w:t>
      </w:r>
      <w:r>
        <w:rPr>
          <w:rFonts w:hint="eastAsia" w:ascii="Times New Roman" w:hAnsi="Times New Roman" w:cs="仿宋_GB2312"/>
          <w:color w:val="auto"/>
          <w:sz w:val="32"/>
          <w:szCs w:val="36"/>
          <w:lang w:val="en-US" w:eastAsia="zh-CN"/>
        </w:rPr>
        <w:t>至2022年9月30日向各有关部门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6"/>
          <w:lang w:val="en-US" w:eastAsia="zh-CN"/>
        </w:rPr>
        <w:t>开展书面征求意见，充分听取各有关部门意见</w:t>
      </w:r>
      <w:r>
        <w:rPr>
          <w:rFonts w:hint="eastAsia" w:cs="仿宋_GB2312"/>
          <w:color w:val="auto"/>
          <w:sz w:val="32"/>
          <w:szCs w:val="36"/>
          <w:lang w:val="en-US" w:eastAsia="zh-CN"/>
        </w:rPr>
        <w:t>，共收到1条修改意见，部分采纳。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6"/>
          <w:lang w:val="en-US" w:eastAsia="zh-CN"/>
        </w:rPr>
        <w:t>2022年9月27日至2022年10月11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通过政府官方网站向社会公众公开征求意见，意见征集期间未收到相关人员提出的修改意见或异议</w:t>
      </w:r>
      <w:r>
        <w:rPr>
          <w:rFonts w:hint="eastAsia" w:cs="仿宋_GB2312"/>
          <w:sz w:val="32"/>
          <w:szCs w:val="32"/>
          <w:lang w:eastAsia="zh-CN"/>
        </w:rPr>
        <w:t>，并于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2022年10月12日</w:t>
      </w:r>
      <w:r>
        <w:rPr>
          <w:rFonts w:hint="eastAsia" w:cs="仿宋_GB2312"/>
          <w:sz w:val="32"/>
          <w:szCs w:val="32"/>
          <w:lang w:eastAsia="zh-CN"/>
        </w:rPr>
        <w:t>公示向社会征求意见的结果。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黑体"/>
          <w:kern w:val="0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-SA"/>
        </w:rPr>
        <w:t>、专家咨询论证、听证的意见采纳情况等其他需要说明的情况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综上，《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实施细则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》的制定实施，从制定主体、制定程序、制定权限和内容的合法性严格按照规范性文件要求规定。</w:t>
      </w:r>
    </w:p>
    <w:p>
      <w:pPr>
        <w:pStyle w:val="7"/>
        <w:rPr>
          <w:rFonts w:hint="eastAsia" w:ascii="Times New Roman" w:hAnsi="Times New Roman"/>
          <w:lang w:val="en-US" w:eastAsia="zh-CN"/>
        </w:rPr>
      </w:pPr>
    </w:p>
    <w:p>
      <w:pPr>
        <w:pStyle w:val="7"/>
        <w:wordWrap w:val="0"/>
        <w:jc w:val="right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东莞市司法局常平分局   </w:t>
      </w:r>
    </w:p>
    <w:p>
      <w:pPr>
        <w:pStyle w:val="7"/>
        <w:wordWrap w:val="0"/>
        <w:jc w:val="right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2022年1</w:t>
      </w:r>
      <w:r>
        <w:rPr>
          <w:rFonts w:hint="eastAsia"/>
          <w:lang w:val="en-US" w:eastAsia="zh-CN"/>
        </w:rPr>
        <w:t>0</w:t>
      </w:r>
      <w:r>
        <w:rPr>
          <w:rFonts w:hint="eastAsia" w:ascii="Times New Roman" w:hAnsi="Times New Roman"/>
          <w:lang w:val="en-US" w:eastAsia="zh-CN"/>
        </w:rPr>
        <w:t xml:space="preserve">月24日    </w:t>
      </w:r>
    </w:p>
    <w:sectPr>
      <w:footerReference r:id="rId5" w:type="default"/>
      <w:pgSz w:w="11906" w:h="16838"/>
      <w:pgMar w:top="1928" w:right="1800" w:bottom="1928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YjA0ZTViYjI5ZTNhZTUwNTMzZjg4OWRiYTEwN2UifQ=="/>
  </w:docVars>
  <w:rsids>
    <w:rsidRoot w:val="00000000"/>
    <w:rsid w:val="00A71AF1"/>
    <w:rsid w:val="19B0561A"/>
    <w:rsid w:val="1B2A3E51"/>
    <w:rsid w:val="2938312C"/>
    <w:rsid w:val="2A331567"/>
    <w:rsid w:val="3374295A"/>
    <w:rsid w:val="348C275A"/>
    <w:rsid w:val="42CB2619"/>
    <w:rsid w:val="518A2F88"/>
    <w:rsid w:val="546445D3"/>
    <w:rsid w:val="576C5444"/>
    <w:rsid w:val="5CDD286A"/>
    <w:rsid w:val="607F1EFA"/>
    <w:rsid w:val="64E915F4"/>
    <w:rsid w:val="6AE71277"/>
    <w:rsid w:val="6EC952B4"/>
    <w:rsid w:val="706F5B01"/>
    <w:rsid w:val="707C660D"/>
    <w:rsid w:val="79B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eastAsia="黑体" w:cs="Times New Roma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eastAsia="仿宋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3045</Words>
  <Characters>3096</Characters>
  <Lines>0</Lines>
  <Paragraphs>0</Paragraphs>
  <TotalTime>5</TotalTime>
  <ScaleCrop>false</ScaleCrop>
  <LinksUpToDate>false</LinksUpToDate>
  <CharactersWithSpaces>3103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2022-03-04T09:54:00Z</dcterms:created>
  <dc:creator>Administrator</dc:creator>
  <cp:lastModifiedBy>1</cp:lastModifiedBy>
  <cp:lastPrinted>2022-10-24T14:48:00Z</cp:lastPrinted>
  <dcterms:modified xsi:type="dcterms:W3CDTF">2022-12-06T07:56:17Z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0E4E5E2C20924F2D89EB3922E33E365F</vt:lpwstr>
  </property>
</Properties>
</file>