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E0D" w:rsidRDefault="00ED0E0D">
      <w:pPr>
        <w:jc w:val="center"/>
        <w:rPr>
          <w:rFonts w:asciiTheme="minorEastAsia" w:hAnsiTheme="minorEastAsia" w:cstheme="minorEastAsia"/>
          <w:b/>
          <w:bCs/>
          <w:sz w:val="44"/>
          <w:szCs w:val="44"/>
        </w:rPr>
      </w:pPr>
    </w:p>
    <w:p w:rsidR="00ED0E0D" w:rsidRDefault="00ED0E0D">
      <w:pPr>
        <w:jc w:val="center"/>
        <w:rPr>
          <w:rFonts w:asciiTheme="minorEastAsia" w:hAnsiTheme="minorEastAsia" w:cstheme="minorEastAsia"/>
          <w:b/>
          <w:bCs/>
          <w:sz w:val="44"/>
          <w:szCs w:val="44"/>
        </w:rPr>
      </w:pPr>
    </w:p>
    <w:p w:rsidR="00ED0E0D" w:rsidRDefault="00276BC2">
      <w:pPr>
        <w:spacing w:line="720" w:lineRule="auto"/>
        <w:jc w:val="center"/>
        <w:rPr>
          <w:rFonts w:ascii="黑体" w:eastAsia="黑体" w:hAnsi="黑体" w:cs="黑体"/>
          <w:sz w:val="52"/>
          <w:szCs w:val="72"/>
        </w:rPr>
      </w:pPr>
      <w:r>
        <w:rPr>
          <w:rFonts w:ascii="黑体" w:eastAsia="黑体" w:hAnsi="黑体" w:cs="黑体" w:hint="eastAsia"/>
          <w:sz w:val="52"/>
          <w:szCs w:val="72"/>
        </w:rPr>
        <w:t>东莞市谢岗镇镇村两级道路综合</w:t>
      </w:r>
    </w:p>
    <w:p w:rsidR="00ED0E0D" w:rsidRDefault="00276BC2">
      <w:pPr>
        <w:spacing w:line="720" w:lineRule="auto"/>
        <w:jc w:val="center"/>
        <w:rPr>
          <w:rFonts w:ascii="黑体" w:eastAsia="黑体" w:hAnsi="黑体" w:cs="黑体"/>
          <w:sz w:val="44"/>
          <w:szCs w:val="52"/>
        </w:rPr>
      </w:pPr>
      <w:r>
        <w:rPr>
          <w:rFonts w:ascii="黑体" w:eastAsia="黑体" w:hAnsi="黑体" w:cs="黑体" w:hint="eastAsia"/>
          <w:sz w:val="52"/>
          <w:szCs w:val="72"/>
        </w:rPr>
        <w:t>整治一期工程项目</w:t>
      </w:r>
    </w:p>
    <w:p w:rsidR="00ED0E0D" w:rsidRDefault="00276BC2">
      <w:pPr>
        <w:spacing w:line="720" w:lineRule="auto"/>
        <w:jc w:val="center"/>
        <w:rPr>
          <w:rFonts w:ascii="黑体" w:eastAsia="黑体" w:hAnsi="黑体" w:cs="黑体"/>
          <w:sz w:val="44"/>
          <w:szCs w:val="52"/>
        </w:rPr>
      </w:pPr>
      <w:r>
        <w:rPr>
          <w:rFonts w:ascii="黑体" w:eastAsia="黑体" w:hAnsi="黑体" w:cs="黑体" w:hint="eastAsia"/>
          <w:sz w:val="52"/>
          <w:szCs w:val="72"/>
        </w:rPr>
        <w:t>2020年财政支出绩效评价报告</w:t>
      </w:r>
    </w:p>
    <w:p w:rsidR="00ED0E0D" w:rsidRDefault="00ED0E0D">
      <w:pPr>
        <w:ind w:firstLineChars="400" w:firstLine="1767"/>
        <w:rPr>
          <w:rFonts w:asciiTheme="minorEastAsia" w:hAnsiTheme="minorEastAsia" w:cstheme="minorEastAsia"/>
          <w:b/>
          <w:bCs/>
          <w:sz w:val="44"/>
          <w:szCs w:val="44"/>
        </w:rPr>
      </w:pPr>
    </w:p>
    <w:p w:rsidR="00ED0E0D" w:rsidRDefault="00ED0E0D">
      <w:pPr>
        <w:ind w:firstLineChars="400" w:firstLine="1767"/>
        <w:rPr>
          <w:rFonts w:asciiTheme="minorEastAsia" w:hAnsiTheme="minorEastAsia" w:cstheme="minorEastAsia"/>
          <w:b/>
          <w:bCs/>
          <w:sz w:val="44"/>
          <w:szCs w:val="44"/>
        </w:rPr>
      </w:pPr>
    </w:p>
    <w:p w:rsidR="00ED0E0D" w:rsidRDefault="00ED0E0D">
      <w:pPr>
        <w:ind w:firstLineChars="400" w:firstLine="1767"/>
        <w:rPr>
          <w:rFonts w:asciiTheme="minorEastAsia" w:hAnsiTheme="minorEastAsia" w:cstheme="minorEastAsia"/>
          <w:b/>
          <w:bCs/>
          <w:sz w:val="44"/>
          <w:szCs w:val="44"/>
        </w:rPr>
      </w:pPr>
    </w:p>
    <w:p w:rsidR="00ED0E0D" w:rsidRDefault="00ED0E0D">
      <w:pPr>
        <w:ind w:firstLineChars="400" w:firstLine="1767"/>
        <w:rPr>
          <w:rFonts w:asciiTheme="minorEastAsia" w:hAnsiTheme="minorEastAsia" w:cstheme="minorEastAsia"/>
          <w:b/>
          <w:bCs/>
          <w:sz w:val="44"/>
          <w:szCs w:val="44"/>
        </w:rPr>
      </w:pPr>
    </w:p>
    <w:p w:rsidR="00ED0E0D" w:rsidRDefault="00ED0E0D">
      <w:pPr>
        <w:ind w:firstLineChars="400" w:firstLine="1767"/>
        <w:rPr>
          <w:rFonts w:asciiTheme="minorEastAsia" w:hAnsiTheme="minorEastAsia" w:cstheme="minorEastAsia"/>
          <w:b/>
          <w:bCs/>
          <w:sz w:val="44"/>
          <w:szCs w:val="44"/>
        </w:rPr>
      </w:pPr>
    </w:p>
    <w:p w:rsidR="00ED0E0D" w:rsidRDefault="00ED0E0D">
      <w:pPr>
        <w:ind w:firstLineChars="400" w:firstLine="1767"/>
        <w:rPr>
          <w:rFonts w:asciiTheme="minorEastAsia" w:hAnsiTheme="minorEastAsia" w:cstheme="minorEastAsia"/>
          <w:b/>
          <w:bCs/>
          <w:sz w:val="44"/>
          <w:szCs w:val="44"/>
        </w:rPr>
      </w:pPr>
    </w:p>
    <w:p w:rsidR="00ED0E0D" w:rsidRDefault="00ED0E0D">
      <w:pPr>
        <w:ind w:firstLineChars="400" w:firstLine="1767"/>
        <w:rPr>
          <w:rFonts w:asciiTheme="minorEastAsia" w:hAnsiTheme="minorEastAsia" w:cstheme="minorEastAsia"/>
          <w:b/>
          <w:bCs/>
          <w:sz w:val="44"/>
          <w:szCs w:val="44"/>
        </w:rPr>
      </w:pPr>
    </w:p>
    <w:p w:rsidR="00ED0E0D" w:rsidRDefault="00ED0E0D">
      <w:pPr>
        <w:rPr>
          <w:rFonts w:ascii="仿宋" w:eastAsia="仿宋" w:hAnsi="仿宋" w:cs="仿宋"/>
          <w:b/>
          <w:sz w:val="32"/>
          <w:szCs w:val="32"/>
        </w:rPr>
      </w:pPr>
    </w:p>
    <w:p w:rsidR="00ED0E0D" w:rsidRDefault="00276BC2">
      <w:pPr>
        <w:spacing w:line="360" w:lineRule="auto"/>
        <w:ind w:firstLineChars="200" w:firstLine="640"/>
        <w:rPr>
          <w:rFonts w:ascii="仿宋" w:eastAsia="仿宋" w:hAnsi="仿宋" w:cs="仿宋"/>
          <w:sz w:val="32"/>
        </w:rPr>
      </w:pPr>
      <w:r>
        <w:rPr>
          <w:rFonts w:ascii="仿宋" w:eastAsia="仿宋" w:hAnsi="仿宋" w:cs="仿宋" w:hint="eastAsia"/>
          <w:sz w:val="32"/>
        </w:rPr>
        <w:t xml:space="preserve">  委托单位：</w:t>
      </w:r>
      <w:r>
        <w:rPr>
          <w:rFonts w:ascii="仿宋" w:eastAsia="仿宋" w:hAnsi="仿宋" w:cs="仿宋" w:hint="eastAsia"/>
          <w:bCs/>
          <w:sz w:val="32"/>
        </w:rPr>
        <w:t>东莞市财政局谢岗分局</w:t>
      </w:r>
    </w:p>
    <w:p w:rsidR="00ED0E0D" w:rsidRDefault="00276BC2">
      <w:pPr>
        <w:spacing w:line="360" w:lineRule="auto"/>
        <w:ind w:firstLineChars="200" w:firstLine="640"/>
        <w:rPr>
          <w:rFonts w:ascii="仿宋" w:eastAsia="仿宋" w:hAnsi="仿宋" w:cs="仿宋"/>
          <w:sz w:val="32"/>
        </w:rPr>
      </w:pPr>
      <w:r>
        <w:rPr>
          <w:rFonts w:ascii="仿宋" w:eastAsia="仿宋" w:hAnsi="仿宋" w:cs="仿宋" w:hint="eastAsia"/>
          <w:sz w:val="32"/>
        </w:rPr>
        <w:t xml:space="preserve">  受委托单位：东莞市众信绩效管理咨询有限公司</w:t>
      </w:r>
    </w:p>
    <w:p w:rsidR="00ED0E0D" w:rsidRDefault="00276BC2">
      <w:pPr>
        <w:spacing w:line="360" w:lineRule="auto"/>
        <w:ind w:firstLineChars="200" w:firstLine="640"/>
        <w:rPr>
          <w:rFonts w:ascii="仿宋" w:eastAsia="仿宋" w:hAnsi="仿宋" w:cs="仿宋"/>
          <w:sz w:val="32"/>
        </w:rPr>
      </w:pPr>
      <w:r>
        <w:rPr>
          <w:rFonts w:ascii="仿宋" w:eastAsia="仿宋" w:hAnsi="仿宋" w:cs="仿宋" w:hint="eastAsia"/>
          <w:sz w:val="32"/>
        </w:rPr>
        <w:t xml:space="preserve">  报告编号：</w:t>
      </w:r>
      <w:r w:rsidR="00147E28">
        <w:rPr>
          <w:rFonts w:ascii="仿宋" w:eastAsia="仿宋" w:hAnsi="仿宋" w:cs="仿宋" w:hint="eastAsia"/>
          <w:sz w:val="32"/>
        </w:rPr>
        <w:t>众信（2021）（绩评）字第11号</w:t>
      </w:r>
    </w:p>
    <w:p w:rsidR="00ED0E0D" w:rsidRDefault="00276BC2">
      <w:pPr>
        <w:spacing w:line="360" w:lineRule="auto"/>
        <w:ind w:firstLineChars="200" w:firstLine="640"/>
        <w:rPr>
          <w:rFonts w:ascii="仿宋" w:eastAsia="仿宋" w:hAnsi="仿宋" w:cs="仿宋"/>
          <w:sz w:val="32"/>
        </w:rPr>
      </w:pPr>
      <w:r>
        <w:rPr>
          <w:rFonts w:ascii="仿宋" w:eastAsia="仿宋" w:hAnsi="仿宋" w:cs="仿宋" w:hint="eastAsia"/>
          <w:sz w:val="32"/>
        </w:rPr>
        <w:t xml:space="preserve">  报告日期：2021年9月</w:t>
      </w:r>
    </w:p>
    <w:p w:rsidR="00ED0E0D" w:rsidRDefault="00276BC2">
      <w:pPr>
        <w:spacing w:line="360" w:lineRule="auto"/>
        <w:ind w:firstLineChars="200" w:firstLine="640"/>
        <w:rPr>
          <w:rFonts w:ascii="仿宋" w:eastAsia="仿宋" w:hAnsi="仿宋" w:cs="仿宋"/>
          <w:sz w:val="32"/>
        </w:rPr>
      </w:pPr>
      <w:r>
        <w:rPr>
          <w:rFonts w:ascii="仿宋" w:eastAsia="仿宋" w:hAnsi="仿宋" w:cs="仿宋" w:hint="eastAsia"/>
          <w:sz w:val="32"/>
        </w:rPr>
        <w:t xml:space="preserve">  受委托单位盖章：</w:t>
      </w:r>
    </w:p>
    <w:p w:rsidR="00ED0E0D" w:rsidRDefault="00ED0E0D">
      <w:pPr>
        <w:ind w:firstLineChars="400" w:firstLine="964"/>
        <w:rPr>
          <w:rFonts w:asciiTheme="minorEastAsia" w:hAnsiTheme="minorEastAsia" w:cstheme="minorEastAsia"/>
          <w:b/>
          <w:bCs/>
          <w:sz w:val="24"/>
        </w:rPr>
      </w:pPr>
    </w:p>
    <w:p w:rsidR="00ED0E0D" w:rsidRDefault="00ED0E0D">
      <w:pPr>
        <w:rPr>
          <w:rFonts w:asciiTheme="minorEastAsia" w:hAnsiTheme="minorEastAsia" w:cstheme="minorEastAsia"/>
          <w:b/>
          <w:bCs/>
          <w:sz w:val="24"/>
        </w:rPr>
      </w:pPr>
    </w:p>
    <w:p w:rsidR="00ED0E0D" w:rsidRDefault="00ED0E0D">
      <w:pPr>
        <w:rPr>
          <w:rFonts w:asciiTheme="minorEastAsia" w:hAnsiTheme="minorEastAsia" w:cstheme="minorEastAsia"/>
          <w:sz w:val="24"/>
        </w:rPr>
      </w:pPr>
    </w:p>
    <w:p w:rsidR="00ED0E0D" w:rsidRDefault="00ED0E0D">
      <w:pPr>
        <w:rPr>
          <w:rFonts w:asciiTheme="minorEastAsia" w:hAnsiTheme="minorEastAsia" w:cstheme="minorEastAsia"/>
          <w:sz w:val="24"/>
        </w:rPr>
      </w:pPr>
    </w:p>
    <w:p w:rsidR="00ED0E0D" w:rsidRDefault="00ED0E0D">
      <w:pPr>
        <w:ind w:firstLineChars="400" w:firstLine="964"/>
        <w:rPr>
          <w:rFonts w:asciiTheme="minorEastAsia" w:hAnsiTheme="minorEastAsia" w:cstheme="minorEastAsia"/>
          <w:b/>
          <w:bCs/>
          <w:sz w:val="24"/>
        </w:rPr>
        <w:sectPr w:rsidR="00ED0E0D">
          <w:pgSz w:w="11906" w:h="16838"/>
          <w:pgMar w:top="1440" w:right="1800" w:bottom="1440" w:left="1800" w:header="851" w:footer="992" w:gutter="0"/>
          <w:cols w:space="425"/>
          <w:docGrid w:type="lines" w:linePitch="312"/>
        </w:sectPr>
      </w:pPr>
    </w:p>
    <w:p w:rsidR="00ED0E0D" w:rsidRDefault="00276BC2">
      <w:pPr>
        <w:pStyle w:val="a7"/>
        <w:ind w:firstLineChars="0" w:firstLine="0"/>
        <w:jc w:val="center"/>
        <w:rPr>
          <w:lang w:eastAsia="zh-CN"/>
        </w:rPr>
      </w:pPr>
      <w:r>
        <w:rPr>
          <w:rFonts w:ascii="黑体" w:eastAsia="黑体" w:hAnsi="黑体" w:cs="黑体" w:hint="eastAsia"/>
          <w:lang w:eastAsia="zh-CN"/>
        </w:rPr>
        <w:lastRenderedPageBreak/>
        <w:t>报告摘要</w:t>
      </w:r>
    </w:p>
    <w:p w:rsidR="00ED0E0D" w:rsidRDefault="00276BC2" w:rsidP="00BD7BA9">
      <w:pPr>
        <w:pStyle w:val="a7"/>
        <w:ind w:firstLine="640"/>
        <w:rPr>
          <w:lang w:eastAsia="zh-CN"/>
        </w:rPr>
      </w:pPr>
      <w:r>
        <w:rPr>
          <w:rFonts w:hint="eastAsia"/>
          <w:lang w:eastAsia="zh-CN"/>
        </w:rPr>
        <w:t>受东莞市财政局谢岗分局委托，东莞市众信绩效管理咨询有限公司作为第三方评价机构，经项目资料书面审核，绩效评价组于2021年7月30日召开专家座谈调研，结合满意度调查等，对“</w:t>
      </w:r>
      <w:r>
        <w:rPr>
          <w:rFonts w:hint="eastAsia"/>
          <w:b/>
          <w:bCs/>
          <w:lang w:eastAsia="zh-CN"/>
        </w:rPr>
        <w:t>东莞市谢岗镇镇村两级道路综合整治一期工程项目</w:t>
      </w:r>
      <w:r>
        <w:rPr>
          <w:rFonts w:hint="eastAsia"/>
          <w:lang w:eastAsia="zh-CN"/>
        </w:rPr>
        <w:t>”2020年财政支出进行绩效评价，</w:t>
      </w:r>
      <w:r>
        <w:rPr>
          <w:rFonts w:hint="eastAsia"/>
          <w:b/>
          <w:bCs/>
          <w:lang w:eastAsia="zh-CN"/>
        </w:rPr>
        <w:t>综合评分 73 分</w:t>
      </w:r>
      <w:r>
        <w:rPr>
          <w:rFonts w:hint="eastAsia"/>
          <w:lang w:eastAsia="zh-CN"/>
        </w:rPr>
        <w:t>，绩效等级为“</w:t>
      </w:r>
      <w:r>
        <w:rPr>
          <w:rFonts w:hint="eastAsia"/>
          <w:b/>
          <w:bCs/>
          <w:lang w:eastAsia="zh-CN"/>
        </w:rPr>
        <w:t>中</w:t>
      </w:r>
      <w:r>
        <w:rPr>
          <w:rFonts w:hint="eastAsia"/>
          <w:lang w:eastAsia="zh-CN"/>
        </w:rPr>
        <w:t>”。</w:t>
      </w:r>
    </w:p>
    <w:p w:rsidR="00ED0E0D" w:rsidRDefault="00276BC2" w:rsidP="00BD7BA9">
      <w:pPr>
        <w:pStyle w:val="a7"/>
        <w:ind w:firstLine="640"/>
        <w:rPr>
          <w:lang w:eastAsia="zh-CN"/>
        </w:rPr>
      </w:pPr>
      <w:r>
        <w:rPr>
          <w:rFonts w:hint="eastAsia"/>
          <w:lang w:eastAsia="zh-CN"/>
        </w:rPr>
        <w:t>绩效评价组根据提供的项目佐证资料所得，从一级指标得分情况看，项目绩效成果一般，扣分原因主要是前期工作资金调整率、指标设置全面性、相关性等，过程中的制度建设和管理，产出中的完成率、及时率和与之对应的验收通过率等。</w:t>
      </w:r>
    </w:p>
    <w:p w:rsidR="00ED0E0D" w:rsidRDefault="00276BC2" w:rsidP="00BD7BA9">
      <w:pPr>
        <w:pStyle w:val="a7"/>
        <w:ind w:firstLine="640"/>
        <w:rPr>
          <w:lang w:eastAsia="zh-CN"/>
        </w:rPr>
      </w:pPr>
      <w:r>
        <w:rPr>
          <w:rFonts w:hint="eastAsia"/>
          <w:lang w:eastAsia="zh-CN"/>
        </w:rPr>
        <w:t>总结该项目需关注的主要问题有：</w:t>
      </w:r>
    </w:p>
    <w:p w:rsidR="00ED0E0D" w:rsidRDefault="00276BC2" w:rsidP="00BD7BA9">
      <w:pPr>
        <w:pStyle w:val="a7"/>
        <w:ind w:firstLine="640"/>
        <w:rPr>
          <w:lang w:eastAsia="zh-CN"/>
        </w:rPr>
      </w:pPr>
      <w:r>
        <w:rPr>
          <w:rFonts w:hint="eastAsia"/>
          <w:lang w:eastAsia="zh-CN"/>
        </w:rPr>
        <w:t>1.合同开工日期约定不明，项目实施进度较计划进度滞后；2.资金支出缺乏预算依据；3.会计核算有待规范；4.财务监控机制不健全，工程款支付依据不充分。</w:t>
      </w:r>
    </w:p>
    <w:p w:rsidR="00ED0E0D" w:rsidRDefault="00276BC2" w:rsidP="00BD7BA9">
      <w:pPr>
        <w:pStyle w:val="a7"/>
        <w:ind w:firstLine="640"/>
        <w:rPr>
          <w:lang w:eastAsia="zh-CN"/>
        </w:rPr>
      </w:pPr>
      <w:r>
        <w:rPr>
          <w:rFonts w:hint="eastAsia"/>
          <w:lang w:eastAsia="zh-CN"/>
        </w:rPr>
        <w:t>为此，总结后提出以下建议：</w:t>
      </w:r>
    </w:p>
    <w:p w:rsidR="00ED0E0D" w:rsidRDefault="00BD7BA9" w:rsidP="00BD7BA9">
      <w:pPr>
        <w:pStyle w:val="a7"/>
        <w:ind w:firstLine="640"/>
        <w:rPr>
          <w:rFonts w:asciiTheme="minorEastAsia" w:hAnsiTheme="minorEastAsia" w:cstheme="minorEastAsia"/>
          <w:b/>
          <w:bCs/>
          <w:sz w:val="24"/>
          <w:lang w:eastAsia="zh-CN"/>
        </w:rPr>
      </w:pPr>
      <w:r>
        <w:rPr>
          <w:rFonts w:hint="eastAsia"/>
          <w:lang w:eastAsia="zh-CN"/>
        </w:rPr>
        <w:t>1.</w:t>
      </w:r>
      <w:r w:rsidR="00276BC2">
        <w:rPr>
          <w:rFonts w:hint="eastAsia"/>
          <w:lang w:eastAsia="zh-CN"/>
        </w:rPr>
        <w:t>评估项目实施进度，确保项目有序开展；2.明确资金计划，合理安排资金预算；3.规范会计核算，归集投资成本，准确反映概算执行；4.建立健全财务管理机制，确保支出依据充分。</w:t>
      </w:r>
    </w:p>
    <w:p w:rsidR="00ED0E0D" w:rsidRDefault="00ED0E0D">
      <w:pPr>
        <w:ind w:firstLineChars="400" w:firstLine="964"/>
        <w:rPr>
          <w:rFonts w:asciiTheme="minorEastAsia" w:hAnsiTheme="minorEastAsia" w:cstheme="minorEastAsia"/>
          <w:b/>
          <w:bCs/>
          <w:sz w:val="24"/>
        </w:rPr>
      </w:pPr>
    </w:p>
    <w:p w:rsidR="00ED0E0D" w:rsidRDefault="00ED0E0D">
      <w:pPr>
        <w:ind w:firstLineChars="400" w:firstLine="964"/>
        <w:rPr>
          <w:rFonts w:asciiTheme="minorEastAsia" w:hAnsiTheme="minorEastAsia" w:cstheme="minorEastAsia"/>
          <w:b/>
          <w:bCs/>
          <w:sz w:val="24"/>
        </w:rPr>
        <w:sectPr w:rsidR="00ED0E0D">
          <w:pgSz w:w="11906" w:h="16838"/>
          <w:pgMar w:top="1440" w:right="1800" w:bottom="1440" w:left="1800" w:header="851" w:footer="992" w:gutter="0"/>
          <w:cols w:space="425"/>
          <w:docGrid w:type="lines" w:linePitch="312"/>
        </w:sectPr>
      </w:pPr>
    </w:p>
    <w:sdt>
      <w:sdtPr>
        <w:rPr>
          <w:rFonts w:ascii="宋体" w:eastAsia="宋体" w:hAnsi="宋体"/>
          <w:sz w:val="24"/>
          <w:szCs w:val="32"/>
        </w:rPr>
        <w:id w:val="147466750"/>
        <w:docPartObj>
          <w:docPartGallery w:val="Table of Contents"/>
          <w:docPartUnique/>
        </w:docPartObj>
      </w:sdtPr>
      <w:sdtEndPr>
        <w:rPr>
          <w:rFonts w:asciiTheme="minorEastAsia" w:eastAsiaTheme="minorEastAsia" w:hAnsiTheme="minorEastAsia" w:cstheme="minorEastAsia"/>
          <w:b/>
          <w:szCs w:val="28"/>
          <w:highlight w:val="green"/>
        </w:rPr>
      </w:sdtEndPr>
      <w:sdtContent>
        <w:p w:rsidR="00ED0E0D" w:rsidRDefault="00276BC2">
          <w:pPr>
            <w:spacing w:line="440" w:lineRule="exact"/>
            <w:jc w:val="center"/>
            <w:rPr>
              <w:b/>
              <w:bCs/>
              <w:sz w:val="36"/>
              <w:szCs w:val="36"/>
            </w:rPr>
          </w:pPr>
          <w:r>
            <w:rPr>
              <w:rFonts w:ascii="宋体" w:eastAsia="宋体" w:hAnsi="宋体"/>
              <w:b/>
              <w:bCs/>
              <w:sz w:val="36"/>
              <w:szCs w:val="36"/>
            </w:rPr>
            <w:t>目录</w:t>
          </w:r>
        </w:p>
        <w:p w:rsidR="00ED0E0D" w:rsidRDefault="009B6545">
          <w:pPr>
            <w:tabs>
              <w:tab w:val="right" w:leader="dot" w:pos="8306"/>
            </w:tabs>
            <w:spacing w:line="440" w:lineRule="exact"/>
            <w:rPr>
              <w:rFonts w:ascii="仿宋" w:eastAsia="仿宋" w:hAnsi="仿宋" w:cs="仿宋"/>
              <w:b/>
              <w:sz w:val="22"/>
              <w:szCs w:val="22"/>
            </w:rPr>
          </w:pPr>
          <w:r w:rsidRPr="009B6545">
            <w:rPr>
              <w:rFonts w:ascii="仿宋" w:eastAsia="仿宋" w:hAnsi="仿宋" w:cs="仿宋" w:hint="eastAsia"/>
              <w:sz w:val="22"/>
              <w:szCs w:val="22"/>
              <w:highlight w:val="green"/>
            </w:rPr>
            <w:fldChar w:fldCharType="begin"/>
          </w:r>
          <w:r w:rsidR="00276BC2">
            <w:rPr>
              <w:rFonts w:ascii="仿宋" w:eastAsia="仿宋" w:hAnsi="仿宋" w:cs="仿宋" w:hint="eastAsia"/>
              <w:sz w:val="22"/>
              <w:szCs w:val="22"/>
              <w:highlight w:val="green"/>
            </w:rPr>
            <w:instrText xml:space="preserve">TOC \o "1-2" \h \u </w:instrText>
          </w:r>
          <w:r w:rsidRPr="009B6545">
            <w:rPr>
              <w:rFonts w:ascii="仿宋" w:eastAsia="仿宋" w:hAnsi="仿宋" w:cs="仿宋" w:hint="eastAsia"/>
              <w:sz w:val="22"/>
              <w:szCs w:val="22"/>
              <w:highlight w:val="green"/>
            </w:rPr>
            <w:fldChar w:fldCharType="separate"/>
          </w:r>
          <w:hyperlink w:anchor="_Toc827" w:history="1">
            <w:r w:rsidR="00276BC2">
              <w:rPr>
                <w:rFonts w:ascii="仿宋" w:eastAsia="仿宋" w:hAnsi="仿宋" w:cs="仿宋" w:hint="eastAsia"/>
                <w:b/>
                <w:bCs/>
                <w:sz w:val="22"/>
                <w:szCs w:val="22"/>
              </w:rPr>
              <w:t>一、项目概况</w:t>
            </w:r>
            <w:r w:rsidR="00276BC2">
              <w:rPr>
                <w:rFonts w:ascii="仿宋" w:eastAsia="仿宋" w:hAnsi="仿宋" w:cs="仿宋" w:hint="eastAsia"/>
                <w:b/>
                <w:sz w:val="22"/>
                <w:szCs w:val="22"/>
              </w:rPr>
              <w:tab/>
            </w:r>
            <w:r>
              <w:rPr>
                <w:rFonts w:ascii="仿宋" w:eastAsia="仿宋" w:hAnsi="仿宋" w:cs="仿宋" w:hint="eastAsia"/>
                <w:b/>
                <w:sz w:val="22"/>
                <w:szCs w:val="22"/>
              </w:rPr>
              <w:fldChar w:fldCharType="begin"/>
            </w:r>
            <w:r w:rsidR="00276BC2">
              <w:rPr>
                <w:rFonts w:ascii="仿宋" w:eastAsia="仿宋" w:hAnsi="仿宋" w:cs="仿宋" w:hint="eastAsia"/>
                <w:b/>
                <w:sz w:val="22"/>
                <w:szCs w:val="22"/>
              </w:rPr>
              <w:instrText xml:space="preserve"> PAGEREF _Toc827 </w:instrText>
            </w:r>
            <w:r>
              <w:rPr>
                <w:rFonts w:ascii="仿宋" w:eastAsia="仿宋" w:hAnsi="仿宋" w:cs="仿宋" w:hint="eastAsia"/>
                <w:b/>
                <w:sz w:val="22"/>
                <w:szCs w:val="22"/>
              </w:rPr>
              <w:fldChar w:fldCharType="separate"/>
            </w:r>
            <w:r w:rsidR="00276BC2">
              <w:rPr>
                <w:rFonts w:ascii="仿宋" w:eastAsia="仿宋" w:hAnsi="仿宋" w:cs="仿宋" w:hint="eastAsia"/>
                <w:b/>
                <w:sz w:val="22"/>
                <w:szCs w:val="22"/>
              </w:rPr>
              <w:t>1</w:t>
            </w:r>
            <w:r>
              <w:rPr>
                <w:rFonts w:ascii="仿宋" w:eastAsia="仿宋" w:hAnsi="仿宋" w:cs="仿宋" w:hint="eastAsia"/>
                <w:b/>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2583" w:history="1">
            <w:r w:rsidR="00276BC2">
              <w:rPr>
                <w:rFonts w:ascii="仿宋" w:eastAsia="仿宋" w:hAnsi="仿宋" w:cs="仿宋" w:hint="eastAsia"/>
                <w:bCs/>
                <w:sz w:val="22"/>
                <w:szCs w:val="22"/>
              </w:rPr>
              <w:t>（一）项目建设背景</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_Toc2583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1</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12517" w:history="1">
            <w:r w:rsidR="00276BC2">
              <w:rPr>
                <w:rFonts w:ascii="仿宋" w:eastAsia="仿宋" w:hAnsi="仿宋" w:cs="仿宋" w:hint="eastAsia"/>
                <w:bCs/>
                <w:sz w:val="22"/>
                <w:szCs w:val="22"/>
              </w:rPr>
              <w:t>（二）项目批复概况</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_Toc12517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1</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18056" w:history="1">
            <w:r w:rsidR="00276BC2">
              <w:rPr>
                <w:rFonts w:ascii="仿宋" w:eastAsia="仿宋" w:hAnsi="仿宋" w:cs="仿宋" w:hint="eastAsia"/>
                <w:bCs/>
                <w:sz w:val="22"/>
                <w:szCs w:val="22"/>
              </w:rPr>
              <w:t>（三）项目预算安排</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_Toc18056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2</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rPr>
              <w:rFonts w:ascii="仿宋" w:eastAsia="仿宋" w:hAnsi="仿宋" w:cs="仿宋"/>
              <w:b/>
              <w:sz w:val="22"/>
              <w:szCs w:val="22"/>
            </w:rPr>
          </w:pPr>
          <w:hyperlink w:anchor="_Toc29417" w:history="1">
            <w:r w:rsidR="00276BC2">
              <w:rPr>
                <w:rFonts w:ascii="仿宋" w:eastAsia="仿宋" w:hAnsi="仿宋" w:cs="仿宋" w:hint="eastAsia"/>
                <w:b/>
                <w:bCs/>
                <w:sz w:val="22"/>
                <w:szCs w:val="22"/>
              </w:rPr>
              <w:t>二、项目绩效目标设定情况</w:t>
            </w:r>
            <w:r w:rsidR="00276BC2">
              <w:rPr>
                <w:rFonts w:ascii="仿宋" w:eastAsia="仿宋" w:hAnsi="仿宋" w:cs="仿宋" w:hint="eastAsia"/>
                <w:b/>
                <w:sz w:val="22"/>
                <w:szCs w:val="22"/>
              </w:rPr>
              <w:tab/>
            </w:r>
            <w:r>
              <w:rPr>
                <w:rFonts w:ascii="仿宋" w:eastAsia="仿宋" w:hAnsi="仿宋" w:cs="仿宋" w:hint="eastAsia"/>
                <w:b/>
                <w:sz w:val="22"/>
                <w:szCs w:val="22"/>
              </w:rPr>
              <w:fldChar w:fldCharType="begin"/>
            </w:r>
            <w:r w:rsidR="00276BC2">
              <w:rPr>
                <w:rFonts w:ascii="仿宋" w:eastAsia="仿宋" w:hAnsi="仿宋" w:cs="仿宋" w:hint="eastAsia"/>
                <w:b/>
                <w:sz w:val="22"/>
                <w:szCs w:val="22"/>
              </w:rPr>
              <w:instrText xml:space="preserve"> PAGEREF _Toc29417 </w:instrText>
            </w:r>
            <w:r>
              <w:rPr>
                <w:rFonts w:ascii="仿宋" w:eastAsia="仿宋" w:hAnsi="仿宋" w:cs="仿宋" w:hint="eastAsia"/>
                <w:b/>
                <w:sz w:val="22"/>
                <w:szCs w:val="22"/>
              </w:rPr>
              <w:fldChar w:fldCharType="separate"/>
            </w:r>
            <w:r w:rsidR="00276BC2">
              <w:rPr>
                <w:rFonts w:ascii="仿宋" w:eastAsia="仿宋" w:hAnsi="仿宋" w:cs="仿宋" w:hint="eastAsia"/>
                <w:b/>
                <w:sz w:val="22"/>
                <w:szCs w:val="22"/>
              </w:rPr>
              <w:t>3</w:t>
            </w:r>
            <w:r>
              <w:rPr>
                <w:rFonts w:ascii="仿宋" w:eastAsia="仿宋" w:hAnsi="仿宋" w:cs="仿宋" w:hint="eastAsia"/>
                <w:b/>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17300" w:history="1">
            <w:r w:rsidR="00276BC2">
              <w:rPr>
                <w:rFonts w:ascii="仿宋" w:eastAsia="仿宋" w:hAnsi="仿宋" w:cs="仿宋" w:hint="eastAsia"/>
                <w:bCs/>
                <w:sz w:val="22"/>
                <w:szCs w:val="22"/>
              </w:rPr>
              <w:t>（一）绩效总目标</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_Toc17300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3</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14109" w:history="1">
            <w:r w:rsidR="00276BC2">
              <w:rPr>
                <w:rFonts w:ascii="仿宋" w:eastAsia="仿宋" w:hAnsi="仿宋" w:cs="仿宋" w:hint="eastAsia"/>
                <w:bCs/>
                <w:sz w:val="22"/>
                <w:szCs w:val="22"/>
              </w:rPr>
              <w:t>（二）阶段性目标</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_Toc14109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3</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rPr>
              <w:rFonts w:ascii="仿宋" w:eastAsia="仿宋" w:hAnsi="仿宋" w:cs="仿宋"/>
              <w:b/>
              <w:sz w:val="22"/>
              <w:szCs w:val="22"/>
            </w:rPr>
          </w:pPr>
          <w:hyperlink w:anchor="_Toc14104" w:history="1">
            <w:r w:rsidR="00276BC2">
              <w:rPr>
                <w:rFonts w:ascii="仿宋" w:eastAsia="仿宋" w:hAnsi="仿宋" w:cs="仿宋" w:hint="eastAsia"/>
                <w:b/>
                <w:bCs/>
                <w:sz w:val="22"/>
                <w:szCs w:val="22"/>
              </w:rPr>
              <w:t>三、项目实施情况</w:t>
            </w:r>
            <w:r w:rsidR="00276BC2">
              <w:rPr>
                <w:rFonts w:ascii="仿宋" w:eastAsia="仿宋" w:hAnsi="仿宋" w:cs="仿宋" w:hint="eastAsia"/>
                <w:b/>
                <w:sz w:val="22"/>
                <w:szCs w:val="22"/>
              </w:rPr>
              <w:tab/>
            </w:r>
            <w:r>
              <w:rPr>
                <w:rFonts w:ascii="仿宋" w:eastAsia="仿宋" w:hAnsi="仿宋" w:cs="仿宋" w:hint="eastAsia"/>
                <w:b/>
                <w:sz w:val="22"/>
                <w:szCs w:val="22"/>
              </w:rPr>
              <w:fldChar w:fldCharType="begin"/>
            </w:r>
            <w:r w:rsidR="00276BC2">
              <w:rPr>
                <w:rFonts w:ascii="仿宋" w:eastAsia="仿宋" w:hAnsi="仿宋" w:cs="仿宋" w:hint="eastAsia"/>
                <w:b/>
                <w:sz w:val="22"/>
                <w:szCs w:val="22"/>
              </w:rPr>
              <w:instrText xml:space="preserve"> PAGEREF _Toc14104 </w:instrText>
            </w:r>
            <w:r>
              <w:rPr>
                <w:rFonts w:ascii="仿宋" w:eastAsia="仿宋" w:hAnsi="仿宋" w:cs="仿宋" w:hint="eastAsia"/>
                <w:b/>
                <w:sz w:val="22"/>
                <w:szCs w:val="22"/>
              </w:rPr>
              <w:fldChar w:fldCharType="separate"/>
            </w:r>
            <w:r w:rsidR="00276BC2">
              <w:rPr>
                <w:rFonts w:ascii="仿宋" w:eastAsia="仿宋" w:hAnsi="仿宋" w:cs="仿宋" w:hint="eastAsia"/>
                <w:b/>
                <w:sz w:val="22"/>
                <w:szCs w:val="22"/>
              </w:rPr>
              <w:t>4</w:t>
            </w:r>
            <w:r>
              <w:rPr>
                <w:rFonts w:ascii="仿宋" w:eastAsia="仿宋" w:hAnsi="仿宋" w:cs="仿宋" w:hint="eastAsia"/>
                <w:b/>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17879" w:history="1">
            <w:r w:rsidR="00276BC2">
              <w:rPr>
                <w:rFonts w:ascii="仿宋" w:eastAsia="仿宋" w:hAnsi="仿宋" w:cs="仿宋" w:hint="eastAsia"/>
                <w:bCs/>
                <w:sz w:val="22"/>
                <w:szCs w:val="22"/>
              </w:rPr>
              <w:t>（一）组织管理情况</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_Toc17879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4</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21044" w:history="1">
            <w:r w:rsidR="00276BC2">
              <w:rPr>
                <w:rFonts w:ascii="仿宋" w:eastAsia="仿宋" w:hAnsi="仿宋" w:cs="仿宋" w:hint="eastAsia"/>
                <w:bCs/>
                <w:sz w:val="22"/>
                <w:szCs w:val="22"/>
              </w:rPr>
              <w:t>（二）招投标开展情况</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_Toc21044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4</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5434" w:history="1">
            <w:r w:rsidR="00276BC2">
              <w:rPr>
                <w:rFonts w:ascii="仿宋" w:eastAsia="仿宋" w:hAnsi="仿宋" w:cs="仿宋" w:hint="eastAsia"/>
                <w:bCs/>
                <w:sz w:val="22"/>
                <w:szCs w:val="22"/>
              </w:rPr>
              <w:t>（三）合同及付款情况</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_Toc5434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5</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7682" w:history="1">
            <w:r w:rsidR="00276BC2">
              <w:rPr>
                <w:rFonts w:ascii="仿宋" w:eastAsia="仿宋" w:hAnsi="仿宋" w:cs="仿宋" w:hint="eastAsia"/>
                <w:bCs/>
                <w:sz w:val="22"/>
                <w:szCs w:val="22"/>
              </w:rPr>
              <w:t>（四）概（预）算执行情况</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_Toc7682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6</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rPr>
              <w:rFonts w:ascii="仿宋" w:eastAsia="仿宋" w:hAnsi="仿宋" w:cs="仿宋"/>
              <w:b/>
              <w:sz w:val="22"/>
              <w:szCs w:val="22"/>
            </w:rPr>
          </w:pPr>
          <w:hyperlink w:anchor="_Toc12175" w:history="1">
            <w:r w:rsidR="00276BC2">
              <w:rPr>
                <w:rFonts w:ascii="仿宋" w:eastAsia="仿宋" w:hAnsi="仿宋" w:cs="仿宋" w:hint="eastAsia"/>
                <w:b/>
                <w:bCs/>
                <w:sz w:val="22"/>
                <w:szCs w:val="22"/>
              </w:rPr>
              <w:t>四、绩效评价</w:t>
            </w:r>
            <w:r w:rsidR="00276BC2">
              <w:rPr>
                <w:rFonts w:ascii="仿宋" w:eastAsia="仿宋" w:hAnsi="仿宋" w:cs="仿宋" w:hint="eastAsia"/>
                <w:b/>
                <w:sz w:val="22"/>
                <w:szCs w:val="22"/>
              </w:rPr>
              <w:tab/>
            </w:r>
            <w:r>
              <w:rPr>
                <w:rFonts w:ascii="仿宋" w:eastAsia="仿宋" w:hAnsi="仿宋" w:cs="仿宋" w:hint="eastAsia"/>
                <w:b/>
                <w:sz w:val="22"/>
                <w:szCs w:val="22"/>
              </w:rPr>
              <w:fldChar w:fldCharType="begin"/>
            </w:r>
            <w:r w:rsidR="00276BC2">
              <w:rPr>
                <w:rFonts w:ascii="仿宋" w:eastAsia="仿宋" w:hAnsi="仿宋" w:cs="仿宋" w:hint="eastAsia"/>
                <w:b/>
                <w:sz w:val="22"/>
                <w:szCs w:val="22"/>
              </w:rPr>
              <w:instrText xml:space="preserve"> PAGEREF _Toc12175 </w:instrText>
            </w:r>
            <w:r>
              <w:rPr>
                <w:rFonts w:ascii="仿宋" w:eastAsia="仿宋" w:hAnsi="仿宋" w:cs="仿宋" w:hint="eastAsia"/>
                <w:b/>
                <w:sz w:val="22"/>
                <w:szCs w:val="22"/>
              </w:rPr>
              <w:fldChar w:fldCharType="separate"/>
            </w:r>
            <w:r w:rsidR="00276BC2">
              <w:rPr>
                <w:rFonts w:ascii="仿宋" w:eastAsia="仿宋" w:hAnsi="仿宋" w:cs="仿宋" w:hint="eastAsia"/>
                <w:b/>
                <w:sz w:val="22"/>
                <w:szCs w:val="22"/>
              </w:rPr>
              <w:t>6</w:t>
            </w:r>
            <w:r>
              <w:rPr>
                <w:rFonts w:ascii="仿宋" w:eastAsia="仿宋" w:hAnsi="仿宋" w:cs="仿宋" w:hint="eastAsia"/>
                <w:b/>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21230" w:history="1">
            <w:r w:rsidR="00276BC2">
              <w:rPr>
                <w:rFonts w:ascii="仿宋" w:eastAsia="仿宋" w:hAnsi="仿宋" w:cs="仿宋" w:hint="eastAsia"/>
                <w:bCs/>
                <w:sz w:val="22"/>
                <w:szCs w:val="22"/>
              </w:rPr>
              <w:t>（一）绩效评价的原则</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_Toc21230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7</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3500" w:history="1">
            <w:r w:rsidR="00276BC2">
              <w:rPr>
                <w:rFonts w:ascii="仿宋" w:eastAsia="仿宋" w:hAnsi="仿宋" w:cs="仿宋" w:hint="eastAsia"/>
                <w:bCs/>
                <w:sz w:val="22"/>
                <w:szCs w:val="22"/>
              </w:rPr>
              <w:t>（二）绩效评价依据</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_Toc3500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7</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10253" w:history="1">
            <w:r w:rsidR="00276BC2">
              <w:rPr>
                <w:rFonts w:ascii="仿宋" w:eastAsia="仿宋" w:hAnsi="仿宋" w:cs="仿宋" w:hint="eastAsia"/>
                <w:bCs/>
                <w:sz w:val="22"/>
                <w:szCs w:val="22"/>
              </w:rPr>
              <w:t>（三）绩效评价的方法</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_Toc10253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8</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3467" w:history="1">
            <w:r w:rsidR="00276BC2">
              <w:rPr>
                <w:rFonts w:ascii="仿宋" w:eastAsia="仿宋" w:hAnsi="仿宋" w:cs="仿宋" w:hint="eastAsia"/>
                <w:bCs/>
                <w:sz w:val="22"/>
                <w:szCs w:val="22"/>
              </w:rPr>
              <w:t>（四）绩效指标体系</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_Toc3467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8</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rPr>
              <w:rFonts w:ascii="仿宋" w:eastAsia="仿宋" w:hAnsi="仿宋" w:cs="仿宋"/>
              <w:b/>
              <w:sz w:val="22"/>
              <w:szCs w:val="22"/>
            </w:rPr>
          </w:pPr>
          <w:hyperlink w:anchor="_Toc16862" w:history="1">
            <w:r w:rsidR="00276BC2">
              <w:rPr>
                <w:rFonts w:ascii="仿宋" w:eastAsia="仿宋" w:hAnsi="仿宋" w:cs="仿宋" w:hint="eastAsia"/>
                <w:b/>
                <w:bCs/>
                <w:sz w:val="22"/>
                <w:szCs w:val="22"/>
              </w:rPr>
              <w:t>五、绩效评价结论</w:t>
            </w:r>
            <w:r w:rsidR="00276BC2">
              <w:rPr>
                <w:rFonts w:ascii="仿宋" w:eastAsia="仿宋" w:hAnsi="仿宋" w:cs="仿宋" w:hint="eastAsia"/>
                <w:b/>
                <w:sz w:val="22"/>
                <w:szCs w:val="22"/>
              </w:rPr>
              <w:tab/>
            </w:r>
            <w:r>
              <w:rPr>
                <w:rFonts w:ascii="仿宋" w:eastAsia="仿宋" w:hAnsi="仿宋" w:cs="仿宋" w:hint="eastAsia"/>
                <w:b/>
                <w:sz w:val="22"/>
                <w:szCs w:val="22"/>
              </w:rPr>
              <w:fldChar w:fldCharType="begin"/>
            </w:r>
            <w:r w:rsidR="00276BC2">
              <w:rPr>
                <w:rFonts w:ascii="仿宋" w:eastAsia="仿宋" w:hAnsi="仿宋" w:cs="仿宋" w:hint="eastAsia"/>
                <w:b/>
                <w:sz w:val="22"/>
                <w:szCs w:val="22"/>
              </w:rPr>
              <w:instrText xml:space="preserve"> PAGEREF _Toc16862 </w:instrText>
            </w:r>
            <w:r>
              <w:rPr>
                <w:rFonts w:ascii="仿宋" w:eastAsia="仿宋" w:hAnsi="仿宋" w:cs="仿宋" w:hint="eastAsia"/>
                <w:b/>
                <w:sz w:val="22"/>
                <w:szCs w:val="22"/>
              </w:rPr>
              <w:fldChar w:fldCharType="separate"/>
            </w:r>
            <w:r w:rsidR="00276BC2">
              <w:rPr>
                <w:rFonts w:ascii="仿宋" w:eastAsia="仿宋" w:hAnsi="仿宋" w:cs="仿宋" w:hint="eastAsia"/>
                <w:b/>
                <w:sz w:val="22"/>
                <w:szCs w:val="22"/>
              </w:rPr>
              <w:t>9</w:t>
            </w:r>
            <w:r>
              <w:rPr>
                <w:rFonts w:ascii="仿宋" w:eastAsia="仿宋" w:hAnsi="仿宋" w:cs="仿宋" w:hint="eastAsia"/>
                <w:b/>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11885" w:history="1">
            <w:r w:rsidR="00276BC2">
              <w:rPr>
                <w:rFonts w:ascii="仿宋" w:eastAsia="仿宋" w:hAnsi="仿宋" w:cs="仿宋" w:hint="eastAsia"/>
                <w:bCs/>
                <w:sz w:val="22"/>
                <w:szCs w:val="22"/>
              </w:rPr>
              <w:t>（一）前期工作</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_Toc11885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10</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25689" w:history="1">
            <w:r w:rsidR="00276BC2">
              <w:rPr>
                <w:rFonts w:ascii="仿宋" w:eastAsia="仿宋" w:hAnsi="仿宋" w:cs="仿宋" w:hint="eastAsia"/>
                <w:bCs/>
                <w:sz w:val="22"/>
                <w:szCs w:val="22"/>
              </w:rPr>
              <w:t>（二）过程管理</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_Toc25689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15</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18240" w:history="1">
            <w:r w:rsidR="00276BC2">
              <w:rPr>
                <w:rFonts w:ascii="仿宋" w:eastAsia="仿宋" w:hAnsi="仿宋" w:cs="仿宋" w:hint="eastAsia"/>
                <w:bCs/>
                <w:sz w:val="22"/>
                <w:szCs w:val="22"/>
              </w:rPr>
              <w:t>（三）产出</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_Toc18240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19</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27195" w:history="1">
            <w:r w:rsidR="00276BC2">
              <w:rPr>
                <w:rFonts w:ascii="仿宋" w:eastAsia="仿宋" w:hAnsi="仿宋" w:cs="仿宋" w:hint="eastAsia"/>
                <w:bCs/>
                <w:sz w:val="22"/>
                <w:szCs w:val="22"/>
              </w:rPr>
              <w:t>（四）效果</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_Toc27195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20</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rPr>
              <w:rFonts w:ascii="仿宋" w:eastAsia="仿宋" w:hAnsi="仿宋" w:cs="仿宋"/>
              <w:b/>
              <w:sz w:val="22"/>
              <w:szCs w:val="22"/>
            </w:rPr>
          </w:pPr>
          <w:hyperlink w:anchor="_Toc21488" w:history="1">
            <w:r w:rsidR="00276BC2">
              <w:rPr>
                <w:rFonts w:ascii="仿宋" w:eastAsia="仿宋" w:hAnsi="仿宋" w:cs="仿宋" w:hint="eastAsia"/>
                <w:b/>
                <w:bCs/>
                <w:sz w:val="22"/>
                <w:szCs w:val="22"/>
              </w:rPr>
              <w:t>六、绩效评价存在问题及改进建议</w:t>
            </w:r>
            <w:r w:rsidR="00276BC2">
              <w:rPr>
                <w:rFonts w:ascii="仿宋" w:eastAsia="仿宋" w:hAnsi="仿宋" w:cs="仿宋" w:hint="eastAsia"/>
                <w:b/>
                <w:sz w:val="22"/>
                <w:szCs w:val="22"/>
              </w:rPr>
              <w:tab/>
            </w:r>
            <w:r>
              <w:rPr>
                <w:rFonts w:ascii="仿宋" w:eastAsia="仿宋" w:hAnsi="仿宋" w:cs="仿宋" w:hint="eastAsia"/>
                <w:b/>
                <w:sz w:val="22"/>
                <w:szCs w:val="22"/>
              </w:rPr>
              <w:fldChar w:fldCharType="begin"/>
            </w:r>
            <w:r w:rsidR="00276BC2">
              <w:rPr>
                <w:rFonts w:ascii="仿宋" w:eastAsia="仿宋" w:hAnsi="仿宋" w:cs="仿宋" w:hint="eastAsia"/>
                <w:b/>
                <w:sz w:val="22"/>
                <w:szCs w:val="22"/>
              </w:rPr>
              <w:instrText xml:space="preserve"> PAGEREF _Toc21488 </w:instrText>
            </w:r>
            <w:r>
              <w:rPr>
                <w:rFonts w:ascii="仿宋" w:eastAsia="仿宋" w:hAnsi="仿宋" w:cs="仿宋" w:hint="eastAsia"/>
                <w:b/>
                <w:sz w:val="22"/>
                <w:szCs w:val="22"/>
              </w:rPr>
              <w:fldChar w:fldCharType="separate"/>
            </w:r>
            <w:r w:rsidR="00276BC2">
              <w:rPr>
                <w:rFonts w:ascii="仿宋" w:eastAsia="仿宋" w:hAnsi="仿宋" w:cs="仿宋" w:hint="eastAsia"/>
                <w:b/>
                <w:sz w:val="22"/>
                <w:szCs w:val="22"/>
              </w:rPr>
              <w:t>24</w:t>
            </w:r>
            <w:r>
              <w:rPr>
                <w:rFonts w:ascii="仿宋" w:eastAsia="仿宋" w:hAnsi="仿宋" w:cs="仿宋" w:hint="eastAsia"/>
                <w:b/>
                <w:sz w:val="22"/>
                <w:szCs w:val="22"/>
              </w:rPr>
              <w:fldChar w:fldCharType="end"/>
            </w:r>
          </w:hyperlink>
        </w:p>
        <w:p w:rsidR="00ED0E0D" w:rsidRDefault="009B6545">
          <w:pPr>
            <w:tabs>
              <w:tab w:val="right" w:leader="dot" w:pos="8306"/>
            </w:tabs>
            <w:spacing w:line="440" w:lineRule="exact"/>
            <w:ind w:left="420"/>
            <w:rPr>
              <w:rFonts w:ascii="仿宋" w:eastAsia="仿宋" w:hAnsi="仿宋" w:cs="仿宋"/>
              <w:sz w:val="22"/>
              <w:szCs w:val="22"/>
            </w:rPr>
          </w:pPr>
          <w:hyperlink w:anchor="_Toc28507" w:history="1">
            <w:r w:rsidR="00276BC2">
              <w:rPr>
                <w:rFonts w:ascii="仿宋" w:eastAsia="仿宋" w:hAnsi="仿宋" w:cs="仿宋" w:hint="eastAsia"/>
                <w:bCs/>
                <w:sz w:val="22"/>
                <w:szCs w:val="22"/>
              </w:rPr>
              <w:t>（一）存在的问题</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_Toc28507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24</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ind w:left="420"/>
            <w:rPr>
              <w:rFonts w:ascii="仿宋" w:eastAsia="仿宋" w:hAnsi="仿宋" w:cs="仿宋"/>
              <w:b/>
              <w:sz w:val="22"/>
              <w:szCs w:val="22"/>
            </w:rPr>
          </w:pPr>
          <w:hyperlink w:anchor="_Toc4745" w:history="1">
            <w:r w:rsidR="00276BC2">
              <w:rPr>
                <w:rFonts w:ascii="仿宋" w:eastAsia="仿宋" w:hAnsi="仿宋" w:cs="仿宋" w:hint="eastAsia"/>
                <w:bCs/>
                <w:sz w:val="22"/>
                <w:szCs w:val="22"/>
              </w:rPr>
              <w:t>（二）管理建议</w:t>
            </w:r>
            <w:r w:rsidR="00276BC2">
              <w:rPr>
                <w:rFonts w:ascii="仿宋" w:eastAsia="仿宋" w:hAnsi="仿宋" w:cs="仿宋" w:hint="eastAsia"/>
                <w:sz w:val="22"/>
                <w:szCs w:val="22"/>
              </w:rPr>
              <w:tab/>
            </w:r>
            <w:r>
              <w:rPr>
                <w:rFonts w:ascii="仿宋" w:eastAsia="仿宋" w:hAnsi="仿宋" w:cs="仿宋" w:hint="eastAsia"/>
                <w:sz w:val="22"/>
                <w:szCs w:val="22"/>
              </w:rPr>
              <w:fldChar w:fldCharType="begin"/>
            </w:r>
            <w:r w:rsidR="00276BC2">
              <w:rPr>
                <w:rFonts w:ascii="仿宋" w:eastAsia="仿宋" w:hAnsi="仿宋" w:cs="仿宋" w:hint="eastAsia"/>
                <w:sz w:val="22"/>
                <w:szCs w:val="22"/>
              </w:rPr>
              <w:instrText xml:space="preserve"> PAGEREF _Toc4745 </w:instrText>
            </w:r>
            <w:r>
              <w:rPr>
                <w:rFonts w:ascii="仿宋" w:eastAsia="仿宋" w:hAnsi="仿宋" w:cs="仿宋" w:hint="eastAsia"/>
                <w:sz w:val="22"/>
                <w:szCs w:val="22"/>
              </w:rPr>
              <w:fldChar w:fldCharType="separate"/>
            </w:r>
            <w:r w:rsidR="00276BC2">
              <w:rPr>
                <w:rFonts w:ascii="仿宋" w:eastAsia="仿宋" w:hAnsi="仿宋" w:cs="仿宋" w:hint="eastAsia"/>
                <w:sz w:val="22"/>
                <w:szCs w:val="22"/>
              </w:rPr>
              <w:t>26</w:t>
            </w:r>
            <w:r>
              <w:rPr>
                <w:rFonts w:ascii="仿宋" w:eastAsia="仿宋" w:hAnsi="仿宋" w:cs="仿宋" w:hint="eastAsia"/>
                <w:sz w:val="22"/>
                <w:szCs w:val="22"/>
              </w:rPr>
              <w:fldChar w:fldCharType="end"/>
            </w:r>
          </w:hyperlink>
        </w:p>
        <w:p w:rsidR="00ED0E0D" w:rsidRDefault="009B6545">
          <w:pPr>
            <w:tabs>
              <w:tab w:val="right" w:leader="dot" w:pos="8306"/>
            </w:tabs>
            <w:spacing w:line="440" w:lineRule="exact"/>
            <w:rPr>
              <w:rFonts w:ascii="仿宋" w:eastAsia="仿宋" w:hAnsi="仿宋" w:cs="仿宋"/>
              <w:b/>
              <w:sz w:val="22"/>
              <w:szCs w:val="22"/>
            </w:rPr>
          </w:pPr>
          <w:hyperlink w:anchor="_Toc2634" w:history="1">
            <w:r w:rsidR="00276BC2">
              <w:rPr>
                <w:rFonts w:ascii="仿宋" w:eastAsia="仿宋" w:hAnsi="仿宋" w:cs="仿宋" w:hint="eastAsia"/>
                <w:b/>
                <w:sz w:val="22"/>
                <w:szCs w:val="22"/>
              </w:rPr>
              <w:t>附表1：</w:t>
            </w:r>
            <w:r w:rsidR="00276BC2">
              <w:rPr>
                <w:rFonts w:ascii="仿宋" w:eastAsia="仿宋" w:hAnsi="仿宋" w:cs="仿宋" w:hint="eastAsia"/>
                <w:b/>
                <w:sz w:val="22"/>
                <w:szCs w:val="22"/>
              </w:rPr>
              <w:tab/>
            </w:r>
            <w:r>
              <w:rPr>
                <w:rFonts w:ascii="仿宋" w:eastAsia="仿宋" w:hAnsi="仿宋" w:cs="仿宋" w:hint="eastAsia"/>
                <w:b/>
                <w:sz w:val="22"/>
                <w:szCs w:val="22"/>
              </w:rPr>
              <w:fldChar w:fldCharType="begin"/>
            </w:r>
            <w:r w:rsidR="00276BC2">
              <w:rPr>
                <w:rFonts w:ascii="仿宋" w:eastAsia="仿宋" w:hAnsi="仿宋" w:cs="仿宋" w:hint="eastAsia"/>
                <w:b/>
                <w:sz w:val="22"/>
                <w:szCs w:val="22"/>
              </w:rPr>
              <w:instrText xml:space="preserve"> PAGEREF _Toc2634 </w:instrText>
            </w:r>
            <w:r>
              <w:rPr>
                <w:rFonts w:ascii="仿宋" w:eastAsia="仿宋" w:hAnsi="仿宋" w:cs="仿宋" w:hint="eastAsia"/>
                <w:b/>
                <w:sz w:val="22"/>
                <w:szCs w:val="22"/>
              </w:rPr>
              <w:fldChar w:fldCharType="separate"/>
            </w:r>
            <w:r w:rsidR="00276BC2">
              <w:rPr>
                <w:rFonts w:ascii="仿宋" w:eastAsia="仿宋" w:hAnsi="仿宋" w:cs="仿宋" w:hint="eastAsia"/>
                <w:b/>
                <w:sz w:val="22"/>
                <w:szCs w:val="22"/>
              </w:rPr>
              <w:t>28</w:t>
            </w:r>
            <w:r>
              <w:rPr>
                <w:rFonts w:ascii="仿宋" w:eastAsia="仿宋" w:hAnsi="仿宋" w:cs="仿宋" w:hint="eastAsia"/>
                <w:b/>
                <w:sz w:val="22"/>
                <w:szCs w:val="22"/>
              </w:rPr>
              <w:fldChar w:fldCharType="end"/>
            </w:r>
          </w:hyperlink>
        </w:p>
        <w:p w:rsidR="00ED0E0D" w:rsidRDefault="009B6545">
          <w:pPr>
            <w:tabs>
              <w:tab w:val="right" w:leader="dot" w:pos="8306"/>
            </w:tabs>
            <w:spacing w:line="440" w:lineRule="exact"/>
            <w:rPr>
              <w:rFonts w:ascii="仿宋" w:eastAsia="仿宋" w:hAnsi="仿宋" w:cs="仿宋"/>
              <w:b/>
              <w:sz w:val="22"/>
              <w:szCs w:val="22"/>
            </w:rPr>
          </w:pPr>
          <w:hyperlink w:anchor="_Toc14608" w:history="1">
            <w:r w:rsidR="00276BC2">
              <w:rPr>
                <w:rFonts w:ascii="仿宋" w:eastAsia="仿宋" w:hAnsi="仿宋" w:cs="仿宋" w:hint="eastAsia"/>
                <w:b/>
                <w:sz w:val="22"/>
                <w:szCs w:val="22"/>
              </w:rPr>
              <w:t>附表2：</w:t>
            </w:r>
            <w:r w:rsidR="00276BC2">
              <w:rPr>
                <w:rFonts w:ascii="仿宋" w:eastAsia="仿宋" w:hAnsi="仿宋" w:cs="仿宋" w:hint="eastAsia"/>
                <w:b/>
                <w:sz w:val="22"/>
                <w:szCs w:val="22"/>
              </w:rPr>
              <w:tab/>
            </w:r>
            <w:r>
              <w:rPr>
                <w:rFonts w:ascii="仿宋" w:eastAsia="仿宋" w:hAnsi="仿宋" w:cs="仿宋" w:hint="eastAsia"/>
                <w:b/>
                <w:sz w:val="22"/>
                <w:szCs w:val="22"/>
              </w:rPr>
              <w:fldChar w:fldCharType="begin"/>
            </w:r>
            <w:r w:rsidR="00276BC2">
              <w:rPr>
                <w:rFonts w:ascii="仿宋" w:eastAsia="仿宋" w:hAnsi="仿宋" w:cs="仿宋" w:hint="eastAsia"/>
                <w:b/>
                <w:sz w:val="22"/>
                <w:szCs w:val="22"/>
              </w:rPr>
              <w:instrText xml:space="preserve"> PAGEREF _Toc14608 </w:instrText>
            </w:r>
            <w:r>
              <w:rPr>
                <w:rFonts w:ascii="仿宋" w:eastAsia="仿宋" w:hAnsi="仿宋" w:cs="仿宋" w:hint="eastAsia"/>
                <w:b/>
                <w:sz w:val="22"/>
                <w:szCs w:val="22"/>
              </w:rPr>
              <w:fldChar w:fldCharType="separate"/>
            </w:r>
            <w:r w:rsidR="00276BC2">
              <w:rPr>
                <w:rFonts w:ascii="仿宋" w:eastAsia="仿宋" w:hAnsi="仿宋" w:cs="仿宋" w:hint="eastAsia"/>
                <w:b/>
                <w:sz w:val="22"/>
                <w:szCs w:val="22"/>
              </w:rPr>
              <w:t>35</w:t>
            </w:r>
            <w:r>
              <w:rPr>
                <w:rFonts w:ascii="仿宋" w:eastAsia="仿宋" w:hAnsi="仿宋" w:cs="仿宋" w:hint="eastAsia"/>
                <w:b/>
                <w:sz w:val="22"/>
                <w:szCs w:val="22"/>
              </w:rPr>
              <w:fldChar w:fldCharType="end"/>
            </w:r>
          </w:hyperlink>
        </w:p>
        <w:p w:rsidR="00ED0E0D" w:rsidRDefault="009B6545">
          <w:pPr>
            <w:tabs>
              <w:tab w:val="right" w:leader="dot" w:pos="8306"/>
            </w:tabs>
            <w:spacing w:line="440" w:lineRule="exact"/>
            <w:rPr>
              <w:rFonts w:ascii="仿宋" w:eastAsia="仿宋" w:hAnsi="仿宋" w:cs="仿宋"/>
              <w:b/>
              <w:sz w:val="22"/>
              <w:szCs w:val="22"/>
            </w:rPr>
          </w:pPr>
          <w:hyperlink w:anchor="_Toc14608" w:history="1">
            <w:r w:rsidR="00276BC2">
              <w:rPr>
                <w:rFonts w:ascii="仿宋" w:eastAsia="仿宋" w:hAnsi="仿宋" w:cs="仿宋" w:hint="eastAsia"/>
                <w:b/>
                <w:sz w:val="22"/>
                <w:szCs w:val="22"/>
              </w:rPr>
              <w:t>附表3：</w:t>
            </w:r>
            <w:r w:rsidR="00276BC2">
              <w:rPr>
                <w:rFonts w:ascii="仿宋" w:eastAsia="仿宋" w:hAnsi="仿宋" w:cs="仿宋" w:hint="eastAsia"/>
                <w:b/>
                <w:sz w:val="22"/>
                <w:szCs w:val="22"/>
              </w:rPr>
              <w:tab/>
            </w:r>
            <w:r>
              <w:rPr>
                <w:rFonts w:ascii="仿宋" w:eastAsia="仿宋" w:hAnsi="仿宋" w:cs="仿宋" w:hint="eastAsia"/>
                <w:b/>
                <w:sz w:val="22"/>
                <w:szCs w:val="22"/>
              </w:rPr>
              <w:fldChar w:fldCharType="begin"/>
            </w:r>
            <w:r w:rsidR="00276BC2">
              <w:rPr>
                <w:rFonts w:ascii="仿宋" w:eastAsia="仿宋" w:hAnsi="仿宋" w:cs="仿宋" w:hint="eastAsia"/>
                <w:b/>
                <w:sz w:val="22"/>
                <w:szCs w:val="22"/>
              </w:rPr>
              <w:instrText xml:space="preserve"> PAGEREF _Toc14608 </w:instrText>
            </w:r>
            <w:r>
              <w:rPr>
                <w:rFonts w:ascii="仿宋" w:eastAsia="仿宋" w:hAnsi="仿宋" w:cs="仿宋" w:hint="eastAsia"/>
                <w:b/>
                <w:sz w:val="22"/>
                <w:szCs w:val="22"/>
              </w:rPr>
              <w:fldChar w:fldCharType="separate"/>
            </w:r>
            <w:r w:rsidR="00276BC2">
              <w:rPr>
                <w:rFonts w:ascii="仿宋" w:eastAsia="仿宋" w:hAnsi="仿宋" w:cs="仿宋" w:hint="eastAsia"/>
                <w:b/>
                <w:sz w:val="22"/>
                <w:szCs w:val="22"/>
              </w:rPr>
              <w:t>36</w:t>
            </w:r>
            <w:r>
              <w:rPr>
                <w:rFonts w:ascii="仿宋" w:eastAsia="仿宋" w:hAnsi="仿宋" w:cs="仿宋" w:hint="eastAsia"/>
                <w:b/>
                <w:sz w:val="22"/>
                <w:szCs w:val="22"/>
              </w:rPr>
              <w:fldChar w:fldCharType="end"/>
            </w:r>
          </w:hyperlink>
        </w:p>
        <w:p w:rsidR="00ED0E0D" w:rsidRDefault="009B6545">
          <w:pPr>
            <w:spacing w:line="440" w:lineRule="exact"/>
            <w:jc w:val="left"/>
            <w:rPr>
              <w:rFonts w:ascii="仿宋_GB2312" w:eastAsia="仿宋_GB2312" w:hAnsi="仿宋" w:cs="Arial"/>
              <w:b/>
              <w:bCs/>
              <w:color w:val="000000"/>
              <w:sz w:val="44"/>
              <w:szCs w:val="44"/>
            </w:rPr>
            <w:sectPr w:rsidR="00ED0E0D">
              <w:footerReference w:type="default" r:id="rId9"/>
              <w:pgSz w:w="11906" w:h="16838"/>
              <w:pgMar w:top="1440" w:right="1800" w:bottom="1440" w:left="1800" w:header="851" w:footer="992" w:gutter="0"/>
              <w:pgNumType w:start="1"/>
              <w:cols w:space="425"/>
              <w:docGrid w:type="lines" w:linePitch="312"/>
            </w:sectPr>
          </w:pPr>
          <w:r>
            <w:rPr>
              <w:rFonts w:ascii="仿宋" w:eastAsia="仿宋" w:hAnsi="仿宋" w:cs="仿宋" w:hint="eastAsia"/>
              <w:b/>
              <w:sz w:val="22"/>
              <w:szCs w:val="22"/>
              <w:highlight w:val="green"/>
            </w:rPr>
            <w:fldChar w:fldCharType="end"/>
          </w:r>
        </w:p>
      </w:sdtContent>
    </w:sdt>
    <w:p w:rsidR="00ED0E0D" w:rsidRDefault="00276BC2" w:rsidP="00BD7BA9">
      <w:pPr>
        <w:pStyle w:val="a7"/>
        <w:ind w:firstLine="640"/>
        <w:rPr>
          <w:lang w:eastAsia="zh-CN"/>
        </w:rPr>
      </w:pPr>
      <w:r>
        <w:rPr>
          <w:rFonts w:hint="eastAsia"/>
          <w:lang w:eastAsia="zh-CN"/>
        </w:rPr>
        <w:lastRenderedPageBreak/>
        <w:t>为全面检验财政资金使用绩效，考核资金预期绩效目标的实现程度、支出效率和综合效果，进一步提高财政支出的管理水平，根据《东莞市人民政府办公室关于印发&lt;关于全面实施预算绩效管理的意见&gt;的通知》（东府办〔2019〕51号）、《关于印发&lt;东莞市市</w:t>
      </w:r>
      <w:bookmarkStart w:id="0" w:name="_GoBack"/>
      <w:bookmarkEnd w:id="0"/>
      <w:r>
        <w:rPr>
          <w:rFonts w:hint="eastAsia"/>
          <w:lang w:eastAsia="zh-CN"/>
        </w:rPr>
        <w:t>级预算项目支出绩效评价管理办法&gt;的通知》（东财〔2021〕50号）的相关要求，受东莞市财政局谢岗分局委托，我司对“东莞市谢岗镇镇村两级道路综合整治一期工程项目”（以下简称“项目”）</w:t>
      </w:r>
      <w:bookmarkStart w:id="1" w:name="_Toc10983"/>
      <w:bookmarkStart w:id="2" w:name="_Toc827"/>
      <w:r>
        <w:rPr>
          <w:rFonts w:hint="eastAsia"/>
          <w:lang w:eastAsia="zh-CN"/>
        </w:rPr>
        <w:t>开展重点绩效评价，经过资料审查、专家评审、实地调研、综合分析等，形成本次绩效评价报告。</w:t>
      </w:r>
    </w:p>
    <w:p w:rsidR="00ED0E0D" w:rsidRDefault="00276BC2" w:rsidP="00BD7BA9">
      <w:pPr>
        <w:pStyle w:val="a8"/>
        <w:ind w:firstLine="640"/>
        <w:rPr>
          <w:lang w:eastAsia="zh-CN"/>
        </w:rPr>
      </w:pPr>
      <w:r>
        <w:rPr>
          <w:rFonts w:hint="eastAsia"/>
          <w:lang w:eastAsia="zh-CN"/>
        </w:rPr>
        <w:t>一、项目概况</w:t>
      </w:r>
      <w:bookmarkEnd w:id="1"/>
      <w:bookmarkEnd w:id="2"/>
      <w:r>
        <w:rPr>
          <w:rFonts w:hint="eastAsia"/>
          <w:lang w:eastAsia="zh-CN"/>
        </w:rPr>
        <w:t xml:space="preserve"> </w:t>
      </w:r>
    </w:p>
    <w:p w:rsidR="00ED0E0D" w:rsidRDefault="00276BC2" w:rsidP="00BD7BA9">
      <w:pPr>
        <w:pStyle w:val="a9"/>
        <w:ind w:firstLine="643"/>
        <w:rPr>
          <w:lang w:eastAsia="zh-CN"/>
        </w:rPr>
      </w:pPr>
      <w:bookmarkStart w:id="3" w:name="_Toc21930"/>
      <w:bookmarkStart w:id="4" w:name="_Toc2583"/>
      <w:r>
        <w:rPr>
          <w:rFonts w:hint="eastAsia"/>
          <w:lang w:eastAsia="zh-CN"/>
        </w:rPr>
        <w:t>（一）</w:t>
      </w:r>
      <w:bookmarkEnd w:id="3"/>
      <w:r>
        <w:rPr>
          <w:rFonts w:hint="eastAsia"/>
          <w:lang w:eastAsia="zh-CN"/>
        </w:rPr>
        <w:t>项目建设背景</w:t>
      </w:r>
      <w:bookmarkEnd w:id="4"/>
    </w:p>
    <w:p w:rsidR="00ED0E0D" w:rsidRDefault="00276BC2" w:rsidP="00BD7BA9">
      <w:pPr>
        <w:pStyle w:val="a7"/>
        <w:ind w:firstLine="640"/>
        <w:rPr>
          <w:lang w:eastAsia="zh-CN"/>
        </w:rPr>
      </w:pPr>
      <w:r>
        <w:rPr>
          <w:rFonts w:hint="eastAsia"/>
          <w:lang w:eastAsia="zh-CN"/>
        </w:rPr>
        <w:t>谢岗镇镇村两级道路64公里，基本为村集体自行建设，建设标准低，通行能力较差，功能设置不够完善，为贯彻落实十九大提出的乡村振兴战略和东莞市《关于全域推进农村人居环境整治建设生态宜居美丽乡镇的实施方案》，改善人民群众出行，美化居民环境，提升镇内交通环境，根据镇村两级道路三年提升实施计划，开展镇村两级道路综合整治一期工程建设。</w:t>
      </w:r>
    </w:p>
    <w:p w:rsidR="00ED0E0D" w:rsidRDefault="00276BC2" w:rsidP="00BD7BA9">
      <w:pPr>
        <w:pStyle w:val="a9"/>
        <w:ind w:firstLine="643"/>
        <w:rPr>
          <w:lang w:eastAsia="zh-CN"/>
        </w:rPr>
      </w:pPr>
      <w:bookmarkStart w:id="5" w:name="_Toc19471"/>
      <w:bookmarkStart w:id="6" w:name="_Toc12517"/>
      <w:r>
        <w:rPr>
          <w:rFonts w:hint="eastAsia"/>
          <w:lang w:eastAsia="zh-CN"/>
        </w:rPr>
        <w:t>（二）项目批复概况</w:t>
      </w:r>
      <w:bookmarkEnd w:id="5"/>
      <w:bookmarkEnd w:id="6"/>
    </w:p>
    <w:p w:rsidR="00ED0E0D" w:rsidRDefault="00276BC2" w:rsidP="00BD7BA9">
      <w:pPr>
        <w:pStyle w:val="a7"/>
        <w:ind w:firstLine="640"/>
        <w:rPr>
          <w:lang w:eastAsia="zh-CN"/>
        </w:rPr>
      </w:pPr>
      <w:r>
        <w:rPr>
          <w:rFonts w:hint="eastAsia"/>
          <w:lang w:eastAsia="zh-CN"/>
        </w:rPr>
        <w:t>2019年4月，东莞市发展和改革局根据东莞市谢岗镇公用事业服务中心申报《关于审批谢岗镇镇村两级道路综合整</w:t>
      </w:r>
      <w:r>
        <w:rPr>
          <w:rFonts w:hint="eastAsia"/>
          <w:lang w:eastAsia="zh-CN"/>
        </w:rPr>
        <w:lastRenderedPageBreak/>
        <w:t>治一期工程项目建议书的函》下达《关于谢岗镇镇村两级道路综合整治一期工程项目建议书的批复》（东发改谢〔2019〕6 号）。</w:t>
      </w:r>
    </w:p>
    <w:p w:rsidR="00ED0E0D" w:rsidRDefault="00276BC2" w:rsidP="00BD7BA9">
      <w:pPr>
        <w:pStyle w:val="a7"/>
        <w:ind w:firstLine="640"/>
        <w:rPr>
          <w:lang w:eastAsia="zh-CN"/>
        </w:rPr>
      </w:pPr>
      <w:r>
        <w:rPr>
          <w:rFonts w:hint="eastAsia"/>
          <w:lang w:eastAsia="zh-CN"/>
        </w:rPr>
        <w:t>2019年9月，东莞市发展和改革局根据东莞市谢岗镇公用事业服务中心申报《关于审批谢岗镇镇村两级道路综合整治一期工程可行性研究报告的函》下达《关于谢岗镇镇村两级道路综合整治一期工程可行性研究报告的批复》（东发改谢〔2019〕11 号），批准项目建设总投资为17,566.07万元，其中建筑安装工程费用15,186.83万元、设备及工器具购置费9.86万元、工程其他费用1,516.49万元、工程预备费852.89万元。</w:t>
      </w:r>
    </w:p>
    <w:p w:rsidR="00ED0E0D" w:rsidRDefault="00276BC2" w:rsidP="00BD7BA9">
      <w:pPr>
        <w:pStyle w:val="a7"/>
        <w:ind w:firstLine="640"/>
        <w:rPr>
          <w:lang w:eastAsia="zh-CN"/>
        </w:rPr>
      </w:pPr>
      <w:r>
        <w:rPr>
          <w:rFonts w:hint="eastAsia"/>
          <w:lang w:eastAsia="zh-CN"/>
        </w:rPr>
        <w:t xml:space="preserve"> 2020年4月，东莞市发展和改革局根据东莞市谢岗镇公用事业服务中心申报《关于审批谢岗镇镇村两级道路综合整治一期工程概算的函》下达《关于谢岗镇镇村两级道路综合整治一期工程概算的批复》（东发改谢〔2020〕10 号），批复项目总概算为16,222.36万元，其中:建筑安装工程费用14,304.13万元、工程其他费用1,145.74万元、工程预备费772.49万元。</w:t>
      </w:r>
    </w:p>
    <w:p w:rsidR="00ED0E0D" w:rsidRDefault="00276BC2" w:rsidP="00BD7BA9">
      <w:pPr>
        <w:pStyle w:val="a7"/>
        <w:ind w:firstLine="640"/>
        <w:rPr>
          <w:lang w:eastAsia="zh-CN"/>
        </w:rPr>
      </w:pPr>
      <w:r>
        <w:rPr>
          <w:rFonts w:hint="eastAsia"/>
          <w:lang w:eastAsia="zh-CN"/>
        </w:rPr>
        <w:t>项目建设资金来源为谢岗镇财政和村委会按一定比例分摊，镇级道路由镇全额筹措，村级道路，其中大厚路由镇全额筹措，其余道路由村镇5:5筹措。</w:t>
      </w:r>
    </w:p>
    <w:p w:rsidR="00ED0E0D" w:rsidRDefault="00276BC2" w:rsidP="00BD7BA9">
      <w:pPr>
        <w:pStyle w:val="a9"/>
        <w:ind w:firstLine="643"/>
        <w:rPr>
          <w:lang w:eastAsia="zh-CN"/>
        </w:rPr>
      </w:pPr>
      <w:bookmarkStart w:id="7" w:name="_Toc6432"/>
      <w:bookmarkStart w:id="8" w:name="_Toc18056"/>
      <w:r>
        <w:rPr>
          <w:rFonts w:hint="eastAsia"/>
          <w:lang w:eastAsia="zh-CN"/>
        </w:rPr>
        <w:t>（三）项目预算安排</w:t>
      </w:r>
      <w:bookmarkEnd w:id="7"/>
      <w:bookmarkEnd w:id="8"/>
    </w:p>
    <w:p w:rsidR="00ED0E0D" w:rsidRDefault="00276BC2" w:rsidP="00BD7BA9">
      <w:pPr>
        <w:pStyle w:val="a7"/>
        <w:ind w:firstLine="640"/>
      </w:pPr>
      <w:r>
        <w:rPr>
          <w:rFonts w:hint="eastAsia"/>
          <w:lang w:eastAsia="zh-CN"/>
        </w:rPr>
        <w:lastRenderedPageBreak/>
        <w:t>东莞市发展和改革局批复项目总概算为16,222.36万元，投资计划为2019年-2021年，2020年项目单位申报预算资金为1,297.33万元，财政批复预算资金为1,000.00万元，其余费用由政府专项债支出。</w:t>
      </w:r>
      <w:r>
        <w:rPr>
          <w:rFonts w:hint="eastAsia"/>
        </w:rPr>
        <w:t>见下表1</w:t>
      </w:r>
    </w:p>
    <w:p w:rsidR="00ED0E0D" w:rsidRDefault="00276BC2">
      <w:pPr>
        <w:jc w:val="center"/>
        <w:rPr>
          <w:rFonts w:ascii="仿宋_GB2312" w:eastAsia="仿宋_GB2312" w:hAnsi="仿宋" w:cs="Arial"/>
          <w:color w:val="000000"/>
          <w:sz w:val="32"/>
          <w:szCs w:val="32"/>
        </w:rPr>
      </w:pPr>
      <w:r>
        <w:rPr>
          <w:rFonts w:ascii="仿宋_GB2312" w:eastAsia="仿宋_GB2312" w:hAnsi="仿宋" w:cs="Arial" w:hint="eastAsia"/>
          <w:color w:val="000000"/>
          <w:sz w:val="32"/>
          <w:szCs w:val="32"/>
        </w:rPr>
        <w:t>表1  项目预算安排</w:t>
      </w:r>
    </w:p>
    <w:p w:rsidR="00ED0E0D" w:rsidRDefault="00276BC2">
      <w:pPr>
        <w:jc w:val="right"/>
        <w:rPr>
          <w:rFonts w:ascii="仿宋_GB2312" w:eastAsia="仿宋_GB2312" w:hAnsi="仿宋" w:cs="Arial"/>
          <w:color w:val="000000"/>
          <w:szCs w:val="21"/>
        </w:rPr>
      </w:pPr>
      <w:r>
        <w:rPr>
          <w:rFonts w:ascii="仿宋_GB2312" w:eastAsia="仿宋_GB2312" w:hAnsi="仿宋" w:cs="Arial" w:hint="eastAsia"/>
          <w:color w:val="000000"/>
          <w:szCs w:val="21"/>
        </w:rPr>
        <w:t>单位：万元</w:t>
      </w:r>
    </w:p>
    <w:tbl>
      <w:tblPr>
        <w:tblW w:w="4998" w:type="pct"/>
        <w:tblLayout w:type="fixed"/>
        <w:tblCellMar>
          <w:left w:w="0" w:type="dxa"/>
          <w:right w:w="0" w:type="dxa"/>
        </w:tblCellMar>
        <w:tblLook w:val="04A0"/>
      </w:tblPr>
      <w:tblGrid>
        <w:gridCol w:w="906"/>
        <w:gridCol w:w="1518"/>
        <w:gridCol w:w="1277"/>
        <w:gridCol w:w="1277"/>
        <w:gridCol w:w="1277"/>
        <w:gridCol w:w="2078"/>
      </w:tblGrid>
      <w:tr w:rsidR="00ED0E0D">
        <w:trPr>
          <w:trHeight w:val="747"/>
        </w:trPr>
        <w:tc>
          <w:tcPr>
            <w:tcW w:w="5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rPr>
              <w:t>年度</w:t>
            </w:r>
          </w:p>
        </w:tc>
        <w:tc>
          <w:tcPr>
            <w:tcW w:w="9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rPr>
              <w:t>申报预算</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rPr>
              <w:t>审核预算</w:t>
            </w:r>
          </w:p>
        </w:tc>
        <w:tc>
          <w:tcPr>
            <w:tcW w:w="766" w:type="pct"/>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rPr>
              <w:t>到位资金</w:t>
            </w:r>
          </w:p>
        </w:tc>
        <w:tc>
          <w:tcPr>
            <w:tcW w:w="766" w:type="pct"/>
            <w:tcBorders>
              <w:top w:val="single" w:sz="4" w:space="0" w:color="000000"/>
              <w:left w:val="single" w:sz="4" w:space="0" w:color="auto"/>
              <w:bottom w:val="single" w:sz="4" w:space="0" w:color="000000"/>
              <w:right w:val="single" w:sz="4" w:space="0" w:color="000000"/>
            </w:tcBorders>
            <w:shd w:val="clear" w:color="auto" w:fill="auto"/>
            <w:vAlign w:val="center"/>
          </w:tcPr>
          <w:p w:rsidR="00ED0E0D" w:rsidRDefault="00276BC2">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sz w:val="22"/>
                <w:szCs w:val="22"/>
              </w:rPr>
              <w:t>其中政府专项债资金</w:t>
            </w:r>
          </w:p>
        </w:tc>
        <w:tc>
          <w:tcPr>
            <w:tcW w:w="124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rPr>
              <w:t>拨款单位</w:t>
            </w:r>
          </w:p>
        </w:tc>
      </w:tr>
      <w:tr w:rsidR="00ED0E0D">
        <w:trPr>
          <w:trHeight w:val="813"/>
        </w:trPr>
        <w:tc>
          <w:tcPr>
            <w:tcW w:w="5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sz w:val="22"/>
                <w:szCs w:val="22"/>
              </w:rPr>
              <w:t>2020年</w:t>
            </w:r>
          </w:p>
        </w:tc>
        <w:tc>
          <w:tcPr>
            <w:tcW w:w="9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sz w:val="22"/>
                <w:szCs w:val="22"/>
              </w:rPr>
              <w:t>1,297.33</w:t>
            </w:r>
          </w:p>
        </w:tc>
        <w:tc>
          <w:tcPr>
            <w:tcW w:w="7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sz w:val="22"/>
                <w:szCs w:val="22"/>
              </w:rPr>
              <w:t>1,000.00</w:t>
            </w:r>
          </w:p>
        </w:tc>
        <w:tc>
          <w:tcPr>
            <w:tcW w:w="766" w:type="pct"/>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sz w:val="22"/>
                <w:szCs w:val="22"/>
              </w:rPr>
              <w:t>2,912.42</w:t>
            </w:r>
          </w:p>
        </w:tc>
        <w:tc>
          <w:tcPr>
            <w:tcW w:w="766" w:type="pct"/>
            <w:tcBorders>
              <w:top w:val="single" w:sz="4" w:space="0" w:color="000000"/>
              <w:left w:val="single" w:sz="4" w:space="0" w:color="auto"/>
              <w:bottom w:val="single" w:sz="4" w:space="0" w:color="000000"/>
              <w:right w:val="single" w:sz="4" w:space="0" w:color="000000"/>
            </w:tcBorders>
            <w:shd w:val="clear" w:color="auto" w:fill="auto"/>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sz w:val="22"/>
                <w:szCs w:val="22"/>
              </w:rPr>
              <w:t>1,912.42</w:t>
            </w:r>
          </w:p>
        </w:tc>
        <w:tc>
          <w:tcPr>
            <w:tcW w:w="124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sz w:val="22"/>
                <w:szCs w:val="22"/>
              </w:rPr>
              <w:t>东莞市财政局谢岗分局</w:t>
            </w:r>
          </w:p>
        </w:tc>
      </w:tr>
    </w:tbl>
    <w:p w:rsidR="00ED0E0D" w:rsidRDefault="00ED0E0D"/>
    <w:p w:rsidR="00ED0E0D" w:rsidRDefault="00276BC2" w:rsidP="00BD7BA9">
      <w:pPr>
        <w:pStyle w:val="a8"/>
        <w:ind w:firstLine="640"/>
        <w:rPr>
          <w:lang w:eastAsia="zh-CN"/>
        </w:rPr>
      </w:pPr>
      <w:bookmarkStart w:id="9" w:name="_Toc29417"/>
      <w:bookmarkStart w:id="10" w:name="_Toc653"/>
      <w:r>
        <w:rPr>
          <w:rFonts w:hint="eastAsia"/>
          <w:lang w:eastAsia="zh-CN"/>
        </w:rPr>
        <w:t>二、项目绩效目标设定情况</w:t>
      </w:r>
      <w:bookmarkEnd w:id="9"/>
      <w:bookmarkEnd w:id="10"/>
    </w:p>
    <w:p w:rsidR="00ED0E0D" w:rsidRDefault="00276BC2" w:rsidP="00BD7BA9">
      <w:pPr>
        <w:pStyle w:val="a9"/>
        <w:ind w:firstLine="643"/>
        <w:rPr>
          <w:lang w:eastAsia="zh-CN"/>
        </w:rPr>
      </w:pPr>
      <w:bookmarkStart w:id="11" w:name="_TOC_250015"/>
      <w:bookmarkStart w:id="12" w:name="_Toc27897"/>
      <w:bookmarkStart w:id="13" w:name="_Toc17300"/>
      <w:bookmarkEnd w:id="11"/>
      <w:r>
        <w:rPr>
          <w:rFonts w:hint="eastAsia"/>
          <w:lang w:eastAsia="zh-CN"/>
        </w:rPr>
        <w:t>（一）绩效总目标</w:t>
      </w:r>
      <w:bookmarkEnd w:id="12"/>
      <w:bookmarkEnd w:id="13"/>
    </w:p>
    <w:p w:rsidR="00ED0E0D" w:rsidRDefault="00276BC2" w:rsidP="00BD7BA9">
      <w:pPr>
        <w:pStyle w:val="a7"/>
        <w:ind w:firstLine="640"/>
        <w:rPr>
          <w:rFonts w:eastAsia="仿宋_GB2312"/>
          <w:color w:val="000000"/>
          <w:lang w:eastAsia="zh-CN"/>
        </w:rPr>
      </w:pPr>
      <w:r>
        <w:rPr>
          <w:rFonts w:ascii="仿宋_GB2312" w:eastAsia="仿宋_GB2312" w:cs="Arial" w:hint="eastAsia"/>
          <w:color w:val="000000"/>
          <w:szCs w:val="32"/>
          <w:lang w:eastAsia="zh-CN"/>
        </w:rPr>
        <w:t>总任务：</w:t>
      </w:r>
      <w:r>
        <w:rPr>
          <w:rFonts w:eastAsia="仿宋_GB2312" w:hint="eastAsia"/>
          <w:color w:val="000000"/>
          <w:lang w:eastAsia="zh-CN"/>
        </w:rPr>
        <w:t>对镇村道路进行综合整治，主要是对现状路面破损进行修复、排水设施进行修复，路面修复后对现状路面进行沥青罩面，按照道牙、修复和增设人行道、局部修复绿化、完善交通标志边线等。</w:t>
      </w:r>
    </w:p>
    <w:p w:rsidR="00ED0E0D" w:rsidRDefault="00276BC2" w:rsidP="00BD7BA9">
      <w:pPr>
        <w:pStyle w:val="a7"/>
        <w:ind w:firstLine="640"/>
        <w:rPr>
          <w:rFonts w:eastAsia="仿宋_GB2312"/>
          <w:color w:val="000000"/>
          <w:lang w:eastAsia="zh-CN"/>
        </w:rPr>
      </w:pPr>
      <w:r>
        <w:rPr>
          <w:rFonts w:eastAsia="仿宋_GB2312" w:hint="eastAsia"/>
          <w:color w:val="000000"/>
          <w:lang w:eastAsia="zh-CN"/>
        </w:rPr>
        <w:t>总产出：完成</w:t>
      </w:r>
      <w:r>
        <w:rPr>
          <w:rFonts w:ascii="仿宋_GB2312" w:eastAsia="仿宋_GB2312" w:cs="Arial" w:hint="eastAsia"/>
          <w:color w:val="000000"/>
          <w:szCs w:val="32"/>
          <w:lang w:eastAsia="zh-CN"/>
        </w:rPr>
        <w:t>22</w:t>
      </w:r>
      <w:r>
        <w:rPr>
          <w:rFonts w:eastAsia="仿宋_GB2312" w:hint="eastAsia"/>
          <w:color w:val="000000"/>
          <w:lang w:eastAsia="zh-CN"/>
        </w:rPr>
        <w:t>条道路路线总长</w:t>
      </w:r>
      <w:r>
        <w:rPr>
          <w:rFonts w:ascii="仿宋_GB2312" w:eastAsia="仿宋_GB2312" w:cs="Arial" w:hint="eastAsia"/>
          <w:color w:val="000000"/>
          <w:szCs w:val="32"/>
          <w:lang w:eastAsia="zh-CN"/>
        </w:rPr>
        <w:t>13.5公里（13452</w:t>
      </w:r>
      <w:r>
        <w:rPr>
          <w:rFonts w:eastAsia="仿宋_GB2312" w:hint="eastAsia"/>
          <w:color w:val="000000"/>
          <w:lang w:eastAsia="zh-CN"/>
        </w:rPr>
        <w:t>米</w:t>
      </w:r>
      <w:r>
        <w:rPr>
          <w:rFonts w:ascii="仿宋_GB2312" w:eastAsia="仿宋_GB2312" w:cs="Arial" w:hint="eastAsia"/>
          <w:color w:val="000000"/>
          <w:szCs w:val="32"/>
          <w:lang w:eastAsia="zh-CN"/>
        </w:rPr>
        <w:t>）</w:t>
      </w:r>
      <w:r>
        <w:rPr>
          <w:rFonts w:eastAsia="仿宋_GB2312" w:hint="eastAsia"/>
          <w:color w:val="000000"/>
          <w:lang w:eastAsia="zh-CN"/>
        </w:rPr>
        <w:t>，双向两车道的四级公路兼城市支路破损路面修复、加铺沥青路面、人行道拆除改造、排水、绿化、路灯、路面标线标牌。</w:t>
      </w:r>
    </w:p>
    <w:p w:rsidR="00ED0E0D" w:rsidRDefault="00276BC2" w:rsidP="00BD7BA9">
      <w:pPr>
        <w:pStyle w:val="a7"/>
        <w:ind w:firstLine="640"/>
        <w:rPr>
          <w:lang w:eastAsia="zh-CN"/>
        </w:rPr>
      </w:pPr>
      <w:r>
        <w:rPr>
          <w:rFonts w:hint="eastAsia"/>
          <w:lang w:eastAsia="zh-CN"/>
        </w:rPr>
        <w:t>总效益：项目整治有利于推动谢岗镇打造成为东莞东部组团发展先行区，有利于提升谢岗镇对外城市形象；有利于完善谢岗镇交通路网体系建设，促进镇区经济发展；有利于改善谢岗镇投资环境；有利于便利周边居民出行、完善周边</w:t>
      </w:r>
      <w:r>
        <w:rPr>
          <w:rFonts w:hint="eastAsia"/>
          <w:lang w:eastAsia="zh-CN"/>
        </w:rPr>
        <w:lastRenderedPageBreak/>
        <w:t>配套及提升谢岗城市形象。</w:t>
      </w:r>
    </w:p>
    <w:p w:rsidR="00ED0E0D" w:rsidRDefault="00276BC2" w:rsidP="00BD7BA9">
      <w:pPr>
        <w:pStyle w:val="a9"/>
        <w:ind w:firstLine="643"/>
        <w:rPr>
          <w:lang w:eastAsia="zh-CN"/>
        </w:rPr>
      </w:pPr>
      <w:bookmarkStart w:id="14" w:name="_Toc9804"/>
      <w:bookmarkStart w:id="15" w:name="_Toc14109"/>
      <w:r>
        <w:rPr>
          <w:rFonts w:hint="eastAsia"/>
          <w:lang w:eastAsia="zh-CN"/>
        </w:rPr>
        <w:t>（二）阶段性目标</w:t>
      </w:r>
      <w:bookmarkEnd w:id="14"/>
      <w:bookmarkEnd w:id="15"/>
    </w:p>
    <w:p w:rsidR="00ED0E0D" w:rsidRDefault="00276BC2" w:rsidP="00BD7BA9">
      <w:pPr>
        <w:pStyle w:val="a7"/>
        <w:ind w:firstLine="640"/>
        <w:rPr>
          <w:lang w:eastAsia="zh-CN"/>
        </w:rPr>
      </w:pPr>
      <w:r>
        <w:rPr>
          <w:rFonts w:hint="eastAsia"/>
          <w:lang w:eastAsia="zh-CN"/>
        </w:rPr>
        <w:t>项目阶段性目标：阶段性目标包括项目决策阶段、项目过程实施阶段、项目产出阶段和效益。</w:t>
      </w:r>
    </w:p>
    <w:p w:rsidR="00ED0E0D" w:rsidRDefault="00276BC2" w:rsidP="00BD7BA9">
      <w:pPr>
        <w:pStyle w:val="a7"/>
        <w:ind w:firstLine="640"/>
        <w:rPr>
          <w:lang w:eastAsia="zh-CN"/>
        </w:rPr>
      </w:pPr>
      <w:r>
        <w:rPr>
          <w:rFonts w:hint="eastAsia"/>
          <w:lang w:eastAsia="zh-CN"/>
        </w:rPr>
        <w:t>决策阶段：2019年开始编制项目建议书、编制可行性研究报告、按建设流程进行报批报建，申请立项及概算审批，办理施工图审批及招标审批，办理质、安监报监手续。</w:t>
      </w:r>
    </w:p>
    <w:p w:rsidR="00ED0E0D" w:rsidRDefault="00276BC2" w:rsidP="00BD7BA9">
      <w:pPr>
        <w:pStyle w:val="a7"/>
        <w:ind w:firstLine="640"/>
        <w:rPr>
          <w:lang w:eastAsia="zh-CN"/>
        </w:rPr>
      </w:pPr>
      <w:r>
        <w:rPr>
          <w:rFonts w:hint="eastAsia"/>
          <w:lang w:eastAsia="zh-CN"/>
        </w:rPr>
        <w:t>工程实施阶段：2019年11月-2020年实施项目勘察、设计及招标采购工作，签订合同、落实工程实施进度及质量控制，根据工程进度和合同结算条款进行结算。</w:t>
      </w:r>
    </w:p>
    <w:p w:rsidR="00ED0E0D" w:rsidRDefault="00276BC2" w:rsidP="00BD7BA9">
      <w:pPr>
        <w:pStyle w:val="a7"/>
        <w:ind w:firstLine="640"/>
        <w:rPr>
          <w:lang w:eastAsia="zh-CN"/>
        </w:rPr>
      </w:pPr>
      <w:r>
        <w:rPr>
          <w:rFonts w:hint="eastAsia"/>
          <w:lang w:eastAsia="zh-CN"/>
        </w:rPr>
        <w:t>产出阶段：2020年11月完成总长13.5公里（13452米）22条道路收尾及交工验收，质量经检验合格达标，按合同付款进度支付结算款。</w:t>
      </w:r>
    </w:p>
    <w:p w:rsidR="00ED0E0D" w:rsidRDefault="00276BC2" w:rsidP="00BD7BA9">
      <w:pPr>
        <w:pStyle w:val="a7"/>
        <w:ind w:firstLine="640"/>
        <w:rPr>
          <w:lang w:eastAsia="zh-CN"/>
        </w:rPr>
      </w:pPr>
      <w:r>
        <w:rPr>
          <w:rFonts w:hint="eastAsia"/>
          <w:lang w:eastAsia="zh-CN"/>
        </w:rPr>
        <w:t>效益阶段：完成22条村镇道路整治，改善群众出行，美化居民生活环境，提升镇内交通环境。</w:t>
      </w:r>
    </w:p>
    <w:p w:rsidR="00ED0E0D" w:rsidRDefault="00276BC2" w:rsidP="00BD7BA9">
      <w:pPr>
        <w:pStyle w:val="a8"/>
        <w:ind w:firstLine="640"/>
        <w:rPr>
          <w:lang w:eastAsia="zh-CN"/>
        </w:rPr>
      </w:pPr>
      <w:bookmarkStart w:id="16" w:name="_Toc14104"/>
      <w:bookmarkStart w:id="17" w:name="_Toc2688"/>
      <w:r>
        <w:rPr>
          <w:rFonts w:hint="eastAsia"/>
          <w:lang w:eastAsia="zh-CN"/>
        </w:rPr>
        <w:t>三、项目实施情况</w:t>
      </w:r>
      <w:bookmarkEnd w:id="16"/>
      <w:bookmarkEnd w:id="17"/>
    </w:p>
    <w:p w:rsidR="00ED0E0D" w:rsidRDefault="00276BC2" w:rsidP="00BD7BA9">
      <w:pPr>
        <w:pStyle w:val="a9"/>
        <w:ind w:firstLine="643"/>
        <w:rPr>
          <w:lang w:eastAsia="zh-CN"/>
        </w:rPr>
      </w:pPr>
      <w:bookmarkStart w:id="18" w:name="_Toc17879"/>
      <w:bookmarkStart w:id="19" w:name="_Toc32649"/>
      <w:r>
        <w:rPr>
          <w:rFonts w:hint="eastAsia"/>
          <w:lang w:eastAsia="zh-CN"/>
        </w:rPr>
        <w:t>（一）组织管理情况</w:t>
      </w:r>
      <w:bookmarkEnd w:id="18"/>
      <w:bookmarkEnd w:id="19"/>
    </w:p>
    <w:p w:rsidR="00ED0E0D" w:rsidRDefault="00276BC2" w:rsidP="00BD7BA9">
      <w:pPr>
        <w:pStyle w:val="a7"/>
        <w:ind w:firstLine="640"/>
        <w:rPr>
          <w:lang w:eastAsia="zh-CN"/>
        </w:rPr>
      </w:pPr>
      <w:r>
        <w:rPr>
          <w:rFonts w:hint="eastAsia"/>
          <w:lang w:eastAsia="zh-CN"/>
        </w:rPr>
        <w:t>该项目由东莞市谢岗镇公用事业服务中心负责组织建设、招标、工程进度和工程质量控制，谢岗镇道路建设及水系调整项目组负责落实代建。</w:t>
      </w:r>
    </w:p>
    <w:p w:rsidR="00ED0E0D" w:rsidRDefault="00276BC2" w:rsidP="00BD7BA9">
      <w:pPr>
        <w:pStyle w:val="a9"/>
        <w:ind w:firstLine="643"/>
        <w:rPr>
          <w:lang w:eastAsia="zh-CN"/>
        </w:rPr>
      </w:pPr>
      <w:bookmarkStart w:id="20" w:name="_Toc21044"/>
      <w:bookmarkStart w:id="21" w:name="_Toc1267"/>
      <w:r>
        <w:rPr>
          <w:rFonts w:hint="eastAsia"/>
          <w:lang w:eastAsia="zh-CN"/>
        </w:rPr>
        <w:t>（二）招投标开展情况</w:t>
      </w:r>
      <w:bookmarkEnd w:id="20"/>
      <w:bookmarkEnd w:id="21"/>
    </w:p>
    <w:p w:rsidR="00ED0E0D" w:rsidRDefault="00276BC2" w:rsidP="00BD7BA9">
      <w:pPr>
        <w:pStyle w:val="a7"/>
        <w:ind w:firstLine="640"/>
        <w:rPr>
          <w:lang w:eastAsia="zh-CN"/>
        </w:rPr>
      </w:pPr>
      <w:r>
        <w:rPr>
          <w:rFonts w:hint="eastAsia"/>
          <w:lang w:eastAsia="zh-CN"/>
        </w:rPr>
        <w:t>2019年6月，东莞市发展和改革局下达《关于谢岗镇镇</w:t>
      </w:r>
      <w:r>
        <w:rPr>
          <w:rFonts w:hint="eastAsia"/>
          <w:lang w:eastAsia="zh-CN"/>
        </w:rPr>
        <w:lastRenderedPageBreak/>
        <w:t>村两级道路综合整治一期工程项目勘察、设计招标方式的核准意见》（东发改谢〔2019〕10 号），2019年7月核准建筑工程、安装工程、监理、设备、重要材料全部委托招标代理机构实施公开招标。中标情况如下表（金额单位元）见下表2</w:t>
      </w:r>
    </w:p>
    <w:p w:rsidR="00ED0E0D" w:rsidRDefault="00276BC2" w:rsidP="00BD7BA9">
      <w:pPr>
        <w:pStyle w:val="a7"/>
        <w:ind w:firstLine="640"/>
        <w:jc w:val="center"/>
        <w:rPr>
          <w:lang w:eastAsia="zh-CN"/>
        </w:rPr>
      </w:pPr>
      <w:r>
        <w:rPr>
          <w:rFonts w:hint="eastAsia"/>
          <w:lang w:eastAsia="zh-CN"/>
        </w:rPr>
        <w:t>表2  中标情况表</w:t>
      </w:r>
    </w:p>
    <w:tbl>
      <w:tblPr>
        <w:tblW w:w="8336" w:type="dxa"/>
        <w:tblLayout w:type="fixed"/>
        <w:tblCellMar>
          <w:left w:w="0" w:type="dxa"/>
          <w:right w:w="0" w:type="dxa"/>
        </w:tblCellMar>
        <w:tblLook w:val="04A0"/>
      </w:tblPr>
      <w:tblGrid>
        <w:gridCol w:w="736"/>
        <w:gridCol w:w="1364"/>
        <w:gridCol w:w="4309"/>
        <w:gridCol w:w="1927"/>
      </w:tblGrid>
      <w:tr w:rsidR="00ED0E0D">
        <w:trPr>
          <w:trHeight w:val="478"/>
        </w:trPr>
        <w:tc>
          <w:tcPr>
            <w:tcW w:w="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rPr>
              <w:t>序号</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rPr>
              <w:t>内容</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rPr>
              <w:t>中标单位</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bCs/>
                <w:color w:val="000000"/>
                <w:sz w:val="22"/>
                <w:szCs w:val="22"/>
              </w:rPr>
            </w:pPr>
            <w:r>
              <w:rPr>
                <w:rFonts w:ascii="仿宋" w:eastAsia="仿宋" w:hAnsi="仿宋" w:cs="仿宋" w:hint="eastAsia"/>
                <w:b/>
                <w:bCs/>
                <w:color w:val="000000"/>
                <w:kern w:val="0"/>
                <w:sz w:val="22"/>
                <w:szCs w:val="22"/>
              </w:rPr>
              <w:t>中标金额（元）</w:t>
            </w:r>
          </w:p>
        </w:tc>
      </w:tr>
      <w:tr w:rsidR="00ED0E0D">
        <w:trPr>
          <w:trHeight w:val="556"/>
        </w:trPr>
        <w:tc>
          <w:tcPr>
            <w:tcW w:w="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勘察</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jc w:val="center"/>
              <w:rPr>
                <w:rFonts w:ascii="仿宋" w:eastAsia="仿宋" w:hAnsi="仿宋" w:cs="仿宋"/>
                <w:color w:val="000000"/>
                <w:sz w:val="22"/>
                <w:szCs w:val="22"/>
              </w:rPr>
            </w:pPr>
            <w:r>
              <w:rPr>
                <w:rFonts w:ascii="仿宋" w:eastAsia="仿宋" w:hAnsi="仿宋" w:cs="仿宋" w:hint="eastAsia"/>
                <w:color w:val="000000"/>
                <w:sz w:val="22"/>
                <w:szCs w:val="22"/>
              </w:rPr>
              <w:t>武汉市政工程设计研究院有限公司</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jc w:val="center"/>
              <w:rPr>
                <w:rFonts w:ascii="仿宋" w:eastAsia="仿宋" w:hAnsi="仿宋" w:cs="仿宋"/>
                <w:color w:val="000000"/>
                <w:sz w:val="22"/>
                <w:szCs w:val="22"/>
              </w:rPr>
            </w:pPr>
            <w:r>
              <w:rPr>
                <w:rFonts w:ascii="仿宋" w:eastAsia="仿宋" w:hAnsi="仿宋" w:cs="仿宋" w:hint="eastAsia"/>
                <w:color w:val="000000"/>
                <w:sz w:val="22"/>
                <w:szCs w:val="22"/>
              </w:rPr>
              <w:t>1,548,400.00</w:t>
            </w:r>
          </w:p>
        </w:tc>
      </w:tr>
      <w:tr w:rsidR="00ED0E0D">
        <w:trPr>
          <w:trHeight w:val="679"/>
        </w:trPr>
        <w:tc>
          <w:tcPr>
            <w:tcW w:w="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设计</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jc w:val="center"/>
              <w:rPr>
                <w:rFonts w:ascii="仿宋" w:eastAsia="仿宋" w:hAnsi="仿宋" w:cs="仿宋"/>
                <w:color w:val="000000"/>
                <w:sz w:val="22"/>
                <w:szCs w:val="22"/>
              </w:rPr>
            </w:pPr>
            <w:r>
              <w:rPr>
                <w:rFonts w:ascii="仿宋" w:eastAsia="仿宋" w:hAnsi="仿宋" w:cs="仿宋" w:hint="eastAsia"/>
                <w:color w:val="000000"/>
                <w:sz w:val="22"/>
                <w:szCs w:val="22"/>
              </w:rPr>
              <w:t>武汉市政工程设计研究院有限公司</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jc w:val="center"/>
              <w:rPr>
                <w:rFonts w:ascii="仿宋" w:eastAsia="仿宋" w:hAnsi="仿宋" w:cs="仿宋"/>
                <w:color w:val="000000"/>
                <w:sz w:val="22"/>
                <w:szCs w:val="22"/>
              </w:rPr>
            </w:pPr>
            <w:r>
              <w:rPr>
                <w:rFonts w:ascii="仿宋" w:eastAsia="仿宋" w:hAnsi="仿宋" w:cs="仿宋" w:hint="eastAsia"/>
                <w:color w:val="000000"/>
                <w:sz w:val="22"/>
                <w:szCs w:val="22"/>
              </w:rPr>
              <w:t>2,322,660.00</w:t>
            </w:r>
          </w:p>
        </w:tc>
      </w:tr>
      <w:tr w:rsidR="00ED0E0D">
        <w:trPr>
          <w:trHeight w:val="546"/>
        </w:trPr>
        <w:tc>
          <w:tcPr>
            <w:tcW w:w="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sz w:val="22"/>
                <w:szCs w:val="22"/>
              </w:rPr>
              <w:t>工程</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jc w:val="center"/>
              <w:rPr>
                <w:rFonts w:ascii="仿宋" w:eastAsia="仿宋" w:hAnsi="仿宋" w:cs="仿宋"/>
                <w:color w:val="000000"/>
                <w:sz w:val="22"/>
                <w:szCs w:val="22"/>
              </w:rPr>
            </w:pPr>
            <w:r>
              <w:rPr>
                <w:rFonts w:ascii="仿宋" w:eastAsia="仿宋" w:hAnsi="仿宋" w:cs="仿宋" w:hint="eastAsia"/>
                <w:color w:val="000000"/>
                <w:sz w:val="22"/>
                <w:szCs w:val="22"/>
              </w:rPr>
              <w:t>广东鸿高建设集团有限公司</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105,624,318.40</w:t>
            </w:r>
          </w:p>
        </w:tc>
      </w:tr>
      <w:tr w:rsidR="00ED0E0D">
        <w:trPr>
          <w:trHeight w:val="566"/>
        </w:trPr>
        <w:tc>
          <w:tcPr>
            <w:tcW w:w="7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4</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监理</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jc w:val="center"/>
              <w:rPr>
                <w:rFonts w:ascii="仿宋" w:eastAsia="仿宋" w:hAnsi="仿宋" w:cs="仿宋"/>
                <w:color w:val="000000"/>
                <w:sz w:val="22"/>
                <w:szCs w:val="22"/>
              </w:rPr>
            </w:pPr>
            <w:r>
              <w:rPr>
                <w:rFonts w:ascii="仿宋" w:eastAsia="仿宋" w:hAnsi="仿宋" w:cs="仿宋" w:hint="eastAsia"/>
                <w:color w:val="000000"/>
                <w:sz w:val="22"/>
                <w:szCs w:val="22"/>
              </w:rPr>
              <w:t>贵州通力达公路工程监理咨询有限公司</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1,975,302.00</w:t>
            </w:r>
          </w:p>
        </w:tc>
      </w:tr>
      <w:tr w:rsidR="00ED0E0D">
        <w:trPr>
          <w:trHeight w:val="521"/>
        </w:trPr>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合计</w:t>
            </w:r>
          </w:p>
        </w:tc>
        <w:tc>
          <w:tcPr>
            <w:tcW w:w="43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111,470,680.40</w:t>
            </w:r>
          </w:p>
        </w:tc>
      </w:tr>
    </w:tbl>
    <w:p w:rsidR="00ED0E0D" w:rsidRDefault="00ED0E0D"/>
    <w:p w:rsidR="00ED0E0D" w:rsidRDefault="00276BC2" w:rsidP="00BD7BA9">
      <w:pPr>
        <w:pStyle w:val="a9"/>
        <w:ind w:firstLine="643"/>
      </w:pPr>
      <w:bookmarkStart w:id="22" w:name="_Toc10966"/>
      <w:bookmarkStart w:id="23" w:name="_Toc5434"/>
      <w:r>
        <w:rPr>
          <w:rFonts w:hint="eastAsia"/>
        </w:rPr>
        <w:t>（三）合同及付款情况</w:t>
      </w:r>
      <w:bookmarkEnd w:id="22"/>
      <w:bookmarkEnd w:id="23"/>
    </w:p>
    <w:p w:rsidR="00ED0E0D" w:rsidRDefault="00276BC2" w:rsidP="00BD7BA9">
      <w:pPr>
        <w:pStyle w:val="a7"/>
        <w:ind w:firstLine="640"/>
        <w:rPr>
          <w:rFonts w:ascii="仿宋_GB2312" w:eastAsia="仿宋_GB2312" w:cs="Arial"/>
          <w:color w:val="000000"/>
          <w:szCs w:val="32"/>
          <w:lang w:eastAsia="zh-CN"/>
        </w:rPr>
      </w:pPr>
      <w:r>
        <w:rPr>
          <w:rFonts w:ascii="仿宋_GB2312" w:eastAsia="仿宋_GB2312" w:cs="Arial" w:hint="eastAsia"/>
          <w:color w:val="000000"/>
          <w:szCs w:val="32"/>
          <w:lang w:eastAsia="zh-CN"/>
        </w:rPr>
        <w:t>根据项目单位支付信息表</w:t>
      </w:r>
      <w:r>
        <w:rPr>
          <w:rFonts w:hint="eastAsia"/>
          <w:lang w:eastAsia="zh-CN"/>
        </w:rPr>
        <w:t>（支付流水表及支付汇总表）、2020年度项目资金支出情况汇总分析统计</w:t>
      </w:r>
      <w:r>
        <w:rPr>
          <w:rFonts w:ascii="仿宋_GB2312" w:eastAsia="仿宋_GB2312" w:cs="Arial" w:hint="eastAsia"/>
          <w:color w:val="000000"/>
          <w:szCs w:val="32"/>
          <w:lang w:eastAsia="zh-CN"/>
        </w:rPr>
        <w:t>，2020年该项目签订合同10份，合同金额共计13,906.11万元，2020年账面显示累计支付合同款2,912.42万元。合同签订及2020年付款情况如下表（金额单位元）见表3</w:t>
      </w:r>
    </w:p>
    <w:p w:rsidR="00ED0E0D" w:rsidRDefault="00276BC2" w:rsidP="00BD7BA9">
      <w:pPr>
        <w:pStyle w:val="a7"/>
        <w:ind w:firstLine="640"/>
        <w:jc w:val="center"/>
      </w:pPr>
      <w:r>
        <w:rPr>
          <w:rFonts w:hint="eastAsia"/>
        </w:rPr>
        <w:t>表3  合同及付款情况表</w:t>
      </w:r>
    </w:p>
    <w:tbl>
      <w:tblPr>
        <w:tblW w:w="5635" w:type="pct"/>
        <w:tblInd w:w="-548" w:type="dxa"/>
        <w:tblLayout w:type="fixed"/>
        <w:tblCellMar>
          <w:left w:w="0" w:type="dxa"/>
          <w:right w:w="0" w:type="dxa"/>
        </w:tblCellMar>
        <w:tblLook w:val="04A0"/>
      </w:tblPr>
      <w:tblGrid>
        <w:gridCol w:w="1468"/>
        <w:gridCol w:w="2818"/>
        <w:gridCol w:w="1751"/>
        <w:gridCol w:w="2208"/>
        <w:gridCol w:w="1150"/>
      </w:tblGrid>
      <w:tr w:rsidR="00ED0E0D">
        <w:trPr>
          <w:trHeight w:val="634"/>
        </w:trPr>
        <w:tc>
          <w:tcPr>
            <w:tcW w:w="78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2"/>
                <w:szCs w:val="22"/>
              </w:rPr>
            </w:pPr>
            <w:bookmarkStart w:id="24" w:name="_Toc11195"/>
            <w:r>
              <w:rPr>
                <w:rFonts w:ascii="仿宋" w:eastAsia="仿宋" w:hAnsi="仿宋" w:cs="仿宋" w:hint="eastAsia"/>
                <w:b/>
                <w:color w:val="000000"/>
                <w:kern w:val="0"/>
                <w:sz w:val="22"/>
                <w:szCs w:val="22"/>
              </w:rPr>
              <w:t>合同内容</w:t>
            </w:r>
          </w:p>
        </w:tc>
        <w:tc>
          <w:tcPr>
            <w:tcW w:w="149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2"/>
                <w:szCs w:val="22"/>
              </w:rPr>
            </w:pPr>
            <w:r>
              <w:rPr>
                <w:rFonts w:ascii="仿宋" w:eastAsia="仿宋" w:hAnsi="仿宋" w:cs="仿宋" w:hint="eastAsia"/>
                <w:b/>
                <w:color w:val="000000"/>
                <w:kern w:val="0"/>
                <w:sz w:val="22"/>
                <w:szCs w:val="22"/>
              </w:rPr>
              <w:t>合同对方单位</w:t>
            </w:r>
          </w:p>
        </w:tc>
        <w:tc>
          <w:tcPr>
            <w:tcW w:w="93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2"/>
                <w:szCs w:val="22"/>
              </w:rPr>
            </w:pPr>
            <w:r>
              <w:rPr>
                <w:rFonts w:ascii="仿宋" w:eastAsia="仿宋" w:hAnsi="仿宋" w:cs="仿宋" w:hint="eastAsia"/>
                <w:b/>
                <w:color w:val="000000"/>
                <w:kern w:val="0"/>
                <w:sz w:val="22"/>
                <w:szCs w:val="22"/>
              </w:rPr>
              <w:t>合同金额</w:t>
            </w:r>
          </w:p>
        </w:tc>
        <w:tc>
          <w:tcPr>
            <w:tcW w:w="117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2"/>
                <w:szCs w:val="22"/>
              </w:rPr>
            </w:pPr>
            <w:r>
              <w:rPr>
                <w:rFonts w:ascii="仿宋" w:eastAsia="仿宋" w:hAnsi="仿宋" w:cs="仿宋" w:hint="eastAsia"/>
                <w:b/>
                <w:color w:val="000000"/>
                <w:kern w:val="0"/>
                <w:sz w:val="22"/>
                <w:szCs w:val="22"/>
              </w:rPr>
              <w:t>2020年累计付款</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2"/>
                <w:szCs w:val="22"/>
              </w:rPr>
            </w:pPr>
            <w:r>
              <w:rPr>
                <w:rFonts w:ascii="仿宋" w:eastAsia="仿宋" w:hAnsi="仿宋" w:cs="仿宋" w:hint="eastAsia"/>
                <w:b/>
                <w:color w:val="000000"/>
                <w:kern w:val="0"/>
                <w:sz w:val="22"/>
                <w:szCs w:val="22"/>
              </w:rPr>
              <w:t>付款时间</w:t>
            </w:r>
          </w:p>
        </w:tc>
      </w:tr>
      <w:tr w:rsidR="00ED0E0D">
        <w:trPr>
          <w:trHeight w:val="634"/>
        </w:trPr>
        <w:tc>
          <w:tcPr>
            <w:tcW w:w="78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初步设计咨询费</w:t>
            </w:r>
          </w:p>
        </w:tc>
        <w:tc>
          <w:tcPr>
            <w:tcW w:w="1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中大工程设计有限公司</w:t>
            </w:r>
          </w:p>
        </w:tc>
        <w:tc>
          <w:tcPr>
            <w:tcW w:w="93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44,318.25</w:t>
            </w: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44,318.25</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2020/5/8</w:t>
            </w:r>
          </w:p>
        </w:tc>
      </w:tr>
      <w:tr w:rsidR="00ED0E0D">
        <w:trPr>
          <w:trHeight w:val="686"/>
        </w:trPr>
        <w:tc>
          <w:tcPr>
            <w:tcW w:w="78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lastRenderedPageBreak/>
              <w:t>水土保持补偿费</w:t>
            </w:r>
          </w:p>
        </w:tc>
        <w:tc>
          <w:tcPr>
            <w:tcW w:w="149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广东国仕工程咨询有限公司</w:t>
            </w:r>
          </w:p>
        </w:tc>
        <w:tc>
          <w:tcPr>
            <w:tcW w:w="93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7,590.00</w:t>
            </w: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7,590.00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2020/8/10</w:t>
            </w:r>
          </w:p>
        </w:tc>
      </w:tr>
      <w:tr w:rsidR="00ED0E0D">
        <w:trPr>
          <w:trHeight w:val="450"/>
        </w:trPr>
        <w:tc>
          <w:tcPr>
            <w:tcW w:w="78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项目建议书及可行性研究报告编制费</w:t>
            </w:r>
          </w:p>
        </w:tc>
        <w:tc>
          <w:tcPr>
            <w:tcW w:w="149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武汉市政工程设计研究院有限公司</w:t>
            </w:r>
          </w:p>
        </w:tc>
        <w:tc>
          <w:tcPr>
            <w:tcW w:w="93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335,000.00</w:t>
            </w: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335,000.00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2020/11/18</w:t>
            </w:r>
          </w:p>
        </w:tc>
      </w:tr>
      <w:tr w:rsidR="00ED0E0D">
        <w:trPr>
          <w:trHeight w:val="450"/>
        </w:trPr>
        <w:tc>
          <w:tcPr>
            <w:tcW w:w="78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水土保持方案编制费</w:t>
            </w:r>
          </w:p>
        </w:tc>
        <w:tc>
          <w:tcPr>
            <w:tcW w:w="149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广东国仕工程咨询有限公司</w:t>
            </w:r>
          </w:p>
        </w:tc>
        <w:tc>
          <w:tcPr>
            <w:tcW w:w="93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102,900.00</w:t>
            </w: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102,900.00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2020/9/14</w:t>
            </w:r>
          </w:p>
        </w:tc>
      </w:tr>
      <w:tr w:rsidR="00ED0E0D">
        <w:trPr>
          <w:trHeight w:val="629"/>
        </w:trPr>
        <w:tc>
          <w:tcPr>
            <w:tcW w:w="78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初步设计费</w:t>
            </w:r>
          </w:p>
        </w:tc>
        <w:tc>
          <w:tcPr>
            <w:tcW w:w="149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武汉市政工程设计研究院有限公司</w:t>
            </w:r>
          </w:p>
        </w:tc>
        <w:tc>
          <w:tcPr>
            <w:tcW w:w="93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2,322,660.00</w:t>
            </w: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2,212,596.00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2020/11/10</w:t>
            </w:r>
          </w:p>
        </w:tc>
      </w:tr>
      <w:tr w:rsidR="00ED0E0D">
        <w:trPr>
          <w:trHeight w:val="681"/>
        </w:trPr>
        <w:tc>
          <w:tcPr>
            <w:tcW w:w="78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勘察费</w:t>
            </w:r>
          </w:p>
        </w:tc>
        <w:tc>
          <w:tcPr>
            <w:tcW w:w="149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武汉市政工程设计研究院有限公司</w:t>
            </w:r>
          </w:p>
        </w:tc>
        <w:tc>
          <w:tcPr>
            <w:tcW w:w="93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1,548,400.00</w:t>
            </w: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1,238,720.00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2020/11/10</w:t>
            </w:r>
          </w:p>
        </w:tc>
      </w:tr>
      <w:tr w:rsidR="00ED0E0D">
        <w:trPr>
          <w:trHeight w:val="705"/>
        </w:trPr>
        <w:tc>
          <w:tcPr>
            <w:tcW w:w="78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施工图审查费</w:t>
            </w:r>
          </w:p>
        </w:tc>
        <w:tc>
          <w:tcPr>
            <w:tcW w:w="149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湖北建科国际工程有限公司</w:t>
            </w:r>
          </w:p>
        </w:tc>
        <w:tc>
          <w:tcPr>
            <w:tcW w:w="93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315,200.00</w:t>
            </w: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315,200.00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2020/11/24</w:t>
            </w:r>
          </w:p>
        </w:tc>
      </w:tr>
      <w:tr w:rsidR="00ED0E0D">
        <w:trPr>
          <w:trHeight w:val="794"/>
        </w:trPr>
        <w:tc>
          <w:tcPr>
            <w:tcW w:w="78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初步设计及勘察招标代理费</w:t>
            </w:r>
          </w:p>
        </w:tc>
        <w:tc>
          <w:tcPr>
            <w:tcW w:w="149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广东省电信规划设计院有限公司</w:t>
            </w:r>
          </w:p>
        </w:tc>
        <w:tc>
          <w:tcPr>
            <w:tcW w:w="93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38,312.00</w:t>
            </w: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ind w:firstLineChars="200" w:firstLine="440"/>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w:t>
            </w:r>
          </w:p>
        </w:tc>
      </w:tr>
      <w:tr w:rsidR="00ED0E0D">
        <w:trPr>
          <w:trHeight w:val="692"/>
        </w:trPr>
        <w:tc>
          <w:tcPr>
            <w:tcW w:w="78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防洪评价编制费</w:t>
            </w:r>
          </w:p>
        </w:tc>
        <w:tc>
          <w:tcPr>
            <w:tcW w:w="149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广东鸿诚水利工程设计咨询有限公司</w:t>
            </w:r>
          </w:p>
        </w:tc>
        <w:tc>
          <w:tcPr>
            <w:tcW w:w="93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341,000.00</w:t>
            </w: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ind w:firstLineChars="200" w:firstLine="440"/>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w:t>
            </w:r>
          </w:p>
        </w:tc>
      </w:tr>
      <w:tr w:rsidR="00ED0E0D">
        <w:trPr>
          <w:trHeight w:val="546"/>
        </w:trPr>
        <w:tc>
          <w:tcPr>
            <w:tcW w:w="781"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工程总承包费</w:t>
            </w:r>
          </w:p>
        </w:tc>
        <w:tc>
          <w:tcPr>
            <w:tcW w:w="149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广东鸿高建设集团有限公司</w:t>
            </w:r>
          </w:p>
        </w:tc>
        <w:tc>
          <w:tcPr>
            <w:tcW w:w="932" w:type="pct"/>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132,030,398.00</w:t>
            </w: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632,024.90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2020/11/25</w:t>
            </w:r>
          </w:p>
        </w:tc>
      </w:tr>
      <w:tr w:rsidR="00ED0E0D">
        <w:trPr>
          <w:trHeight w:val="540"/>
        </w:trPr>
        <w:tc>
          <w:tcPr>
            <w:tcW w:w="781"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149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93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2,528,099.70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2020/11/25</w:t>
            </w:r>
          </w:p>
        </w:tc>
      </w:tr>
      <w:tr w:rsidR="00ED0E0D">
        <w:trPr>
          <w:trHeight w:val="534"/>
        </w:trPr>
        <w:tc>
          <w:tcPr>
            <w:tcW w:w="781"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149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93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13,500,960.00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2020/12/24</w:t>
            </w:r>
          </w:p>
        </w:tc>
      </w:tr>
      <w:tr w:rsidR="00ED0E0D">
        <w:trPr>
          <w:trHeight w:val="556"/>
        </w:trPr>
        <w:tc>
          <w:tcPr>
            <w:tcW w:w="781"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149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932" w:type="pct"/>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8,206,829.90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2020/12/24</w:t>
            </w:r>
          </w:p>
        </w:tc>
      </w:tr>
      <w:tr w:rsidR="00ED0E0D">
        <w:trPr>
          <w:trHeight w:val="677"/>
        </w:trPr>
        <w:tc>
          <w:tcPr>
            <w:tcW w:w="78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ind w:firstLineChars="200" w:firstLine="440"/>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监理费</w:t>
            </w:r>
          </w:p>
        </w:tc>
        <w:tc>
          <w:tcPr>
            <w:tcW w:w="1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贵州通利达公路工程监理咨询有限公司</w:t>
            </w:r>
          </w:p>
        </w:tc>
        <w:tc>
          <w:tcPr>
            <w:tcW w:w="93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1,975,302.00</w:t>
            </w: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w:t>
            </w:r>
          </w:p>
        </w:tc>
      </w:tr>
      <w:tr w:rsidR="00ED0E0D">
        <w:trPr>
          <w:trHeight w:val="673"/>
        </w:trPr>
        <w:tc>
          <w:tcPr>
            <w:tcW w:w="2279"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合计</w:t>
            </w:r>
          </w:p>
        </w:tc>
        <w:tc>
          <w:tcPr>
            <w:tcW w:w="93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139,061,080.25</w:t>
            </w:r>
          </w:p>
        </w:tc>
        <w:tc>
          <w:tcPr>
            <w:tcW w:w="11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29,124,238.75</w:t>
            </w:r>
          </w:p>
        </w:tc>
        <w:tc>
          <w:tcPr>
            <w:tcW w:w="6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w:t>
            </w:r>
          </w:p>
        </w:tc>
      </w:tr>
    </w:tbl>
    <w:p w:rsidR="00ED0E0D" w:rsidRDefault="00ED0E0D">
      <w:pPr>
        <w:spacing w:line="560" w:lineRule="exact"/>
        <w:rPr>
          <w:rFonts w:ascii="仿宋_GB2312" w:eastAsia="仿宋_GB2312" w:hAnsi="仿宋" w:cs="Arial"/>
          <w:b/>
          <w:bCs/>
          <w:color w:val="000000"/>
          <w:sz w:val="32"/>
          <w:szCs w:val="32"/>
        </w:rPr>
      </w:pPr>
    </w:p>
    <w:p w:rsidR="00ED0E0D" w:rsidRDefault="00276BC2" w:rsidP="00BD7BA9">
      <w:pPr>
        <w:pStyle w:val="a9"/>
        <w:ind w:firstLine="643"/>
        <w:rPr>
          <w:lang w:eastAsia="zh-CN"/>
        </w:rPr>
      </w:pPr>
      <w:bookmarkStart w:id="25" w:name="_Toc7682"/>
      <w:r>
        <w:rPr>
          <w:rFonts w:hint="eastAsia"/>
          <w:lang w:eastAsia="zh-CN"/>
        </w:rPr>
        <w:t>（四）概（预）算执行情况</w:t>
      </w:r>
      <w:bookmarkEnd w:id="24"/>
      <w:bookmarkEnd w:id="25"/>
    </w:p>
    <w:p w:rsidR="00ED0E0D" w:rsidRDefault="00276BC2" w:rsidP="00BD7BA9">
      <w:pPr>
        <w:pStyle w:val="a7"/>
        <w:ind w:firstLine="640"/>
        <w:rPr>
          <w:lang w:eastAsia="zh-CN"/>
        </w:rPr>
      </w:pPr>
      <w:r>
        <w:rPr>
          <w:rFonts w:hint="eastAsia"/>
          <w:lang w:eastAsia="zh-CN"/>
        </w:rPr>
        <w:t>东莞市发展和改革局批复概算为16,222.36万元（建筑安装工程费用14,304.13万元），2020年项目单位申请财政资金1,297.33万元，东莞市谢岗镇财政局核定资金1,000.00万元。</w:t>
      </w:r>
    </w:p>
    <w:p w:rsidR="00ED0E0D" w:rsidRDefault="00276BC2" w:rsidP="00BD7BA9">
      <w:pPr>
        <w:pStyle w:val="a7"/>
        <w:ind w:firstLine="640"/>
        <w:rPr>
          <w:lang w:eastAsia="zh-CN"/>
        </w:rPr>
      </w:pPr>
      <w:r>
        <w:rPr>
          <w:rFonts w:hint="eastAsia"/>
          <w:lang w:eastAsia="zh-CN"/>
        </w:rPr>
        <w:t>2020年实际支出2,655.18万元，项目无预算支出</w:t>
      </w:r>
      <w:r>
        <w:rPr>
          <w:rFonts w:hint="eastAsia"/>
          <w:lang w:eastAsia="zh-CN"/>
        </w:rPr>
        <w:lastRenderedPageBreak/>
        <w:t>1,912.42资金来源政府专项债支出，以财政核定的资金为准，概（预）算</w:t>
      </w:r>
      <w:r>
        <w:rPr>
          <w:lang w:eastAsia="zh-CN"/>
        </w:rPr>
        <w:t>执行率为</w:t>
      </w:r>
      <w:r>
        <w:rPr>
          <w:rFonts w:hint="eastAsia"/>
          <w:lang w:eastAsia="zh-CN"/>
        </w:rPr>
        <w:t>291.24</w:t>
      </w:r>
      <w:r>
        <w:rPr>
          <w:lang w:eastAsia="zh-CN"/>
        </w:rPr>
        <w:t>%。</w:t>
      </w:r>
      <w:r>
        <w:rPr>
          <w:rFonts w:hint="eastAsia"/>
          <w:lang w:eastAsia="zh-CN"/>
        </w:rPr>
        <w:t>支付款项主要为工程其他费用及工程费用，包括项目初步设计咨询费、水土保持方案编制费、项目建议书及可行性研究报告编制费、初步设计费、勘察费、施工图审查费、工程进度款等</w:t>
      </w:r>
      <w:r>
        <w:rPr>
          <w:lang w:eastAsia="zh-CN"/>
        </w:rPr>
        <w:t>。</w:t>
      </w:r>
      <w:r>
        <w:rPr>
          <w:rFonts w:hint="eastAsia"/>
          <w:lang w:eastAsia="zh-CN"/>
        </w:rPr>
        <w:t xml:space="preserve"> </w:t>
      </w:r>
    </w:p>
    <w:p w:rsidR="00ED0E0D" w:rsidRDefault="00276BC2" w:rsidP="00BD7BA9">
      <w:pPr>
        <w:pStyle w:val="a8"/>
        <w:ind w:firstLine="640"/>
        <w:rPr>
          <w:lang w:eastAsia="zh-CN"/>
        </w:rPr>
      </w:pPr>
      <w:bookmarkStart w:id="26" w:name="_Toc12175"/>
      <w:bookmarkStart w:id="27" w:name="_Toc21137"/>
      <w:r>
        <w:rPr>
          <w:rFonts w:hint="eastAsia"/>
          <w:lang w:eastAsia="zh-CN"/>
        </w:rPr>
        <w:t>四、绩效评价</w:t>
      </w:r>
      <w:bookmarkEnd w:id="26"/>
      <w:bookmarkEnd w:id="27"/>
    </w:p>
    <w:p w:rsidR="00ED0E0D" w:rsidRDefault="00276BC2" w:rsidP="00BD7BA9">
      <w:pPr>
        <w:pStyle w:val="a9"/>
        <w:ind w:firstLine="643"/>
        <w:rPr>
          <w:lang w:eastAsia="zh-CN"/>
        </w:rPr>
      </w:pPr>
      <w:bookmarkStart w:id="28" w:name="_Toc7165"/>
      <w:bookmarkStart w:id="29" w:name="_Toc21230"/>
      <w:r>
        <w:rPr>
          <w:rFonts w:hint="eastAsia"/>
          <w:lang w:eastAsia="zh-CN"/>
        </w:rPr>
        <w:t>（一）绩效评价的原则</w:t>
      </w:r>
      <w:bookmarkEnd w:id="28"/>
      <w:bookmarkEnd w:id="29"/>
    </w:p>
    <w:p w:rsidR="00ED0E0D" w:rsidRDefault="00276BC2" w:rsidP="00BD7BA9">
      <w:pPr>
        <w:pStyle w:val="a7"/>
        <w:ind w:firstLine="640"/>
        <w:rPr>
          <w:lang w:eastAsia="zh-CN"/>
        </w:rPr>
      </w:pPr>
      <w:r>
        <w:rPr>
          <w:rFonts w:hint="eastAsia"/>
          <w:lang w:eastAsia="zh-CN"/>
        </w:rPr>
        <w:t>1.科学规范原则：注重财政支出的经济性、效率性和有效性，严格执行招投标及相关规定，按照科学可行的要求，采用定量与定性分析相结合的方法。</w:t>
      </w:r>
    </w:p>
    <w:p w:rsidR="00ED0E0D" w:rsidRDefault="00276BC2" w:rsidP="00BD7BA9">
      <w:pPr>
        <w:pStyle w:val="a7"/>
        <w:ind w:firstLine="640"/>
        <w:rPr>
          <w:lang w:eastAsia="zh-CN"/>
        </w:rPr>
      </w:pPr>
      <w:r>
        <w:rPr>
          <w:rFonts w:hint="eastAsia"/>
          <w:lang w:eastAsia="zh-CN"/>
        </w:rPr>
        <w:t>2.公正公开原则：客观、公正，标准统一、数据资料真实可靠，公开并接受监督。</w:t>
      </w:r>
    </w:p>
    <w:p w:rsidR="00ED0E0D" w:rsidRDefault="00276BC2" w:rsidP="00BD7BA9">
      <w:pPr>
        <w:pStyle w:val="a7"/>
        <w:ind w:firstLine="640"/>
        <w:rPr>
          <w:lang w:eastAsia="zh-CN"/>
        </w:rPr>
      </w:pPr>
      <w:r>
        <w:rPr>
          <w:rFonts w:hint="eastAsia"/>
          <w:lang w:eastAsia="zh-CN"/>
        </w:rPr>
        <w:t>3.绩效导向原则：以成本控制理念为出发点，以投入和效益为评估点，结合以前年度实际投入的成本及产生的效益，进行综合评估。</w:t>
      </w:r>
    </w:p>
    <w:p w:rsidR="00ED0E0D" w:rsidRDefault="00276BC2" w:rsidP="00BD7BA9">
      <w:pPr>
        <w:pStyle w:val="a9"/>
        <w:ind w:firstLine="643"/>
        <w:rPr>
          <w:lang w:eastAsia="zh-CN"/>
        </w:rPr>
      </w:pPr>
      <w:bookmarkStart w:id="30" w:name="_Toc3500"/>
      <w:bookmarkStart w:id="31" w:name="_Toc5318"/>
      <w:r>
        <w:rPr>
          <w:rFonts w:hint="eastAsia"/>
          <w:lang w:eastAsia="zh-CN"/>
        </w:rPr>
        <w:t>（二）绩效评价依据</w:t>
      </w:r>
      <w:bookmarkEnd w:id="30"/>
      <w:bookmarkEnd w:id="31"/>
    </w:p>
    <w:p w:rsidR="00ED0E0D" w:rsidRDefault="00276BC2" w:rsidP="00BD7BA9">
      <w:pPr>
        <w:pStyle w:val="a7"/>
        <w:ind w:firstLine="640"/>
        <w:rPr>
          <w:lang w:eastAsia="zh-CN"/>
        </w:rPr>
      </w:pPr>
      <w:r>
        <w:rPr>
          <w:rFonts w:hint="eastAsia"/>
          <w:lang w:eastAsia="zh-CN"/>
        </w:rPr>
        <w:t>1．《项目支出绩效评价管理办法》（财预〔2020〕10号）；</w:t>
      </w:r>
    </w:p>
    <w:p w:rsidR="00ED0E0D" w:rsidRDefault="00276BC2" w:rsidP="00BD7BA9">
      <w:pPr>
        <w:pStyle w:val="a7"/>
        <w:ind w:firstLine="640"/>
        <w:rPr>
          <w:lang w:eastAsia="zh-CN"/>
        </w:rPr>
      </w:pPr>
      <w:r>
        <w:rPr>
          <w:rFonts w:hint="eastAsia"/>
          <w:lang w:eastAsia="zh-CN"/>
        </w:rPr>
        <w:t>2.关于印发《预算绩效管理委托第三方实施工作规程（试行）》的通知（粤财绩〔2016〕4 号）；</w:t>
      </w:r>
    </w:p>
    <w:p w:rsidR="00ED0E0D" w:rsidRDefault="00276BC2" w:rsidP="00BD7BA9">
      <w:pPr>
        <w:pStyle w:val="a7"/>
        <w:ind w:firstLine="640"/>
        <w:rPr>
          <w:lang w:eastAsia="zh-CN"/>
        </w:rPr>
      </w:pPr>
      <w:r>
        <w:rPr>
          <w:rFonts w:hint="eastAsia"/>
          <w:lang w:eastAsia="zh-CN"/>
        </w:rPr>
        <w:t>3.《中共中央国务院关于全面实施预算绩效管理的意见》(中发〔2018〕34号)；</w:t>
      </w:r>
    </w:p>
    <w:p w:rsidR="00ED0E0D" w:rsidRDefault="00276BC2" w:rsidP="00BD7BA9">
      <w:pPr>
        <w:pStyle w:val="a7"/>
        <w:ind w:firstLine="640"/>
        <w:rPr>
          <w:lang w:eastAsia="zh-CN"/>
        </w:rPr>
      </w:pPr>
      <w:r>
        <w:rPr>
          <w:rFonts w:hint="eastAsia"/>
          <w:lang w:eastAsia="zh-CN"/>
        </w:rPr>
        <w:lastRenderedPageBreak/>
        <w:t>4.《关于推进政府购买服务第三方绩效评价工作的指导意见》（财综〔2018〕42号）；</w:t>
      </w:r>
    </w:p>
    <w:p w:rsidR="00ED0E0D" w:rsidRDefault="00276BC2" w:rsidP="00BD7BA9">
      <w:pPr>
        <w:pStyle w:val="a7"/>
        <w:ind w:firstLine="640"/>
        <w:rPr>
          <w:lang w:eastAsia="zh-CN"/>
        </w:rPr>
      </w:pPr>
      <w:r>
        <w:rPr>
          <w:rFonts w:hint="eastAsia"/>
          <w:lang w:eastAsia="zh-CN"/>
        </w:rPr>
        <w:t>5.《东莞市人民政府办公室关于印发&lt;关于全面实施预算绩效管理的意见&gt;的通知》（东府办〔2019〕51号）</w:t>
      </w:r>
    </w:p>
    <w:p w:rsidR="00ED0E0D" w:rsidRDefault="00276BC2" w:rsidP="00BD7BA9">
      <w:pPr>
        <w:pStyle w:val="a7"/>
        <w:ind w:firstLine="640"/>
        <w:rPr>
          <w:lang w:eastAsia="zh-CN"/>
        </w:rPr>
      </w:pPr>
      <w:r>
        <w:rPr>
          <w:rFonts w:hint="eastAsia"/>
          <w:lang w:eastAsia="zh-CN"/>
        </w:rPr>
        <w:t>6.关于转发《广东省财政厅关于加快推进市县全面实施预算绩效管理的通知》的通知（东财〔2020〕205号）；</w:t>
      </w:r>
    </w:p>
    <w:p w:rsidR="00ED0E0D" w:rsidRDefault="00276BC2" w:rsidP="00BD7BA9">
      <w:pPr>
        <w:pStyle w:val="a7"/>
        <w:ind w:firstLine="640"/>
        <w:rPr>
          <w:lang w:eastAsia="zh-CN"/>
        </w:rPr>
      </w:pPr>
      <w:r>
        <w:rPr>
          <w:rFonts w:hint="eastAsia"/>
          <w:lang w:eastAsia="zh-CN"/>
        </w:rPr>
        <w:t>7.《关于印发&lt;东莞市市级预算项目支出绩效评价管理办法&gt;的通知》（东财〔2021〕50号）；</w:t>
      </w:r>
    </w:p>
    <w:p w:rsidR="00ED0E0D" w:rsidRDefault="00276BC2" w:rsidP="00BD7BA9">
      <w:pPr>
        <w:pStyle w:val="a7"/>
        <w:ind w:firstLine="640"/>
        <w:rPr>
          <w:lang w:eastAsia="zh-CN"/>
        </w:rPr>
      </w:pPr>
      <w:r>
        <w:rPr>
          <w:rFonts w:hint="eastAsia"/>
          <w:lang w:eastAsia="zh-CN"/>
        </w:rPr>
        <w:t>8.谢岗镇人民政府办公室《关于启动谢岗镇镇村两级道路综合整治工程（一期）建设前期工作的问题的复函》</w:t>
      </w:r>
    </w:p>
    <w:p w:rsidR="00ED0E0D" w:rsidRDefault="00276BC2" w:rsidP="00BD7BA9">
      <w:pPr>
        <w:pStyle w:val="a7"/>
        <w:ind w:firstLine="640"/>
        <w:rPr>
          <w:lang w:eastAsia="zh-CN"/>
        </w:rPr>
      </w:pPr>
      <w:r>
        <w:rPr>
          <w:rFonts w:hint="eastAsia"/>
          <w:lang w:eastAsia="zh-CN"/>
        </w:rPr>
        <w:t>9.东莞市发展和改革局《关于谢岗镇镇村两级道路综合整治一期工程项目建议书的批复》（东发改谢〔2019〕6 号）</w:t>
      </w:r>
    </w:p>
    <w:p w:rsidR="00ED0E0D" w:rsidRDefault="00276BC2" w:rsidP="00BD7BA9">
      <w:pPr>
        <w:pStyle w:val="a7"/>
        <w:ind w:firstLine="640"/>
        <w:rPr>
          <w:lang w:eastAsia="zh-CN"/>
        </w:rPr>
      </w:pPr>
      <w:r>
        <w:rPr>
          <w:rFonts w:hint="eastAsia"/>
          <w:lang w:eastAsia="zh-CN"/>
        </w:rPr>
        <w:t>10.东莞市发展和改革局《关于谢岗镇镇村两级道路综合整治一期工程可行性研究报告的批复》（东发改谢〔2019〕11 号）</w:t>
      </w:r>
    </w:p>
    <w:p w:rsidR="00ED0E0D" w:rsidRDefault="00276BC2" w:rsidP="00BD7BA9">
      <w:pPr>
        <w:pStyle w:val="a7"/>
        <w:ind w:firstLine="640"/>
        <w:rPr>
          <w:lang w:eastAsia="zh-CN"/>
        </w:rPr>
      </w:pPr>
      <w:r>
        <w:rPr>
          <w:rFonts w:hint="eastAsia"/>
          <w:lang w:eastAsia="zh-CN"/>
        </w:rPr>
        <w:t>11.《关于谢岗镇镇村两级道路综合整治一期工程概算的批复》（东发改谢〔2020〕10 号）</w:t>
      </w:r>
    </w:p>
    <w:p w:rsidR="00ED0E0D" w:rsidRDefault="00276BC2" w:rsidP="00BD7BA9">
      <w:pPr>
        <w:pStyle w:val="a7"/>
        <w:numPr>
          <w:ilvl w:val="0"/>
          <w:numId w:val="1"/>
        </w:numPr>
        <w:ind w:firstLine="640"/>
        <w:rPr>
          <w:lang w:eastAsia="zh-CN"/>
        </w:rPr>
      </w:pPr>
      <w:r>
        <w:rPr>
          <w:rFonts w:hint="eastAsia"/>
          <w:lang w:eastAsia="zh-CN"/>
        </w:rPr>
        <w:t>东莞市财政局谢岗分局《2020年一般项目支出明细表》</w:t>
      </w:r>
    </w:p>
    <w:p w:rsidR="00ED0E0D" w:rsidRDefault="00276BC2" w:rsidP="00BD7BA9">
      <w:pPr>
        <w:pStyle w:val="a7"/>
        <w:ind w:firstLine="640"/>
        <w:rPr>
          <w:lang w:eastAsia="zh-CN"/>
        </w:rPr>
      </w:pPr>
      <w:r>
        <w:rPr>
          <w:rFonts w:hint="eastAsia"/>
          <w:lang w:eastAsia="zh-CN"/>
        </w:rPr>
        <w:t>13.项目资金支出情况汇总表、项目整治计划实施进度汇总等。</w:t>
      </w:r>
    </w:p>
    <w:p w:rsidR="00ED0E0D" w:rsidRDefault="00276BC2" w:rsidP="00BD7BA9">
      <w:pPr>
        <w:pStyle w:val="a9"/>
        <w:ind w:firstLine="643"/>
        <w:rPr>
          <w:lang w:eastAsia="zh-CN"/>
        </w:rPr>
      </w:pPr>
      <w:bookmarkStart w:id="32" w:name="_Toc10253"/>
      <w:bookmarkStart w:id="33" w:name="_Toc23743"/>
      <w:r>
        <w:rPr>
          <w:rFonts w:hint="eastAsia"/>
          <w:lang w:eastAsia="zh-CN"/>
        </w:rPr>
        <w:t>（三）绩效评价的方法</w:t>
      </w:r>
      <w:bookmarkEnd w:id="32"/>
      <w:bookmarkEnd w:id="33"/>
    </w:p>
    <w:p w:rsidR="00ED0E0D" w:rsidRDefault="00276BC2" w:rsidP="00BD7BA9">
      <w:pPr>
        <w:pStyle w:val="a7"/>
        <w:ind w:firstLine="640"/>
        <w:rPr>
          <w:lang w:eastAsia="zh-CN"/>
        </w:rPr>
      </w:pPr>
      <w:r>
        <w:rPr>
          <w:rFonts w:hint="eastAsia"/>
          <w:lang w:eastAsia="zh-CN"/>
        </w:rPr>
        <w:lastRenderedPageBreak/>
        <w:t>1.案卷研究法：通过获取项目前期论证、立项、可研申报及批复文件，项目实施计划、项目预算批复、采用定量与定性相结合，综合分析绩效目标实现程度。</w:t>
      </w:r>
    </w:p>
    <w:p w:rsidR="00ED0E0D" w:rsidRDefault="00276BC2" w:rsidP="00BD7BA9">
      <w:pPr>
        <w:pStyle w:val="a7"/>
        <w:ind w:firstLine="640"/>
        <w:rPr>
          <w:lang w:eastAsia="zh-CN"/>
        </w:rPr>
      </w:pPr>
      <w:r>
        <w:rPr>
          <w:rFonts w:hint="eastAsia"/>
          <w:lang w:eastAsia="zh-CN"/>
        </w:rPr>
        <w:t>2.因素分析法：通过综合分析影响绩效目标实现、实施效果的内外因素，评价绩效目标实现程度。</w:t>
      </w:r>
    </w:p>
    <w:p w:rsidR="00ED0E0D" w:rsidRDefault="00276BC2" w:rsidP="00BD7BA9">
      <w:pPr>
        <w:pStyle w:val="a7"/>
        <w:ind w:firstLine="640"/>
        <w:rPr>
          <w:lang w:eastAsia="zh-CN"/>
        </w:rPr>
      </w:pPr>
      <w:r>
        <w:rPr>
          <w:rFonts w:hint="eastAsia"/>
          <w:lang w:eastAsia="zh-CN"/>
        </w:rPr>
        <w:t>3.公众评判法：通过专家评估、公众问卷及抽样调查等对专项资金效果、服务对象满意度、环境效益及可持续性等方面进行评判，评价绩效目标实现程度。</w:t>
      </w:r>
    </w:p>
    <w:p w:rsidR="00ED0E0D" w:rsidRDefault="00276BC2" w:rsidP="00BD7BA9">
      <w:pPr>
        <w:pStyle w:val="a9"/>
        <w:ind w:firstLine="643"/>
        <w:rPr>
          <w:lang w:eastAsia="zh-CN"/>
        </w:rPr>
      </w:pPr>
      <w:bookmarkStart w:id="34" w:name="_Toc3467"/>
      <w:bookmarkStart w:id="35" w:name="_Toc32524"/>
      <w:r>
        <w:rPr>
          <w:rFonts w:hint="eastAsia"/>
          <w:lang w:eastAsia="zh-CN"/>
        </w:rPr>
        <w:t>（四）绩效指标体系</w:t>
      </w:r>
      <w:bookmarkEnd w:id="34"/>
      <w:bookmarkEnd w:id="35"/>
    </w:p>
    <w:p w:rsidR="00ED0E0D" w:rsidRDefault="00276BC2" w:rsidP="00BD7BA9">
      <w:pPr>
        <w:pStyle w:val="a7"/>
        <w:ind w:firstLine="640"/>
        <w:rPr>
          <w:rFonts w:ascii="仿宋_GB2312" w:eastAsia="仿宋_GB2312" w:cs="Arial"/>
          <w:color w:val="000000"/>
          <w:szCs w:val="32"/>
          <w:highlight w:val="green"/>
          <w:lang w:eastAsia="zh-CN"/>
        </w:rPr>
      </w:pPr>
      <w:r>
        <w:rPr>
          <w:rFonts w:ascii="仿宋_GB2312" w:eastAsia="仿宋_GB2312" w:cs="Arial" w:hint="eastAsia"/>
          <w:color w:val="000000"/>
          <w:szCs w:val="32"/>
          <w:lang w:eastAsia="zh-CN"/>
        </w:rPr>
        <w:t>绩效评价指标直接影响绩效评价结果的有效性，设计和选择评价指标时，评价工作组根据绩效评价评分指标体系，并遵循“相关性、经济性、可比性、重要性”的原则，通过对该项目深入研究及对项目资料的整理分析，从“</w:t>
      </w:r>
      <w:r>
        <w:rPr>
          <w:rFonts w:ascii="Times New Roman" w:eastAsia="仿宋_GB2312" w:hAnsi="Times New Roman" w:cs="仿宋_GB2312" w:hint="eastAsia"/>
          <w:szCs w:val="32"/>
          <w:lang w:eastAsia="zh-CN"/>
        </w:rPr>
        <w:t>项目立项、资金落实、业务管理、财务管理、项目产出、实施效益、满意度</w:t>
      </w:r>
      <w:r>
        <w:rPr>
          <w:rFonts w:ascii="仿宋_GB2312" w:eastAsia="仿宋_GB2312" w:cs="Arial" w:hint="eastAsia"/>
          <w:color w:val="000000"/>
          <w:szCs w:val="32"/>
          <w:lang w:eastAsia="zh-CN"/>
        </w:rPr>
        <w:t>”</w:t>
      </w:r>
      <w:r>
        <w:rPr>
          <w:rFonts w:ascii="Times New Roman" w:eastAsia="仿宋_GB2312" w:hAnsi="Times New Roman" w:cs="仿宋_GB2312" w:hint="eastAsia"/>
          <w:szCs w:val="32"/>
          <w:lang w:eastAsia="zh-CN"/>
        </w:rPr>
        <w:t>等七个方面进行</w:t>
      </w:r>
      <w:r>
        <w:rPr>
          <w:rFonts w:ascii="仿宋_GB2312" w:eastAsia="仿宋_GB2312" w:cs="Arial" w:hint="eastAsia"/>
          <w:color w:val="000000"/>
          <w:szCs w:val="32"/>
          <w:lang w:eastAsia="zh-CN"/>
        </w:rPr>
        <w:t>绩效</w:t>
      </w:r>
      <w:r>
        <w:rPr>
          <w:rFonts w:ascii="Times New Roman" w:eastAsia="仿宋_GB2312" w:hAnsi="Times New Roman" w:cs="仿宋_GB2312" w:hint="eastAsia"/>
          <w:szCs w:val="32"/>
          <w:lang w:eastAsia="zh-CN"/>
        </w:rPr>
        <w:t>综合评价</w:t>
      </w:r>
      <w:r>
        <w:rPr>
          <w:rFonts w:ascii="仿宋_GB2312" w:eastAsia="仿宋_GB2312" w:cs="Arial" w:hint="eastAsia"/>
          <w:color w:val="000000"/>
          <w:szCs w:val="32"/>
          <w:lang w:eastAsia="zh-CN"/>
        </w:rPr>
        <w:t>。</w:t>
      </w:r>
    </w:p>
    <w:p w:rsidR="00ED0E0D" w:rsidRDefault="00276BC2" w:rsidP="00BD7BA9">
      <w:pPr>
        <w:pStyle w:val="a8"/>
        <w:ind w:firstLine="640"/>
        <w:rPr>
          <w:lang w:eastAsia="zh-CN"/>
        </w:rPr>
      </w:pPr>
      <w:bookmarkStart w:id="36" w:name="_Toc16862"/>
      <w:r>
        <w:rPr>
          <w:rFonts w:hint="eastAsia"/>
          <w:lang w:eastAsia="zh-CN"/>
        </w:rPr>
        <w:t>五、绩效评价结论</w:t>
      </w:r>
      <w:bookmarkEnd w:id="36"/>
    </w:p>
    <w:p w:rsidR="00ED0E0D" w:rsidRDefault="00276BC2" w:rsidP="00BD7BA9">
      <w:pPr>
        <w:pStyle w:val="a7"/>
        <w:ind w:firstLine="640"/>
        <w:rPr>
          <w:rFonts w:ascii="仿宋_GB2312" w:eastAsia="仿宋_GB2312" w:cs="Arial"/>
          <w:color w:val="000000"/>
          <w:szCs w:val="32"/>
          <w:lang w:eastAsia="zh-CN"/>
        </w:rPr>
      </w:pPr>
      <w:r>
        <w:rPr>
          <w:rFonts w:ascii="仿宋_GB2312" w:eastAsia="仿宋_GB2312" w:cs="Arial" w:hint="eastAsia"/>
          <w:color w:val="000000"/>
          <w:szCs w:val="32"/>
          <w:lang w:eastAsia="zh-CN"/>
        </w:rPr>
        <w:t>根据《项目支出绩效评价管理办法》（财预〔2020〕10号）及既定评价指标体系，经项目资料书面审核，绩效评价组于2021年7月30日召开专家座谈调研，结合满意度调查等综合评价分析，评定“东莞市谢岗镇镇村两级道路综合整治一期工程项目”的</w:t>
      </w:r>
      <w:r>
        <w:rPr>
          <w:rFonts w:ascii="仿宋_GB2312" w:eastAsia="仿宋_GB2312" w:cs="Arial" w:hint="eastAsia"/>
          <w:b/>
          <w:bCs/>
          <w:color w:val="000000"/>
          <w:szCs w:val="32"/>
          <w:lang w:eastAsia="zh-CN"/>
        </w:rPr>
        <w:t>评价结果为73分，绩效等级为“中”。</w:t>
      </w:r>
    </w:p>
    <w:p w:rsidR="00ED0E0D" w:rsidRDefault="00276BC2" w:rsidP="00BD7BA9">
      <w:pPr>
        <w:pStyle w:val="a7"/>
        <w:ind w:firstLine="640"/>
        <w:rPr>
          <w:rFonts w:ascii="仿宋_GB2312" w:eastAsia="仿宋_GB2312" w:cs="Arial"/>
          <w:b/>
          <w:bCs/>
          <w:color w:val="000000"/>
          <w:szCs w:val="32"/>
          <w:lang w:eastAsia="zh-CN"/>
        </w:rPr>
      </w:pPr>
      <w:r>
        <w:rPr>
          <w:rFonts w:ascii="仿宋_GB2312" w:eastAsia="仿宋_GB2312" w:cs="Arial" w:hint="eastAsia"/>
          <w:bCs/>
          <w:color w:val="000000"/>
          <w:szCs w:val="32"/>
          <w:lang w:eastAsia="zh-CN"/>
        </w:rPr>
        <w:t>（备注</w:t>
      </w:r>
      <w:r>
        <w:rPr>
          <w:rFonts w:ascii="仿宋_GB2312" w:eastAsia="仿宋_GB2312" w:cs="Arial" w:hint="eastAsia"/>
          <w:b/>
          <w:bCs/>
          <w:color w:val="000000"/>
          <w:szCs w:val="32"/>
          <w:lang w:eastAsia="zh-CN"/>
        </w:rPr>
        <w:t>：</w:t>
      </w:r>
      <w:r>
        <w:rPr>
          <w:rFonts w:ascii="仿宋_GB2312" w:eastAsia="仿宋_GB2312" w:cs="Arial" w:hint="eastAsia"/>
          <w:color w:val="000000"/>
          <w:szCs w:val="32"/>
          <w:lang w:eastAsia="zh-CN"/>
        </w:rPr>
        <w:t>评分分4个档次，分别为：90-100分为“优”，</w:t>
      </w:r>
      <w:r>
        <w:rPr>
          <w:rFonts w:ascii="仿宋_GB2312" w:eastAsia="仿宋_GB2312" w:cs="Arial" w:hint="eastAsia"/>
          <w:color w:val="000000"/>
          <w:szCs w:val="32"/>
          <w:lang w:eastAsia="zh-CN"/>
        </w:rPr>
        <w:lastRenderedPageBreak/>
        <w:t>80-89分为“良”，60-79分为“中”，60分以下为“差”）</w:t>
      </w:r>
    </w:p>
    <w:p w:rsidR="00ED0E0D" w:rsidRDefault="00276BC2" w:rsidP="00BD7BA9">
      <w:pPr>
        <w:pStyle w:val="a7"/>
        <w:ind w:firstLine="640"/>
        <w:rPr>
          <w:lang w:eastAsia="zh-CN"/>
        </w:rPr>
      </w:pPr>
      <w:r>
        <w:rPr>
          <w:rFonts w:hint="eastAsia"/>
          <w:lang w:eastAsia="zh-CN"/>
        </w:rPr>
        <w:t>本次评价共设4个一级指标，8个二级指标，16个三级指标和29个四级指标。</w:t>
      </w:r>
    </w:p>
    <w:p w:rsidR="00ED0E0D" w:rsidRDefault="00276BC2" w:rsidP="00BD7BA9">
      <w:pPr>
        <w:pStyle w:val="a7"/>
        <w:ind w:firstLine="640"/>
      </w:pPr>
      <w:r>
        <w:rPr>
          <w:rFonts w:hint="eastAsia"/>
          <w:lang w:eastAsia="zh-CN"/>
        </w:rPr>
        <w:t>绩效评价组根据提供的项目佐证资料所得，从一级指标得分情况看，项目效果显现一般，扣分原因主要是前期工作资金调整率、指标设置全面性、相关性等，过程中的制度建设和管理，产出中的完成率、及时率和与之对应的验收通过率等。</w:t>
      </w:r>
      <w:r>
        <w:rPr>
          <w:rFonts w:hint="eastAsia"/>
        </w:rPr>
        <w:t>（见下图1）</w:t>
      </w:r>
    </w:p>
    <w:p w:rsidR="00ED0E0D" w:rsidRDefault="00276BC2">
      <w:pPr>
        <w:jc w:val="left"/>
        <w:rPr>
          <w:rFonts w:ascii="仿宋_GB2312" w:eastAsia="仿宋_GB2312" w:hAnsi="仿宋" w:cs="Arial"/>
          <w:color w:val="000000"/>
          <w:sz w:val="32"/>
          <w:szCs w:val="32"/>
        </w:rPr>
      </w:pPr>
      <w:r>
        <w:rPr>
          <w:rFonts w:ascii="仿宋_GB2312" w:eastAsia="仿宋_GB2312" w:hAnsi="仿宋" w:cs="Arial"/>
          <w:noProof/>
          <w:color w:val="000000"/>
          <w:sz w:val="32"/>
          <w:szCs w:val="32"/>
        </w:rPr>
        <w:drawing>
          <wp:inline distT="0" distB="0" distL="0" distR="0">
            <wp:extent cx="5248275" cy="3076575"/>
            <wp:effectExtent l="19050" t="0" r="9525"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D0E0D" w:rsidRDefault="00ED0E0D"/>
    <w:p w:rsidR="00ED0E0D" w:rsidRDefault="00276BC2" w:rsidP="00BD7BA9">
      <w:pPr>
        <w:pStyle w:val="a7"/>
        <w:ind w:firstLine="640"/>
        <w:rPr>
          <w:rFonts w:ascii="Times New Roman" w:eastAsia="仿宋_GB2312" w:hAnsi="Times New Roman" w:cs="仿宋_GB2312"/>
          <w:szCs w:val="32"/>
          <w:lang w:eastAsia="zh-CN"/>
        </w:rPr>
      </w:pPr>
      <w:bookmarkStart w:id="37" w:name="_Toc1756"/>
      <w:r>
        <w:rPr>
          <w:rFonts w:ascii="Times New Roman" w:eastAsia="仿宋_GB2312" w:hAnsi="Times New Roman" w:cs="仿宋_GB2312" w:hint="eastAsia"/>
          <w:szCs w:val="32"/>
          <w:lang w:eastAsia="zh-CN"/>
        </w:rPr>
        <w:t>项目评价情</w:t>
      </w:r>
      <w:r>
        <w:rPr>
          <w:rFonts w:ascii="宋体" w:eastAsia="宋体" w:hAnsi="宋体" w:cs="宋体" w:hint="eastAsia"/>
          <w:szCs w:val="32"/>
          <w:lang w:eastAsia="zh-CN"/>
        </w:rPr>
        <w:t>况</w:t>
      </w:r>
      <w:r>
        <w:rPr>
          <w:rFonts w:ascii="Times New Roman" w:eastAsia="仿宋_GB2312" w:hAnsi="Times New Roman" w:cs="仿宋_GB2312" w:hint="eastAsia"/>
          <w:szCs w:val="32"/>
          <w:lang w:eastAsia="zh-CN"/>
        </w:rPr>
        <w:t>如下：</w:t>
      </w:r>
    </w:p>
    <w:p w:rsidR="00ED0E0D" w:rsidRDefault="00276BC2" w:rsidP="00BD7BA9">
      <w:pPr>
        <w:pStyle w:val="a9"/>
        <w:ind w:firstLine="643"/>
        <w:rPr>
          <w:lang w:eastAsia="zh-CN"/>
        </w:rPr>
      </w:pPr>
      <w:bookmarkStart w:id="38" w:name="_Toc69199011"/>
      <w:bookmarkStart w:id="39" w:name="_Toc11885"/>
      <w:r>
        <w:rPr>
          <w:rFonts w:hint="eastAsia"/>
          <w:lang w:eastAsia="zh-CN"/>
        </w:rPr>
        <w:t>（一）</w:t>
      </w:r>
      <w:bookmarkEnd w:id="38"/>
      <w:r>
        <w:rPr>
          <w:rFonts w:hint="eastAsia"/>
          <w:lang w:eastAsia="zh-CN"/>
        </w:rPr>
        <w:t>前期工作</w:t>
      </w:r>
      <w:bookmarkEnd w:id="39"/>
    </w:p>
    <w:p w:rsidR="00ED0E0D" w:rsidRDefault="00276BC2" w:rsidP="00BD7BA9">
      <w:pPr>
        <w:pStyle w:val="a7"/>
        <w:ind w:firstLine="640"/>
        <w:rPr>
          <w:lang w:eastAsia="zh-CN"/>
        </w:rPr>
      </w:pPr>
      <w:r>
        <w:rPr>
          <w:rFonts w:hint="eastAsia"/>
          <w:lang w:eastAsia="zh-CN"/>
        </w:rPr>
        <w:t>项目前期工作设置了论证决策、绩效目标、绩效指标和预算配置四个二级指标，总分20分。根据项目评价指标和评分标准，得分13分。具体情况如下：</w:t>
      </w:r>
    </w:p>
    <w:bookmarkEnd w:id="37"/>
    <w:p w:rsidR="00ED0E0D" w:rsidRDefault="00276BC2" w:rsidP="00BD7BA9">
      <w:pPr>
        <w:pStyle w:val="3"/>
        <w:ind w:firstLine="643"/>
        <w:rPr>
          <w:lang w:eastAsia="zh-CN"/>
        </w:rPr>
      </w:pPr>
      <w:r>
        <w:rPr>
          <w:rFonts w:hint="eastAsia"/>
          <w:lang w:eastAsia="zh-CN"/>
        </w:rPr>
        <w:t>1.论证决策</w:t>
      </w:r>
    </w:p>
    <w:p w:rsidR="00ED0E0D" w:rsidRDefault="00276BC2" w:rsidP="00BD7BA9">
      <w:pPr>
        <w:pStyle w:val="a7"/>
        <w:ind w:firstLine="640"/>
        <w:rPr>
          <w:lang w:eastAsia="zh-CN"/>
        </w:rPr>
      </w:pPr>
      <w:r>
        <w:rPr>
          <w:rFonts w:hint="eastAsia"/>
          <w:lang w:eastAsia="zh-CN"/>
        </w:rPr>
        <w:lastRenderedPageBreak/>
        <w:t>论证决策包括项目立项和服务采购两个三级指标，依据充分性、程序规范性、采购合规性三个四级指标。</w:t>
      </w:r>
    </w:p>
    <w:p w:rsidR="00ED0E0D" w:rsidRDefault="00276BC2" w:rsidP="00BD7BA9">
      <w:pPr>
        <w:pStyle w:val="a7"/>
        <w:ind w:firstLine="640"/>
        <w:rPr>
          <w:lang w:eastAsia="zh-CN"/>
        </w:rPr>
      </w:pPr>
      <w:r>
        <w:rPr>
          <w:rFonts w:hint="eastAsia"/>
          <w:lang w:eastAsia="zh-CN"/>
        </w:rPr>
        <w:t>（1）项目立项</w:t>
      </w:r>
    </w:p>
    <w:p w:rsidR="00ED0E0D" w:rsidRDefault="00276BC2" w:rsidP="00BD7BA9">
      <w:pPr>
        <w:pStyle w:val="a7"/>
        <w:ind w:firstLine="640"/>
        <w:rPr>
          <w:lang w:eastAsia="zh-CN"/>
        </w:rPr>
      </w:pPr>
      <w:r>
        <w:rPr>
          <w:rFonts w:hint="eastAsia"/>
          <w:lang w:eastAsia="zh-CN"/>
        </w:rPr>
        <w:t>2019年1月谢岗镇人民政府办公室批复《关于启动谢岗镇镇村两级道路综合整治工程（一期）建设前期工作的问题的复函》（谢府办复〔2019〕），2019年4月取得东莞市发展和改革局《关于谢岗镇镇村两级道路综合整治一期工程项目建议书的批复》（东发改谢〔2019〕6 号），2019年6月，谢岗镇规划管理所回复《关于&lt;协助办理谢岗镇镇村两级道路综合整治一期工程规划手续的函&gt;》，2019年7月，东莞市自然资源局谢岗分局回复《关于协助出具谢岗镇镇村两级道路综合整治一期工程用地证明的函&gt;》，2019年4月完成项目可行性研究报告的编制，2019年7月，取得东莞市发展和改革局《关于谢岗镇镇村两级道路综合整治一期工程可行性研究报告的批复》（东发改谢〔2019〕11 号）。</w:t>
      </w:r>
    </w:p>
    <w:p w:rsidR="00ED0E0D" w:rsidRDefault="00276BC2" w:rsidP="00BD7BA9">
      <w:pPr>
        <w:pStyle w:val="a7"/>
        <w:ind w:firstLine="640"/>
        <w:rPr>
          <w:lang w:eastAsia="zh-CN"/>
        </w:rPr>
      </w:pPr>
      <w:r>
        <w:rPr>
          <w:rFonts w:hint="eastAsia"/>
          <w:lang w:eastAsia="zh-CN"/>
        </w:rPr>
        <w:t>项目在未取得工程用地证明前已实施可行性研究并取得批复，项目建设程序不规范，项目文件、材料符合相关要求，立项前已经过必要的可行性研究、风险评估和集体决策。</w:t>
      </w:r>
    </w:p>
    <w:p w:rsidR="00ED0E0D" w:rsidRDefault="00276BC2" w:rsidP="00BD7BA9">
      <w:pPr>
        <w:pStyle w:val="a7"/>
        <w:ind w:firstLine="640"/>
        <w:rPr>
          <w:lang w:eastAsia="zh-CN"/>
        </w:rPr>
      </w:pPr>
      <w:r>
        <w:rPr>
          <w:rFonts w:hint="eastAsia"/>
          <w:lang w:eastAsia="zh-CN"/>
        </w:rPr>
        <w:t>依据评分标准，本指标权重5分，得分4分。</w:t>
      </w:r>
    </w:p>
    <w:p w:rsidR="00ED0E0D" w:rsidRDefault="00BD7BA9" w:rsidP="00BD7BA9">
      <w:pPr>
        <w:pStyle w:val="a7"/>
        <w:ind w:firstLine="640"/>
        <w:rPr>
          <w:lang w:eastAsia="zh-CN"/>
        </w:rPr>
      </w:pPr>
      <w:r>
        <w:rPr>
          <w:rFonts w:hint="eastAsia"/>
          <w:lang w:eastAsia="zh-CN"/>
        </w:rPr>
        <w:t>（2）</w:t>
      </w:r>
      <w:r w:rsidR="00276BC2">
        <w:rPr>
          <w:rFonts w:hint="eastAsia"/>
          <w:lang w:eastAsia="zh-CN"/>
        </w:rPr>
        <w:t>服务采购</w:t>
      </w:r>
    </w:p>
    <w:p w:rsidR="00ED0E0D" w:rsidRDefault="00276BC2" w:rsidP="00BD7BA9">
      <w:pPr>
        <w:pStyle w:val="a7"/>
        <w:ind w:firstLine="640"/>
        <w:rPr>
          <w:lang w:eastAsia="zh-CN"/>
        </w:rPr>
      </w:pPr>
      <w:r>
        <w:rPr>
          <w:rFonts w:hint="eastAsia"/>
          <w:lang w:eastAsia="zh-CN"/>
        </w:rPr>
        <w:t>2019年6月，东莞市发展和改革局下达《关于谢岗镇镇村两级道路综合整治一期工程项目勘察、设计招标方式的核</w:t>
      </w:r>
      <w:r>
        <w:rPr>
          <w:rFonts w:hint="eastAsia"/>
          <w:lang w:eastAsia="zh-CN"/>
        </w:rPr>
        <w:lastRenderedPageBreak/>
        <w:t>准意见》（东发改谢〔2019〕10 号），核准勘察、设计实施公开招标。</w:t>
      </w:r>
    </w:p>
    <w:p w:rsidR="00ED0E0D" w:rsidRDefault="00276BC2" w:rsidP="00BD7BA9">
      <w:pPr>
        <w:pStyle w:val="a7"/>
        <w:ind w:firstLine="640"/>
        <w:rPr>
          <w:lang w:eastAsia="zh-CN"/>
        </w:rPr>
      </w:pPr>
      <w:r>
        <w:rPr>
          <w:rFonts w:hint="eastAsia"/>
          <w:lang w:eastAsia="zh-CN"/>
        </w:rPr>
        <w:t>2019年7月，东莞市发展和改革局下达《关于谢岗镇镇村两级道路综合整治一期工程可行性研究报告的批复》（东发改谢〔2019〕11 号），核准建筑工程、安装工程、监理、设备、重要材料委托实施公开招标。</w:t>
      </w:r>
    </w:p>
    <w:p w:rsidR="00ED0E0D" w:rsidRDefault="00276BC2" w:rsidP="00BD7BA9">
      <w:pPr>
        <w:pStyle w:val="a7"/>
        <w:ind w:firstLine="640"/>
        <w:rPr>
          <w:lang w:eastAsia="zh-CN"/>
        </w:rPr>
      </w:pPr>
      <w:r>
        <w:rPr>
          <w:lang w:eastAsia="zh-CN"/>
        </w:rPr>
        <w:t>项目</w:t>
      </w:r>
      <w:r>
        <w:rPr>
          <w:rFonts w:hint="eastAsia"/>
          <w:lang w:eastAsia="zh-CN"/>
        </w:rPr>
        <w:t>单位按照</w:t>
      </w:r>
      <w:r>
        <w:rPr>
          <w:lang w:eastAsia="zh-CN"/>
        </w:rPr>
        <w:t>核准意见对工程施工、勘察、设计、监理实施了招标，招标文件中用户需求制定与计划工作内容相匹配，预期采购工程量、标准、质量、职责要求等明确、全面、科学。但</w:t>
      </w:r>
      <w:r>
        <w:rPr>
          <w:rFonts w:hint="eastAsia"/>
          <w:lang w:eastAsia="zh-CN"/>
        </w:rPr>
        <w:t>项目单位</w:t>
      </w:r>
      <w:r>
        <w:rPr>
          <w:lang w:eastAsia="zh-CN"/>
        </w:rPr>
        <w:t>未提供</w:t>
      </w:r>
      <w:r>
        <w:rPr>
          <w:rFonts w:hint="eastAsia"/>
          <w:lang w:eastAsia="zh-CN"/>
        </w:rPr>
        <w:t>招投标</w:t>
      </w:r>
      <w:r>
        <w:rPr>
          <w:lang w:eastAsia="zh-CN"/>
        </w:rPr>
        <w:t>过程资料</w:t>
      </w:r>
      <w:r>
        <w:rPr>
          <w:rFonts w:hint="eastAsia"/>
          <w:lang w:eastAsia="zh-CN"/>
        </w:rPr>
        <w:t>，</w:t>
      </w:r>
      <w:r>
        <w:rPr>
          <w:lang w:eastAsia="zh-CN"/>
        </w:rPr>
        <w:t>招标</w:t>
      </w:r>
      <w:r>
        <w:rPr>
          <w:rFonts w:hint="eastAsia"/>
          <w:lang w:eastAsia="zh-CN"/>
        </w:rPr>
        <w:t>程序</w:t>
      </w:r>
      <w:r>
        <w:rPr>
          <w:lang w:eastAsia="zh-CN"/>
        </w:rPr>
        <w:t>规范</w:t>
      </w:r>
      <w:r>
        <w:rPr>
          <w:rFonts w:hint="eastAsia"/>
          <w:lang w:eastAsia="zh-CN"/>
        </w:rPr>
        <w:t>性无法判断。</w:t>
      </w:r>
    </w:p>
    <w:p w:rsidR="00ED0E0D" w:rsidRDefault="00276BC2" w:rsidP="00BD7BA9">
      <w:pPr>
        <w:pStyle w:val="a7"/>
        <w:ind w:firstLine="640"/>
        <w:rPr>
          <w:lang w:eastAsia="zh-CN"/>
        </w:rPr>
      </w:pPr>
      <w:r>
        <w:rPr>
          <w:rFonts w:hint="eastAsia"/>
          <w:lang w:eastAsia="zh-CN"/>
        </w:rPr>
        <w:t>依据评分标准，本指标权重3分，得分2分。</w:t>
      </w:r>
    </w:p>
    <w:p w:rsidR="00ED0E0D" w:rsidRDefault="00276BC2" w:rsidP="00BD7BA9">
      <w:pPr>
        <w:pStyle w:val="3"/>
        <w:ind w:firstLine="643"/>
        <w:rPr>
          <w:lang w:eastAsia="zh-CN"/>
        </w:rPr>
      </w:pPr>
      <w:r>
        <w:rPr>
          <w:rFonts w:hint="eastAsia"/>
          <w:lang w:eastAsia="zh-CN"/>
        </w:rPr>
        <w:t>2.绩效目标</w:t>
      </w:r>
    </w:p>
    <w:p w:rsidR="00ED0E0D" w:rsidRDefault="00276BC2" w:rsidP="00BD7BA9">
      <w:pPr>
        <w:pStyle w:val="a7"/>
        <w:ind w:firstLine="640"/>
        <w:rPr>
          <w:lang w:eastAsia="zh-CN"/>
        </w:rPr>
      </w:pPr>
      <w:r>
        <w:rPr>
          <w:rFonts w:hint="eastAsia"/>
          <w:lang w:eastAsia="zh-CN"/>
        </w:rPr>
        <w:t>绩效目标包括目标设定一个三级指标，全面性和合理可行两个四级指标。</w:t>
      </w:r>
    </w:p>
    <w:p w:rsidR="00ED0E0D" w:rsidRDefault="00276BC2" w:rsidP="00BD7BA9">
      <w:pPr>
        <w:pStyle w:val="a7"/>
        <w:ind w:firstLine="640"/>
        <w:rPr>
          <w:lang w:eastAsia="zh-CN"/>
        </w:rPr>
      </w:pPr>
      <w:r>
        <w:rPr>
          <w:rFonts w:hint="eastAsia"/>
          <w:lang w:eastAsia="zh-CN"/>
        </w:rPr>
        <w:t>（1）目标设定</w:t>
      </w:r>
    </w:p>
    <w:p w:rsidR="00ED0E0D" w:rsidRDefault="00276BC2" w:rsidP="00BD7BA9">
      <w:pPr>
        <w:pStyle w:val="a7"/>
        <w:ind w:firstLine="640"/>
        <w:rPr>
          <w:lang w:eastAsia="zh-CN"/>
        </w:rPr>
      </w:pPr>
      <w:r>
        <w:rPr>
          <w:rFonts w:hint="eastAsia"/>
          <w:lang w:eastAsia="zh-CN"/>
        </w:rPr>
        <w:t>项目设置总目标：对22条道路，累计总长13.5公里（13452米）进行综合整治，主要是对现状路面破损进行修复、排水设施进行修复，路面修复后对现状路面进行沥青罩面，按照道牙、修复和增设人行道、局部修复绿化、完善交通标志边线等。</w:t>
      </w:r>
    </w:p>
    <w:p w:rsidR="00ED0E0D" w:rsidRDefault="00276BC2" w:rsidP="00BD7BA9">
      <w:pPr>
        <w:pStyle w:val="a7"/>
        <w:ind w:firstLine="640"/>
        <w:rPr>
          <w:lang w:eastAsia="zh-CN"/>
        </w:rPr>
      </w:pPr>
      <w:r>
        <w:rPr>
          <w:rFonts w:hint="eastAsia"/>
          <w:lang w:eastAsia="zh-CN"/>
        </w:rPr>
        <w:t>项目时效指标：先行启动工程建设初拟于2019 年11月</w:t>
      </w:r>
      <w:r>
        <w:rPr>
          <w:rFonts w:hint="eastAsia"/>
          <w:lang w:eastAsia="zh-CN"/>
        </w:rPr>
        <w:lastRenderedPageBreak/>
        <w:t>正式开工，路基工程进度为2019年11月-2020年4月，路面工程进度为2020年2月-2020年9月，附属工程进度2020年4月-2020年9月，收尾及交工验收2020年10月-11月，工期12个月。</w:t>
      </w:r>
    </w:p>
    <w:p w:rsidR="00ED0E0D" w:rsidRDefault="00276BC2" w:rsidP="00BD7BA9">
      <w:pPr>
        <w:pStyle w:val="a7"/>
        <w:ind w:firstLine="640"/>
        <w:rPr>
          <w:lang w:eastAsia="zh-CN"/>
        </w:rPr>
      </w:pPr>
      <w:r>
        <w:rPr>
          <w:rFonts w:hint="eastAsia"/>
          <w:lang w:eastAsia="zh-CN"/>
        </w:rPr>
        <w:t>项目预算指标：22条道路资金总投资14,304.10万元，其中村投资4,950.92万元，镇投资9,353.20万元。</w:t>
      </w:r>
    </w:p>
    <w:p w:rsidR="00ED0E0D" w:rsidRDefault="00276BC2" w:rsidP="00BD7BA9">
      <w:pPr>
        <w:pStyle w:val="a7"/>
        <w:ind w:firstLine="640"/>
        <w:rPr>
          <w:lang w:eastAsia="zh-CN"/>
        </w:rPr>
      </w:pPr>
      <w:r>
        <w:rPr>
          <w:rFonts w:hint="eastAsia"/>
          <w:lang w:eastAsia="zh-CN"/>
        </w:rPr>
        <w:t>项目预期产出指标：完成22条全长13.5公里（13452米）道路修复。</w:t>
      </w:r>
    </w:p>
    <w:p w:rsidR="00ED0E0D" w:rsidRDefault="00276BC2" w:rsidP="00BD7BA9">
      <w:pPr>
        <w:pStyle w:val="a7"/>
        <w:ind w:firstLine="640"/>
        <w:rPr>
          <w:lang w:eastAsia="zh-CN"/>
        </w:rPr>
      </w:pPr>
      <w:r>
        <w:rPr>
          <w:rFonts w:hint="eastAsia"/>
          <w:lang w:eastAsia="zh-CN"/>
        </w:rPr>
        <w:t>谢岗镇村内公路服务水平低、道路路面破损，通行能力差，道路配套功能不完善，对谢岗路网进行综合整治提升，满足发展交通需求，促进谢岗镇区域经济快速发展，提高沿线人民生活水平，提升谢岗镇城市形象的需要，促进农村公路健康可持续发展，落实乡村振兴战略符合国家相关法律法规、国民经济发展规划和政府决策，绩效目标做到符合客观实际，科学，经主管部门的合理努力，能够实现。绩效目标的预期产出效益及效果符合正常的业绩水平。但对于绩效目标中不能以量化形式表述的质量指标、社会效益指标、满意度指标等，未采用定性的分级分档形式表述。</w:t>
      </w:r>
    </w:p>
    <w:p w:rsidR="00ED0E0D" w:rsidRDefault="00276BC2" w:rsidP="00BD7BA9">
      <w:pPr>
        <w:pStyle w:val="a7"/>
        <w:ind w:firstLine="640"/>
        <w:rPr>
          <w:lang w:eastAsia="zh-CN"/>
        </w:rPr>
      </w:pPr>
      <w:r>
        <w:rPr>
          <w:rFonts w:hint="eastAsia"/>
          <w:lang w:eastAsia="zh-CN"/>
        </w:rPr>
        <w:t>依据评分标准，本指标权重4分，得分3分。</w:t>
      </w:r>
    </w:p>
    <w:p w:rsidR="00ED0E0D" w:rsidRDefault="00276BC2" w:rsidP="00BD7BA9">
      <w:pPr>
        <w:pStyle w:val="3"/>
        <w:ind w:firstLine="643"/>
        <w:rPr>
          <w:lang w:eastAsia="zh-CN"/>
        </w:rPr>
      </w:pPr>
      <w:r>
        <w:rPr>
          <w:rFonts w:hint="eastAsia"/>
          <w:lang w:eastAsia="zh-CN"/>
        </w:rPr>
        <w:t>3.绩效指标</w:t>
      </w:r>
    </w:p>
    <w:p w:rsidR="00ED0E0D" w:rsidRDefault="00276BC2" w:rsidP="00BD7BA9">
      <w:pPr>
        <w:pStyle w:val="a7"/>
        <w:ind w:firstLine="640"/>
        <w:rPr>
          <w:lang w:eastAsia="zh-CN"/>
        </w:rPr>
      </w:pPr>
      <w:r>
        <w:rPr>
          <w:rFonts w:hint="eastAsia"/>
          <w:lang w:eastAsia="zh-CN"/>
        </w:rPr>
        <w:t>绩效指标包括指标设定一个三级指标，相关性和可衡量性两个四级指标。</w:t>
      </w:r>
    </w:p>
    <w:p w:rsidR="00ED0E0D" w:rsidRDefault="00276BC2" w:rsidP="00BD7BA9">
      <w:pPr>
        <w:pStyle w:val="a7"/>
        <w:ind w:firstLine="640"/>
        <w:rPr>
          <w:lang w:eastAsia="zh-CN"/>
        </w:rPr>
      </w:pPr>
      <w:r>
        <w:rPr>
          <w:rFonts w:hint="eastAsia"/>
          <w:lang w:eastAsia="zh-CN"/>
        </w:rPr>
        <w:lastRenderedPageBreak/>
        <w:t>设置数量指标：22条道路全长13.503公里。</w:t>
      </w:r>
    </w:p>
    <w:p w:rsidR="00ED0E0D" w:rsidRDefault="00276BC2" w:rsidP="00BD7BA9">
      <w:pPr>
        <w:pStyle w:val="a7"/>
        <w:ind w:firstLine="640"/>
        <w:rPr>
          <w:lang w:eastAsia="zh-CN"/>
        </w:rPr>
      </w:pPr>
      <w:r>
        <w:rPr>
          <w:rFonts w:hint="eastAsia"/>
          <w:lang w:eastAsia="zh-CN"/>
        </w:rPr>
        <w:t>设置</w:t>
      </w:r>
      <w:r>
        <w:rPr>
          <w:lang w:eastAsia="zh-CN"/>
        </w:rPr>
        <w:t>质量指标</w:t>
      </w:r>
      <w:r>
        <w:rPr>
          <w:rFonts w:hint="eastAsia"/>
          <w:lang w:eastAsia="zh-CN"/>
        </w:rPr>
        <w:t>：路面状况指数。</w:t>
      </w:r>
    </w:p>
    <w:p w:rsidR="00ED0E0D" w:rsidRDefault="00276BC2" w:rsidP="00BD7BA9">
      <w:pPr>
        <w:pStyle w:val="a7"/>
        <w:ind w:firstLine="640"/>
        <w:rPr>
          <w:lang w:eastAsia="zh-CN"/>
        </w:rPr>
      </w:pPr>
      <w:r>
        <w:rPr>
          <w:rFonts w:hint="eastAsia"/>
          <w:lang w:eastAsia="zh-CN"/>
        </w:rPr>
        <w:t>项目设置</w:t>
      </w:r>
      <w:r>
        <w:rPr>
          <w:lang w:eastAsia="zh-CN"/>
        </w:rPr>
        <w:t>时效指标</w:t>
      </w:r>
      <w:r>
        <w:rPr>
          <w:rFonts w:hint="eastAsia"/>
          <w:lang w:eastAsia="zh-CN"/>
        </w:rPr>
        <w:t>：计划工期完成及时率，计划工期为2019 年11月正式开工，2020年11月建成，工期12个月。</w:t>
      </w:r>
    </w:p>
    <w:p w:rsidR="00ED0E0D" w:rsidRDefault="00276BC2" w:rsidP="00BD7BA9">
      <w:pPr>
        <w:pStyle w:val="a7"/>
        <w:ind w:firstLine="640"/>
        <w:rPr>
          <w:lang w:eastAsia="zh-CN"/>
        </w:rPr>
      </w:pPr>
      <w:r>
        <w:rPr>
          <w:rFonts w:hint="eastAsia"/>
          <w:lang w:eastAsia="zh-CN"/>
        </w:rPr>
        <w:t>设置社会、经济、生态效益指标：驾驶员行车舒适。</w:t>
      </w:r>
    </w:p>
    <w:p w:rsidR="00ED0E0D" w:rsidRDefault="00276BC2" w:rsidP="00BD7BA9">
      <w:pPr>
        <w:pStyle w:val="a7"/>
        <w:ind w:firstLine="640"/>
        <w:rPr>
          <w:lang w:eastAsia="zh-CN"/>
        </w:rPr>
      </w:pPr>
      <w:r>
        <w:rPr>
          <w:rFonts w:hint="eastAsia"/>
          <w:lang w:eastAsia="zh-CN"/>
        </w:rPr>
        <w:t>项目设置可持续影响指标：项目促进当地社会、经济、环境发展程度；项目对所处区域的适应性。社会公众及组织的态度，对项目的建设与运营是否予以支持和配合。未予以量化。</w:t>
      </w:r>
    </w:p>
    <w:p w:rsidR="00ED0E0D" w:rsidRDefault="00276BC2" w:rsidP="00BD7BA9">
      <w:pPr>
        <w:pStyle w:val="a7"/>
        <w:ind w:firstLine="640"/>
        <w:rPr>
          <w:lang w:eastAsia="zh-CN"/>
        </w:rPr>
      </w:pPr>
      <w:r>
        <w:rPr>
          <w:lang w:eastAsia="zh-CN"/>
        </w:rPr>
        <w:t>服务对象满意度指标</w:t>
      </w:r>
      <w:r>
        <w:rPr>
          <w:rFonts w:hint="eastAsia"/>
          <w:lang w:eastAsia="zh-CN"/>
        </w:rPr>
        <w:t>：有效投诉情况。</w:t>
      </w:r>
    </w:p>
    <w:p w:rsidR="00ED0E0D" w:rsidRDefault="00276BC2" w:rsidP="00BD7BA9">
      <w:pPr>
        <w:pStyle w:val="a7"/>
        <w:ind w:firstLine="640"/>
        <w:rPr>
          <w:lang w:eastAsia="zh-CN"/>
        </w:rPr>
      </w:pPr>
      <w:r>
        <w:rPr>
          <w:rFonts w:hint="eastAsia"/>
          <w:lang w:eastAsia="zh-CN"/>
        </w:rPr>
        <w:t>绩效指标设定与绩效目标关联，能全面反映目标的实现程度，但社会效益、经济效益、生态效益指标、满意度指标等未采用定性的分级分档形式表述。</w:t>
      </w:r>
    </w:p>
    <w:p w:rsidR="00ED0E0D" w:rsidRDefault="00276BC2" w:rsidP="00BD7BA9">
      <w:pPr>
        <w:pStyle w:val="a7"/>
        <w:ind w:firstLine="640"/>
        <w:rPr>
          <w:lang w:eastAsia="zh-CN"/>
        </w:rPr>
      </w:pPr>
      <w:r>
        <w:rPr>
          <w:rFonts w:hint="eastAsia"/>
          <w:lang w:eastAsia="zh-CN"/>
        </w:rPr>
        <w:t>依据评分标准，本指标权重4分，得分3分。</w:t>
      </w:r>
    </w:p>
    <w:p w:rsidR="00ED0E0D" w:rsidRDefault="00276BC2" w:rsidP="00BD7BA9">
      <w:pPr>
        <w:pStyle w:val="3"/>
        <w:ind w:firstLine="643"/>
        <w:rPr>
          <w:lang w:eastAsia="zh-CN"/>
        </w:rPr>
      </w:pPr>
      <w:r>
        <w:rPr>
          <w:rFonts w:hint="eastAsia"/>
          <w:lang w:eastAsia="zh-CN"/>
        </w:rPr>
        <w:t>4.预算配置</w:t>
      </w:r>
    </w:p>
    <w:p w:rsidR="00ED0E0D" w:rsidRDefault="00276BC2" w:rsidP="00BD7BA9">
      <w:pPr>
        <w:pStyle w:val="a7"/>
        <w:ind w:firstLine="640"/>
        <w:rPr>
          <w:lang w:eastAsia="zh-CN"/>
        </w:rPr>
      </w:pPr>
      <w:r>
        <w:rPr>
          <w:rFonts w:hint="eastAsia"/>
          <w:lang w:eastAsia="zh-CN"/>
        </w:rPr>
        <w:t>预算配置包括资金投入一个三级指标，合规性和调整率两个四级指标。</w:t>
      </w:r>
    </w:p>
    <w:p w:rsidR="00ED0E0D" w:rsidRDefault="00276BC2" w:rsidP="00BD7BA9">
      <w:pPr>
        <w:pStyle w:val="a7"/>
        <w:ind w:firstLine="640"/>
        <w:rPr>
          <w:lang w:eastAsia="zh-CN"/>
        </w:rPr>
      </w:pPr>
      <w:r>
        <w:rPr>
          <w:rFonts w:hint="eastAsia"/>
          <w:lang w:eastAsia="zh-CN"/>
        </w:rPr>
        <w:t>（1）资金投入</w:t>
      </w:r>
    </w:p>
    <w:p w:rsidR="00ED0E0D" w:rsidRDefault="00276BC2" w:rsidP="00BD7BA9">
      <w:pPr>
        <w:pStyle w:val="a7"/>
        <w:ind w:firstLine="640"/>
        <w:rPr>
          <w:lang w:eastAsia="zh-CN"/>
        </w:rPr>
      </w:pPr>
      <w:r>
        <w:rPr>
          <w:rFonts w:hint="eastAsia"/>
          <w:lang w:eastAsia="zh-CN"/>
        </w:rPr>
        <w:t>“资金预算情况表”显示22条道路计划投入资金14,304.10万元，资金计划周期为2019年-2021年，2020年申报预算资金为1,297.33万元，财政批复资金为1,000.00万元，项目明细账显示2020年支付款项共计2,912.42万元。</w:t>
      </w:r>
      <w:r>
        <w:rPr>
          <w:rFonts w:hint="eastAsia"/>
          <w:lang w:eastAsia="zh-CN"/>
        </w:rPr>
        <w:lastRenderedPageBreak/>
        <w:t>无预算支付1,912.42万元。预算编制不科学，无追加预算。具体支付明细如下表：（详见附件-表2）</w:t>
      </w:r>
    </w:p>
    <w:p w:rsidR="00ED0E0D" w:rsidRDefault="00276BC2" w:rsidP="00BD7BA9">
      <w:pPr>
        <w:pStyle w:val="a7"/>
        <w:ind w:firstLine="640"/>
        <w:rPr>
          <w:lang w:eastAsia="zh-CN"/>
        </w:rPr>
      </w:pPr>
      <w:r>
        <w:rPr>
          <w:rFonts w:hint="eastAsia"/>
          <w:lang w:eastAsia="zh-CN"/>
        </w:rPr>
        <w:t>依据评分标准，本指标权重4分，得分1分。</w:t>
      </w:r>
    </w:p>
    <w:p w:rsidR="00ED0E0D" w:rsidRDefault="00276BC2" w:rsidP="00BD7BA9">
      <w:pPr>
        <w:pStyle w:val="a9"/>
        <w:ind w:firstLine="643"/>
        <w:rPr>
          <w:lang w:eastAsia="zh-CN"/>
        </w:rPr>
      </w:pPr>
      <w:bookmarkStart w:id="40" w:name="_Toc25689"/>
      <w:r>
        <w:rPr>
          <w:rFonts w:hint="eastAsia"/>
          <w:lang w:eastAsia="zh-CN"/>
        </w:rPr>
        <w:t>（二）过程管理</w:t>
      </w:r>
      <w:bookmarkEnd w:id="40"/>
    </w:p>
    <w:p w:rsidR="00ED0E0D" w:rsidRDefault="00276BC2" w:rsidP="00BD7BA9">
      <w:pPr>
        <w:pStyle w:val="a7"/>
        <w:ind w:firstLine="640"/>
        <w:rPr>
          <w:rFonts w:ascii="Times New Roman" w:eastAsia="仿宋_GB2312" w:hAnsi="Times New Roman" w:cs="仿宋_GB2312"/>
          <w:szCs w:val="32"/>
          <w:lang w:eastAsia="zh-CN"/>
        </w:rPr>
      </w:pPr>
      <w:r>
        <w:rPr>
          <w:rFonts w:ascii="Times New Roman" w:eastAsia="仿宋_GB2312" w:hAnsi="Times New Roman" w:cs="仿宋_GB2312" w:hint="eastAsia"/>
          <w:szCs w:val="32"/>
          <w:lang w:eastAsia="zh-CN"/>
        </w:rPr>
        <w:t>项目过程管理设置资金管理和业务管理两个二级指标，总分</w:t>
      </w:r>
      <w:r>
        <w:rPr>
          <w:rFonts w:ascii="Times New Roman" w:eastAsia="仿宋_GB2312" w:hAnsi="Times New Roman" w:cs="仿宋_GB2312" w:hint="eastAsia"/>
          <w:szCs w:val="32"/>
          <w:lang w:eastAsia="zh-CN"/>
        </w:rPr>
        <w:t>35</w:t>
      </w:r>
      <w:r>
        <w:rPr>
          <w:rFonts w:ascii="Times New Roman" w:eastAsia="仿宋_GB2312" w:hAnsi="Times New Roman" w:cs="仿宋_GB2312" w:hint="eastAsia"/>
          <w:szCs w:val="32"/>
          <w:lang w:eastAsia="zh-CN"/>
        </w:rPr>
        <w:t>分。根据项目评价指标和评分标准，得分</w:t>
      </w:r>
      <w:r>
        <w:rPr>
          <w:rFonts w:ascii="Times New Roman" w:eastAsia="仿宋_GB2312" w:hAnsi="Times New Roman" w:cs="仿宋_GB2312" w:hint="eastAsia"/>
          <w:color w:val="0D0D0D" w:themeColor="text1" w:themeTint="F2"/>
          <w:szCs w:val="32"/>
          <w:lang w:eastAsia="zh-CN"/>
        </w:rPr>
        <w:t>26</w:t>
      </w:r>
      <w:r>
        <w:rPr>
          <w:rFonts w:ascii="Times New Roman" w:eastAsia="仿宋_GB2312" w:hAnsi="Times New Roman" w:cs="仿宋_GB2312" w:hint="eastAsia"/>
          <w:szCs w:val="32"/>
          <w:lang w:eastAsia="zh-CN"/>
        </w:rPr>
        <w:t>分。具体情况如下：</w:t>
      </w:r>
    </w:p>
    <w:p w:rsidR="00ED0E0D" w:rsidRDefault="00276BC2" w:rsidP="00BD7BA9">
      <w:pPr>
        <w:pStyle w:val="3"/>
        <w:ind w:firstLine="643"/>
        <w:rPr>
          <w:lang w:eastAsia="zh-CN"/>
        </w:rPr>
      </w:pPr>
      <w:r>
        <w:rPr>
          <w:rFonts w:hint="eastAsia"/>
          <w:lang w:eastAsia="zh-CN"/>
        </w:rPr>
        <w:t>1.资金管理</w:t>
      </w:r>
    </w:p>
    <w:p w:rsidR="00ED0E0D" w:rsidRDefault="00276BC2" w:rsidP="00BD7BA9">
      <w:pPr>
        <w:pStyle w:val="a7"/>
        <w:ind w:firstLine="640"/>
        <w:rPr>
          <w:lang w:eastAsia="zh-CN"/>
        </w:rPr>
      </w:pPr>
      <w:r>
        <w:rPr>
          <w:rFonts w:hint="eastAsia"/>
          <w:lang w:eastAsia="zh-CN"/>
        </w:rPr>
        <w:t>资金管理包括财务制度和资金使用两个三级指标，财务制度健全性和支出合规性两个四级指标。</w:t>
      </w:r>
    </w:p>
    <w:p w:rsidR="00ED0E0D" w:rsidRDefault="00276BC2" w:rsidP="00BD7BA9">
      <w:pPr>
        <w:pStyle w:val="a7"/>
        <w:ind w:firstLine="640"/>
        <w:rPr>
          <w:lang w:eastAsia="zh-CN"/>
        </w:rPr>
      </w:pPr>
      <w:r>
        <w:rPr>
          <w:rFonts w:hint="eastAsia"/>
          <w:lang w:eastAsia="zh-CN"/>
        </w:rPr>
        <w:t>（1）财务制度</w:t>
      </w:r>
    </w:p>
    <w:p w:rsidR="00ED0E0D" w:rsidRDefault="00276BC2" w:rsidP="00BD7BA9">
      <w:pPr>
        <w:pStyle w:val="a7"/>
        <w:ind w:firstLine="640"/>
        <w:rPr>
          <w:lang w:eastAsia="zh-CN"/>
        </w:rPr>
      </w:pPr>
      <w:r>
        <w:rPr>
          <w:rFonts w:hint="eastAsia"/>
          <w:lang w:eastAsia="zh-CN"/>
        </w:rPr>
        <w:t>①制度健全性</w:t>
      </w:r>
    </w:p>
    <w:p w:rsidR="00ED0E0D" w:rsidRDefault="00276BC2" w:rsidP="00BD7BA9">
      <w:pPr>
        <w:pStyle w:val="a7"/>
        <w:ind w:firstLine="640"/>
        <w:rPr>
          <w:lang w:eastAsia="zh-CN"/>
        </w:rPr>
      </w:pPr>
      <w:r>
        <w:rPr>
          <w:rFonts w:hint="eastAsia"/>
          <w:lang w:eastAsia="zh-CN"/>
        </w:rPr>
        <w:t>项目单位未根据工程建设资金使用及会计核算情况</w:t>
      </w:r>
      <w:r>
        <w:rPr>
          <w:lang w:eastAsia="zh-CN"/>
        </w:rPr>
        <w:t>制定</w:t>
      </w:r>
      <w:r>
        <w:rPr>
          <w:rFonts w:hint="eastAsia"/>
          <w:lang w:eastAsia="zh-CN"/>
        </w:rPr>
        <w:t>财务相关的管理制度，财务管理缺乏制度依据。</w:t>
      </w:r>
    </w:p>
    <w:p w:rsidR="00ED0E0D" w:rsidRDefault="00276BC2" w:rsidP="00BD7BA9">
      <w:pPr>
        <w:pStyle w:val="a7"/>
        <w:ind w:firstLine="640"/>
        <w:rPr>
          <w:lang w:eastAsia="zh-CN"/>
        </w:rPr>
      </w:pPr>
      <w:r>
        <w:rPr>
          <w:rFonts w:hint="eastAsia"/>
          <w:lang w:eastAsia="zh-CN"/>
        </w:rPr>
        <w:t>依据评分标准，本指标权重2分，得分0分。</w:t>
      </w:r>
    </w:p>
    <w:p w:rsidR="00ED0E0D" w:rsidRDefault="00276BC2" w:rsidP="00BD7BA9">
      <w:pPr>
        <w:pStyle w:val="a7"/>
        <w:ind w:firstLine="640"/>
        <w:rPr>
          <w:lang w:eastAsia="zh-CN"/>
        </w:rPr>
      </w:pPr>
      <w:r>
        <w:rPr>
          <w:rFonts w:hint="eastAsia"/>
          <w:lang w:eastAsia="zh-CN"/>
        </w:rPr>
        <w:t>（2）资金使用</w:t>
      </w:r>
    </w:p>
    <w:p w:rsidR="00ED0E0D" w:rsidRDefault="00276BC2" w:rsidP="00BD7BA9">
      <w:pPr>
        <w:pStyle w:val="a7"/>
        <w:ind w:firstLine="640"/>
        <w:rPr>
          <w:lang w:eastAsia="zh-CN"/>
        </w:rPr>
      </w:pPr>
      <w:r>
        <w:rPr>
          <w:rFonts w:hint="eastAsia"/>
          <w:lang w:eastAsia="zh-CN"/>
        </w:rPr>
        <w:t>2020年实际支出款项2,912.42万元，请款申请审批手续齐全，资金均按合同进度支付，为项目发生的前期费用及工程费，资金用途</w:t>
      </w:r>
      <w:r>
        <w:rPr>
          <w:lang w:eastAsia="zh-CN"/>
        </w:rPr>
        <w:t>符合合同规定</w:t>
      </w:r>
      <w:r>
        <w:rPr>
          <w:rFonts w:hint="eastAsia"/>
          <w:lang w:eastAsia="zh-CN"/>
        </w:rPr>
        <w:t>，</w:t>
      </w:r>
      <w:r>
        <w:rPr>
          <w:lang w:eastAsia="zh-CN"/>
        </w:rPr>
        <w:t>资金支出合理规范，支出记录完整规范，凭证合规有效，不存在截留、挤占、挪用、虚列支出等情况</w:t>
      </w:r>
      <w:r>
        <w:rPr>
          <w:rFonts w:hint="eastAsia"/>
          <w:lang w:eastAsia="zh-CN"/>
        </w:rPr>
        <w:t>，但工程进度款支付依据不充分。</w:t>
      </w:r>
    </w:p>
    <w:p w:rsidR="00ED0E0D" w:rsidRDefault="00276BC2" w:rsidP="00BD7BA9">
      <w:pPr>
        <w:pStyle w:val="a7"/>
        <w:ind w:firstLine="640"/>
        <w:rPr>
          <w:lang w:eastAsia="zh-CN"/>
        </w:rPr>
      </w:pPr>
      <w:r>
        <w:rPr>
          <w:rFonts w:hint="eastAsia"/>
          <w:lang w:eastAsia="zh-CN"/>
        </w:rPr>
        <w:t>依据评分标准，本指标权重3分，得分2分。</w:t>
      </w:r>
    </w:p>
    <w:p w:rsidR="00ED0E0D" w:rsidRDefault="00276BC2" w:rsidP="00BD7BA9">
      <w:pPr>
        <w:pStyle w:val="3"/>
        <w:ind w:firstLine="643"/>
        <w:rPr>
          <w:lang w:eastAsia="zh-CN"/>
        </w:rPr>
      </w:pPr>
      <w:r>
        <w:rPr>
          <w:rFonts w:hint="eastAsia"/>
          <w:lang w:eastAsia="zh-CN"/>
        </w:rPr>
        <w:lastRenderedPageBreak/>
        <w:t>2.业务管理</w:t>
      </w:r>
    </w:p>
    <w:p w:rsidR="00ED0E0D" w:rsidRDefault="00276BC2" w:rsidP="00BD7BA9">
      <w:pPr>
        <w:pStyle w:val="a7"/>
        <w:ind w:firstLine="640"/>
        <w:rPr>
          <w:lang w:eastAsia="zh-CN"/>
        </w:rPr>
      </w:pPr>
      <w:r>
        <w:rPr>
          <w:rFonts w:hint="eastAsia"/>
          <w:lang w:eastAsia="zh-CN"/>
        </w:rPr>
        <w:t>业务管理包括业务制度、组织实施两个三级指标，制度完备性、项目实施计划性、执行有效性、档案管理；过程规范性、履约能力、质量监控、整改情况八个四级指标。</w:t>
      </w:r>
    </w:p>
    <w:p w:rsidR="00ED0E0D" w:rsidRDefault="00276BC2" w:rsidP="00BD7BA9">
      <w:pPr>
        <w:pStyle w:val="a7"/>
        <w:ind w:firstLine="640"/>
        <w:rPr>
          <w:lang w:eastAsia="zh-CN"/>
        </w:rPr>
      </w:pPr>
      <w:r>
        <w:rPr>
          <w:rFonts w:hint="eastAsia"/>
          <w:lang w:eastAsia="zh-CN"/>
        </w:rPr>
        <w:t>（1）业务制度</w:t>
      </w:r>
    </w:p>
    <w:p w:rsidR="00ED0E0D" w:rsidRDefault="00276BC2" w:rsidP="00BD7BA9">
      <w:pPr>
        <w:pStyle w:val="a7"/>
        <w:ind w:firstLine="640"/>
        <w:rPr>
          <w:lang w:eastAsia="zh-CN"/>
        </w:rPr>
      </w:pPr>
      <w:r>
        <w:rPr>
          <w:rFonts w:hint="eastAsia"/>
          <w:lang w:eastAsia="zh-CN"/>
        </w:rPr>
        <w:t>①制度完备性</w:t>
      </w:r>
    </w:p>
    <w:p w:rsidR="00ED0E0D" w:rsidRDefault="00276BC2" w:rsidP="00BD7BA9">
      <w:pPr>
        <w:pStyle w:val="a7"/>
        <w:ind w:firstLine="640"/>
        <w:rPr>
          <w:lang w:eastAsia="zh-CN"/>
        </w:rPr>
      </w:pPr>
      <w:r>
        <w:rPr>
          <w:rFonts w:hint="eastAsia"/>
          <w:lang w:eastAsia="zh-CN"/>
        </w:rPr>
        <w:t>项目单位根据工程建设</w:t>
      </w:r>
      <w:r>
        <w:rPr>
          <w:lang w:eastAsia="zh-CN"/>
        </w:rPr>
        <w:t>制定</w:t>
      </w:r>
      <w:r>
        <w:rPr>
          <w:rFonts w:hint="eastAsia"/>
          <w:lang w:eastAsia="zh-CN"/>
        </w:rPr>
        <w:t>《工程质量管理办法》、《安全生产管理办法》、《工程监理实施细则》、《监理工作规划》、《工程质量监督计划》等</w:t>
      </w:r>
      <w:r>
        <w:rPr>
          <w:lang w:eastAsia="zh-CN"/>
        </w:rPr>
        <w:t>相关制度，</w:t>
      </w:r>
      <w:r>
        <w:rPr>
          <w:rFonts w:hint="eastAsia"/>
          <w:lang w:eastAsia="zh-CN"/>
        </w:rPr>
        <w:t>业务管理制度基本健全、合法、合规，为工程实施过程管控提供制度依据。项目单位、施工方、监理方等具备完善的项目管理制度。</w:t>
      </w:r>
    </w:p>
    <w:p w:rsidR="00ED0E0D" w:rsidRDefault="00276BC2" w:rsidP="00BD7BA9">
      <w:pPr>
        <w:pStyle w:val="a7"/>
        <w:ind w:firstLine="640"/>
        <w:rPr>
          <w:lang w:eastAsia="zh-CN"/>
        </w:rPr>
      </w:pPr>
      <w:r>
        <w:rPr>
          <w:rFonts w:hint="eastAsia"/>
          <w:lang w:eastAsia="zh-CN"/>
        </w:rPr>
        <w:t>依据评分标准，本指标权重4分，得分2分。</w:t>
      </w:r>
    </w:p>
    <w:p w:rsidR="00ED0E0D" w:rsidRDefault="00276BC2" w:rsidP="00BD7BA9">
      <w:pPr>
        <w:pStyle w:val="a7"/>
        <w:ind w:firstLine="640"/>
        <w:rPr>
          <w:lang w:eastAsia="zh-CN"/>
        </w:rPr>
      </w:pPr>
      <w:r>
        <w:rPr>
          <w:rFonts w:hint="eastAsia"/>
          <w:lang w:eastAsia="zh-CN"/>
        </w:rPr>
        <w:t>②项目实施计划性</w:t>
      </w:r>
    </w:p>
    <w:p w:rsidR="00ED0E0D" w:rsidRDefault="00276BC2" w:rsidP="00BD7BA9">
      <w:pPr>
        <w:pStyle w:val="a7"/>
        <w:ind w:firstLine="640"/>
        <w:rPr>
          <w:lang w:eastAsia="zh-CN"/>
        </w:rPr>
      </w:pPr>
      <w:r>
        <w:rPr>
          <w:rFonts w:hint="eastAsia"/>
          <w:lang w:eastAsia="zh-CN"/>
        </w:rPr>
        <w:t>项目制定有施工组织设计方案、监理规划，并具有针对性、可行性，施工组织设计方案中明确了进度计划，但缺少进度控制措施。</w:t>
      </w:r>
    </w:p>
    <w:p w:rsidR="00ED0E0D" w:rsidRDefault="00276BC2" w:rsidP="00BD7BA9">
      <w:pPr>
        <w:pStyle w:val="a7"/>
        <w:ind w:firstLine="640"/>
        <w:rPr>
          <w:lang w:eastAsia="zh-CN"/>
        </w:rPr>
      </w:pPr>
      <w:r>
        <w:rPr>
          <w:rFonts w:hint="eastAsia"/>
          <w:lang w:eastAsia="zh-CN"/>
        </w:rPr>
        <w:t>依据评分标准，本指标权重3分，得分3分。</w:t>
      </w:r>
    </w:p>
    <w:p w:rsidR="00ED0E0D" w:rsidRDefault="00276BC2" w:rsidP="00BD7BA9">
      <w:pPr>
        <w:pStyle w:val="a7"/>
        <w:ind w:firstLine="640"/>
        <w:rPr>
          <w:lang w:eastAsia="zh-CN"/>
        </w:rPr>
      </w:pPr>
      <w:r>
        <w:rPr>
          <w:rFonts w:hint="eastAsia"/>
          <w:lang w:eastAsia="zh-CN"/>
        </w:rPr>
        <w:t>③执行有效性</w:t>
      </w:r>
    </w:p>
    <w:p w:rsidR="00ED0E0D" w:rsidRDefault="00276BC2" w:rsidP="00BD7BA9">
      <w:pPr>
        <w:pStyle w:val="a7"/>
        <w:ind w:firstLine="640"/>
        <w:rPr>
          <w:lang w:eastAsia="zh-CN"/>
        </w:rPr>
      </w:pPr>
      <w:r>
        <w:rPr>
          <w:rFonts w:hint="eastAsia"/>
          <w:lang w:eastAsia="zh-CN"/>
        </w:rPr>
        <w:t>业务实施过程中，项目单位按照《工程质量管理办法》、《安全生产管理办法》、《工程质量监督计划》等</w:t>
      </w:r>
      <w:r>
        <w:rPr>
          <w:lang w:eastAsia="zh-CN"/>
        </w:rPr>
        <w:t>相关制度</w:t>
      </w:r>
      <w:r>
        <w:rPr>
          <w:rFonts w:hint="eastAsia"/>
          <w:lang w:eastAsia="zh-CN"/>
        </w:rPr>
        <w:t>执行，对工程质量实施控制，项目部设置质量管理办公室，具体负责日常质量管理工作，根据项目进度计划和实施情</w:t>
      </w:r>
      <w:r>
        <w:rPr>
          <w:rFonts w:hint="eastAsia"/>
          <w:lang w:eastAsia="zh-CN"/>
        </w:rPr>
        <w:lastRenderedPageBreak/>
        <w:t>况，对项目开展督导检查，并督促各方参建单位，采取有效措施，及时整改。</w:t>
      </w:r>
    </w:p>
    <w:p w:rsidR="00ED0E0D" w:rsidRDefault="00276BC2" w:rsidP="00BD7BA9">
      <w:pPr>
        <w:pStyle w:val="a7"/>
        <w:ind w:firstLine="640"/>
        <w:rPr>
          <w:lang w:eastAsia="zh-CN"/>
        </w:rPr>
      </w:pPr>
      <w:r>
        <w:rPr>
          <w:rFonts w:hint="eastAsia"/>
          <w:lang w:eastAsia="zh-CN"/>
        </w:rPr>
        <w:t>监理单位按照《工程监理实施细则》，组织协调现场施工，对工程实施进度、工程质量、造价、合同、信息与资料管理等实施控制监督，并对施工现场监督的情况形成监理日志和监理会议纪要，制度执行有效。</w:t>
      </w:r>
    </w:p>
    <w:p w:rsidR="00ED0E0D" w:rsidRDefault="00276BC2" w:rsidP="00BD7BA9">
      <w:pPr>
        <w:pStyle w:val="a7"/>
        <w:ind w:firstLine="640"/>
        <w:rPr>
          <w:lang w:eastAsia="zh-CN"/>
        </w:rPr>
      </w:pPr>
      <w:r>
        <w:rPr>
          <w:rFonts w:hint="eastAsia"/>
          <w:lang w:eastAsia="zh-CN"/>
        </w:rPr>
        <w:t>依据评分标准，本指标权重5分，得分5分。</w:t>
      </w:r>
    </w:p>
    <w:p w:rsidR="00ED0E0D" w:rsidRDefault="00276BC2" w:rsidP="00BD7BA9">
      <w:pPr>
        <w:pStyle w:val="a7"/>
        <w:ind w:firstLine="640"/>
        <w:rPr>
          <w:lang w:eastAsia="zh-CN"/>
        </w:rPr>
      </w:pPr>
      <w:r>
        <w:rPr>
          <w:rFonts w:hint="eastAsia"/>
          <w:lang w:eastAsia="zh-CN"/>
        </w:rPr>
        <w:t>④档案管理</w:t>
      </w:r>
    </w:p>
    <w:p w:rsidR="00ED0E0D" w:rsidRDefault="00276BC2" w:rsidP="00BD7BA9">
      <w:pPr>
        <w:pStyle w:val="a7"/>
        <w:ind w:firstLine="640"/>
        <w:rPr>
          <w:lang w:eastAsia="zh-CN"/>
        </w:rPr>
      </w:pPr>
      <w:r>
        <w:rPr>
          <w:rFonts w:hint="eastAsia"/>
          <w:lang w:eastAsia="zh-CN"/>
        </w:rPr>
        <w:t>项目单位未提供2020年分部分项工程验收报告，项目资料不齐全，归档质量未达到相关档案要求。</w:t>
      </w:r>
    </w:p>
    <w:p w:rsidR="00ED0E0D" w:rsidRDefault="00276BC2" w:rsidP="00BD7BA9">
      <w:pPr>
        <w:pStyle w:val="a7"/>
        <w:ind w:firstLine="640"/>
        <w:rPr>
          <w:lang w:eastAsia="zh-CN"/>
        </w:rPr>
      </w:pPr>
      <w:r>
        <w:rPr>
          <w:rFonts w:hint="eastAsia"/>
          <w:lang w:eastAsia="zh-CN"/>
        </w:rPr>
        <w:t>依据评分标准，本指标权重3分，得分2分。</w:t>
      </w:r>
    </w:p>
    <w:p w:rsidR="00ED0E0D" w:rsidRDefault="00276BC2" w:rsidP="00BD7BA9">
      <w:pPr>
        <w:pStyle w:val="3"/>
        <w:ind w:firstLine="643"/>
        <w:rPr>
          <w:lang w:eastAsia="zh-CN"/>
        </w:rPr>
      </w:pPr>
      <w:r>
        <w:rPr>
          <w:rFonts w:hint="eastAsia"/>
          <w:lang w:eastAsia="zh-CN"/>
        </w:rPr>
        <w:t>3.组织实施</w:t>
      </w:r>
    </w:p>
    <w:p w:rsidR="00ED0E0D" w:rsidRDefault="00276BC2" w:rsidP="00BD7BA9">
      <w:pPr>
        <w:pStyle w:val="a7"/>
        <w:ind w:firstLine="640"/>
        <w:rPr>
          <w:lang w:eastAsia="zh-CN"/>
        </w:rPr>
      </w:pPr>
      <w:r>
        <w:rPr>
          <w:rFonts w:hint="eastAsia"/>
          <w:lang w:eastAsia="zh-CN"/>
        </w:rPr>
        <w:t>①过程规范性</w:t>
      </w:r>
    </w:p>
    <w:p w:rsidR="00ED0E0D" w:rsidRDefault="00276BC2" w:rsidP="00BD7BA9">
      <w:pPr>
        <w:pStyle w:val="a7"/>
        <w:ind w:firstLine="640"/>
        <w:rPr>
          <w:lang w:eastAsia="zh-CN"/>
        </w:rPr>
      </w:pPr>
      <w:r>
        <w:rPr>
          <w:rFonts w:hint="eastAsia"/>
          <w:lang w:eastAsia="zh-CN"/>
        </w:rPr>
        <w:t>项目计划工期为2019 年11月正式开工，实际开工日为2020年10月22日，延期开工，无工期调整说明，项目内容、工程量组织实施规范。</w:t>
      </w:r>
    </w:p>
    <w:p w:rsidR="00ED0E0D" w:rsidRDefault="00276BC2" w:rsidP="00BD7BA9">
      <w:pPr>
        <w:pStyle w:val="a7"/>
        <w:ind w:firstLine="640"/>
        <w:rPr>
          <w:lang w:eastAsia="zh-CN"/>
        </w:rPr>
      </w:pPr>
      <w:r>
        <w:rPr>
          <w:rFonts w:hint="eastAsia"/>
          <w:lang w:eastAsia="zh-CN"/>
        </w:rPr>
        <w:t>依据评分标准，本指标权重5分，得分3分。</w:t>
      </w:r>
    </w:p>
    <w:p w:rsidR="00ED0E0D" w:rsidRDefault="00276BC2" w:rsidP="00BD7BA9">
      <w:pPr>
        <w:pStyle w:val="a7"/>
        <w:ind w:firstLine="640"/>
        <w:rPr>
          <w:lang w:eastAsia="zh-CN"/>
        </w:rPr>
      </w:pPr>
      <w:r>
        <w:rPr>
          <w:rFonts w:hint="eastAsia"/>
          <w:lang w:eastAsia="zh-CN"/>
        </w:rPr>
        <w:t>②履约能力</w:t>
      </w:r>
    </w:p>
    <w:p w:rsidR="00ED0E0D" w:rsidRDefault="00276BC2" w:rsidP="00BD7BA9">
      <w:pPr>
        <w:pStyle w:val="a7"/>
        <w:ind w:firstLine="640"/>
        <w:rPr>
          <w:lang w:eastAsia="zh-CN"/>
        </w:rPr>
      </w:pPr>
      <w:r>
        <w:rPr>
          <w:rFonts w:hint="eastAsia"/>
          <w:lang w:eastAsia="zh-CN"/>
        </w:rPr>
        <w:t>开工前监理方对各项准备工程进行了全面检查，认为现场及临时设施等已满足施工需要，主要技术管理人员、机械设备巳按合同协议承诺进场，安全、环保、文明施工保障体系及措施已建立健全。施工组织设计编制合理可行，满足工</w:t>
      </w:r>
      <w:r>
        <w:rPr>
          <w:rFonts w:hint="eastAsia"/>
          <w:lang w:eastAsia="zh-CN"/>
        </w:rPr>
        <w:lastRenderedPageBreak/>
        <w:t>程要求。合同约定的人员条件、场地设备、信息支撑等基本落实到位。</w:t>
      </w:r>
    </w:p>
    <w:p w:rsidR="00ED0E0D" w:rsidRDefault="00276BC2" w:rsidP="00BD7BA9">
      <w:pPr>
        <w:pStyle w:val="a7"/>
        <w:ind w:firstLine="640"/>
        <w:rPr>
          <w:lang w:eastAsia="zh-CN"/>
        </w:rPr>
      </w:pPr>
      <w:r>
        <w:rPr>
          <w:rFonts w:hint="eastAsia"/>
          <w:lang w:eastAsia="zh-CN"/>
        </w:rPr>
        <w:t>依据评分标准，本指标权重2分，得分2分。</w:t>
      </w:r>
    </w:p>
    <w:p w:rsidR="00ED0E0D" w:rsidRDefault="00276BC2" w:rsidP="00BD7BA9">
      <w:pPr>
        <w:pStyle w:val="a7"/>
        <w:ind w:firstLine="640"/>
        <w:rPr>
          <w:lang w:eastAsia="zh-CN"/>
        </w:rPr>
      </w:pPr>
      <w:r>
        <w:rPr>
          <w:rFonts w:hint="eastAsia"/>
          <w:lang w:eastAsia="zh-CN"/>
        </w:rPr>
        <w:t>③质量监控</w:t>
      </w:r>
    </w:p>
    <w:p w:rsidR="00ED0E0D" w:rsidRDefault="00276BC2" w:rsidP="00BD7BA9">
      <w:pPr>
        <w:pStyle w:val="a7"/>
        <w:ind w:firstLine="640"/>
        <w:rPr>
          <w:lang w:eastAsia="zh-CN"/>
        </w:rPr>
      </w:pPr>
      <w:r>
        <w:rPr>
          <w:lang w:eastAsia="zh-CN"/>
        </w:rPr>
        <w:t>主管部门</w:t>
      </w:r>
      <w:r>
        <w:rPr>
          <w:rFonts w:hint="eastAsia"/>
          <w:lang w:eastAsia="zh-CN"/>
        </w:rPr>
        <w:t>组织对在建工程质量的重点部位和主要分项工程质量进行不定期抽查核验，对于检查结果及时发出《工程质量监督检查情况通知》，督促各参建单位及时进行整改消除质量隐患。</w:t>
      </w:r>
    </w:p>
    <w:p w:rsidR="00ED0E0D" w:rsidRDefault="00276BC2" w:rsidP="00BD7BA9">
      <w:pPr>
        <w:pStyle w:val="a7"/>
        <w:ind w:firstLine="640"/>
        <w:rPr>
          <w:lang w:eastAsia="zh-CN"/>
        </w:rPr>
      </w:pPr>
      <w:r>
        <w:rPr>
          <w:rFonts w:hint="eastAsia"/>
          <w:lang w:eastAsia="zh-CN"/>
        </w:rPr>
        <w:t>依据评分标准，本指标权重5分，得分5分。</w:t>
      </w:r>
    </w:p>
    <w:p w:rsidR="00ED0E0D" w:rsidRDefault="00276BC2" w:rsidP="00BD7BA9">
      <w:pPr>
        <w:pStyle w:val="a7"/>
        <w:ind w:firstLine="640"/>
        <w:rPr>
          <w:lang w:eastAsia="zh-CN"/>
        </w:rPr>
      </w:pPr>
      <w:r>
        <w:rPr>
          <w:rFonts w:hint="eastAsia"/>
          <w:lang w:eastAsia="zh-CN"/>
        </w:rPr>
        <w:t>④整改情况</w:t>
      </w:r>
    </w:p>
    <w:p w:rsidR="00ED0E0D" w:rsidRDefault="00276BC2" w:rsidP="00BD7BA9">
      <w:pPr>
        <w:pStyle w:val="a7"/>
        <w:ind w:firstLine="640"/>
        <w:rPr>
          <w:lang w:eastAsia="zh-CN"/>
        </w:rPr>
      </w:pPr>
      <w:r>
        <w:rPr>
          <w:rFonts w:hint="eastAsia"/>
          <w:lang w:eastAsia="zh-CN"/>
        </w:rPr>
        <w:t>监理对项目施工前期提交的施工组织设计、开工申请报告、材料合格证、扬尘整治方案、安全施工专项方案、资质、施工设计图、等进行审核，督促施工单位对施工图纸与现场不符问题进行汇总会审。设计单位按监理要求作出整改。</w:t>
      </w:r>
    </w:p>
    <w:p w:rsidR="00ED0E0D" w:rsidRDefault="00276BC2" w:rsidP="00BD7BA9">
      <w:pPr>
        <w:pStyle w:val="a7"/>
        <w:ind w:firstLine="640"/>
        <w:rPr>
          <w:lang w:eastAsia="zh-CN"/>
        </w:rPr>
      </w:pPr>
      <w:r>
        <w:rPr>
          <w:rFonts w:hint="eastAsia"/>
          <w:lang w:eastAsia="zh-CN"/>
        </w:rPr>
        <w:t>施工方制定了进度计划，但并未对进度计划制定控制措施，监理单位未提出整改意见。</w:t>
      </w:r>
    </w:p>
    <w:p w:rsidR="00ED0E0D" w:rsidRDefault="00276BC2" w:rsidP="00BD7BA9">
      <w:pPr>
        <w:pStyle w:val="a7"/>
        <w:ind w:firstLine="640"/>
        <w:rPr>
          <w:lang w:eastAsia="zh-CN"/>
        </w:rPr>
      </w:pPr>
      <w:r>
        <w:rPr>
          <w:rFonts w:hint="eastAsia"/>
          <w:lang w:eastAsia="zh-CN"/>
        </w:rPr>
        <w:t>依据评分标准，本指标权重3分，得分2分。</w:t>
      </w:r>
    </w:p>
    <w:p w:rsidR="00ED0E0D" w:rsidRDefault="00276BC2" w:rsidP="00BD7BA9">
      <w:pPr>
        <w:pStyle w:val="a9"/>
        <w:numPr>
          <w:ilvl w:val="0"/>
          <w:numId w:val="2"/>
        </w:numPr>
        <w:ind w:firstLine="643"/>
      </w:pPr>
      <w:bookmarkStart w:id="41" w:name="_Toc18240"/>
      <w:r>
        <w:rPr>
          <w:rFonts w:hint="eastAsia"/>
        </w:rPr>
        <w:t>产出</w:t>
      </w:r>
      <w:bookmarkEnd w:id="41"/>
    </w:p>
    <w:p w:rsidR="00ED0E0D" w:rsidRDefault="00276BC2" w:rsidP="00BD7BA9">
      <w:pPr>
        <w:pStyle w:val="a7"/>
        <w:ind w:firstLine="640"/>
        <w:rPr>
          <w:rFonts w:ascii="Times New Roman" w:eastAsia="仿宋_GB2312" w:hAnsi="Times New Roman" w:cs="仿宋_GB2312"/>
          <w:szCs w:val="32"/>
          <w:lang w:eastAsia="zh-CN"/>
        </w:rPr>
      </w:pPr>
      <w:r>
        <w:rPr>
          <w:rFonts w:ascii="Times New Roman" w:eastAsia="仿宋_GB2312" w:hAnsi="Times New Roman" w:cs="仿宋_GB2312" w:hint="eastAsia"/>
          <w:szCs w:val="32"/>
          <w:lang w:eastAsia="zh-CN"/>
        </w:rPr>
        <w:t>产出设置项目产出一个二级指标，总分</w:t>
      </w:r>
      <w:r>
        <w:rPr>
          <w:rFonts w:ascii="Times New Roman" w:eastAsia="仿宋_GB2312" w:hAnsi="Times New Roman" w:cs="仿宋_GB2312" w:hint="eastAsia"/>
          <w:szCs w:val="32"/>
          <w:lang w:eastAsia="zh-CN"/>
        </w:rPr>
        <w:t>25</w:t>
      </w:r>
      <w:r>
        <w:rPr>
          <w:rFonts w:ascii="Times New Roman" w:eastAsia="仿宋_GB2312" w:hAnsi="Times New Roman" w:cs="仿宋_GB2312" w:hint="eastAsia"/>
          <w:szCs w:val="32"/>
          <w:lang w:eastAsia="zh-CN"/>
        </w:rPr>
        <w:t>分。根据项目评价指标和评分标准，得分</w:t>
      </w:r>
      <w:r>
        <w:rPr>
          <w:rFonts w:ascii="Times New Roman" w:eastAsia="仿宋_GB2312" w:hAnsi="Times New Roman" w:cs="仿宋_GB2312" w:hint="eastAsia"/>
          <w:color w:val="0D0D0D" w:themeColor="text1" w:themeTint="F2"/>
          <w:szCs w:val="32"/>
          <w:lang w:eastAsia="zh-CN"/>
        </w:rPr>
        <w:t>15</w:t>
      </w:r>
      <w:r>
        <w:rPr>
          <w:rFonts w:ascii="Times New Roman" w:eastAsia="仿宋_GB2312" w:hAnsi="Times New Roman" w:cs="仿宋_GB2312" w:hint="eastAsia"/>
          <w:szCs w:val="32"/>
          <w:lang w:eastAsia="zh-CN"/>
        </w:rPr>
        <w:t>分。具体情况如下：</w:t>
      </w:r>
    </w:p>
    <w:p w:rsidR="00ED0E0D" w:rsidRDefault="00276BC2" w:rsidP="00BD7BA9">
      <w:pPr>
        <w:pStyle w:val="3"/>
        <w:ind w:firstLine="643"/>
        <w:rPr>
          <w:lang w:eastAsia="zh-CN"/>
        </w:rPr>
      </w:pPr>
      <w:r>
        <w:rPr>
          <w:rFonts w:hint="eastAsia"/>
          <w:lang w:eastAsia="zh-CN"/>
        </w:rPr>
        <w:t>1.项目产出</w:t>
      </w:r>
    </w:p>
    <w:p w:rsidR="00ED0E0D" w:rsidRDefault="00276BC2" w:rsidP="00BD7BA9">
      <w:pPr>
        <w:pStyle w:val="a7"/>
        <w:ind w:firstLine="640"/>
        <w:rPr>
          <w:lang w:eastAsia="zh-CN"/>
        </w:rPr>
      </w:pPr>
      <w:r>
        <w:rPr>
          <w:rFonts w:hint="eastAsia"/>
          <w:lang w:eastAsia="zh-CN"/>
        </w:rPr>
        <w:t>项目产出包括产出数量、产出时效、产出质量、成本控</w:t>
      </w:r>
      <w:r>
        <w:rPr>
          <w:rFonts w:hint="eastAsia"/>
          <w:lang w:eastAsia="zh-CN"/>
        </w:rPr>
        <w:lastRenderedPageBreak/>
        <w:t>制四个三级指标，计划工程完工率、进度完成及时率、结算</w:t>
      </w:r>
    </w:p>
    <w:p w:rsidR="00ED0E0D" w:rsidRDefault="00276BC2" w:rsidP="00BD7BA9">
      <w:pPr>
        <w:pStyle w:val="a7"/>
        <w:ind w:firstLine="640"/>
        <w:rPr>
          <w:lang w:eastAsia="zh-CN"/>
        </w:rPr>
      </w:pPr>
      <w:r>
        <w:rPr>
          <w:rFonts w:hint="eastAsia"/>
          <w:lang w:eastAsia="zh-CN"/>
        </w:rPr>
        <w:t>及时率、验收通过率、预算执行率、资金需求准确度等六个四级指标。</w:t>
      </w:r>
    </w:p>
    <w:p w:rsidR="00ED0E0D" w:rsidRDefault="00276BC2" w:rsidP="00BD7BA9">
      <w:pPr>
        <w:pStyle w:val="a7"/>
        <w:ind w:firstLine="640"/>
        <w:rPr>
          <w:lang w:eastAsia="zh-CN"/>
        </w:rPr>
      </w:pPr>
      <w:r>
        <w:rPr>
          <w:rFonts w:hint="eastAsia"/>
          <w:lang w:eastAsia="zh-CN"/>
        </w:rPr>
        <w:t>（1）产出数量</w:t>
      </w:r>
    </w:p>
    <w:p w:rsidR="00ED0E0D" w:rsidRDefault="00276BC2" w:rsidP="00BD7BA9">
      <w:pPr>
        <w:pStyle w:val="a7"/>
        <w:ind w:firstLine="640"/>
        <w:rPr>
          <w:lang w:eastAsia="zh-CN"/>
        </w:rPr>
      </w:pPr>
      <w:r>
        <w:rPr>
          <w:rFonts w:hint="eastAsia"/>
          <w:lang w:eastAsia="zh-CN"/>
        </w:rPr>
        <w:t>项目计划工程量为完成22条道路，总长1.35公里（13452米），2020年12月31日实际完成12条道路，总长6212米，实际完成率46.18%，未完成光明北路、豆墩路、环城路一期、曲海街、鸿兴路、花园工业区横一路、花园工业区横二路、花园工业区纵一路、花园工业区纵二路、康民路（铁路桥南）等共计10条道路的建设。</w:t>
      </w:r>
    </w:p>
    <w:p w:rsidR="00ED0E0D" w:rsidRDefault="00276BC2" w:rsidP="00BD7BA9">
      <w:pPr>
        <w:pStyle w:val="a7"/>
        <w:ind w:firstLine="640"/>
        <w:rPr>
          <w:lang w:eastAsia="zh-CN"/>
        </w:rPr>
      </w:pPr>
      <w:r>
        <w:rPr>
          <w:rFonts w:hint="eastAsia"/>
          <w:lang w:eastAsia="zh-CN"/>
        </w:rPr>
        <w:t>依据评分标准，本指标权重5分，得分2分。</w:t>
      </w:r>
    </w:p>
    <w:p w:rsidR="00ED0E0D" w:rsidRDefault="00276BC2" w:rsidP="00BD7BA9">
      <w:pPr>
        <w:pStyle w:val="a7"/>
        <w:ind w:firstLine="640"/>
        <w:rPr>
          <w:lang w:eastAsia="zh-CN"/>
        </w:rPr>
      </w:pPr>
      <w:r>
        <w:rPr>
          <w:rFonts w:hint="eastAsia"/>
          <w:lang w:eastAsia="zh-CN"/>
        </w:rPr>
        <w:t>（2）产出时效</w:t>
      </w:r>
    </w:p>
    <w:p w:rsidR="00ED0E0D" w:rsidRDefault="00276BC2" w:rsidP="00BD7BA9">
      <w:pPr>
        <w:pStyle w:val="a7"/>
        <w:ind w:firstLine="640"/>
        <w:rPr>
          <w:lang w:eastAsia="zh-CN"/>
        </w:rPr>
      </w:pPr>
      <w:r>
        <w:rPr>
          <w:rFonts w:hint="eastAsia"/>
          <w:lang w:eastAsia="zh-CN"/>
        </w:rPr>
        <w:t>项目计划工期2019 年11月正式开工，2020年11月完成，截至2020年12月31日，实际实施进度为46.18%，尚未完工，项目预计2021年9月完工。项目延期近300天。</w:t>
      </w:r>
    </w:p>
    <w:p w:rsidR="00ED0E0D" w:rsidRDefault="00276BC2" w:rsidP="00BD7BA9">
      <w:pPr>
        <w:pStyle w:val="a7"/>
        <w:ind w:firstLine="640"/>
        <w:rPr>
          <w:lang w:eastAsia="zh-CN"/>
        </w:rPr>
      </w:pPr>
      <w:r>
        <w:rPr>
          <w:lang w:eastAsia="zh-CN"/>
        </w:rPr>
        <w:t>施工费、监理费等依据工程进度、合同约定</w:t>
      </w:r>
      <w:r>
        <w:rPr>
          <w:rFonts w:hint="eastAsia"/>
          <w:lang w:eastAsia="zh-CN"/>
        </w:rPr>
        <w:t>付款</w:t>
      </w:r>
      <w:r>
        <w:rPr>
          <w:lang w:eastAsia="zh-CN"/>
        </w:rPr>
        <w:t>条款及时结算</w:t>
      </w:r>
      <w:r>
        <w:rPr>
          <w:rFonts w:hint="eastAsia"/>
          <w:lang w:eastAsia="zh-CN"/>
        </w:rPr>
        <w:t>。</w:t>
      </w:r>
    </w:p>
    <w:p w:rsidR="00ED0E0D" w:rsidRDefault="00276BC2" w:rsidP="00BD7BA9">
      <w:pPr>
        <w:pStyle w:val="a7"/>
        <w:ind w:firstLine="640"/>
        <w:rPr>
          <w:lang w:eastAsia="zh-CN"/>
        </w:rPr>
      </w:pPr>
      <w:r>
        <w:rPr>
          <w:rFonts w:hint="eastAsia"/>
          <w:lang w:eastAsia="zh-CN"/>
        </w:rPr>
        <w:t>依据评分标准，本指标权重7分，得分5分。</w:t>
      </w:r>
    </w:p>
    <w:p w:rsidR="00ED0E0D" w:rsidRDefault="00276BC2" w:rsidP="00BD7BA9">
      <w:pPr>
        <w:pStyle w:val="a7"/>
        <w:ind w:firstLine="640"/>
        <w:rPr>
          <w:lang w:eastAsia="zh-CN"/>
        </w:rPr>
      </w:pPr>
      <w:r>
        <w:rPr>
          <w:rFonts w:hint="eastAsia"/>
          <w:lang w:eastAsia="zh-CN"/>
        </w:rPr>
        <w:t>（3）产出质量</w:t>
      </w:r>
    </w:p>
    <w:p w:rsidR="00ED0E0D" w:rsidRDefault="00276BC2" w:rsidP="00BD7BA9">
      <w:pPr>
        <w:pStyle w:val="a7"/>
        <w:ind w:firstLine="640"/>
        <w:rPr>
          <w:lang w:eastAsia="zh-CN"/>
        </w:rPr>
      </w:pPr>
      <w:r>
        <w:rPr>
          <w:rFonts w:hint="eastAsia"/>
          <w:lang w:eastAsia="zh-CN"/>
        </w:rPr>
        <w:t>该项目材料进场经验收，截至2020年12月31日，完成12条道路，尚有10条道路尚未开始建设。</w:t>
      </w:r>
    </w:p>
    <w:p w:rsidR="00ED0E0D" w:rsidRDefault="00276BC2" w:rsidP="00BD7BA9">
      <w:pPr>
        <w:pStyle w:val="a7"/>
        <w:ind w:firstLine="640"/>
        <w:rPr>
          <w:lang w:eastAsia="zh-CN"/>
        </w:rPr>
      </w:pPr>
      <w:r>
        <w:rPr>
          <w:rFonts w:hint="eastAsia"/>
          <w:lang w:eastAsia="zh-CN"/>
        </w:rPr>
        <w:t>根据东莞市交业工程质量检测中心出具的《贝克曼梁路</w:t>
      </w:r>
      <w:r>
        <w:rPr>
          <w:rFonts w:hint="eastAsia"/>
          <w:lang w:eastAsia="zh-CN"/>
        </w:rPr>
        <w:lastRenderedPageBreak/>
        <w:t>基路面回弹弯沉检测报告》显示已完成大厚路左右车道基层合格、检测部位金川二路右副基层检验，质量合格。</w:t>
      </w:r>
    </w:p>
    <w:p w:rsidR="00ED0E0D" w:rsidRDefault="00276BC2" w:rsidP="00BD7BA9">
      <w:pPr>
        <w:pStyle w:val="a7"/>
        <w:ind w:firstLine="640"/>
        <w:rPr>
          <w:lang w:eastAsia="zh-CN"/>
        </w:rPr>
      </w:pPr>
      <w:r>
        <w:rPr>
          <w:rFonts w:hint="eastAsia"/>
          <w:lang w:eastAsia="zh-CN"/>
        </w:rPr>
        <w:t>依据评分标准，本指标权重5分，得分3分。</w:t>
      </w:r>
    </w:p>
    <w:p w:rsidR="00ED0E0D" w:rsidRDefault="00276BC2" w:rsidP="00BD7BA9">
      <w:pPr>
        <w:pStyle w:val="a7"/>
        <w:ind w:firstLine="640"/>
        <w:rPr>
          <w:lang w:eastAsia="zh-CN"/>
        </w:rPr>
      </w:pPr>
      <w:r>
        <w:rPr>
          <w:rFonts w:hint="eastAsia"/>
          <w:lang w:eastAsia="zh-CN"/>
        </w:rPr>
        <w:t>（4）成本控制</w:t>
      </w:r>
    </w:p>
    <w:p w:rsidR="00ED0E0D" w:rsidRDefault="00276BC2" w:rsidP="00BD7BA9">
      <w:pPr>
        <w:pStyle w:val="a7"/>
        <w:ind w:firstLine="640"/>
        <w:rPr>
          <w:lang w:eastAsia="zh-CN"/>
        </w:rPr>
      </w:pPr>
      <w:r>
        <w:rPr>
          <w:rFonts w:hint="eastAsia"/>
          <w:lang w:eastAsia="zh-CN"/>
        </w:rPr>
        <w:t>可研批复建安工程概算投资为14,304.10万元，2020年申请资金额1,297.33万元，东莞市财政局谢岗分局核定资金1,000.00万元，实际支出2,912.42万元，预算执行率为291.24%。计划资金与实际需求不匹配（部份资金使用政府专项债），资金需求准确率较低。</w:t>
      </w:r>
    </w:p>
    <w:p w:rsidR="00ED0E0D" w:rsidRDefault="00276BC2" w:rsidP="00BD7BA9">
      <w:pPr>
        <w:pStyle w:val="a7"/>
        <w:ind w:firstLine="640"/>
        <w:rPr>
          <w:lang w:eastAsia="zh-CN"/>
        </w:rPr>
      </w:pPr>
      <w:r>
        <w:rPr>
          <w:rFonts w:hint="eastAsia"/>
          <w:lang w:eastAsia="zh-CN"/>
        </w:rPr>
        <w:t>依据评分标准，本指标权重8分，得分5分。</w:t>
      </w:r>
    </w:p>
    <w:p w:rsidR="00ED0E0D" w:rsidRDefault="00276BC2" w:rsidP="00BD7BA9">
      <w:pPr>
        <w:pStyle w:val="a9"/>
        <w:numPr>
          <w:ilvl w:val="0"/>
          <w:numId w:val="2"/>
        </w:numPr>
        <w:ind w:firstLine="643"/>
      </w:pPr>
      <w:bookmarkStart w:id="42" w:name="_Toc27195"/>
      <w:r>
        <w:rPr>
          <w:rFonts w:hint="eastAsia"/>
        </w:rPr>
        <w:t>效果</w:t>
      </w:r>
      <w:bookmarkEnd w:id="42"/>
    </w:p>
    <w:p w:rsidR="00ED0E0D" w:rsidRDefault="00276BC2" w:rsidP="00BD7BA9">
      <w:pPr>
        <w:pStyle w:val="a7"/>
        <w:ind w:firstLine="640"/>
        <w:rPr>
          <w:rFonts w:ascii="Times New Roman" w:eastAsia="仿宋_GB2312" w:hAnsi="Times New Roman" w:cs="仿宋_GB2312"/>
          <w:szCs w:val="32"/>
          <w:lang w:eastAsia="zh-CN"/>
        </w:rPr>
      </w:pPr>
      <w:r>
        <w:rPr>
          <w:rFonts w:ascii="Times New Roman" w:eastAsia="仿宋_GB2312" w:hAnsi="Times New Roman" w:cs="仿宋_GB2312" w:hint="eastAsia"/>
          <w:szCs w:val="32"/>
          <w:lang w:eastAsia="zh-CN"/>
        </w:rPr>
        <w:t>效果设置项目效益一个二级指标，总分</w:t>
      </w:r>
      <w:r>
        <w:rPr>
          <w:rFonts w:ascii="Times New Roman" w:eastAsia="仿宋_GB2312" w:hAnsi="Times New Roman" w:cs="仿宋_GB2312" w:hint="eastAsia"/>
          <w:szCs w:val="32"/>
          <w:lang w:eastAsia="zh-CN"/>
        </w:rPr>
        <w:t>20</w:t>
      </w:r>
      <w:r>
        <w:rPr>
          <w:rFonts w:ascii="Times New Roman" w:eastAsia="仿宋_GB2312" w:hAnsi="Times New Roman" w:cs="仿宋_GB2312" w:hint="eastAsia"/>
          <w:szCs w:val="32"/>
          <w:lang w:eastAsia="zh-CN"/>
        </w:rPr>
        <w:t>分。根据项目评价指标和评分标准，得分</w:t>
      </w:r>
      <w:r>
        <w:rPr>
          <w:rFonts w:ascii="Times New Roman" w:eastAsia="仿宋_GB2312" w:hAnsi="Times New Roman" w:cs="仿宋_GB2312" w:hint="eastAsia"/>
          <w:color w:val="0D0D0D" w:themeColor="text1" w:themeTint="F2"/>
          <w:szCs w:val="32"/>
          <w:lang w:eastAsia="zh-CN"/>
        </w:rPr>
        <w:t>19</w:t>
      </w:r>
      <w:r>
        <w:rPr>
          <w:rFonts w:ascii="Times New Roman" w:eastAsia="仿宋_GB2312" w:hAnsi="Times New Roman" w:cs="仿宋_GB2312" w:hint="eastAsia"/>
          <w:szCs w:val="32"/>
          <w:lang w:eastAsia="zh-CN"/>
        </w:rPr>
        <w:t>分。具体情况如下：</w:t>
      </w:r>
    </w:p>
    <w:p w:rsidR="00ED0E0D" w:rsidRDefault="00276BC2" w:rsidP="00BD7BA9">
      <w:pPr>
        <w:pStyle w:val="3"/>
        <w:ind w:firstLine="643"/>
        <w:rPr>
          <w:rFonts w:ascii="仿宋_GB2312" w:eastAsia="仿宋_GB2312" w:cs="Arial"/>
          <w:color w:val="000000"/>
          <w:szCs w:val="32"/>
          <w:lang w:eastAsia="zh-CN"/>
        </w:rPr>
      </w:pPr>
      <w:r>
        <w:rPr>
          <w:rFonts w:ascii="仿宋_GB2312" w:eastAsia="仿宋_GB2312" w:cs="Arial" w:hint="eastAsia"/>
          <w:color w:val="000000"/>
          <w:szCs w:val="32"/>
          <w:lang w:eastAsia="zh-CN"/>
        </w:rPr>
        <w:t>1.</w:t>
      </w:r>
      <w:r>
        <w:rPr>
          <w:rFonts w:ascii="Times New Roman" w:eastAsia="仿宋_GB2312" w:hAnsi="Times New Roman" w:cs="仿宋_GB2312" w:hint="eastAsia"/>
          <w:szCs w:val="32"/>
          <w:lang w:eastAsia="zh-CN"/>
        </w:rPr>
        <w:t>社会效益</w:t>
      </w:r>
    </w:p>
    <w:p w:rsidR="00ED0E0D" w:rsidRDefault="00276BC2" w:rsidP="00BD7BA9">
      <w:pPr>
        <w:pStyle w:val="a7"/>
        <w:ind w:firstLine="640"/>
        <w:rPr>
          <w:lang w:eastAsia="zh-CN"/>
        </w:rPr>
      </w:pPr>
      <w:r>
        <w:rPr>
          <w:rFonts w:hint="eastAsia"/>
          <w:lang w:eastAsia="zh-CN"/>
        </w:rPr>
        <w:t>社会效益包括社会效益和满意度两个三级指标，路面使用性能指数、城市形象提升、投诉率三个四级指标。</w:t>
      </w:r>
    </w:p>
    <w:p w:rsidR="00ED0E0D" w:rsidRDefault="00276BC2" w:rsidP="00BD7BA9">
      <w:pPr>
        <w:pStyle w:val="a7"/>
        <w:ind w:firstLine="640"/>
        <w:rPr>
          <w:lang w:eastAsia="zh-CN"/>
        </w:rPr>
      </w:pPr>
      <w:r>
        <w:rPr>
          <w:rFonts w:hint="eastAsia"/>
          <w:lang w:eastAsia="zh-CN"/>
        </w:rPr>
        <w:t>①路面使用性能指数</w:t>
      </w:r>
    </w:p>
    <w:p w:rsidR="00ED0E0D" w:rsidRDefault="00276BC2" w:rsidP="00BD7BA9">
      <w:pPr>
        <w:pStyle w:val="a7"/>
        <w:ind w:firstLine="640"/>
      </w:pPr>
      <w:r>
        <w:rPr>
          <w:rFonts w:hint="eastAsia"/>
          <w:lang w:eastAsia="zh-CN"/>
        </w:rPr>
        <w:t>本次对路面使用性能指数情况调查303人，形成调查问卷，认为道路整治后行车舒适度的明显提升的224人，占81.16%；认为有所提升52人，占18.84%。</w:t>
      </w:r>
      <w:r>
        <w:rPr>
          <w:rFonts w:hint="eastAsia"/>
        </w:rPr>
        <w:t>（见下图2 ）</w:t>
      </w:r>
    </w:p>
    <w:p w:rsidR="00ED0E0D" w:rsidRDefault="00276BC2" w:rsidP="00BD7BA9">
      <w:pPr>
        <w:pStyle w:val="a7"/>
        <w:ind w:firstLine="640"/>
      </w:pPr>
      <w:r>
        <w:rPr>
          <w:noProof/>
          <w:lang w:eastAsia="zh-CN"/>
        </w:rPr>
        <w:lastRenderedPageBreak/>
        <w:drawing>
          <wp:inline distT="0" distB="0" distL="114300" distR="114300">
            <wp:extent cx="4850765" cy="2220595"/>
            <wp:effectExtent l="19050" t="0" r="26035" b="8255"/>
            <wp:docPr id="10"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D0E0D" w:rsidRDefault="00276BC2" w:rsidP="00BD7BA9">
      <w:pPr>
        <w:pStyle w:val="a7"/>
        <w:ind w:firstLine="640"/>
        <w:rPr>
          <w:lang w:eastAsia="zh-CN"/>
        </w:rPr>
      </w:pPr>
      <w:r>
        <w:rPr>
          <w:rFonts w:hint="eastAsia"/>
          <w:lang w:eastAsia="zh-CN"/>
        </w:rPr>
        <w:t>②</w:t>
      </w:r>
      <w:r>
        <w:rPr>
          <w:lang w:eastAsia="zh-CN"/>
        </w:rPr>
        <w:t>城市形象提升</w:t>
      </w:r>
    </w:p>
    <w:p w:rsidR="00ED0E0D" w:rsidRDefault="00276BC2" w:rsidP="00BD7BA9">
      <w:pPr>
        <w:pStyle w:val="a7"/>
        <w:ind w:firstLine="640"/>
        <w:rPr>
          <w:lang w:eastAsia="zh-CN"/>
        </w:rPr>
      </w:pPr>
      <w:r>
        <w:rPr>
          <w:rFonts w:hint="eastAsia"/>
          <w:lang w:eastAsia="zh-CN"/>
        </w:rPr>
        <w:t>镇村道路总体服务能力较差，路面破损较严重，部分路段行车道较窄，两侧人行等配套设施缺乏，影响了城镇的发展进程，项目改造后，将极大的优化谢岗镇的区域道路交通网络，提升现有道路的服务水平、通行能力和城市形象。</w:t>
      </w:r>
    </w:p>
    <w:p w:rsidR="00ED0E0D" w:rsidRDefault="00276BC2" w:rsidP="00BD7BA9">
      <w:pPr>
        <w:pStyle w:val="a7"/>
        <w:ind w:firstLine="640"/>
      </w:pPr>
      <w:r>
        <w:rPr>
          <w:rFonts w:hint="eastAsia"/>
          <w:lang w:eastAsia="zh-CN"/>
        </w:rPr>
        <w:t>本次对相关道路整治后，人行道通行能力的评价情况调查204人，形成调查问卷，认为道路整治升级后，人行道通行能力明显改善79人，占38.73%；认为有所改善50人，占18.84%。</w:t>
      </w:r>
      <w:r>
        <w:rPr>
          <w:rFonts w:hint="eastAsia"/>
        </w:rPr>
        <w:t>（见下图3）</w:t>
      </w:r>
    </w:p>
    <w:p w:rsidR="00ED0E0D" w:rsidRDefault="00276BC2" w:rsidP="00BD7BA9">
      <w:pPr>
        <w:pStyle w:val="a7"/>
        <w:ind w:firstLine="640"/>
      </w:pPr>
      <w:r>
        <w:rPr>
          <w:noProof/>
          <w:lang w:eastAsia="zh-CN"/>
        </w:rPr>
        <w:drawing>
          <wp:inline distT="0" distB="0" distL="114300" distR="114300">
            <wp:extent cx="4803775" cy="2392045"/>
            <wp:effectExtent l="19050" t="0" r="15875" b="8255"/>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D0E0D" w:rsidRDefault="00276BC2" w:rsidP="00BD7BA9">
      <w:pPr>
        <w:pStyle w:val="a7"/>
        <w:ind w:firstLine="640"/>
        <w:rPr>
          <w:lang w:eastAsia="zh-CN"/>
        </w:rPr>
      </w:pPr>
      <w:r>
        <w:rPr>
          <w:rFonts w:hint="eastAsia"/>
          <w:lang w:eastAsia="zh-CN"/>
        </w:rPr>
        <w:t>③投诉率</w:t>
      </w:r>
    </w:p>
    <w:p w:rsidR="00ED0E0D" w:rsidRDefault="00276BC2" w:rsidP="00BD7BA9">
      <w:pPr>
        <w:pStyle w:val="a7"/>
        <w:ind w:firstLine="640"/>
        <w:rPr>
          <w:lang w:eastAsia="zh-CN"/>
        </w:rPr>
      </w:pPr>
      <w:r>
        <w:rPr>
          <w:rFonts w:hint="eastAsia"/>
          <w:lang w:eastAsia="zh-CN"/>
        </w:rPr>
        <w:lastRenderedPageBreak/>
        <w:t>项目建设为居民出行提供方便，减少中转和交通拥挤，改善交通条件，促进旅游事业发展，提高人民的文化娱乐生活水平，将会极大的满足人民的精神需求。降低有效投诉。</w:t>
      </w:r>
    </w:p>
    <w:p w:rsidR="00ED0E0D" w:rsidRDefault="00276BC2" w:rsidP="00BD7BA9">
      <w:pPr>
        <w:pStyle w:val="a7"/>
        <w:ind w:firstLine="640"/>
        <w:rPr>
          <w:lang w:eastAsia="zh-CN"/>
        </w:rPr>
      </w:pPr>
      <w:r>
        <w:rPr>
          <w:rFonts w:hint="eastAsia"/>
          <w:lang w:eastAsia="zh-CN"/>
        </w:rPr>
        <w:t>依据评分标准，本指标权重12分，得分11分。</w:t>
      </w:r>
    </w:p>
    <w:p w:rsidR="00ED0E0D" w:rsidRDefault="00276BC2" w:rsidP="00BD7BA9">
      <w:pPr>
        <w:pStyle w:val="3"/>
        <w:ind w:firstLine="643"/>
        <w:rPr>
          <w:lang w:eastAsia="zh-CN"/>
        </w:rPr>
      </w:pPr>
      <w:r>
        <w:rPr>
          <w:rFonts w:hint="eastAsia"/>
          <w:lang w:eastAsia="zh-CN"/>
        </w:rPr>
        <w:t>2.满意度</w:t>
      </w:r>
    </w:p>
    <w:p w:rsidR="00ED0E0D" w:rsidRDefault="00276BC2" w:rsidP="00BD7BA9">
      <w:pPr>
        <w:pStyle w:val="a7"/>
        <w:ind w:firstLine="640"/>
        <w:rPr>
          <w:lang w:eastAsia="zh-CN"/>
        </w:rPr>
      </w:pPr>
      <w:bookmarkStart w:id="43" w:name="_Toc20777"/>
      <w:r>
        <w:rPr>
          <w:rFonts w:hint="eastAsia"/>
          <w:lang w:eastAsia="zh-CN"/>
        </w:rPr>
        <w:t>满意度评价社会公众对项目实施效果的满意程度。</w:t>
      </w:r>
      <w:bookmarkEnd w:id="43"/>
    </w:p>
    <w:p w:rsidR="00ED0E0D" w:rsidRDefault="00276BC2" w:rsidP="00BD7BA9">
      <w:pPr>
        <w:pStyle w:val="a7"/>
        <w:ind w:firstLine="640"/>
        <w:rPr>
          <w:lang w:eastAsia="zh-CN"/>
        </w:rPr>
      </w:pPr>
      <w:r>
        <w:rPr>
          <w:rFonts w:hint="eastAsia"/>
          <w:lang w:eastAsia="zh-CN"/>
        </w:rPr>
        <w:t>谢岗镇的交通运输条件不能满足经济发展的要求，影响交通出行，项目的建设将改善区域交通条件，是促进沿线地区经济发展的需要，也是实现区域协调政策的需要，项目沿线居民、有关管理部门理解该项目对当地经济长远的促进作用。</w:t>
      </w:r>
    </w:p>
    <w:p w:rsidR="00ED0E0D" w:rsidRDefault="00276BC2" w:rsidP="00BD7BA9">
      <w:pPr>
        <w:pStyle w:val="a7"/>
        <w:ind w:firstLine="640"/>
        <w:rPr>
          <w:lang w:eastAsia="zh-CN"/>
        </w:rPr>
      </w:pPr>
      <w:r>
        <w:rPr>
          <w:rFonts w:hint="eastAsia"/>
          <w:lang w:eastAsia="zh-CN"/>
        </w:rPr>
        <w:t>为进一步了解满意度情况，工作组以问卷的形式开展满意度调查，形成有效问卷。调查资料显示，社会公众对项目实施过程的认可度较高。</w:t>
      </w:r>
    </w:p>
    <w:p w:rsidR="00ED0E0D" w:rsidRDefault="00276BC2" w:rsidP="00BD7BA9">
      <w:pPr>
        <w:pStyle w:val="a7"/>
        <w:ind w:firstLine="640"/>
        <w:rPr>
          <w:lang w:eastAsia="zh-CN"/>
        </w:rPr>
      </w:pPr>
      <w:r>
        <w:rPr>
          <w:rFonts w:hint="eastAsia"/>
          <w:lang w:eastAsia="zh-CN"/>
        </w:rPr>
        <w:t>首先是对道路整治后交通状况改善的评价较高。52.45%的受访者认为有所改善，35.29%的受访者认为明显改善，交通改善的满意度87.74%（见下图 4）。</w:t>
      </w:r>
    </w:p>
    <w:p w:rsidR="00ED0E0D" w:rsidRDefault="00276BC2" w:rsidP="00BD7BA9">
      <w:pPr>
        <w:pStyle w:val="a7"/>
        <w:ind w:firstLine="640"/>
        <w:rPr>
          <w:lang w:eastAsia="zh-CN"/>
        </w:rPr>
      </w:pPr>
      <w:r>
        <w:rPr>
          <w:rFonts w:hint="eastAsia"/>
          <w:lang w:eastAsia="zh-CN"/>
        </w:rPr>
        <w:t>其次是对道路绿化改善的效果的评价较高。调查资料显示，51.47%的人表示有所改善，33.33%的人表示明显改善，绿化改善满意度84.80%（见下图5）。</w:t>
      </w:r>
    </w:p>
    <w:p w:rsidR="00ED0E0D" w:rsidRDefault="00276BC2" w:rsidP="00BD7BA9">
      <w:pPr>
        <w:pStyle w:val="a7"/>
        <w:ind w:firstLine="640"/>
        <w:rPr>
          <w:lang w:eastAsia="zh-CN"/>
        </w:rPr>
      </w:pPr>
      <w:r>
        <w:rPr>
          <w:rFonts w:hint="eastAsia"/>
          <w:lang w:eastAsia="zh-CN"/>
        </w:rPr>
        <w:t>再次是对交通标志边线完善的满意度。表现为 60.78%的人表示有所改善，26.96%的人表示明显改善，交通标志边</w:t>
      </w:r>
      <w:r>
        <w:rPr>
          <w:rFonts w:hint="eastAsia"/>
          <w:lang w:eastAsia="zh-CN"/>
        </w:rPr>
        <w:lastRenderedPageBreak/>
        <w:t>线完善的满意度87.74%（见下图6）。</w:t>
      </w:r>
    </w:p>
    <w:p w:rsidR="00ED0E0D" w:rsidRDefault="00276BC2" w:rsidP="00BD7BA9">
      <w:pPr>
        <w:pStyle w:val="a7"/>
        <w:ind w:firstLine="640"/>
        <w:rPr>
          <w:rFonts w:ascii="仿宋_GB2312" w:eastAsia="仿宋_GB2312" w:cs="Arial"/>
          <w:color w:val="000000"/>
          <w:szCs w:val="32"/>
          <w:lang w:eastAsia="zh-CN"/>
        </w:rPr>
      </w:pPr>
      <w:r>
        <w:rPr>
          <w:rFonts w:hint="eastAsia"/>
          <w:lang w:eastAsia="zh-CN"/>
        </w:rPr>
        <w:t>依据评分标准，本指标权重8分，得分8分。</w:t>
      </w:r>
    </w:p>
    <w:p w:rsidR="00ED0E0D" w:rsidRDefault="00276BC2">
      <w:pPr>
        <w:ind w:firstLineChars="200" w:firstLine="420"/>
        <w:jc w:val="left"/>
        <w:rPr>
          <w:rFonts w:ascii="仿宋_GB2312" w:eastAsia="仿宋_GB2312" w:hAnsi="仿宋" w:cs="Arial"/>
          <w:color w:val="000000"/>
          <w:sz w:val="32"/>
          <w:szCs w:val="32"/>
        </w:rPr>
      </w:pPr>
      <w:r>
        <w:rPr>
          <w:noProof/>
        </w:rPr>
        <w:drawing>
          <wp:inline distT="0" distB="0" distL="114300" distR="114300">
            <wp:extent cx="4929505" cy="2400300"/>
            <wp:effectExtent l="19050" t="0" r="23495" b="0"/>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D0E0D" w:rsidRDefault="00276BC2">
      <w:pPr>
        <w:spacing w:line="360" w:lineRule="auto"/>
        <w:ind w:firstLineChars="200" w:firstLine="420"/>
        <w:jc w:val="left"/>
        <w:rPr>
          <w:rFonts w:ascii="仿宋" w:eastAsia="仿宋" w:hAnsi="仿宋" w:cs="仿宋"/>
          <w:sz w:val="32"/>
          <w:szCs w:val="32"/>
        </w:rPr>
      </w:pPr>
      <w:r>
        <w:rPr>
          <w:noProof/>
        </w:rPr>
        <w:drawing>
          <wp:inline distT="0" distB="0" distL="114300" distR="114300">
            <wp:extent cx="4914900" cy="2124075"/>
            <wp:effectExtent l="19050" t="0" r="19050" b="0"/>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D0E0D" w:rsidRDefault="00276BC2">
      <w:pPr>
        <w:spacing w:line="360" w:lineRule="auto"/>
        <w:ind w:firstLineChars="200" w:firstLine="420"/>
        <w:jc w:val="left"/>
        <w:rPr>
          <w:rFonts w:ascii="仿宋_GB2312" w:eastAsia="仿宋_GB2312" w:hAnsi="仿宋" w:cs="Arial"/>
          <w:b/>
          <w:bCs/>
          <w:color w:val="000000"/>
          <w:sz w:val="32"/>
          <w:szCs w:val="32"/>
        </w:rPr>
      </w:pPr>
      <w:r>
        <w:rPr>
          <w:noProof/>
        </w:rPr>
        <w:drawing>
          <wp:inline distT="0" distB="0" distL="114300" distR="114300">
            <wp:extent cx="4929505" cy="2393950"/>
            <wp:effectExtent l="19050" t="0" r="23495" b="6350"/>
            <wp:docPr id="9"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D0E0D" w:rsidRDefault="00276BC2" w:rsidP="00BD7BA9">
      <w:pPr>
        <w:pStyle w:val="a8"/>
        <w:ind w:firstLine="640"/>
        <w:rPr>
          <w:lang w:eastAsia="zh-CN"/>
        </w:rPr>
      </w:pPr>
      <w:bookmarkStart w:id="44" w:name="_Toc21488"/>
      <w:r>
        <w:rPr>
          <w:rFonts w:hint="eastAsia"/>
          <w:lang w:eastAsia="zh-CN"/>
        </w:rPr>
        <w:t>六、存在问题与相关建议</w:t>
      </w:r>
      <w:bookmarkEnd w:id="44"/>
    </w:p>
    <w:p w:rsidR="00ED0E0D" w:rsidRDefault="00276BC2" w:rsidP="00BD7BA9">
      <w:pPr>
        <w:pStyle w:val="a7"/>
        <w:ind w:firstLine="640"/>
        <w:rPr>
          <w:lang w:eastAsia="zh-CN"/>
        </w:rPr>
      </w:pPr>
      <w:r>
        <w:rPr>
          <w:rFonts w:hint="eastAsia"/>
          <w:lang w:eastAsia="zh-CN"/>
        </w:rPr>
        <w:t>纵观本次评价，总结该项目存在的主要问题有：</w:t>
      </w:r>
    </w:p>
    <w:p w:rsidR="00ED0E0D" w:rsidRDefault="00276BC2" w:rsidP="00BD7BA9">
      <w:pPr>
        <w:pStyle w:val="a9"/>
        <w:ind w:firstLine="643"/>
        <w:rPr>
          <w:lang w:eastAsia="zh-CN"/>
        </w:rPr>
      </w:pPr>
      <w:bookmarkStart w:id="45" w:name="_Toc28507"/>
      <w:r>
        <w:rPr>
          <w:rFonts w:hint="eastAsia"/>
          <w:lang w:eastAsia="zh-CN"/>
        </w:rPr>
        <w:lastRenderedPageBreak/>
        <w:t>（一）存在的问题</w:t>
      </w:r>
      <w:bookmarkEnd w:id="45"/>
    </w:p>
    <w:p w:rsidR="00ED0E0D" w:rsidRDefault="00276BC2" w:rsidP="00BD7BA9">
      <w:pPr>
        <w:pStyle w:val="3"/>
        <w:ind w:firstLine="643"/>
        <w:rPr>
          <w:lang w:eastAsia="zh-CN"/>
        </w:rPr>
      </w:pPr>
      <w:r>
        <w:rPr>
          <w:rFonts w:hint="eastAsia"/>
          <w:lang w:eastAsia="zh-CN"/>
        </w:rPr>
        <w:t>1.合同开工日期约定不明，项目实施进度较计划进度滞后</w:t>
      </w:r>
    </w:p>
    <w:p w:rsidR="00ED0E0D" w:rsidRDefault="00276BC2" w:rsidP="00BD7BA9">
      <w:pPr>
        <w:pStyle w:val="a7"/>
        <w:ind w:firstLine="640"/>
        <w:rPr>
          <w:lang w:eastAsia="zh-CN"/>
        </w:rPr>
      </w:pPr>
      <w:r>
        <w:rPr>
          <w:rFonts w:hint="eastAsia"/>
          <w:lang w:eastAsia="zh-CN"/>
        </w:rPr>
        <w:t>可行性研究报告显示项目计划进度为：先行启动工程建设初拟于2019 年11月正式开工，路基工程进度为2019年11月-2020年4月，路面工程进度为2020年2月-2020年9月，附属工程进度2020年4月-2020年9月，收尾及交工验收2020年10月-11月，工期12个月。</w:t>
      </w:r>
    </w:p>
    <w:p w:rsidR="00ED0E0D" w:rsidRDefault="00276BC2" w:rsidP="00BD7BA9">
      <w:pPr>
        <w:pStyle w:val="a7"/>
        <w:ind w:firstLine="640"/>
        <w:rPr>
          <w:lang w:eastAsia="zh-CN"/>
        </w:rPr>
      </w:pPr>
      <w:r>
        <w:rPr>
          <w:rFonts w:hint="eastAsia"/>
          <w:lang w:eastAsia="zh-CN"/>
        </w:rPr>
        <w:t>合同中约定承包人计划开始工作时间：计划总共工期425日历天（设计工期60日历天，施工工期365日历天），具体开竣工日期不明确。</w:t>
      </w:r>
    </w:p>
    <w:p w:rsidR="00ED0E0D" w:rsidRDefault="00276BC2" w:rsidP="00BD7BA9">
      <w:pPr>
        <w:pStyle w:val="a7"/>
        <w:ind w:firstLine="640"/>
        <w:rPr>
          <w:lang w:eastAsia="zh-CN"/>
        </w:rPr>
      </w:pPr>
      <w:r>
        <w:rPr>
          <w:rFonts w:hint="eastAsia"/>
          <w:lang w:eastAsia="zh-CN"/>
        </w:rPr>
        <w:t>项目实际于2020年10月22日正式开工，至2020年12月31日，项目实际工期尚有光明北路、豆墩路、环城路一期、曲海街、鸿兴路、花园工业区横一路、花园工业区横二路、花园工业区纵一路、花园工业区纵二路、康民路（铁路桥南）等共计10条道路尚未开始施工，施工完成进度仅为46.18%，项目预计2021年9月份完工，项目实际进度滞后计划进度将近300天。主要原因一是项目于2020年10月22日正式开工，开工延期；二是施工方进度计划安排缺乏保障措施；三是金龙路南人行道左幅路缘石安装工艺不符合设计要求，造成工期拖延。</w:t>
      </w:r>
    </w:p>
    <w:p w:rsidR="00ED0E0D" w:rsidRDefault="00276BC2" w:rsidP="00BD7BA9">
      <w:pPr>
        <w:pStyle w:val="3"/>
        <w:ind w:firstLine="643"/>
        <w:rPr>
          <w:lang w:eastAsia="zh-CN"/>
        </w:rPr>
      </w:pPr>
      <w:r>
        <w:rPr>
          <w:rFonts w:hint="eastAsia"/>
          <w:lang w:eastAsia="zh-CN"/>
        </w:rPr>
        <w:t>2.资金支出缺乏预算依据</w:t>
      </w:r>
    </w:p>
    <w:p w:rsidR="00ED0E0D" w:rsidRDefault="00276BC2" w:rsidP="00BD7BA9">
      <w:pPr>
        <w:pStyle w:val="a7"/>
        <w:ind w:firstLine="640"/>
        <w:rPr>
          <w:rFonts w:cs="仿宋"/>
          <w:szCs w:val="32"/>
          <w:lang w:eastAsia="zh-CN"/>
        </w:rPr>
      </w:pPr>
      <w:r>
        <w:rPr>
          <w:rFonts w:cs="仿宋" w:hint="eastAsia"/>
          <w:szCs w:val="32"/>
          <w:lang w:eastAsia="zh-CN"/>
        </w:rPr>
        <w:lastRenderedPageBreak/>
        <w:t>2020年项目单位申请财政资金1,297.33万元，东莞市谢岗镇财政局核定预算1,000.00万元，而2020年实际支出</w:t>
      </w:r>
      <w:r>
        <w:rPr>
          <w:rFonts w:ascii="仿宋_GB2312" w:eastAsia="仿宋_GB2312" w:cs="Arial" w:hint="eastAsia"/>
          <w:color w:val="000000"/>
          <w:szCs w:val="32"/>
          <w:lang w:eastAsia="zh-CN"/>
        </w:rPr>
        <w:t>2,912.42万元，预算安排为实际支出34.34%，超出预算支付1,912.42万元，由政府专项债中支出，专项债资金支出管理与财政预算管理信息衔接要进一步理顺，</w:t>
      </w:r>
      <w:r>
        <w:rPr>
          <w:rFonts w:cs="仿宋" w:hint="eastAsia"/>
          <w:szCs w:val="32"/>
          <w:lang w:eastAsia="zh-CN"/>
        </w:rPr>
        <w:t>资金支出缺乏预算依据。</w:t>
      </w:r>
    </w:p>
    <w:p w:rsidR="00ED0E0D" w:rsidRDefault="00276BC2" w:rsidP="00BD7BA9">
      <w:pPr>
        <w:pStyle w:val="3"/>
        <w:ind w:firstLine="643"/>
        <w:rPr>
          <w:lang w:eastAsia="zh-CN"/>
        </w:rPr>
      </w:pPr>
      <w:r>
        <w:rPr>
          <w:rFonts w:hint="eastAsia"/>
          <w:lang w:eastAsia="zh-CN"/>
        </w:rPr>
        <w:t>3.会计核算有待规范</w:t>
      </w:r>
    </w:p>
    <w:p w:rsidR="00ED0E0D" w:rsidRDefault="00276BC2" w:rsidP="00BD7BA9">
      <w:pPr>
        <w:pStyle w:val="a7"/>
        <w:ind w:firstLine="640"/>
        <w:rPr>
          <w:lang w:eastAsia="zh-CN"/>
        </w:rPr>
      </w:pPr>
      <w:r>
        <w:rPr>
          <w:rFonts w:hint="eastAsia"/>
          <w:lang w:eastAsia="zh-CN"/>
        </w:rPr>
        <w:t>项目单位虽然对项目进行专账管理，按项目核算投资成本，但并未按照基本建设项目建设成本管理规定在“在建工程”科目项下按建筑工程投资、安装工程投资、设备投资、待摊投资分类归集各项成本，会计核算有规范。</w:t>
      </w:r>
    </w:p>
    <w:p w:rsidR="00ED0E0D" w:rsidRDefault="00276BC2" w:rsidP="00BD7BA9">
      <w:pPr>
        <w:pStyle w:val="3"/>
        <w:ind w:firstLine="643"/>
        <w:rPr>
          <w:lang w:eastAsia="zh-CN"/>
        </w:rPr>
      </w:pPr>
      <w:r>
        <w:rPr>
          <w:rFonts w:hint="eastAsia"/>
          <w:lang w:eastAsia="zh-CN"/>
        </w:rPr>
        <w:t>4.财务监控机制不健全，工程款支付依据不充分</w:t>
      </w:r>
    </w:p>
    <w:p w:rsidR="00ED0E0D" w:rsidRDefault="00276BC2" w:rsidP="00BD7BA9">
      <w:pPr>
        <w:pStyle w:val="a7"/>
        <w:ind w:firstLine="640"/>
        <w:rPr>
          <w:lang w:eastAsia="zh-CN"/>
        </w:rPr>
      </w:pPr>
      <w:r>
        <w:rPr>
          <w:rFonts w:hint="eastAsia"/>
          <w:lang w:eastAsia="zh-CN"/>
        </w:rPr>
        <w:t>项目单位未结合项目实际情况制定财务管理制度，实际执行财务管理缺乏制度的有效保障。</w:t>
      </w:r>
    </w:p>
    <w:p w:rsidR="00ED0E0D" w:rsidRDefault="00276BC2" w:rsidP="00BD7BA9">
      <w:pPr>
        <w:pStyle w:val="a7"/>
        <w:ind w:firstLine="640"/>
        <w:rPr>
          <w:rFonts w:cs="仿宋"/>
          <w:szCs w:val="32"/>
          <w:lang w:eastAsia="zh-CN"/>
        </w:rPr>
      </w:pPr>
      <w:r>
        <w:rPr>
          <w:rFonts w:hint="eastAsia"/>
          <w:lang w:eastAsia="zh-CN"/>
        </w:rPr>
        <w:t>经查看2020年11月JZ-11-0038号凭证，内容为支付第一期工程进度款316.01万元，由东莞市财政局谢岗分局财政直接支付，承包单位广东鸿高建设集团有限公司仅提供了工程进度证明，并开具了增值税发票，但无工程量计算明细和监理工程师确认支付指令。工程进度款支付依据不充分。</w:t>
      </w:r>
    </w:p>
    <w:p w:rsidR="00ED0E0D" w:rsidRDefault="00276BC2" w:rsidP="00BD7BA9">
      <w:pPr>
        <w:pStyle w:val="a9"/>
        <w:ind w:firstLine="643"/>
        <w:rPr>
          <w:lang w:eastAsia="zh-CN"/>
        </w:rPr>
      </w:pPr>
      <w:bookmarkStart w:id="46" w:name="_Toc4745"/>
      <w:r>
        <w:rPr>
          <w:rFonts w:hint="eastAsia"/>
          <w:lang w:eastAsia="zh-CN"/>
        </w:rPr>
        <w:t>（二）管理建议</w:t>
      </w:r>
      <w:bookmarkEnd w:id="46"/>
    </w:p>
    <w:p w:rsidR="00ED0E0D" w:rsidRDefault="00276BC2" w:rsidP="00BD7BA9">
      <w:pPr>
        <w:pStyle w:val="3"/>
        <w:ind w:firstLine="643"/>
        <w:rPr>
          <w:lang w:eastAsia="zh-CN"/>
        </w:rPr>
      </w:pPr>
      <w:r>
        <w:rPr>
          <w:rFonts w:hint="eastAsia"/>
          <w:lang w:eastAsia="zh-CN"/>
        </w:rPr>
        <w:t>1.评估项目实施进度，确保项目有序开展</w:t>
      </w:r>
    </w:p>
    <w:p w:rsidR="00ED0E0D" w:rsidRDefault="00276BC2" w:rsidP="00BD7BA9">
      <w:pPr>
        <w:pStyle w:val="a7"/>
        <w:ind w:firstLine="640"/>
        <w:rPr>
          <w:lang w:eastAsia="zh-CN"/>
        </w:rPr>
      </w:pPr>
      <w:r>
        <w:rPr>
          <w:rFonts w:hint="eastAsia"/>
          <w:lang w:eastAsia="zh-CN"/>
        </w:rPr>
        <w:lastRenderedPageBreak/>
        <w:t>项目单位应在招标文件和合同中明确合同具体开工日期，合理评估项目实施进度，结合项目特点及当前形势，按计划进度分步骤分节点控制项目实施进度，同时，施工单位须按进度计划做好工程控制措施，对于确实由于客观情形影响工程阶段性进度的，及时与相关主管单位进行有效沟通，并应签订变更或调整的补充协议作为附件，完善法理合同执行情况，合理保障项目进度有序开展。</w:t>
      </w:r>
    </w:p>
    <w:p w:rsidR="00ED0E0D" w:rsidRDefault="00276BC2" w:rsidP="00BD7BA9">
      <w:pPr>
        <w:pStyle w:val="3"/>
        <w:ind w:firstLine="643"/>
        <w:rPr>
          <w:lang w:eastAsia="zh-CN"/>
        </w:rPr>
      </w:pPr>
      <w:r>
        <w:rPr>
          <w:rFonts w:hint="eastAsia"/>
          <w:lang w:eastAsia="zh-CN"/>
        </w:rPr>
        <w:t>2.明确资金计划，合理安排资金预算</w:t>
      </w:r>
    </w:p>
    <w:p w:rsidR="00ED0E0D" w:rsidRDefault="00276BC2" w:rsidP="00BD7BA9">
      <w:pPr>
        <w:pStyle w:val="a7"/>
        <w:ind w:firstLine="640"/>
        <w:rPr>
          <w:lang w:eastAsia="zh-CN"/>
        </w:rPr>
      </w:pPr>
      <w:r>
        <w:rPr>
          <w:rFonts w:hint="eastAsia"/>
          <w:lang w:eastAsia="zh-CN"/>
        </w:rPr>
        <w:t>按年度资金计划，应明确财政资金和其他资金（含政府专项债）来源渠道、预算安排列支工程事项等，并按资金来源清晰列示各项资金，对应按合同约定的付款进度合理使用资金，避免无预算支付合同款或截留、挪用其他项目的资金导致预算支付来源不清等情况。</w:t>
      </w:r>
    </w:p>
    <w:p w:rsidR="00ED0E0D" w:rsidRDefault="00276BC2" w:rsidP="00BD7BA9">
      <w:pPr>
        <w:pStyle w:val="3"/>
        <w:ind w:firstLine="643"/>
        <w:rPr>
          <w:lang w:eastAsia="zh-CN"/>
        </w:rPr>
      </w:pPr>
      <w:r>
        <w:rPr>
          <w:rFonts w:hint="eastAsia"/>
          <w:lang w:eastAsia="zh-CN"/>
        </w:rPr>
        <w:t>3.规范会计核算，归集投资成本，准确反映概算执行</w:t>
      </w:r>
    </w:p>
    <w:p w:rsidR="00ED0E0D" w:rsidRDefault="00276BC2">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应在“在建工程”项下按建安投资、设备投资、待摊投资归集项目投资成本，将项目前期发生的项目建议书编制费用、可行性研究报告编制费、招标代理费、设计费、勘察费等前期费用计入待摊投资，将工程费用计入建安投资，合理归集投资成本，准确反映投资概算。</w:t>
      </w:r>
    </w:p>
    <w:p w:rsidR="00ED0E0D" w:rsidRDefault="00276BC2" w:rsidP="00BD7BA9">
      <w:pPr>
        <w:pStyle w:val="3"/>
        <w:ind w:firstLine="643"/>
        <w:rPr>
          <w:lang w:eastAsia="zh-CN"/>
        </w:rPr>
      </w:pPr>
      <w:r>
        <w:rPr>
          <w:rFonts w:hint="eastAsia"/>
          <w:lang w:eastAsia="zh-CN"/>
        </w:rPr>
        <w:t>4.建立健全财务管理机制，确保支出依据充分</w:t>
      </w:r>
    </w:p>
    <w:p w:rsidR="00ED0E0D" w:rsidRDefault="00276BC2" w:rsidP="00BD7BA9">
      <w:pPr>
        <w:pStyle w:val="a7"/>
        <w:ind w:firstLine="640"/>
        <w:rPr>
          <w:lang w:eastAsia="zh-CN"/>
        </w:rPr>
      </w:pPr>
      <w:r>
        <w:rPr>
          <w:rFonts w:hint="eastAsia"/>
          <w:lang w:eastAsia="zh-CN"/>
        </w:rPr>
        <w:t>根据项目建设，结合实际情况，制定相关的财务管理制度，或提供项目单位可供参考使用的财务管理制度，为资金</w:t>
      </w:r>
      <w:r>
        <w:rPr>
          <w:rFonts w:hint="eastAsia"/>
          <w:lang w:eastAsia="zh-CN"/>
        </w:rPr>
        <w:lastRenderedPageBreak/>
        <w:t>使用及会计核算提供制度依据。其次对于工程进度款，支付时须有完整的工程量清单和经监理工程师确认的支付指令，确保进度款支付依据充分。</w:t>
      </w:r>
    </w:p>
    <w:p w:rsidR="00ED0E0D" w:rsidRDefault="00ED0E0D">
      <w:pPr>
        <w:jc w:val="left"/>
        <w:rPr>
          <w:rFonts w:ascii="仿宋_GB2312" w:eastAsia="仿宋_GB2312" w:hAnsi="仿宋" w:cs="Arial"/>
          <w:color w:val="000000"/>
          <w:sz w:val="32"/>
          <w:szCs w:val="32"/>
        </w:rPr>
      </w:pPr>
      <w:bookmarkStart w:id="47" w:name="_Toc16478"/>
    </w:p>
    <w:p w:rsidR="00ED0E0D" w:rsidRDefault="00276BC2">
      <w:pPr>
        <w:pStyle w:val="a8"/>
        <w:ind w:firstLineChars="0" w:firstLine="0"/>
        <w:rPr>
          <w:rFonts w:ascii="仿宋" w:eastAsia="仿宋" w:hAnsi="仿宋" w:cs="仿宋"/>
          <w:lang w:eastAsia="zh-CN"/>
        </w:rPr>
      </w:pPr>
      <w:bookmarkStart w:id="48" w:name="_Toc26273"/>
      <w:r>
        <w:rPr>
          <w:rFonts w:ascii="仿宋" w:eastAsia="仿宋" w:hAnsi="仿宋" w:cs="仿宋" w:hint="eastAsia"/>
          <w:lang w:eastAsia="zh-CN"/>
        </w:rPr>
        <w:t>附件：</w:t>
      </w:r>
    </w:p>
    <w:p w:rsidR="00ED0E0D" w:rsidRDefault="00276BC2" w:rsidP="00BD7BA9">
      <w:pPr>
        <w:pStyle w:val="a7"/>
        <w:ind w:firstLine="640"/>
        <w:rPr>
          <w:lang w:eastAsia="zh-CN"/>
        </w:rPr>
      </w:pPr>
      <w:r>
        <w:rPr>
          <w:rFonts w:hint="eastAsia"/>
          <w:lang w:eastAsia="zh-CN"/>
        </w:rPr>
        <w:t>附表1：</w:t>
      </w:r>
      <w:bookmarkEnd w:id="47"/>
      <w:r>
        <w:rPr>
          <w:rFonts w:hint="eastAsia"/>
          <w:lang w:eastAsia="zh-CN"/>
        </w:rPr>
        <w:t>谢岗镇镇村两级道路综合整治一期工程项目财政支出绩效评价表</w:t>
      </w:r>
      <w:bookmarkEnd w:id="48"/>
    </w:p>
    <w:p w:rsidR="00ED0E0D" w:rsidRDefault="00276BC2" w:rsidP="00BD7BA9">
      <w:pPr>
        <w:pStyle w:val="a7"/>
        <w:ind w:firstLine="640"/>
        <w:rPr>
          <w:lang w:eastAsia="zh-CN"/>
        </w:rPr>
      </w:pPr>
      <w:bookmarkStart w:id="49" w:name="_Toc6046"/>
      <w:r>
        <w:rPr>
          <w:rFonts w:hint="eastAsia"/>
          <w:lang w:eastAsia="zh-CN"/>
        </w:rPr>
        <w:t>附表2：表2：谢岗镇镇村两级道路综合整治一期工程项目2020年支出明细表</w:t>
      </w:r>
    </w:p>
    <w:p w:rsidR="00ED0E0D" w:rsidRDefault="00276BC2" w:rsidP="00BD7BA9">
      <w:pPr>
        <w:pStyle w:val="a7"/>
        <w:ind w:firstLine="640"/>
        <w:rPr>
          <w:lang w:eastAsia="zh-CN"/>
        </w:rPr>
      </w:pPr>
      <w:r>
        <w:rPr>
          <w:rFonts w:hint="eastAsia"/>
          <w:lang w:eastAsia="zh-CN"/>
        </w:rPr>
        <w:t>附表3：谢岗镇镇村两级道路综合整治一期工程项目调查问卷表</w:t>
      </w:r>
      <w:bookmarkEnd w:id="49"/>
    </w:p>
    <w:p w:rsidR="00ED0E0D" w:rsidRDefault="00ED0E0D">
      <w:pPr>
        <w:ind w:firstLineChars="200" w:firstLine="640"/>
        <w:jc w:val="left"/>
        <w:rPr>
          <w:rFonts w:ascii="仿宋_GB2312" w:eastAsia="仿宋_GB2312" w:hAnsi="仿宋" w:cs="Arial"/>
          <w:color w:val="000000"/>
          <w:sz w:val="32"/>
          <w:szCs w:val="32"/>
        </w:rPr>
      </w:pPr>
    </w:p>
    <w:p w:rsidR="00ED0E0D" w:rsidRDefault="00ED0E0D">
      <w:pPr>
        <w:ind w:firstLineChars="200" w:firstLine="640"/>
        <w:jc w:val="left"/>
        <w:rPr>
          <w:rFonts w:ascii="仿宋_GB2312" w:eastAsia="仿宋_GB2312" w:hAnsi="仿宋" w:cs="Arial"/>
          <w:color w:val="000000"/>
          <w:sz w:val="32"/>
          <w:szCs w:val="32"/>
        </w:rPr>
      </w:pPr>
    </w:p>
    <w:p w:rsidR="00ED0E0D" w:rsidRDefault="00ED0E0D">
      <w:pPr>
        <w:jc w:val="left"/>
        <w:rPr>
          <w:rFonts w:hint="eastAsia"/>
        </w:rPr>
      </w:pPr>
    </w:p>
    <w:p w:rsidR="00C87944" w:rsidRDefault="00C87944">
      <w:pPr>
        <w:jc w:val="left"/>
      </w:pPr>
    </w:p>
    <w:p w:rsidR="00ED0E0D" w:rsidRDefault="00ED0E0D">
      <w:pPr>
        <w:jc w:val="left"/>
        <w:rPr>
          <w:rFonts w:ascii="仿宋_GB2312" w:eastAsia="仿宋_GB2312" w:hAnsi="仿宋" w:cs="Arial"/>
          <w:color w:val="000000"/>
          <w:sz w:val="32"/>
          <w:szCs w:val="32"/>
        </w:rPr>
        <w:sectPr w:rsidR="00ED0E0D">
          <w:footerReference w:type="default" r:id="rId16"/>
          <w:pgSz w:w="11906" w:h="16838"/>
          <w:pgMar w:top="1440" w:right="1800" w:bottom="1440" w:left="1800" w:header="851" w:footer="992" w:gutter="0"/>
          <w:pgNumType w:start="1"/>
          <w:cols w:space="425"/>
          <w:docGrid w:type="lines" w:linePitch="312"/>
        </w:sectPr>
      </w:pPr>
    </w:p>
    <w:p w:rsidR="00ED0E0D" w:rsidRDefault="00276BC2">
      <w:pPr>
        <w:pStyle w:val="a8"/>
        <w:ind w:firstLineChars="0" w:firstLine="0"/>
        <w:rPr>
          <w:rFonts w:ascii="仿宋" w:eastAsia="仿宋" w:hAnsi="仿宋" w:cs="仿宋"/>
          <w:b/>
          <w:bCs/>
          <w:lang w:eastAsia="zh-CN"/>
        </w:rPr>
      </w:pPr>
      <w:bookmarkStart w:id="50" w:name="_Toc2634"/>
      <w:r>
        <w:rPr>
          <w:rFonts w:ascii="仿宋" w:eastAsia="仿宋" w:hAnsi="仿宋" w:cs="仿宋" w:hint="eastAsia"/>
          <w:b/>
          <w:bCs/>
          <w:lang w:eastAsia="zh-CN"/>
        </w:rPr>
        <w:lastRenderedPageBreak/>
        <w:t>附表1</w:t>
      </w:r>
      <w:bookmarkEnd w:id="50"/>
      <w:r>
        <w:rPr>
          <w:rFonts w:ascii="仿宋" w:eastAsia="仿宋" w:hAnsi="仿宋" w:cs="仿宋" w:hint="eastAsia"/>
          <w:b/>
          <w:bCs/>
          <w:lang w:eastAsia="zh-CN"/>
        </w:rPr>
        <w:t>：谢岗镇镇村两级道路综合整治一期工程项目财政支出绩效评价表</w:t>
      </w:r>
    </w:p>
    <w:tbl>
      <w:tblPr>
        <w:tblW w:w="5344" w:type="pct"/>
        <w:tblInd w:w="-516" w:type="dxa"/>
        <w:tblLayout w:type="fixed"/>
        <w:tblCellMar>
          <w:left w:w="0" w:type="dxa"/>
          <w:right w:w="0" w:type="dxa"/>
        </w:tblCellMar>
        <w:tblLook w:val="04A0"/>
      </w:tblPr>
      <w:tblGrid>
        <w:gridCol w:w="743"/>
        <w:gridCol w:w="647"/>
        <w:gridCol w:w="635"/>
        <w:gridCol w:w="677"/>
        <w:gridCol w:w="635"/>
        <w:gridCol w:w="3501"/>
        <w:gridCol w:w="2452"/>
        <w:gridCol w:w="2589"/>
        <w:gridCol w:w="598"/>
        <w:gridCol w:w="2473"/>
      </w:tblGrid>
      <w:tr w:rsidR="00ED0E0D">
        <w:trPr>
          <w:cantSplit/>
          <w:trHeight w:val="660"/>
        </w:trPr>
        <w:tc>
          <w:tcPr>
            <w:tcW w:w="248"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rPr>
              <w:t>一级指标</w:t>
            </w:r>
          </w:p>
        </w:tc>
        <w:tc>
          <w:tcPr>
            <w:tcW w:w="216"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rPr>
              <w:t>二级指标</w:t>
            </w:r>
          </w:p>
        </w:tc>
        <w:tc>
          <w:tcPr>
            <w:tcW w:w="212"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rPr>
              <w:t>三级指标</w:t>
            </w:r>
          </w:p>
        </w:tc>
        <w:tc>
          <w:tcPr>
            <w:tcW w:w="224" w:type="pc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rPr>
              <w:t>四级指标</w:t>
            </w:r>
          </w:p>
        </w:tc>
        <w:tc>
          <w:tcPr>
            <w:tcW w:w="2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rPr>
              <w:t>权重</w:t>
            </w:r>
          </w:p>
        </w:tc>
        <w:tc>
          <w:tcPr>
            <w:tcW w:w="1171"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rPr>
              <w:t>指标说明</w:t>
            </w:r>
          </w:p>
        </w:tc>
        <w:tc>
          <w:tcPr>
            <w:tcW w:w="818"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rPr>
              <w:t>评分标准</w:t>
            </w:r>
          </w:p>
        </w:tc>
        <w:tc>
          <w:tcPr>
            <w:tcW w:w="866"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rPr>
              <w:t>评分意见</w:t>
            </w:r>
          </w:p>
        </w:tc>
        <w:tc>
          <w:tcPr>
            <w:tcW w:w="200"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rPr>
              <w:t>得分</w:t>
            </w:r>
          </w:p>
        </w:tc>
        <w:tc>
          <w:tcPr>
            <w:tcW w:w="827"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4"/>
              </w:rPr>
            </w:pPr>
            <w:r>
              <w:rPr>
                <w:rFonts w:ascii="仿宋" w:eastAsia="仿宋" w:hAnsi="仿宋" w:cs="仿宋" w:hint="eastAsia"/>
                <w:b/>
                <w:color w:val="000000"/>
                <w:kern w:val="0"/>
                <w:sz w:val="24"/>
              </w:rPr>
              <w:t>支撑材料</w:t>
            </w:r>
          </w:p>
        </w:tc>
      </w:tr>
      <w:tr w:rsidR="00ED0E0D">
        <w:trPr>
          <w:cantSplit/>
          <w:trHeight w:val="1080"/>
        </w:trPr>
        <w:tc>
          <w:tcPr>
            <w:tcW w:w="24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前期</w:t>
            </w:r>
            <w:r>
              <w:rPr>
                <w:rFonts w:ascii="黑体" w:eastAsia="黑体" w:hAnsi="黑体" w:cs="黑体" w:hint="eastAsia"/>
                <w:color w:val="000000"/>
                <w:kern w:val="0"/>
                <w:sz w:val="20"/>
                <w:szCs w:val="20"/>
              </w:rPr>
              <w:br/>
              <w:t>工作（20分）</w:t>
            </w:r>
          </w:p>
        </w:tc>
        <w:tc>
          <w:tcPr>
            <w:tcW w:w="21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论证</w:t>
            </w:r>
            <w:r>
              <w:rPr>
                <w:rFonts w:ascii="黑体" w:eastAsia="黑体" w:hAnsi="黑体" w:cs="黑体" w:hint="eastAsia"/>
                <w:color w:val="000000"/>
                <w:kern w:val="0"/>
                <w:sz w:val="20"/>
                <w:szCs w:val="20"/>
              </w:rPr>
              <w:br/>
              <w:t>决策 （8分）</w:t>
            </w:r>
          </w:p>
        </w:tc>
        <w:tc>
          <w:tcPr>
            <w:tcW w:w="212"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w:t>
            </w:r>
            <w:r>
              <w:rPr>
                <w:rFonts w:ascii="黑体" w:eastAsia="黑体" w:hAnsi="黑体" w:cs="黑体" w:hint="eastAsia"/>
                <w:color w:val="000000"/>
                <w:kern w:val="0"/>
                <w:sz w:val="20"/>
                <w:szCs w:val="20"/>
              </w:rPr>
              <w:br/>
              <w:t>立项（5分）</w:t>
            </w:r>
          </w:p>
        </w:tc>
        <w:tc>
          <w:tcPr>
            <w:tcW w:w="2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依据</w:t>
            </w:r>
            <w:r>
              <w:rPr>
                <w:rFonts w:ascii="黑体" w:eastAsia="黑体" w:hAnsi="黑体" w:cs="黑体" w:hint="eastAsia"/>
                <w:color w:val="000000"/>
                <w:kern w:val="0"/>
                <w:sz w:val="20"/>
                <w:szCs w:val="20"/>
              </w:rPr>
              <w:br/>
              <w:t>充分性</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①项目立项是否符合法律法规、相关政策、发展规划以及部门职责，用以反映和考核项目立项依据情况。</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立项依据充分，符合相关决策或规划，并获得上级部门批准的，得2分；否则不得分。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立项依据充分，符合相关决策，并获得上级部门批准。</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《关于启动谢岗镇镇村两级道路综合整治工程（一期）建设前期工作的问题的复函》（谢府办复〔2019〕）</w:t>
            </w:r>
          </w:p>
        </w:tc>
      </w:tr>
      <w:tr w:rsidR="00ED0E0D">
        <w:trPr>
          <w:cantSplit/>
          <w:trHeight w:val="1560"/>
        </w:trPr>
        <w:tc>
          <w:tcPr>
            <w:tcW w:w="2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程序</w:t>
            </w:r>
            <w:r>
              <w:rPr>
                <w:rFonts w:ascii="黑体" w:eastAsia="黑体" w:hAnsi="黑体" w:cs="黑体" w:hint="eastAsia"/>
                <w:color w:val="000000"/>
                <w:kern w:val="0"/>
                <w:sz w:val="20"/>
                <w:szCs w:val="20"/>
              </w:rPr>
              <w:br/>
              <w:t>规范性</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3</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①项目是否按照规定的程序申请设立；</w:t>
            </w:r>
            <w:r>
              <w:rPr>
                <w:rFonts w:ascii="黑体" w:eastAsia="黑体" w:hAnsi="黑体" w:cs="黑体" w:hint="eastAsia"/>
                <w:color w:val="000000"/>
                <w:kern w:val="0"/>
                <w:sz w:val="20"/>
                <w:szCs w:val="20"/>
              </w:rPr>
              <w:br/>
              <w:t>②审批文件、材料是否符合相关要求；</w:t>
            </w:r>
            <w:r>
              <w:rPr>
                <w:rFonts w:ascii="黑体" w:eastAsia="黑体" w:hAnsi="黑体" w:cs="黑体" w:hint="eastAsia"/>
                <w:color w:val="000000"/>
                <w:kern w:val="0"/>
                <w:sz w:val="20"/>
                <w:szCs w:val="20"/>
              </w:rPr>
              <w:br/>
              <w:t>③事前是否已经过必要的可行性研究、专家论证、风险评估、绩效评估、集体决策等。</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项目申请、设立过程符合相关要求的，得3分；其他视情况扣分。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项目在未取得工程用地证明前已实施可行性研究并取得批复，项目建设程序不规范；项目审批文件、材料符合相关要求；事前经过可行性研究。</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《关于谢岗镇镇村两级道路综合整治一期工程项目建议书的批复》（东发改谢〔2019〕6 号）、《关于谢岗镇镇村两级道路综合整治一期工程可行性研究报告的批复》（东发改谢〔2019〕11 号）</w:t>
            </w:r>
          </w:p>
        </w:tc>
      </w:tr>
      <w:tr w:rsidR="00ED0E0D">
        <w:trPr>
          <w:cantSplit/>
          <w:trHeight w:val="90"/>
        </w:trPr>
        <w:tc>
          <w:tcPr>
            <w:tcW w:w="248"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服务</w:t>
            </w:r>
            <w:r>
              <w:rPr>
                <w:rFonts w:ascii="黑体" w:eastAsia="黑体" w:hAnsi="黑体" w:cs="黑体" w:hint="eastAsia"/>
                <w:color w:val="000000"/>
                <w:kern w:val="0"/>
                <w:sz w:val="20"/>
                <w:szCs w:val="20"/>
              </w:rPr>
              <w:br/>
              <w:t>采购（3分）</w:t>
            </w:r>
          </w:p>
        </w:tc>
        <w:tc>
          <w:tcPr>
            <w:tcW w:w="224"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采购</w:t>
            </w:r>
            <w:r>
              <w:rPr>
                <w:rFonts w:ascii="黑体" w:eastAsia="黑体" w:hAnsi="黑体" w:cs="黑体" w:hint="eastAsia"/>
                <w:color w:val="000000"/>
                <w:kern w:val="0"/>
                <w:sz w:val="20"/>
                <w:szCs w:val="20"/>
              </w:rPr>
              <w:br/>
              <w:t>合规性</w:t>
            </w:r>
          </w:p>
        </w:tc>
        <w:tc>
          <w:tcPr>
            <w:tcW w:w="212"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3</w:t>
            </w:r>
          </w:p>
        </w:tc>
        <w:tc>
          <w:tcPr>
            <w:tcW w:w="1171"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①项目相关服务是否按要求进行招标或政府采购，招标或采购过程是否合法规范；</w:t>
            </w:r>
            <w:r>
              <w:rPr>
                <w:rFonts w:ascii="黑体" w:eastAsia="黑体" w:hAnsi="黑体" w:cs="黑体" w:hint="eastAsia"/>
                <w:color w:val="000000"/>
                <w:kern w:val="0"/>
                <w:sz w:val="20"/>
                <w:szCs w:val="20"/>
              </w:rPr>
              <w:br/>
              <w:t>②项目招标文件中用户需求制定是否与计划工作内容相匹配，预期采购的工程量、标准、质量、职责要求等是否明确、全面、科学。</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项目相关服务供应商采购过程合法规范，且招标需求全面合理的，得3分；否则不得分。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按核准意见对工程施工、勘察、设计、监理实施了招标，招标文件中用户需求制定与计划工作内容相匹配，预期采购工程量、标准、质量、职责要求等明确、全面、科学，。但未提供招标过程资料，招标程序合法规范性无法判断。</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施工总承包招标文件、监理招标文件</w:t>
            </w:r>
          </w:p>
        </w:tc>
      </w:tr>
      <w:tr w:rsidR="00ED0E0D">
        <w:trPr>
          <w:cantSplit/>
          <w:trHeight w:val="2240"/>
        </w:trPr>
        <w:tc>
          <w:tcPr>
            <w:tcW w:w="248" w:type="pct"/>
            <w:vMerge w:val="restart"/>
            <w:tcBorders>
              <w:top w:val="single" w:sz="4" w:space="0" w:color="auto"/>
              <w:left w:val="single" w:sz="4" w:space="0" w:color="auto"/>
              <w:bottom w:val="nil"/>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lastRenderedPageBreak/>
              <w:t>前期</w:t>
            </w:r>
            <w:r>
              <w:rPr>
                <w:rFonts w:ascii="黑体" w:eastAsia="黑体" w:hAnsi="黑体" w:cs="黑体" w:hint="eastAsia"/>
                <w:color w:val="000000"/>
                <w:kern w:val="0"/>
                <w:sz w:val="20"/>
                <w:szCs w:val="20"/>
              </w:rPr>
              <w:br/>
              <w:t>工作（20分）</w:t>
            </w:r>
          </w:p>
        </w:tc>
        <w:tc>
          <w:tcPr>
            <w:tcW w:w="216" w:type="pct"/>
            <w:vMerge w:val="restar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绩效目标（4分）</w:t>
            </w:r>
          </w:p>
        </w:tc>
        <w:tc>
          <w:tcPr>
            <w:tcW w:w="212" w:type="pct"/>
            <w:vMerge w:val="restar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目标设定（4分）</w:t>
            </w:r>
          </w:p>
        </w:tc>
        <w:tc>
          <w:tcPr>
            <w:tcW w:w="224"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全面</w:t>
            </w:r>
            <w:r>
              <w:rPr>
                <w:rFonts w:ascii="黑体" w:eastAsia="黑体" w:hAnsi="黑体" w:cs="黑体" w:hint="eastAsia"/>
                <w:color w:val="000000"/>
                <w:kern w:val="0"/>
                <w:sz w:val="20"/>
                <w:szCs w:val="20"/>
              </w:rPr>
              <w:br/>
              <w:t>性</w:t>
            </w:r>
          </w:p>
        </w:tc>
        <w:tc>
          <w:tcPr>
            <w:tcW w:w="212"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1171" w:type="pct"/>
            <w:tcBorders>
              <w:top w:val="single" w:sz="4" w:space="0" w:color="auto"/>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①绩效目标设定是否与实际工作内容具有相关性，体现决策意图。</w:t>
            </w:r>
            <w:r>
              <w:rPr>
                <w:rFonts w:ascii="黑体" w:eastAsia="黑体" w:hAnsi="黑体" w:cs="黑体" w:hint="eastAsia"/>
                <w:color w:val="000000"/>
                <w:kern w:val="0"/>
                <w:sz w:val="20"/>
                <w:szCs w:val="20"/>
              </w:rPr>
              <w:br/>
              <w:t>②绩效目标是否在数量、质量、成本控制和时效等方面进行细化，做到定量表述，不能以量化形式表述的，采用定性的分级分档形式表述。</w:t>
            </w:r>
            <w:r>
              <w:rPr>
                <w:rFonts w:ascii="黑体" w:eastAsia="黑体" w:hAnsi="黑体" w:cs="黑体" w:hint="eastAsia"/>
                <w:color w:val="000000"/>
                <w:kern w:val="0"/>
                <w:sz w:val="20"/>
                <w:szCs w:val="20"/>
              </w:rPr>
              <w:br/>
              <w:t>③绩效目标是否与项目年度任务数或计划数相对应。</w:t>
            </w:r>
          </w:p>
        </w:tc>
        <w:tc>
          <w:tcPr>
            <w:tcW w:w="818" w:type="pct"/>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目标设置完整全面，并与年度任务数或计划数相对应的，得2分；其他视情况扣分。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绩效目标设定与实际工作内容具有相关性，体现决策意图；绩效目标质量指标不能以量化形式表述的，未采用定性的分级分档形式表述。</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1</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绩效目标申报表</w:t>
            </w:r>
          </w:p>
        </w:tc>
      </w:tr>
      <w:tr w:rsidR="00ED0E0D">
        <w:trPr>
          <w:cantSplit/>
          <w:trHeight w:val="1480"/>
        </w:trPr>
        <w:tc>
          <w:tcPr>
            <w:tcW w:w="248" w:type="pct"/>
            <w:vMerge/>
            <w:tcBorders>
              <w:top w:val="nil"/>
              <w:left w:val="single" w:sz="4" w:space="0" w:color="auto"/>
              <w:bottom w:val="nil"/>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合理</w:t>
            </w:r>
            <w:r>
              <w:rPr>
                <w:rFonts w:ascii="黑体" w:eastAsia="黑体" w:hAnsi="黑体" w:cs="黑体" w:hint="eastAsia"/>
                <w:color w:val="000000"/>
                <w:kern w:val="0"/>
                <w:sz w:val="20"/>
                <w:szCs w:val="20"/>
              </w:rPr>
              <w:br/>
              <w:t>可行</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1171" w:type="pct"/>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①制定的绩效目标是否做到符合客观实际，科学合理，经过主管部门的合理努力，能够实现。</w:t>
            </w:r>
            <w:r>
              <w:rPr>
                <w:rFonts w:ascii="黑体" w:eastAsia="黑体" w:hAnsi="黑体" w:cs="黑体" w:hint="eastAsia"/>
                <w:color w:val="000000"/>
                <w:kern w:val="0"/>
                <w:sz w:val="20"/>
                <w:szCs w:val="20"/>
              </w:rPr>
              <w:br/>
              <w:t>②绩效目标的预期产出效益及效果是否符合正常的业绩水平。</w:t>
            </w:r>
          </w:p>
        </w:tc>
        <w:tc>
          <w:tcPr>
            <w:tcW w:w="818" w:type="pct"/>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目标设定合理可行，达到正常业绩水平，在项目周期内具有实现可能性的，得2分；其他视情况扣分。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制定的绩效目标符合客观实际，科学，经过主管部门的合理努力，能够实现；</w:t>
            </w:r>
            <w:r>
              <w:rPr>
                <w:rFonts w:ascii="黑体" w:eastAsia="黑体" w:hAnsi="黑体" w:cs="黑体" w:hint="eastAsia"/>
                <w:color w:val="000000"/>
                <w:kern w:val="0"/>
                <w:sz w:val="20"/>
                <w:szCs w:val="20"/>
              </w:rPr>
              <w:br/>
              <w:t>绩效目标的预期产出效益及效果是否符合正常的业绩水平。</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绩效目标申报表</w:t>
            </w:r>
          </w:p>
        </w:tc>
      </w:tr>
      <w:tr w:rsidR="00ED0E0D">
        <w:trPr>
          <w:cantSplit/>
          <w:trHeight w:val="1040"/>
        </w:trPr>
        <w:tc>
          <w:tcPr>
            <w:tcW w:w="248" w:type="pct"/>
            <w:vMerge w:val="restart"/>
            <w:tcBorders>
              <w:top w:val="nil"/>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前期</w:t>
            </w:r>
            <w:r>
              <w:rPr>
                <w:rFonts w:ascii="黑体" w:eastAsia="黑体" w:hAnsi="黑体" w:cs="黑体" w:hint="eastAsia"/>
                <w:color w:val="000000"/>
                <w:kern w:val="0"/>
                <w:sz w:val="20"/>
                <w:szCs w:val="20"/>
              </w:rPr>
              <w:br/>
              <w:t>工作（20分）</w:t>
            </w:r>
          </w:p>
        </w:tc>
        <w:tc>
          <w:tcPr>
            <w:tcW w:w="216" w:type="pct"/>
            <w:vMerge w:val="restar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绩效</w:t>
            </w:r>
            <w:r>
              <w:rPr>
                <w:rFonts w:ascii="黑体" w:eastAsia="黑体" w:hAnsi="黑体" w:cs="黑体" w:hint="eastAsia"/>
                <w:color w:val="000000"/>
                <w:kern w:val="0"/>
                <w:sz w:val="20"/>
                <w:szCs w:val="20"/>
              </w:rPr>
              <w:br/>
              <w:t>指标（4分）</w:t>
            </w:r>
          </w:p>
        </w:tc>
        <w:tc>
          <w:tcPr>
            <w:tcW w:w="212" w:type="pct"/>
            <w:vMerge w:val="restar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指标</w:t>
            </w:r>
            <w:r>
              <w:rPr>
                <w:rFonts w:ascii="黑体" w:eastAsia="黑体" w:hAnsi="黑体" w:cs="黑体" w:hint="eastAsia"/>
                <w:color w:val="000000"/>
                <w:kern w:val="0"/>
                <w:sz w:val="20"/>
                <w:szCs w:val="20"/>
              </w:rPr>
              <w:br/>
              <w:t>设定（4分）</w:t>
            </w:r>
          </w:p>
        </w:tc>
        <w:tc>
          <w:tcPr>
            <w:tcW w:w="224"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相关性</w:t>
            </w:r>
          </w:p>
        </w:tc>
        <w:tc>
          <w:tcPr>
            <w:tcW w:w="212"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1171" w:type="pct"/>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①绩效指标设定是否与绩效目标有直接关联，能否全面准确反映目标的实现程度。</w:t>
            </w:r>
          </w:p>
        </w:tc>
        <w:tc>
          <w:tcPr>
            <w:tcW w:w="818" w:type="pct"/>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绩效指标与目标匹配度高，能全面准确反映目标实现程度的，得2分；其他视情况扣分。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绩效指标设定与绩效目标关联，能全面准确反映目标的实现程度。</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绩效目标申报表</w:t>
            </w:r>
          </w:p>
        </w:tc>
      </w:tr>
      <w:tr w:rsidR="00ED0E0D">
        <w:trPr>
          <w:cantSplit/>
          <w:trHeight w:val="1060"/>
        </w:trPr>
        <w:tc>
          <w:tcPr>
            <w:tcW w:w="248" w:type="pct"/>
            <w:vMerge/>
            <w:tcBorders>
              <w:top w:val="single" w:sz="4" w:space="0" w:color="auto"/>
              <w:left w:val="single" w:sz="4" w:space="0" w:color="auto"/>
              <w:bottom w:val="nil"/>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可衡量性</w:t>
            </w:r>
          </w:p>
        </w:tc>
        <w:tc>
          <w:tcPr>
            <w:tcW w:w="212"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1171"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①绩效指标设定是否做到定量指标与定性指标相结合，系统地反映财政支出的预期产出和效益。</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绩效指标设定符合做到定量指标与定性指标相结合的，得2分；其他视情况扣分。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绩效目标中质量指标、社会效益指标、满意度指标等，未采用定性的形式表述</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1</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绩效目标申报表</w:t>
            </w:r>
          </w:p>
        </w:tc>
      </w:tr>
      <w:tr w:rsidR="00ED0E0D">
        <w:trPr>
          <w:cantSplit/>
          <w:trHeight w:val="1400"/>
        </w:trPr>
        <w:tc>
          <w:tcPr>
            <w:tcW w:w="248" w:type="pct"/>
            <w:vMerge/>
            <w:tcBorders>
              <w:top w:val="nil"/>
              <w:left w:val="single" w:sz="4" w:space="0" w:color="auto"/>
              <w:bottom w:val="nil"/>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预算</w:t>
            </w:r>
            <w:r>
              <w:rPr>
                <w:rFonts w:ascii="黑体" w:eastAsia="黑体" w:hAnsi="黑体" w:cs="黑体" w:hint="eastAsia"/>
                <w:color w:val="000000"/>
                <w:kern w:val="0"/>
                <w:sz w:val="20"/>
                <w:szCs w:val="20"/>
              </w:rPr>
              <w:br/>
              <w:t>配置（4分）</w:t>
            </w:r>
          </w:p>
        </w:tc>
        <w:tc>
          <w:tcPr>
            <w:tcW w:w="212"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资金</w:t>
            </w:r>
            <w:r>
              <w:rPr>
                <w:rFonts w:ascii="黑体" w:eastAsia="黑体" w:hAnsi="黑体" w:cs="黑体" w:hint="eastAsia"/>
                <w:color w:val="000000"/>
                <w:kern w:val="0"/>
                <w:sz w:val="20"/>
                <w:szCs w:val="20"/>
              </w:rPr>
              <w:br/>
              <w:t>投入（4分）</w:t>
            </w:r>
          </w:p>
        </w:tc>
        <w:tc>
          <w:tcPr>
            <w:tcW w:w="2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合规性</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①预算资金的申请是否符合程序、计算依据是否充分、计算过程是否详尽、计算过程是否合理。用以反映和考核预算资金配置的合规性、科学性、合理性。</w:t>
            </w:r>
          </w:p>
        </w:tc>
        <w:tc>
          <w:tcPr>
            <w:tcW w:w="8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预算资金申请符合程序要求、计算依据充分、计算过程详尽合理的，得2分；其他视情况扣分。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预算资金的申请符合程序；2020年预算资金计划不合理。</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1</w:t>
            </w:r>
          </w:p>
        </w:tc>
        <w:tc>
          <w:tcPr>
            <w:tcW w:w="8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谢岗镇2020年行政事业单位部门预算建议计划</w:t>
            </w:r>
          </w:p>
        </w:tc>
      </w:tr>
      <w:tr w:rsidR="00ED0E0D">
        <w:trPr>
          <w:cantSplit/>
          <w:trHeight w:val="1260"/>
        </w:trPr>
        <w:tc>
          <w:tcPr>
            <w:tcW w:w="248" w:type="pct"/>
            <w:vMerge/>
            <w:tcBorders>
              <w:top w:val="nil"/>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调整率</w:t>
            </w:r>
          </w:p>
        </w:tc>
        <w:tc>
          <w:tcPr>
            <w:tcW w:w="212"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1171"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①考量预算的调整情况，体现预算编制的科学程度。</w:t>
            </w:r>
            <w:r>
              <w:rPr>
                <w:rFonts w:ascii="黑体" w:eastAsia="黑体" w:hAnsi="黑体" w:cs="黑体" w:hint="eastAsia"/>
                <w:color w:val="000000"/>
                <w:kern w:val="0"/>
                <w:sz w:val="20"/>
                <w:szCs w:val="20"/>
              </w:rPr>
              <w:br/>
              <w:t>预算调整率=|预算追加（减）数/批复预算数|×100%。</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调整率≤10％的，得2分；10％-20％的，得1分；21%-30%的，得0.5分；预算调整率大于30%的，不得分。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2020年预算资金1000万元，实际支付2,912.42万元，无预算支付1,912.42万元，预算编制不科学，未追加预算。</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0</w:t>
            </w:r>
          </w:p>
        </w:tc>
        <w:tc>
          <w:tcPr>
            <w:tcW w:w="8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谢岗镇2020年行政事业单位部门预算建议计划、项目明细账</w:t>
            </w:r>
          </w:p>
        </w:tc>
      </w:tr>
      <w:tr w:rsidR="00ED0E0D">
        <w:trPr>
          <w:cantSplit/>
          <w:trHeight w:val="1240"/>
        </w:trPr>
        <w:tc>
          <w:tcPr>
            <w:tcW w:w="248" w:type="pct"/>
            <w:vMerge w:val="restart"/>
            <w:tcBorders>
              <w:top w:val="single" w:sz="4" w:space="0" w:color="auto"/>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过程管理（35分）</w:t>
            </w:r>
          </w:p>
        </w:tc>
        <w:tc>
          <w:tcPr>
            <w:tcW w:w="216" w:type="pct"/>
            <w:vMerge w:val="restart"/>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资金</w:t>
            </w:r>
            <w:r>
              <w:rPr>
                <w:rFonts w:ascii="黑体" w:eastAsia="黑体" w:hAnsi="黑体" w:cs="黑体" w:hint="eastAsia"/>
                <w:color w:val="000000"/>
                <w:kern w:val="0"/>
                <w:sz w:val="20"/>
                <w:szCs w:val="20"/>
              </w:rPr>
              <w:br/>
              <w:t>管理（5分）</w:t>
            </w:r>
          </w:p>
        </w:tc>
        <w:tc>
          <w:tcPr>
            <w:tcW w:w="212" w:type="pct"/>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财务</w:t>
            </w:r>
            <w:r>
              <w:rPr>
                <w:rFonts w:ascii="黑体" w:eastAsia="黑体" w:hAnsi="黑体" w:cs="黑体" w:hint="eastAsia"/>
                <w:color w:val="000000"/>
                <w:kern w:val="0"/>
                <w:sz w:val="20"/>
                <w:szCs w:val="20"/>
              </w:rPr>
              <w:br/>
              <w:t>制度（2分）</w:t>
            </w:r>
          </w:p>
        </w:tc>
        <w:tc>
          <w:tcPr>
            <w:tcW w:w="224" w:type="pct"/>
            <w:tcBorders>
              <w:top w:val="single" w:sz="4" w:space="0" w:color="auto"/>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健全性</w:t>
            </w:r>
          </w:p>
        </w:tc>
        <w:tc>
          <w:tcPr>
            <w:tcW w:w="212" w:type="pct"/>
            <w:tcBorders>
              <w:top w:val="single" w:sz="4" w:space="0" w:color="auto"/>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1171" w:type="pct"/>
            <w:tcBorders>
              <w:top w:val="single" w:sz="4" w:space="0" w:color="auto"/>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①项目主管部门的财务制度是否健全，是否制定专项的资金财务管理办法。用以反映和考核财务管理制度对资金规范、安全运行的保障情况。</w:t>
            </w:r>
          </w:p>
        </w:tc>
        <w:tc>
          <w:tcPr>
            <w:tcW w:w="818" w:type="pct"/>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制定有项目相关资金财务管理办法的，得2分；其他视情况扣分。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未制定项目相关资金财务管理办法</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0</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sz w:val="20"/>
                <w:szCs w:val="20"/>
              </w:rPr>
              <w:t>现场评审、调研和佐证资料等</w:t>
            </w:r>
          </w:p>
        </w:tc>
      </w:tr>
      <w:tr w:rsidR="00ED0E0D">
        <w:trPr>
          <w:cantSplit/>
          <w:trHeight w:val="1880"/>
        </w:trPr>
        <w:tc>
          <w:tcPr>
            <w:tcW w:w="248" w:type="pct"/>
            <w:vMerge/>
            <w:tcBorders>
              <w:top w:val="single" w:sz="4" w:space="0" w:color="auto"/>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资金</w:t>
            </w:r>
            <w:r>
              <w:rPr>
                <w:rFonts w:ascii="黑体" w:eastAsia="黑体" w:hAnsi="黑体" w:cs="黑体" w:hint="eastAsia"/>
                <w:color w:val="000000"/>
                <w:kern w:val="0"/>
                <w:sz w:val="20"/>
                <w:szCs w:val="20"/>
              </w:rPr>
              <w:br/>
              <w:t>使用（3分）</w:t>
            </w:r>
          </w:p>
        </w:tc>
        <w:tc>
          <w:tcPr>
            <w:tcW w:w="224" w:type="pct"/>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支出</w:t>
            </w:r>
            <w:r>
              <w:rPr>
                <w:rFonts w:ascii="黑体" w:eastAsia="黑体" w:hAnsi="黑体" w:cs="黑体" w:hint="eastAsia"/>
                <w:color w:val="000000"/>
                <w:kern w:val="0"/>
                <w:sz w:val="20"/>
                <w:szCs w:val="20"/>
              </w:rPr>
              <w:br/>
              <w:t>合规性</w:t>
            </w:r>
          </w:p>
        </w:tc>
        <w:tc>
          <w:tcPr>
            <w:tcW w:w="212" w:type="pct"/>
            <w:tcBorders>
              <w:top w:val="single" w:sz="4" w:space="0" w:color="auto"/>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3</w:t>
            </w:r>
          </w:p>
        </w:tc>
        <w:tc>
          <w:tcPr>
            <w:tcW w:w="1171" w:type="pct"/>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①项目主管部门资金支出时是否有完整的审批程序和手续；（2分）</w:t>
            </w:r>
            <w:r>
              <w:rPr>
                <w:rFonts w:ascii="黑体" w:eastAsia="黑体" w:hAnsi="黑体" w:cs="黑体" w:hint="eastAsia"/>
                <w:color w:val="000000"/>
                <w:kern w:val="0"/>
                <w:sz w:val="20"/>
                <w:szCs w:val="20"/>
              </w:rPr>
              <w:br/>
              <w:t>②项目会计核算是否规范，是否进行专账管理，支出记录是否完整规范，凭证是否合规有效。（1分）</w:t>
            </w:r>
            <w:r>
              <w:rPr>
                <w:rFonts w:ascii="黑体" w:eastAsia="黑体" w:hAnsi="黑体" w:cs="黑体" w:hint="eastAsia"/>
                <w:color w:val="000000"/>
                <w:kern w:val="0"/>
                <w:sz w:val="20"/>
                <w:szCs w:val="20"/>
              </w:rPr>
              <w:br/>
              <w:t>③资金拨付是否存在截留、挤占、挪用、虚列支出等情况。（0分）</w:t>
            </w:r>
          </w:p>
        </w:tc>
        <w:tc>
          <w:tcPr>
            <w:tcW w:w="818"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资金支出合理规范，不存在违规支出情况的，得3分；否则视情节扣分。</w:t>
            </w:r>
            <w:r>
              <w:rPr>
                <w:rFonts w:ascii="黑体" w:eastAsia="黑体" w:hAnsi="黑体" w:cs="黑体" w:hint="eastAsia"/>
                <w:color w:val="000000"/>
                <w:kern w:val="0"/>
                <w:sz w:val="20"/>
                <w:szCs w:val="20"/>
              </w:rPr>
              <w:br/>
              <w:t>被财政、审计部门检查、评价，发现问题的，或发现问题未整改的，不得分。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资金支出合理规范，进行专账管理，支出记录完整规范，凭证合规有效，资金拨付按合同付款进度支付，不存在截留、挤占、挪用、虚列支出等情况，但工程进度款支付依据不充分。。</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凭证、资金申请表、审批表、合同</w:t>
            </w:r>
          </w:p>
        </w:tc>
      </w:tr>
      <w:tr w:rsidR="00ED0E0D">
        <w:trPr>
          <w:cantSplit/>
          <w:trHeight w:val="1580"/>
        </w:trPr>
        <w:tc>
          <w:tcPr>
            <w:tcW w:w="248" w:type="pct"/>
            <w:vMerge w:val="restart"/>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lastRenderedPageBreak/>
              <w:t>过程管理（35分）</w:t>
            </w:r>
          </w:p>
        </w:tc>
        <w:tc>
          <w:tcPr>
            <w:tcW w:w="216" w:type="pct"/>
            <w:vMerge w:val="restar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业务</w:t>
            </w:r>
            <w:r>
              <w:rPr>
                <w:rFonts w:ascii="黑体" w:eastAsia="黑体" w:hAnsi="黑体" w:cs="黑体" w:hint="eastAsia"/>
                <w:color w:val="000000"/>
                <w:kern w:val="0"/>
                <w:sz w:val="20"/>
                <w:szCs w:val="20"/>
              </w:rPr>
              <w:br/>
              <w:t>管理（30分）</w:t>
            </w:r>
          </w:p>
        </w:tc>
        <w:tc>
          <w:tcPr>
            <w:tcW w:w="212" w:type="pct"/>
            <w:vMerge w:val="restart"/>
            <w:tcBorders>
              <w:top w:val="single" w:sz="4" w:space="0" w:color="auto"/>
              <w:left w:val="single" w:sz="4" w:space="0" w:color="000000"/>
              <w:bottom w:val="nil"/>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业务</w:t>
            </w:r>
            <w:r>
              <w:rPr>
                <w:rFonts w:ascii="黑体" w:eastAsia="黑体" w:hAnsi="黑体" w:cs="黑体" w:hint="eastAsia"/>
                <w:color w:val="000000"/>
                <w:kern w:val="0"/>
                <w:sz w:val="20"/>
                <w:szCs w:val="20"/>
              </w:rPr>
              <w:br/>
              <w:t>制度（15分）</w:t>
            </w:r>
          </w:p>
        </w:tc>
        <w:tc>
          <w:tcPr>
            <w:tcW w:w="224"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制度</w:t>
            </w:r>
            <w:r>
              <w:rPr>
                <w:rFonts w:ascii="黑体" w:eastAsia="黑体" w:hAnsi="黑体" w:cs="黑体" w:hint="eastAsia"/>
                <w:color w:val="000000"/>
                <w:kern w:val="0"/>
                <w:sz w:val="20"/>
                <w:szCs w:val="20"/>
              </w:rPr>
              <w:br/>
              <w:t>完备</w:t>
            </w:r>
            <w:r>
              <w:rPr>
                <w:rFonts w:ascii="黑体" w:eastAsia="黑体" w:hAnsi="黑体" w:cs="黑体" w:hint="eastAsia"/>
                <w:color w:val="000000"/>
                <w:kern w:val="0"/>
                <w:sz w:val="20"/>
                <w:szCs w:val="20"/>
              </w:rPr>
              <w:br/>
              <w:t>性</w:t>
            </w:r>
          </w:p>
        </w:tc>
        <w:tc>
          <w:tcPr>
            <w:tcW w:w="212"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4</w:t>
            </w:r>
          </w:p>
        </w:tc>
        <w:tc>
          <w:tcPr>
            <w:tcW w:w="1171"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①项目主管部门、施工方、监理方等是否已制定或具备完善的项目管理制度；</w:t>
            </w:r>
            <w:r>
              <w:rPr>
                <w:rFonts w:ascii="黑体" w:eastAsia="黑体" w:hAnsi="黑体" w:cs="黑体" w:hint="eastAsia"/>
                <w:color w:val="000000"/>
                <w:kern w:val="0"/>
                <w:sz w:val="20"/>
                <w:szCs w:val="20"/>
              </w:rPr>
              <w:br/>
              <w:t>②项目各项管理制度的内容是否合法、合规、完整、有针对性。</w:t>
            </w:r>
          </w:p>
        </w:tc>
        <w:tc>
          <w:tcPr>
            <w:tcW w:w="818" w:type="pct"/>
            <w:tcBorders>
              <w:top w:val="single" w:sz="4" w:space="0" w:color="auto"/>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项目管理制度配套完备且内容合规的，得4分；其他视情况扣分。</w:t>
            </w:r>
          </w:p>
        </w:tc>
        <w:tc>
          <w:tcPr>
            <w:tcW w:w="866" w:type="pct"/>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项目主管部门、施工方、监理方等具备完善的项目管理制度；施工组织设计方案有进度计划，但缺少进度控制措施。</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《工程质量管理办法》、《安全生产管理办法》、《工程质量监督计划》、《工程监理实施细则》</w:t>
            </w:r>
          </w:p>
        </w:tc>
      </w:tr>
      <w:tr w:rsidR="00ED0E0D">
        <w:trPr>
          <w:cantSplit/>
          <w:trHeight w:val="1460"/>
        </w:trPr>
        <w:tc>
          <w:tcPr>
            <w:tcW w:w="248" w:type="pct"/>
            <w:vMerge/>
            <w:tcBorders>
              <w:top w:val="single" w:sz="4" w:space="0" w:color="000000"/>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w:t>
            </w:r>
            <w:r>
              <w:rPr>
                <w:rFonts w:ascii="黑体" w:eastAsia="黑体" w:hAnsi="黑体" w:cs="黑体" w:hint="eastAsia"/>
                <w:color w:val="000000"/>
                <w:kern w:val="0"/>
                <w:sz w:val="20"/>
                <w:szCs w:val="20"/>
              </w:rPr>
              <w:br/>
              <w:t>实施</w:t>
            </w:r>
            <w:r>
              <w:rPr>
                <w:rFonts w:ascii="黑体" w:eastAsia="黑体" w:hAnsi="黑体" w:cs="黑体" w:hint="eastAsia"/>
                <w:color w:val="000000"/>
                <w:kern w:val="0"/>
                <w:sz w:val="20"/>
                <w:szCs w:val="20"/>
              </w:rPr>
              <w:br/>
              <w:t>计划性</w:t>
            </w:r>
          </w:p>
        </w:tc>
        <w:tc>
          <w:tcPr>
            <w:tcW w:w="212"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3</w:t>
            </w:r>
          </w:p>
        </w:tc>
        <w:tc>
          <w:tcPr>
            <w:tcW w:w="1171"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①项目实施期间，施工方、监理方是否制定有详细的工作计划或实施方案；</w:t>
            </w:r>
            <w:r>
              <w:rPr>
                <w:rFonts w:ascii="黑体" w:eastAsia="黑体" w:hAnsi="黑体" w:cs="黑体" w:hint="eastAsia"/>
                <w:color w:val="000000"/>
                <w:kern w:val="0"/>
                <w:sz w:val="20"/>
                <w:szCs w:val="20"/>
              </w:rPr>
              <w:br/>
              <w:t>②项目实施方案是否具备针对性、可操作性等。</w:t>
            </w:r>
          </w:p>
        </w:tc>
        <w:tc>
          <w:tcPr>
            <w:tcW w:w="818" w:type="pct"/>
            <w:tcBorders>
              <w:top w:val="single" w:sz="4" w:space="0" w:color="000000"/>
              <w:left w:val="single" w:sz="4" w:space="0" w:color="000000"/>
              <w:bottom w:val="single" w:sz="4" w:space="0" w:color="auto"/>
              <w:right w:val="single" w:sz="4" w:space="0" w:color="auto"/>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项目制定有详细的工作计划或实施方案，并具有针对性、可行性的，得3分；其他视情况扣分。</w:t>
            </w:r>
          </w:p>
        </w:tc>
        <w:tc>
          <w:tcPr>
            <w:tcW w:w="866" w:type="pct"/>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项目制定有施工组织设计方案、监理规划，并具有针对性、可行性</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3</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施工组织设计方案</w:t>
            </w:r>
          </w:p>
        </w:tc>
      </w:tr>
      <w:tr w:rsidR="00ED0E0D">
        <w:trPr>
          <w:cantSplit/>
          <w:trHeight w:val="1480"/>
        </w:trPr>
        <w:tc>
          <w:tcPr>
            <w:tcW w:w="248" w:type="pct"/>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auto"/>
              <w:left w:val="single" w:sz="4" w:space="0" w:color="000000"/>
              <w:bottom w:val="nil"/>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执行</w:t>
            </w:r>
            <w:r>
              <w:rPr>
                <w:rFonts w:ascii="黑体" w:eastAsia="黑体" w:hAnsi="黑体" w:cs="黑体" w:hint="eastAsia"/>
                <w:color w:val="000000"/>
                <w:kern w:val="0"/>
                <w:sz w:val="20"/>
                <w:szCs w:val="20"/>
              </w:rPr>
              <w:br/>
              <w:t>有效性</w:t>
            </w:r>
          </w:p>
        </w:tc>
        <w:tc>
          <w:tcPr>
            <w:tcW w:w="212"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5</w:t>
            </w:r>
          </w:p>
        </w:tc>
        <w:tc>
          <w:tcPr>
            <w:tcW w:w="1171"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①项目实施过程中是否严格执行落实相关法律法规、业务管理制度、工作方案或计划的规定。用以反映和考核业务制度、工作方案等的有效执行情况。</w:t>
            </w:r>
          </w:p>
        </w:tc>
        <w:tc>
          <w:tcPr>
            <w:tcW w:w="818"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严格执行各项管理制度、方案的，得5分；其他视情况扣分。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项目实施过程中执行落实相关法律法规、业务管理制度、实施细则及计划，制度执行基本有效。</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5</w:t>
            </w:r>
          </w:p>
        </w:tc>
        <w:tc>
          <w:tcPr>
            <w:tcW w:w="8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监理月报、监理会议纪要、工程质量监督受理通知书</w:t>
            </w:r>
          </w:p>
        </w:tc>
      </w:tr>
      <w:tr w:rsidR="00ED0E0D">
        <w:trPr>
          <w:cantSplit/>
          <w:trHeight w:val="1480"/>
        </w:trPr>
        <w:tc>
          <w:tcPr>
            <w:tcW w:w="248" w:type="pct"/>
            <w:vMerge/>
            <w:tcBorders>
              <w:top w:val="single" w:sz="4" w:space="0" w:color="000000"/>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档案</w:t>
            </w:r>
            <w:r>
              <w:rPr>
                <w:rFonts w:ascii="黑体" w:eastAsia="黑体" w:hAnsi="黑体" w:cs="黑体" w:hint="eastAsia"/>
                <w:color w:val="000000"/>
                <w:kern w:val="0"/>
                <w:sz w:val="20"/>
                <w:szCs w:val="20"/>
              </w:rPr>
              <w:br/>
              <w:t>管理</w:t>
            </w:r>
          </w:p>
        </w:tc>
        <w:tc>
          <w:tcPr>
            <w:tcW w:w="212"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3</w:t>
            </w:r>
          </w:p>
        </w:tc>
        <w:tc>
          <w:tcPr>
            <w:tcW w:w="1171"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①反映项目实施执行过程中，是否对资料进行归档管理，明确相关档案管理要求，做到分类、有序、完整归档。</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项目资料齐全，分类归档且质量达到相关档案要求的，得3分；其他视情况扣分。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项目提供资料不齐全，归档质量未达到相关档案要求</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rPr>
                <w:rFonts w:ascii="黑体" w:eastAsia="黑体" w:hAnsi="黑体" w:cs="黑体"/>
                <w:color w:val="000000"/>
                <w:sz w:val="20"/>
                <w:szCs w:val="20"/>
              </w:rPr>
            </w:pPr>
            <w:r>
              <w:rPr>
                <w:rFonts w:ascii="黑体" w:eastAsia="黑体" w:hAnsi="黑体" w:cs="黑体" w:hint="eastAsia"/>
                <w:color w:val="000000"/>
                <w:sz w:val="20"/>
                <w:szCs w:val="20"/>
              </w:rPr>
              <w:t>现场评审，调研</w:t>
            </w:r>
          </w:p>
        </w:tc>
      </w:tr>
      <w:tr w:rsidR="00ED0E0D">
        <w:trPr>
          <w:cantSplit/>
          <w:trHeight w:val="1060"/>
        </w:trPr>
        <w:tc>
          <w:tcPr>
            <w:tcW w:w="248" w:type="pct"/>
            <w:vMerge w:val="restart"/>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过程管理（35分）</w:t>
            </w:r>
          </w:p>
        </w:tc>
        <w:tc>
          <w:tcPr>
            <w:tcW w:w="216" w:type="pct"/>
            <w:vMerge w:val="restar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业务</w:t>
            </w:r>
            <w:r>
              <w:rPr>
                <w:rFonts w:ascii="黑体" w:eastAsia="黑体" w:hAnsi="黑体" w:cs="黑体" w:hint="eastAsia"/>
                <w:color w:val="000000"/>
                <w:kern w:val="0"/>
                <w:sz w:val="20"/>
                <w:szCs w:val="20"/>
              </w:rPr>
              <w:br/>
              <w:t>管理（30分）</w:t>
            </w:r>
          </w:p>
        </w:tc>
        <w:tc>
          <w:tcPr>
            <w:tcW w:w="212" w:type="pct"/>
            <w:vMerge w:val="restart"/>
            <w:tcBorders>
              <w:top w:val="single" w:sz="4" w:space="0" w:color="auto"/>
              <w:left w:val="single" w:sz="4" w:space="0" w:color="000000"/>
              <w:bottom w:val="nil"/>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组织</w:t>
            </w:r>
            <w:r>
              <w:rPr>
                <w:rFonts w:ascii="黑体" w:eastAsia="黑体" w:hAnsi="黑体" w:cs="黑体" w:hint="eastAsia"/>
                <w:color w:val="000000"/>
                <w:kern w:val="0"/>
                <w:sz w:val="20"/>
                <w:szCs w:val="20"/>
              </w:rPr>
              <w:br/>
              <w:t>实施（15分）</w:t>
            </w:r>
          </w:p>
        </w:tc>
        <w:tc>
          <w:tcPr>
            <w:tcW w:w="224"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过程</w:t>
            </w:r>
            <w:r>
              <w:rPr>
                <w:rFonts w:ascii="黑体" w:eastAsia="黑体" w:hAnsi="黑体" w:cs="黑体" w:hint="eastAsia"/>
                <w:color w:val="000000"/>
                <w:kern w:val="0"/>
                <w:sz w:val="20"/>
                <w:szCs w:val="20"/>
              </w:rPr>
              <w:br/>
              <w:t>规范性</w:t>
            </w:r>
          </w:p>
        </w:tc>
        <w:tc>
          <w:tcPr>
            <w:tcW w:w="212"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5</w:t>
            </w:r>
          </w:p>
        </w:tc>
        <w:tc>
          <w:tcPr>
            <w:tcW w:w="1171" w:type="pct"/>
            <w:tcBorders>
              <w:top w:val="single" w:sz="4" w:space="0" w:color="auto"/>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①项目内容、工程量、工期等调整事项，调整事由是否合理且手续完备，考核项目实施过程中的规范性。</w:t>
            </w:r>
          </w:p>
        </w:tc>
        <w:tc>
          <w:tcPr>
            <w:tcW w:w="818" w:type="pct"/>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项目实施过程中，各调整事项的事由合理且手续完备的，得5分；其他视情况扣分。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项目延期开工，到期未完工，无工期调整手续，项目内容、工程量无变化</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3</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rPr>
                <w:rFonts w:ascii="黑体" w:eastAsia="黑体" w:hAnsi="黑体" w:cs="黑体"/>
                <w:color w:val="000000"/>
                <w:sz w:val="20"/>
                <w:szCs w:val="20"/>
              </w:rPr>
            </w:pPr>
            <w:r>
              <w:rPr>
                <w:rFonts w:ascii="黑体" w:eastAsia="黑体" w:hAnsi="黑体" w:cs="黑体" w:hint="eastAsia"/>
                <w:color w:val="000000"/>
                <w:sz w:val="20"/>
                <w:szCs w:val="20"/>
              </w:rPr>
              <w:t>现场评审，佐证资料等</w:t>
            </w:r>
          </w:p>
        </w:tc>
      </w:tr>
      <w:tr w:rsidR="00ED0E0D">
        <w:trPr>
          <w:cantSplit/>
          <w:trHeight w:val="800"/>
        </w:trPr>
        <w:tc>
          <w:tcPr>
            <w:tcW w:w="248" w:type="pct"/>
            <w:vMerge/>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履约</w:t>
            </w:r>
            <w:r>
              <w:rPr>
                <w:rFonts w:ascii="黑体" w:eastAsia="黑体" w:hAnsi="黑体" w:cs="黑体" w:hint="eastAsia"/>
                <w:color w:val="000000"/>
                <w:kern w:val="0"/>
                <w:sz w:val="20"/>
                <w:szCs w:val="20"/>
              </w:rPr>
              <w:br/>
              <w:t>能力</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1171" w:type="pct"/>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①合同约定的人员条件、场地设备、信息支撑等是否落实到位。</w:t>
            </w:r>
          </w:p>
        </w:tc>
        <w:tc>
          <w:tcPr>
            <w:tcW w:w="818" w:type="pct"/>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结合合同条款达成程度，视情况给分，满分2分。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合同约定的人员条件、场地设备、信息支撑等基本落实到位</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rPr>
                <w:rFonts w:ascii="黑体" w:eastAsia="黑体" w:hAnsi="黑体" w:cs="黑体"/>
                <w:color w:val="000000"/>
                <w:sz w:val="20"/>
                <w:szCs w:val="20"/>
              </w:rPr>
            </w:pPr>
            <w:r>
              <w:rPr>
                <w:rFonts w:ascii="黑体" w:eastAsia="黑体" w:hAnsi="黑体" w:cs="黑体" w:hint="eastAsia"/>
                <w:color w:val="000000"/>
                <w:sz w:val="20"/>
                <w:szCs w:val="20"/>
              </w:rPr>
              <w:t>现场评审、调研考察，佐证资料等</w:t>
            </w:r>
          </w:p>
        </w:tc>
      </w:tr>
      <w:tr w:rsidR="00ED0E0D">
        <w:trPr>
          <w:cantSplit/>
          <w:trHeight w:val="1200"/>
        </w:trPr>
        <w:tc>
          <w:tcPr>
            <w:tcW w:w="248" w:type="pct"/>
            <w:vMerge/>
            <w:tcBorders>
              <w:top w:val="single" w:sz="4" w:space="0" w:color="000000"/>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质量</w:t>
            </w:r>
            <w:r>
              <w:rPr>
                <w:rFonts w:ascii="黑体" w:eastAsia="黑体" w:hAnsi="黑体" w:cs="黑体" w:hint="eastAsia"/>
                <w:color w:val="000000"/>
                <w:kern w:val="0"/>
                <w:sz w:val="20"/>
                <w:szCs w:val="20"/>
              </w:rPr>
              <w:br/>
              <w:t>监控</w:t>
            </w:r>
          </w:p>
        </w:tc>
        <w:tc>
          <w:tcPr>
            <w:tcW w:w="212"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5</w:t>
            </w:r>
          </w:p>
        </w:tc>
        <w:tc>
          <w:tcPr>
            <w:tcW w:w="1171" w:type="pct"/>
            <w:tcBorders>
              <w:top w:val="single" w:sz="4" w:space="0" w:color="000000"/>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①主管部门是否对项目进行实施质量监控；</w:t>
            </w:r>
            <w:r>
              <w:rPr>
                <w:rFonts w:ascii="黑体" w:eastAsia="黑体" w:hAnsi="黑体" w:cs="黑体" w:hint="eastAsia"/>
                <w:color w:val="000000"/>
                <w:kern w:val="0"/>
                <w:sz w:val="20"/>
                <w:szCs w:val="20"/>
              </w:rPr>
              <w:br/>
              <w:t>②质量监控频次是否合理、检查记录是否完整。</w:t>
            </w:r>
          </w:p>
        </w:tc>
        <w:tc>
          <w:tcPr>
            <w:tcW w:w="818" w:type="pct"/>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主管部门对项目开展日常质量监控检查并落实考核工作、频次合理且相关记录完整的，得5分；其他视情况扣分。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主管部门对项目开展日常质量监控检查并落实考核工作，记录完整</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5</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《工程质量监督检查情况通知》</w:t>
            </w:r>
          </w:p>
        </w:tc>
      </w:tr>
      <w:tr w:rsidR="00ED0E0D">
        <w:trPr>
          <w:cantSplit/>
          <w:trHeight w:val="1620"/>
        </w:trPr>
        <w:tc>
          <w:tcPr>
            <w:tcW w:w="248" w:type="pct"/>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auto"/>
              <w:left w:val="single" w:sz="4" w:space="0" w:color="000000"/>
              <w:bottom w:val="nil"/>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整改</w:t>
            </w:r>
            <w:r>
              <w:rPr>
                <w:rFonts w:ascii="黑体" w:eastAsia="黑体" w:hAnsi="黑体" w:cs="黑体" w:hint="eastAsia"/>
                <w:color w:val="000000"/>
                <w:kern w:val="0"/>
                <w:sz w:val="20"/>
                <w:szCs w:val="20"/>
              </w:rPr>
              <w:br/>
              <w:t>情况</w:t>
            </w:r>
          </w:p>
        </w:tc>
        <w:tc>
          <w:tcPr>
            <w:tcW w:w="212"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3</w:t>
            </w:r>
          </w:p>
        </w:tc>
        <w:tc>
          <w:tcPr>
            <w:tcW w:w="1171"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①考核工程在监督检查过程中发现的问题，施工方、监理方是否能进行及时且有效整改；</w:t>
            </w:r>
            <w:r>
              <w:rPr>
                <w:rFonts w:ascii="黑体" w:eastAsia="黑体" w:hAnsi="黑体" w:cs="黑体" w:hint="eastAsia"/>
                <w:color w:val="000000"/>
                <w:kern w:val="0"/>
                <w:sz w:val="20"/>
                <w:szCs w:val="20"/>
              </w:rPr>
              <w:br/>
              <w:t>②针对问题整改不到位等情况，主管单位是否具有惩戒机制，促使施工方、监理方持续提升服务质量。</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结合座谈及资料分析，项目具备惩戒机制，服务方能及时且有效对主管单位提出问题进行整改的，得3分；其他视情况扣分。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施工方制定了进度计划，但未针对进度计划制定控制措施，监理单位未提出整改意见。</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rPr>
                <w:rFonts w:ascii="黑体" w:eastAsia="黑体" w:hAnsi="黑体" w:cs="黑体"/>
                <w:color w:val="000000"/>
                <w:sz w:val="20"/>
                <w:szCs w:val="20"/>
              </w:rPr>
            </w:pPr>
            <w:r>
              <w:rPr>
                <w:rFonts w:ascii="黑体" w:eastAsia="黑体" w:hAnsi="黑体" w:cs="黑体" w:hint="eastAsia"/>
                <w:color w:val="000000"/>
                <w:sz w:val="20"/>
                <w:szCs w:val="20"/>
              </w:rPr>
              <w:t>现场评审，资料查看，佐证资料等</w:t>
            </w:r>
          </w:p>
        </w:tc>
      </w:tr>
      <w:tr w:rsidR="00ED0E0D">
        <w:trPr>
          <w:cantSplit/>
          <w:trHeight w:val="1160"/>
        </w:trPr>
        <w:tc>
          <w:tcPr>
            <w:tcW w:w="24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产出（25分）</w:t>
            </w:r>
          </w:p>
        </w:tc>
        <w:tc>
          <w:tcPr>
            <w:tcW w:w="21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w:t>
            </w:r>
            <w:r>
              <w:rPr>
                <w:rFonts w:ascii="黑体" w:eastAsia="黑体" w:hAnsi="黑体" w:cs="黑体" w:hint="eastAsia"/>
                <w:color w:val="000000"/>
                <w:kern w:val="0"/>
                <w:sz w:val="20"/>
                <w:szCs w:val="20"/>
              </w:rPr>
              <w:br/>
              <w:t>产出（25分）</w:t>
            </w:r>
          </w:p>
        </w:tc>
        <w:tc>
          <w:tcPr>
            <w:tcW w:w="212" w:type="pc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产出</w:t>
            </w:r>
            <w:r>
              <w:rPr>
                <w:rFonts w:ascii="黑体" w:eastAsia="黑体" w:hAnsi="黑体" w:cs="黑体" w:hint="eastAsia"/>
                <w:color w:val="000000"/>
                <w:kern w:val="0"/>
                <w:sz w:val="20"/>
                <w:szCs w:val="20"/>
              </w:rPr>
              <w:br/>
              <w:t>数量（5分）</w:t>
            </w:r>
          </w:p>
        </w:tc>
        <w:tc>
          <w:tcPr>
            <w:tcW w:w="2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计划工程完工率</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5</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①考核合同约定的各分项工程量达成率。</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得分=计划工程量完工率*5</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计划工程量13452米，2020年12月31日实际完成12条道路，总长6212米，实际完成率46.18%。</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rPr>
                <w:rFonts w:ascii="黑体" w:eastAsia="黑体" w:hAnsi="黑体" w:cs="黑体"/>
                <w:color w:val="000000"/>
                <w:sz w:val="20"/>
                <w:szCs w:val="20"/>
              </w:rPr>
            </w:pPr>
            <w:r>
              <w:rPr>
                <w:rFonts w:ascii="黑体" w:eastAsia="黑体" w:hAnsi="黑体" w:cs="黑体" w:hint="eastAsia"/>
                <w:color w:val="000000"/>
                <w:sz w:val="20"/>
                <w:szCs w:val="20"/>
              </w:rPr>
              <w:t>现场评审，佐证资料等</w:t>
            </w:r>
          </w:p>
        </w:tc>
      </w:tr>
      <w:tr w:rsidR="00ED0E0D">
        <w:trPr>
          <w:cantSplit/>
          <w:trHeight w:val="1260"/>
        </w:trPr>
        <w:tc>
          <w:tcPr>
            <w:tcW w:w="2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产出</w:t>
            </w:r>
            <w:r>
              <w:rPr>
                <w:rFonts w:ascii="黑体" w:eastAsia="黑体" w:hAnsi="黑体" w:cs="黑体" w:hint="eastAsia"/>
                <w:color w:val="000000"/>
                <w:kern w:val="0"/>
                <w:sz w:val="20"/>
                <w:szCs w:val="20"/>
              </w:rPr>
              <w:br/>
              <w:t>时效（7分）</w:t>
            </w:r>
          </w:p>
        </w:tc>
        <w:tc>
          <w:tcPr>
            <w:tcW w:w="2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进度</w:t>
            </w:r>
            <w:r>
              <w:rPr>
                <w:rFonts w:ascii="黑体" w:eastAsia="黑体" w:hAnsi="黑体" w:cs="黑体" w:hint="eastAsia"/>
                <w:color w:val="000000"/>
                <w:kern w:val="0"/>
                <w:sz w:val="20"/>
                <w:szCs w:val="20"/>
              </w:rPr>
              <w:br/>
              <w:t>完成</w:t>
            </w:r>
            <w:r>
              <w:rPr>
                <w:rFonts w:ascii="黑体" w:eastAsia="黑体" w:hAnsi="黑体" w:cs="黑体" w:hint="eastAsia"/>
                <w:color w:val="000000"/>
                <w:kern w:val="0"/>
                <w:sz w:val="20"/>
                <w:szCs w:val="20"/>
              </w:rPr>
              <w:br/>
              <w:t>及时率</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4</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①项目完成及时率=（计划工程量实际完成时间-计划完成时间/计划完成时间）×100%。</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得分=完成及时率*4</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计划2019年11月正式开工，2020年11月建成，实际2020年10月22日开工，至2020年12月31日尚未完工</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开工令</w:t>
            </w:r>
          </w:p>
        </w:tc>
      </w:tr>
      <w:tr w:rsidR="00ED0E0D">
        <w:trPr>
          <w:cantSplit/>
          <w:trHeight w:val="1300"/>
        </w:trPr>
        <w:tc>
          <w:tcPr>
            <w:tcW w:w="248"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结算</w:t>
            </w:r>
            <w:r>
              <w:rPr>
                <w:rFonts w:ascii="黑体" w:eastAsia="黑体" w:hAnsi="黑体" w:cs="黑体" w:hint="eastAsia"/>
                <w:color w:val="000000"/>
                <w:kern w:val="0"/>
                <w:sz w:val="20"/>
                <w:szCs w:val="20"/>
              </w:rPr>
              <w:br/>
              <w:t>及时率</w:t>
            </w:r>
          </w:p>
        </w:tc>
        <w:tc>
          <w:tcPr>
            <w:tcW w:w="212" w:type="pct"/>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3</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①考量施工费、监理费等是否依据工程进度、合同约定条款及时结算。</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视费用结算及时程度给分，满分3分。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施工费、监理费等依据工程进度、合同约定条款及时结算</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3</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rPr>
                <w:rFonts w:ascii="黑体" w:eastAsia="黑体" w:hAnsi="黑体" w:cs="黑体"/>
                <w:color w:val="000000"/>
                <w:sz w:val="20"/>
                <w:szCs w:val="20"/>
              </w:rPr>
            </w:pPr>
            <w:r>
              <w:rPr>
                <w:rFonts w:ascii="黑体" w:eastAsia="黑体" w:hAnsi="黑体" w:cs="黑体" w:hint="eastAsia"/>
                <w:color w:val="000000"/>
                <w:sz w:val="20"/>
                <w:szCs w:val="20"/>
              </w:rPr>
              <w:t>现场评审，会计凭证、佐证资料等</w:t>
            </w:r>
          </w:p>
        </w:tc>
      </w:tr>
      <w:tr w:rsidR="00ED0E0D">
        <w:trPr>
          <w:cantSplit/>
          <w:trHeight w:val="703"/>
        </w:trPr>
        <w:tc>
          <w:tcPr>
            <w:tcW w:w="248" w:type="pct"/>
            <w:vMerge w:val="restart"/>
            <w:tcBorders>
              <w:top w:val="single" w:sz="4" w:space="0" w:color="auto"/>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产出（25分）</w:t>
            </w:r>
          </w:p>
        </w:tc>
        <w:tc>
          <w:tcPr>
            <w:tcW w:w="216" w:type="pct"/>
            <w:vMerge w:val="restart"/>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w:t>
            </w:r>
            <w:r>
              <w:rPr>
                <w:rFonts w:ascii="黑体" w:eastAsia="黑体" w:hAnsi="黑体" w:cs="黑体" w:hint="eastAsia"/>
                <w:color w:val="000000"/>
                <w:kern w:val="0"/>
                <w:sz w:val="20"/>
                <w:szCs w:val="20"/>
              </w:rPr>
              <w:br/>
              <w:t>产出（25分）</w:t>
            </w:r>
          </w:p>
        </w:tc>
        <w:tc>
          <w:tcPr>
            <w:tcW w:w="212" w:type="pct"/>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产出</w:t>
            </w:r>
            <w:r>
              <w:rPr>
                <w:rFonts w:ascii="黑体" w:eastAsia="黑体" w:hAnsi="黑体" w:cs="黑体" w:hint="eastAsia"/>
                <w:color w:val="000000"/>
                <w:kern w:val="0"/>
                <w:sz w:val="20"/>
                <w:szCs w:val="20"/>
              </w:rPr>
              <w:br/>
              <w:t>质量（5分）</w:t>
            </w:r>
          </w:p>
        </w:tc>
        <w:tc>
          <w:tcPr>
            <w:tcW w:w="224" w:type="pct"/>
            <w:tcBorders>
              <w:top w:val="single" w:sz="4" w:space="0" w:color="auto"/>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验收</w:t>
            </w:r>
            <w:r>
              <w:rPr>
                <w:rFonts w:ascii="黑体" w:eastAsia="黑体" w:hAnsi="黑体" w:cs="黑体" w:hint="eastAsia"/>
                <w:color w:val="000000"/>
                <w:kern w:val="0"/>
                <w:sz w:val="20"/>
                <w:szCs w:val="20"/>
              </w:rPr>
              <w:br/>
              <w:t>通过率</w:t>
            </w:r>
          </w:p>
        </w:tc>
        <w:tc>
          <w:tcPr>
            <w:tcW w:w="212" w:type="pct"/>
            <w:tcBorders>
              <w:top w:val="single" w:sz="4" w:space="0" w:color="auto"/>
              <w:left w:val="single" w:sz="4" w:space="0" w:color="000000"/>
              <w:bottom w:val="single" w:sz="4" w:space="0" w:color="auto"/>
              <w:right w:val="single" w:sz="4" w:space="0" w:color="auto"/>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5</w:t>
            </w:r>
          </w:p>
        </w:tc>
        <w:tc>
          <w:tcPr>
            <w:tcW w:w="1171" w:type="pct"/>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①考核本项目工程质量经相关方验收通过的达成情况，包括但不限于：隐蔽工程、材料进场等。</w:t>
            </w:r>
            <w:r>
              <w:rPr>
                <w:rFonts w:ascii="黑体" w:eastAsia="黑体" w:hAnsi="黑体" w:cs="黑体" w:hint="eastAsia"/>
                <w:color w:val="000000"/>
                <w:kern w:val="0"/>
                <w:sz w:val="20"/>
                <w:szCs w:val="20"/>
              </w:rPr>
              <w:br/>
              <w:t>验收通过率=（工程施工期间实际验收通过次数/组织验收总次数）×100%。</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得分=验收通过率*5</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截至2020年12月31日，完成12条道路，有10条道路尚未开始建设，根据监理日志、会议纪要判断，本项目材料进场经验收，大厚路左右车道基层合格、检测部位金川二路右副基层等经检验。</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3</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rPr>
                <w:rFonts w:ascii="黑体" w:eastAsia="黑体" w:hAnsi="黑体" w:cs="黑体"/>
                <w:color w:val="000000"/>
                <w:sz w:val="20"/>
                <w:szCs w:val="20"/>
              </w:rPr>
            </w:pPr>
            <w:r>
              <w:rPr>
                <w:rFonts w:ascii="黑体" w:eastAsia="黑体" w:hAnsi="黑体" w:cs="黑体" w:hint="eastAsia"/>
                <w:color w:val="000000"/>
                <w:sz w:val="20"/>
                <w:szCs w:val="20"/>
              </w:rPr>
              <w:t>现场评审，佐证资料等</w:t>
            </w:r>
          </w:p>
        </w:tc>
      </w:tr>
      <w:tr w:rsidR="00ED0E0D">
        <w:trPr>
          <w:cantSplit/>
          <w:trHeight w:val="1460"/>
        </w:trPr>
        <w:tc>
          <w:tcPr>
            <w:tcW w:w="248" w:type="pct"/>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val="restar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成本</w:t>
            </w:r>
            <w:r>
              <w:rPr>
                <w:rFonts w:ascii="黑体" w:eastAsia="黑体" w:hAnsi="黑体" w:cs="黑体" w:hint="eastAsia"/>
                <w:color w:val="000000"/>
                <w:kern w:val="0"/>
                <w:sz w:val="20"/>
                <w:szCs w:val="20"/>
              </w:rPr>
              <w:br/>
              <w:t>控制（8分）</w:t>
            </w:r>
          </w:p>
        </w:tc>
        <w:tc>
          <w:tcPr>
            <w:tcW w:w="224" w:type="pct"/>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预算</w:t>
            </w:r>
            <w:r>
              <w:rPr>
                <w:rFonts w:ascii="黑体" w:eastAsia="黑体" w:hAnsi="黑体" w:cs="黑体" w:hint="eastAsia"/>
                <w:color w:val="000000"/>
                <w:kern w:val="0"/>
                <w:sz w:val="20"/>
                <w:szCs w:val="20"/>
              </w:rPr>
              <w:br/>
              <w:t>执行率</w:t>
            </w:r>
          </w:p>
        </w:tc>
        <w:tc>
          <w:tcPr>
            <w:tcW w:w="212" w:type="pct"/>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4</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①考核预算安排资金、实际使用资金与结转资金的情况。用以反映项目预算执行情况。</w:t>
            </w:r>
            <w:r>
              <w:rPr>
                <w:rFonts w:ascii="黑体" w:eastAsia="黑体" w:hAnsi="黑体" w:cs="黑体" w:hint="eastAsia"/>
                <w:color w:val="000000"/>
                <w:kern w:val="0"/>
                <w:sz w:val="20"/>
                <w:szCs w:val="20"/>
              </w:rPr>
              <w:br/>
              <w:t>预算执行率=（实际支出资金/财政安排预算资金）*100%</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预算执行率≥90%的，得4分；80%-90%的，得2分；低于80%的，不得分。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2020年预算安排资金1000万元，实际支出2,912.42万元，预算执行率为291.24%</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2020年预算申请、财政批复、实际使用三者不符。</w:t>
            </w:r>
          </w:p>
        </w:tc>
      </w:tr>
      <w:tr w:rsidR="00ED0E0D">
        <w:trPr>
          <w:cantSplit/>
          <w:trHeight w:val="1520"/>
        </w:trPr>
        <w:tc>
          <w:tcPr>
            <w:tcW w:w="248" w:type="pct"/>
            <w:vMerge/>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资金</w:t>
            </w:r>
            <w:r>
              <w:rPr>
                <w:rFonts w:ascii="黑体" w:eastAsia="黑体" w:hAnsi="黑体" w:cs="黑体" w:hint="eastAsia"/>
                <w:color w:val="000000"/>
                <w:kern w:val="0"/>
                <w:sz w:val="20"/>
                <w:szCs w:val="20"/>
              </w:rPr>
              <w:br/>
              <w:t>需求</w:t>
            </w:r>
            <w:r>
              <w:rPr>
                <w:rFonts w:ascii="黑体" w:eastAsia="黑体" w:hAnsi="黑体" w:cs="黑体" w:hint="eastAsia"/>
                <w:color w:val="000000"/>
                <w:kern w:val="0"/>
                <w:sz w:val="20"/>
                <w:szCs w:val="20"/>
              </w:rPr>
              <w:br/>
              <w:t>准确度</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4</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①考核项目立项申请资金额、财审金额的匹配程度。用以反映主管单位对本项目预算资金需求的准确度。</w:t>
            </w:r>
            <w:r>
              <w:rPr>
                <w:rFonts w:ascii="黑体" w:eastAsia="黑体" w:hAnsi="黑体" w:cs="黑体" w:hint="eastAsia"/>
                <w:color w:val="000000"/>
                <w:kern w:val="0"/>
                <w:sz w:val="20"/>
                <w:szCs w:val="20"/>
              </w:rPr>
              <w:br/>
              <w:t>资金需求准确率=（财审核定金额/立项申请资金额）*100%</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得分=资金需求准确率*4</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2020年申请资金额1,297.33万元，核定资金1000万元，实际支出2,912.42万元，资金需求与实际不匹配，准确率较低</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3</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申请与实际使用不符</w:t>
            </w:r>
          </w:p>
        </w:tc>
      </w:tr>
      <w:tr w:rsidR="00ED0E0D">
        <w:trPr>
          <w:cantSplit/>
          <w:trHeight w:val="1400"/>
        </w:trPr>
        <w:tc>
          <w:tcPr>
            <w:tcW w:w="24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lastRenderedPageBreak/>
              <w:t>效果（20分）</w:t>
            </w:r>
          </w:p>
        </w:tc>
        <w:tc>
          <w:tcPr>
            <w:tcW w:w="21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项目</w:t>
            </w:r>
            <w:r>
              <w:rPr>
                <w:rFonts w:ascii="黑体" w:eastAsia="黑体" w:hAnsi="黑体" w:cs="黑体" w:hint="eastAsia"/>
                <w:color w:val="000000"/>
                <w:kern w:val="0"/>
                <w:sz w:val="20"/>
                <w:szCs w:val="20"/>
              </w:rPr>
              <w:br/>
              <w:t>效益（20分）</w:t>
            </w:r>
          </w:p>
        </w:tc>
        <w:tc>
          <w:tcPr>
            <w:tcW w:w="212"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社会</w:t>
            </w:r>
            <w:r>
              <w:rPr>
                <w:rFonts w:ascii="黑体" w:eastAsia="黑体" w:hAnsi="黑体" w:cs="黑体" w:hint="eastAsia"/>
                <w:color w:val="000000"/>
                <w:kern w:val="0"/>
                <w:sz w:val="20"/>
                <w:szCs w:val="20"/>
              </w:rPr>
              <w:br/>
              <w:t>效益（12分）</w:t>
            </w:r>
          </w:p>
        </w:tc>
        <w:tc>
          <w:tcPr>
            <w:tcW w:w="2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路面使用性能指数</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6</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①考核项目实施后，车辆、行人等不同群体在行车道、人行道等通行的舒适性、安全性、积极性。</w:t>
            </w:r>
          </w:p>
        </w:tc>
        <w:tc>
          <w:tcPr>
            <w:tcW w:w="8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结合现场调研、问卷调查综合考虑，视情况给分，满分6分。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认为道路整治后行车舒适度的明显提升的224人，占81.16%；认为有所提升52人，占18.84%。</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5</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调查问卷</w:t>
            </w:r>
          </w:p>
        </w:tc>
      </w:tr>
      <w:tr w:rsidR="00ED0E0D">
        <w:trPr>
          <w:cantSplit/>
          <w:trHeight w:val="1380"/>
        </w:trPr>
        <w:tc>
          <w:tcPr>
            <w:tcW w:w="2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城市</w:t>
            </w:r>
            <w:r>
              <w:rPr>
                <w:rFonts w:ascii="黑体" w:eastAsia="黑体" w:hAnsi="黑体" w:cs="黑体" w:hint="eastAsia"/>
                <w:color w:val="000000"/>
                <w:kern w:val="0"/>
                <w:sz w:val="20"/>
                <w:szCs w:val="20"/>
              </w:rPr>
              <w:br/>
              <w:t>形象</w:t>
            </w:r>
            <w:r>
              <w:rPr>
                <w:rFonts w:ascii="黑体" w:eastAsia="黑体" w:hAnsi="黑体" w:cs="黑体" w:hint="eastAsia"/>
                <w:color w:val="000000"/>
                <w:kern w:val="0"/>
                <w:sz w:val="20"/>
                <w:szCs w:val="20"/>
              </w:rPr>
              <w:br/>
              <w:t>提升</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4</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①考核道路整治升级后，升级改造效果是否有助于本镇城市形象的提升。</w:t>
            </w:r>
          </w:p>
        </w:tc>
        <w:tc>
          <w:tcPr>
            <w:tcW w:w="8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结合现场调研、问卷调查综合考虑，视情况给分，满分4分。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道路整治升级后，升级改造效果有助于本镇城市形象的提升</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4</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调查问卷</w:t>
            </w:r>
          </w:p>
        </w:tc>
      </w:tr>
      <w:tr w:rsidR="00ED0E0D">
        <w:trPr>
          <w:cantSplit/>
          <w:trHeight w:val="1320"/>
        </w:trPr>
        <w:tc>
          <w:tcPr>
            <w:tcW w:w="2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投诉率</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①考核评审期间，公众针对相关道路整治升级工作的有效投诉次数。</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无有效投诉的，得2分；有效投诉为1-3次的，得1分；大于3次的，不得分。</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根据调查问卷，居民满意度较高，降低有效投诉。</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2</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调查问卷</w:t>
            </w:r>
          </w:p>
        </w:tc>
      </w:tr>
      <w:tr w:rsidR="00ED0E0D">
        <w:trPr>
          <w:cantSplit/>
          <w:trHeight w:val="1400"/>
        </w:trPr>
        <w:tc>
          <w:tcPr>
            <w:tcW w:w="2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jc w:val="center"/>
              <w:rPr>
                <w:rFonts w:ascii="黑体" w:eastAsia="黑体" w:hAnsi="黑体" w:cs="黑体"/>
                <w:color w:val="000000"/>
                <w:sz w:val="20"/>
                <w:szCs w:val="20"/>
              </w:rPr>
            </w:pPr>
          </w:p>
        </w:tc>
        <w:tc>
          <w:tcPr>
            <w:tcW w:w="212" w:type="pct"/>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满意度（8分）</w:t>
            </w:r>
          </w:p>
        </w:tc>
        <w:tc>
          <w:tcPr>
            <w:tcW w:w="2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公众</w:t>
            </w:r>
            <w:r>
              <w:rPr>
                <w:rFonts w:ascii="黑体" w:eastAsia="黑体" w:hAnsi="黑体" w:cs="黑体" w:hint="eastAsia"/>
                <w:color w:val="000000"/>
                <w:kern w:val="0"/>
                <w:sz w:val="20"/>
                <w:szCs w:val="20"/>
              </w:rPr>
              <w:br/>
              <w:t>满意度</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8</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评价要点：</w:t>
            </w:r>
            <w:r>
              <w:rPr>
                <w:rFonts w:ascii="黑体" w:eastAsia="黑体" w:hAnsi="黑体" w:cs="黑体" w:hint="eastAsia"/>
                <w:color w:val="000000"/>
                <w:kern w:val="0"/>
                <w:sz w:val="20"/>
                <w:szCs w:val="20"/>
              </w:rPr>
              <w:br/>
              <w:t>考量社会公众对项目实施效果的满意程度。</w:t>
            </w:r>
            <w:r>
              <w:rPr>
                <w:rFonts w:ascii="黑体" w:eastAsia="黑体" w:hAnsi="黑体" w:cs="黑体" w:hint="eastAsia"/>
                <w:color w:val="000000"/>
                <w:kern w:val="0"/>
                <w:sz w:val="20"/>
                <w:szCs w:val="20"/>
              </w:rPr>
              <w:br/>
              <w:t>满意度=（∑满意度调查得分）÷回收有效问卷数量*100%。</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得分=满意度*8</w:t>
            </w:r>
          </w:p>
        </w:tc>
        <w:tc>
          <w:tcPr>
            <w:tcW w:w="86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根据调查问卷，居民满意度较高。</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8</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left"/>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rPr>
              <w:t>调查问卷</w:t>
            </w:r>
          </w:p>
        </w:tc>
      </w:tr>
      <w:tr w:rsidR="00ED0E0D">
        <w:trPr>
          <w:cantSplit/>
          <w:trHeight w:val="624"/>
        </w:trPr>
        <w:tc>
          <w:tcPr>
            <w:tcW w:w="902" w:type="pct"/>
            <w:gridSpan w:val="4"/>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b/>
                <w:color w:val="000000"/>
                <w:sz w:val="24"/>
              </w:rPr>
            </w:pPr>
            <w:r>
              <w:rPr>
                <w:rFonts w:ascii="黑体" w:eastAsia="黑体" w:hAnsi="黑体" w:cs="黑体" w:hint="eastAsia"/>
                <w:b/>
                <w:color w:val="000000"/>
                <w:kern w:val="0"/>
                <w:sz w:val="24"/>
              </w:rPr>
              <w:t>合计</w:t>
            </w:r>
          </w:p>
        </w:tc>
        <w:tc>
          <w:tcPr>
            <w:tcW w:w="21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4"/>
              </w:rPr>
            </w:pPr>
            <w:r>
              <w:rPr>
                <w:rFonts w:ascii="黑体" w:eastAsia="黑体" w:hAnsi="黑体" w:cs="黑体" w:hint="eastAsia"/>
                <w:color w:val="000000"/>
                <w:kern w:val="0"/>
                <w:sz w:val="24"/>
              </w:rPr>
              <w:t>100</w:t>
            </w:r>
          </w:p>
        </w:tc>
        <w:tc>
          <w:tcPr>
            <w:tcW w:w="11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4"/>
              </w:rPr>
            </w:pPr>
            <w:r>
              <w:rPr>
                <w:rFonts w:ascii="黑体" w:eastAsia="黑体" w:hAnsi="黑体" w:cs="黑体" w:hint="eastAsia"/>
                <w:color w:val="000000"/>
                <w:kern w:val="0"/>
                <w:sz w:val="24"/>
              </w:rPr>
              <w:t>—</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4"/>
              </w:rPr>
            </w:pPr>
            <w:r>
              <w:rPr>
                <w:rFonts w:ascii="黑体" w:eastAsia="黑体" w:hAnsi="黑体" w:cs="黑体" w:hint="eastAsia"/>
                <w:color w:val="000000"/>
                <w:kern w:val="0"/>
                <w:sz w:val="24"/>
              </w:rPr>
              <w:t>—</w:t>
            </w:r>
          </w:p>
        </w:tc>
        <w:tc>
          <w:tcPr>
            <w:tcW w:w="8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b/>
                <w:color w:val="000000"/>
                <w:sz w:val="24"/>
              </w:rPr>
            </w:pPr>
            <w:r>
              <w:rPr>
                <w:rFonts w:ascii="黑体" w:eastAsia="黑体" w:hAnsi="黑体" w:cs="黑体" w:hint="eastAsia"/>
                <w:b/>
                <w:color w:val="000000"/>
                <w:kern w:val="0"/>
                <w:sz w:val="24"/>
              </w:rPr>
              <w:t>评分结果</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sz w:val="24"/>
              </w:rPr>
            </w:pPr>
            <w:r>
              <w:rPr>
                <w:rFonts w:ascii="黑体" w:eastAsia="黑体" w:hAnsi="黑体" w:cs="黑体" w:hint="eastAsia"/>
                <w:color w:val="000000"/>
                <w:kern w:val="0"/>
                <w:sz w:val="24"/>
              </w:rPr>
              <w:t>73</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pPr>
              <w:jc w:val="center"/>
              <w:rPr>
                <w:rFonts w:ascii="黑体" w:eastAsia="黑体" w:hAnsi="黑体" w:cs="黑体"/>
                <w:color w:val="000000"/>
                <w:sz w:val="24"/>
              </w:rPr>
            </w:pPr>
          </w:p>
        </w:tc>
      </w:tr>
      <w:tr w:rsidR="00ED0E0D">
        <w:trPr>
          <w:cantSplit/>
          <w:trHeight w:val="624"/>
        </w:trPr>
        <w:tc>
          <w:tcPr>
            <w:tcW w:w="3105" w:type="pct"/>
            <w:gridSpan w:val="7"/>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pPr>
              <w:widowControl/>
              <w:jc w:val="center"/>
              <w:textAlignment w:val="center"/>
              <w:rPr>
                <w:rFonts w:ascii="黑体" w:eastAsia="黑体" w:hAnsi="黑体" w:cs="黑体"/>
                <w:color w:val="000000"/>
                <w:kern w:val="0"/>
                <w:sz w:val="24"/>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b/>
                <w:color w:val="000000"/>
                <w:kern w:val="0"/>
                <w:sz w:val="24"/>
              </w:rPr>
            </w:pPr>
            <w:r>
              <w:rPr>
                <w:rFonts w:ascii="黑体" w:eastAsia="黑体" w:hAnsi="黑体" w:cs="黑体" w:hint="eastAsia"/>
                <w:b/>
                <w:color w:val="000000"/>
                <w:kern w:val="0"/>
                <w:sz w:val="24"/>
              </w:rPr>
              <w:t>评价等次</w:t>
            </w:r>
          </w:p>
        </w:tc>
        <w:tc>
          <w:tcPr>
            <w:tcW w:w="2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kern w:val="0"/>
                <w:sz w:val="24"/>
              </w:rPr>
            </w:pPr>
            <w:r>
              <w:rPr>
                <w:rFonts w:ascii="黑体" w:eastAsia="黑体" w:hAnsi="黑体" w:cs="黑体" w:hint="eastAsia"/>
                <w:color w:val="000000"/>
                <w:kern w:val="0"/>
                <w:sz w:val="24"/>
              </w:rPr>
              <w:t>中</w:t>
            </w:r>
          </w:p>
        </w:tc>
        <w:tc>
          <w:tcPr>
            <w:tcW w:w="8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黑体" w:eastAsia="黑体" w:hAnsi="黑体" w:cs="黑体"/>
                <w:color w:val="000000"/>
                <w:kern w:val="0"/>
                <w:sz w:val="24"/>
              </w:rPr>
            </w:pPr>
            <w:r>
              <w:rPr>
                <w:rFonts w:ascii="黑体" w:eastAsia="黑体" w:hAnsi="黑体" w:cs="黑体" w:hint="eastAsia"/>
                <w:color w:val="000000"/>
                <w:kern w:val="0"/>
                <w:sz w:val="24"/>
              </w:rPr>
              <w:t>—</w:t>
            </w:r>
          </w:p>
        </w:tc>
      </w:tr>
    </w:tbl>
    <w:p w:rsidR="00ED0E0D" w:rsidRDefault="00ED0E0D">
      <w:pPr>
        <w:jc w:val="left"/>
      </w:pPr>
    </w:p>
    <w:p w:rsidR="00ED0E0D" w:rsidRDefault="00ED0E0D">
      <w:pPr>
        <w:jc w:val="left"/>
      </w:pPr>
    </w:p>
    <w:p w:rsidR="00ED0E0D" w:rsidRDefault="00ED0E0D">
      <w:pPr>
        <w:jc w:val="left"/>
        <w:rPr>
          <w:rFonts w:ascii="仿宋_GB2312" w:eastAsia="仿宋_GB2312" w:hAnsi="仿宋" w:cs="Arial"/>
          <w:color w:val="000000"/>
          <w:sz w:val="32"/>
          <w:szCs w:val="32"/>
        </w:rPr>
        <w:sectPr w:rsidR="00ED0E0D">
          <w:pgSz w:w="16838" w:h="11906" w:orient="landscape"/>
          <w:pgMar w:top="1800" w:right="1440" w:bottom="1800" w:left="1440" w:header="851" w:footer="992" w:gutter="0"/>
          <w:cols w:space="425"/>
          <w:docGrid w:type="lines" w:linePitch="312"/>
        </w:sectPr>
      </w:pPr>
    </w:p>
    <w:p w:rsidR="00ED0E0D" w:rsidRDefault="00276BC2">
      <w:pPr>
        <w:pStyle w:val="a8"/>
        <w:ind w:firstLineChars="0" w:firstLine="0"/>
        <w:rPr>
          <w:rFonts w:ascii="仿宋" w:eastAsia="仿宋" w:hAnsi="仿宋" w:cs="仿宋"/>
          <w:b/>
          <w:bCs/>
          <w:lang w:eastAsia="zh-CN"/>
        </w:rPr>
      </w:pPr>
      <w:bookmarkStart w:id="51" w:name="_Toc14608"/>
      <w:r>
        <w:rPr>
          <w:rFonts w:ascii="仿宋" w:eastAsia="仿宋" w:hAnsi="仿宋" w:cs="仿宋" w:hint="eastAsia"/>
          <w:b/>
          <w:bCs/>
          <w:lang w:eastAsia="zh-CN"/>
        </w:rPr>
        <w:lastRenderedPageBreak/>
        <w:t>附表2：谢岗镇镇村两级道路综合整治一期工程项目</w:t>
      </w:r>
    </w:p>
    <w:p w:rsidR="00ED0E0D" w:rsidRDefault="00276BC2">
      <w:pPr>
        <w:pStyle w:val="a8"/>
        <w:ind w:firstLineChars="0" w:firstLine="0"/>
        <w:rPr>
          <w:rFonts w:ascii="仿宋" w:eastAsia="仿宋" w:hAnsi="仿宋" w:cs="仿宋"/>
          <w:b/>
          <w:bCs/>
        </w:rPr>
      </w:pPr>
      <w:r>
        <w:rPr>
          <w:rFonts w:ascii="仿宋" w:eastAsia="仿宋" w:hAnsi="仿宋" w:cs="仿宋" w:hint="eastAsia"/>
          <w:b/>
          <w:bCs/>
        </w:rPr>
        <w:t>2020年支出明细表</w:t>
      </w:r>
    </w:p>
    <w:p w:rsidR="00ED0E0D" w:rsidRDefault="00276BC2">
      <w:pPr>
        <w:jc w:val="right"/>
        <w:rPr>
          <w:rFonts w:ascii="仿宋" w:eastAsia="仿宋" w:hAnsi="仿宋" w:cs="仿宋"/>
          <w:sz w:val="32"/>
          <w:szCs w:val="32"/>
        </w:rPr>
      </w:pPr>
      <w:r>
        <w:rPr>
          <w:rFonts w:ascii="仿宋_GB2312" w:eastAsia="仿宋_GB2312" w:hAnsi="仿宋" w:cs="Arial" w:hint="eastAsia"/>
          <w:color w:val="000000"/>
          <w:szCs w:val="21"/>
        </w:rPr>
        <w:t>单位：元</w:t>
      </w:r>
    </w:p>
    <w:tbl>
      <w:tblPr>
        <w:tblW w:w="55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55"/>
        <w:gridCol w:w="546"/>
        <w:gridCol w:w="1381"/>
        <w:gridCol w:w="3125"/>
        <w:gridCol w:w="1957"/>
        <w:gridCol w:w="1676"/>
      </w:tblGrid>
      <w:tr w:rsidR="00ED0E0D">
        <w:trPr>
          <w:trHeight w:val="300"/>
          <w:jc w:val="center"/>
        </w:trPr>
        <w:tc>
          <w:tcPr>
            <w:tcW w:w="595" w:type="pct"/>
            <w:gridSpan w:val="2"/>
            <w:shd w:val="clear" w:color="auto" w:fill="D2D2D2"/>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2020年</w:t>
            </w:r>
          </w:p>
        </w:tc>
        <w:tc>
          <w:tcPr>
            <w:tcW w:w="747" w:type="pct"/>
            <w:vMerge w:val="restart"/>
            <w:shd w:val="clear" w:color="auto" w:fill="D2D2D2"/>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凭证编号</w:t>
            </w:r>
          </w:p>
        </w:tc>
        <w:tc>
          <w:tcPr>
            <w:tcW w:w="1689" w:type="pct"/>
            <w:vMerge w:val="restart"/>
            <w:shd w:val="clear" w:color="auto" w:fill="D2D2D2"/>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摘要</w:t>
            </w:r>
          </w:p>
        </w:tc>
        <w:tc>
          <w:tcPr>
            <w:tcW w:w="1059" w:type="pct"/>
            <w:vMerge w:val="restart"/>
            <w:shd w:val="clear" w:color="auto" w:fill="D2D2D2"/>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科目</w:t>
            </w:r>
          </w:p>
        </w:tc>
        <w:tc>
          <w:tcPr>
            <w:tcW w:w="907" w:type="pct"/>
            <w:vMerge w:val="restart"/>
            <w:shd w:val="clear" w:color="auto" w:fill="D2D2D2"/>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借方金额</w:t>
            </w:r>
          </w:p>
        </w:tc>
      </w:tr>
      <w:tr w:rsidR="00ED0E0D">
        <w:trPr>
          <w:trHeight w:val="300"/>
          <w:jc w:val="center"/>
        </w:trPr>
        <w:tc>
          <w:tcPr>
            <w:tcW w:w="300" w:type="pct"/>
            <w:shd w:val="clear" w:color="auto" w:fill="D2D2D2"/>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月</w:t>
            </w:r>
          </w:p>
        </w:tc>
        <w:tc>
          <w:tcPr>
            <w:tcW w:w="294" w:type="pct"/>
            <w:shd w:val="clear" w:color="auto" w:fill="D2D2D2"/>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日</w:t>
            </w:r>
          </w:p>
        </w:tc>
        <w:tc>
          <w:tcPr>
            <w:tcW w:w="747" w:type="pct"/>
            <w:vMerge/>
            <w:shd w:val="clear" w:color="auto" w:fill="D2D2D2"/>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1689" w:type="pct"/>
            <w:vMerge/>
            <w:shd w:val="clear" w:color="auto" w:fill="D2D2D2"/>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1059" w:type="pct"/>
            <w:vMerge/>
            <w:shd w:val="clear" w:color="auto" w:fill="D2D2D2"/>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907" w:type="pct"/>
            <w:vMerge/>
            <w:shd w:val="clear" w:color="auto" w:fill="D2D2D2"/>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r>
      <w:tr w:rsidR="00ED0E0D">
        <w:trPr>
          <w:trHeight w:val="937"/>
          <w:jc w:val="center"/>
        </w:trPr>
        <w:tc>
          <w:tcPr>
            <w:tcW w:w="300"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5</w:t>
            </w:r>
          </w:p>
        </w:tc>
        <w:tc>
          <w:tcPr>
            <w:tcW w:w="294"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31</w:t>
            </w:r>
          </w:p>
        </w:tc>
        <w:tc>
          <w:tcPr>
            <w:tcW w:w="74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JZ-05-0033</w:t>
            </w:r>
          </w:p>
        </w:tc>
        <w:tc>
          <w:tcPr>
            <w:tcW w:w="168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谢岗镇镇村两级道路综合整治一期初步设计咨询费</w:t>
            </w:r>
          </w:p>
        </w:tc>
        <w:tc>
          <w:tcPr>
            <w:tcW w:w="105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1613034401[设计咨询费]</w:t>
            </w:r>
          </w:p>
        </w:tc>
        <w:tc>
          <w:tcPr>
            <w:tcW w:w="90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44,318.25</w:t>
            </w:r>
          </w:p>
        </w:tc>
      </w:tr>
      <w:tr w:rsidR="00ED0E0D">
        <w:trPr>
          <w:trHeight w:val="861"/>
          <w:jc w:val="center"/>
        </w:trPr>
        <w:tc>
          <w:tcPr>
            <w:tcW w:w="300"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8</w:t>
            </w:r>
          </w:p>
        </w:tc>
        <w:tc>
          <w:tcPr>
            <w:tcW w:w="294"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31</w:t>
            </w:r>
          </w:p>
        </w:tc>
        <w:tc>
          <w:tcPr>
            <w:tcW w:w="74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JZ-08-0025</w:t>
            </w:r>
          </w:p>
        </w:tc>
        <w:tc>
          <w:tcPr>
            <w:tcW w:w="168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谢岗镇镇村两级道路综合整治一期工程水土保持补偿费</w:t>
            </w:r>
          </w:p>
        </w:tc>
        <w:tc>
          <w:tcPr>
            <w:tcW w:w="105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1613034402[水土保持补偿费]</w:t>
            </w:r>
          </w:p>
        </w:tc>
        <w:tc>
          <w:tcPr>
            <w:tcW w:w="90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7,590.00</w:t>
            </w:r>
          </w:p>
        </w:tc>
      </w:tr>
      <w:tr w:rsidR="00ED0E0D">
        <w:trPr>
          <w:trHeight w:val="720"/>
          <w:jc w:val="center"/>
        </w:trPr>
        <w:tc>
          <w:tcPr>
            <w:tcW w:w="300"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9</w:t>
            </w:r>
          </w:p>
        </w:tc>
        <w:tc>
          <w:tcPr>
            <w:tcW w:w="294"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30</w:t>
            </w:r>
          </w:p>
        </w:tc>
        <w:tc>
          <w:tcPr>
            <w:tcW w:w="74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JZ-09-0040</w:t>
            </w:r>
          </w:p>
        </w:tc>
        <w:tc>
          <w:tcPr>
            <w:tcW w:w="168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谢岗镇镇村两级道路综合整治一期工程水土保持方案咨询服务费</w:t>
            </w:r>
          </w:p>
        </w:tc>
        <w:tc>
          <w:tcPr>
            <w:tcW w:w="105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1613034403[水土保持方案咨询服务费]</w:t>
            </w:r>
          </w:p>
        </w:tc>
        <w:tc>
          <w:tcPr>
            <w:tcW w:w="90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102,900.00</w:t>
            </w:r>
          </w:p>
        </w:tc>
      </w:tr>
      <w:tr w:rsidR="00ED0E0D">
        <w:trPr>
          <w:trHeight w:val="883"/>
          <w:jc w:val="center"/>
        </w:trPr>
        <w:tc>
          <w:tcPr>
            <w:tcW w:w="300"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294"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30</w:t>
            </w:r>
          </w:p>
        </w:tc>
        <w:tc>
          <w:tcPr>
            <w:tcW w:w="74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JZ-11-0031</w:t>
            </w:r>
          </w:p>
        </w:tc>
        <w:tc>
          <w:tcPr>
            <w:tcW w:w="168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谢岗镇镇村两级道路综合整治一期工程施工图审查费</w:t>
            </w:r>
          </w:p>
        </w:tc>
        <w:tc>
          <w:tcPr>
            <w:tcW w:w="105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1613034404[施工图审查费]</w:t>
            </w:r>
          </w:p>
        </w:tc>
        <w:tc>
          <w:tcPr>
            <w:tcW w:w="90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315,200.00</w:t>
            </w:r>
          </w:p>
        </w:tc>
      </w:tr>
      <w:tr w:rsidR="00ED0E0D">
        <w:trPr>
          <w:trHeight w:val="825"/>
          <w:jc w:val="center"/>
        </w:trPr>
        <w:tc>
          <w:tcPr>
            <w:tcW w:w="300"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294"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30</w:t>
            </w:r>
          </w:p>
        </w:tc>
        <w:tc>
          <w:tcPr>
            <w:tcW w:w="74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JZ-11-0036</w:t>
            </w:r>
          </w:p>
        </w:tc>
        <w:tc>
          <w:tcPr>
            <w:tcW w:w="168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谢岗镇镇村两级道路综合整治一期工程勘察及初步设计费</w:t>
            </w:r>
          </w:p>
        </w:tc>
        <w:tc>
          <w:tcPr>
            <w:tcW w:w="105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1613034405[勘察及初步设计费]</w:t>
            </w:r>
          </w:p>
        </w:tc>
        <w:tc>
          <w:tcPr>
            <w:tcW w:w="90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3,451,316.00</w:t>
            </w:r>
          </w:p>
        </w:tc>
      </w:tr>
      <w:tr w:rsidR="00ED0E0D">
        <w:trPr>
          <w:trHeight w:val="837"/>
          <w:jc w:val="center"/>
        </w:trPr>
        <w:tc>
          <w:tcPr>
            <w:tcW w:w="300"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294"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30</w:t>
            </w:r>
          </w:p>
        </w:tc>
        <w:tc>
          <w:tcPr>
            <w:tcW w:w="74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JZ-11-0038</w:t>
            </w:r>
          </w:p>
        </w:tc>
        <w:tc>
          <w:tcPr>
            <w:tcW w:w="168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谢岗镇镇村两级道路综合整治一期工程第一期工程进度款工人工资</w:t>
            </w:r>
          </w:p>
        </w:tc>
        <w:tc>
          <w:tcPr>
            <w:tcW w:w="105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161301012102[工人工资]</w:t>
            </w:r>
          </w:p>
        </w:tc>
        <w:tc>
          <w:tcPr>
            <w:tcW w:w="90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632,024.90</w:t>
            </w:r>
          </w:p>
        </w:tc>
      </w:tr>
      <w:tr w:rsidR="00ED0E0D">
        <w:trPr>
          <w:trHeight w:val="821"/>
          <w:jc w:val="center"/>
        </w:trPr>
        <w:tc>
          <w:tcPr>
            <w:tcW w:w="300"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294"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30</w:t>
            </w:r>
          </w:p>
        </w:tc>
        <w:tc>
          <w:tcPr>
            <w:tcW w:w="74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JZ-11-0038</w:t>
            </w:r>
          </w:p>
        </w:tc>
        <w:tc>
          <w:tcPr>
            <w:tcW w:w="168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谢岗镇镇村两级道路综合整治一期工程第一期工程进度款</w:t>
            </w:r>
          </w:p>
        </w:tc>
        <w:tc>
          <w:tcPr>
            <w:tcW w:w="105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161301012101[工程进度款]</w:t>
            </w:r>
          </w:p>
        </w:tc>
        <w:tc>
          <w:tcPr>
            <w:tcW w:w="90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2,528,099.70</w:t>
            </w:r>
          </w:p>
        </w:tc>
      </w:tr>
      <w:tr w:rsidR="00ED0E0D">
        <w:trPr>
          <w:trHeight w:val="1103"/>
          <w:jc w:val="center"/>
        </w:trPr>
        <w:tc>
          <w:tcPr>
            <w:tcW w:w="300"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294"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30</w:t>
            </w:r>
          </w:p>
        </w:tc>
        <w:tc>
          <w:tcPr>
            <w:tcW w:w="74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JZ-11-0039</w:t>
            </w:r>
          </w:p>
        </w:tc>
        <w:tc>
          <w:tcPr>
            <w:tcW w:w="168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谢岗镇镇村两级道路综合整治一期工程项目建议书及工程可行性研究报告编制费</w:t>
            </w:r>
          </w:p>
        </w:tc>
        <w:tc>
          <w:tcPr>
            <w:tcW w:w="105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1613034406[编制费]</w:t>
            </w:r>
          </w:p>
        </w:tc>
        <w:tc>
          <w:tcPr>
            <w:tcW w:w="90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335,000.00</w:t>
            </w:r>
          </w:p>
        </w:tc>
      </w:tr>
      <w:tr w:rsidR="00ED0E0D">
        <w:trPr>
          <w:trHeight w:val="720"/>
          <w:jc w:val="center"/>
        </w:trPr>
        <w:tc>
          <w:tcPr>
            <w:tcW w:w="300"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12</w:t>
            </w:r>
          </w:p>
        </w:tc>
        <w:tc>
          <w:tcPr>
            <w:tcW w:w="294"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31</w:t>
            </w:r>
          </w:p>
        </w:tc>
        <w:tc>
          <w:tcPr>
            <w:tcW w:w="74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JZ-12-0045</w:t>
            </w:r>
          </w:p>
        </w:tc>
        <w:tc>
          <w:tcPr>
            <w:tcW w:w="168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谢岗镇镇村两级道路综合整治一期工程预付款</w:t>
            </w:r>
          </w:p>
        </w:tc>
        <w:tc>
          <w:tcPr>
            <w:tcW w:w="105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1214010206[谢岗镇镇村两级道路综合整治一期工程]</w:t>
            </w:r>
          </w:p>
        </w:tc>
        <w:tc>
          <w:tcPr>
            <w:tcW w:w="90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13,500,960.00</w:t>
            </w:r>
          </w:p>
        </w:tc>
      </w:tr>
      <w:tr w:rsidR="00ED0E0D">
        <w:trPr>
          <w:trHeight w:val="839"/>
          <w:jc w:val="center"/>
        </w:trPr>
        <w:tc>
          <w:tcPr>
            <w:tcW w:w="300"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12</w:t>
            </w:r>
          </w:p>
        </w:tc>
        <w:tc>
          <w:tcPr>
            <w:tcW w:w="294"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31</w:t>
            </w:r>
          </w:p>
        </w:tc>
        <w:tc>
          <w:tcPr>
            <w:tcW w:w="74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JZ-12-0045</w:t>
            </w:r>
          </w:p>
        </w:tc>
        <w:tc>
          <w:tcPr>
            <w:tcW w:w="168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谢岗镇镇村两级道路综合整治一期工程第二期工程进度款</w:t>
            </w:r>
          </w:p>
        </w:tc>
        <w:tc>
          <w:tcPr>
            <w:tcW w:w="105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161301012101[工程进度款]</w:t>
            </w:r>
          </w:p>
        </w:tc>
        <w:tc>
          <w:tcPr>
            <w:tcW w:w="90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6,565,463.90</w:t>
            </w:r>
          </w:p>
        </w:tc>
      </w:tr>
      <w:tr w:rsidR="00ED0E0D">
        <w:trPr>
          <w:trHeight w:val="951"/>
          <w:jc w:val="center"/>
        </w:trPr>
        <w:tc>
          <w:tcPr>
            <w:tcW w:w="300"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12</w:t>
            </w:r>
          </w:p>
        </w:tc>
        <w:tc>
          <w:tcPr>
            <w:tcW w:w="294"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31</w:t>
            </w:r>
          </w:p>
        </w:tc>
        <w:tc>
          <w:tcPr>
            <w:tcW w:w="74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JZ-12-0045</w:t>
            </w:r>
          </w:p>
        </w:tc>
        <w:tc>
          <w:tcPr>
            <w:tcW w:w="168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谢岗镇镇村两级道路综合整治一期工程第二期工人工资</w:t>
            </w:r>
          </w:p>
        </w:tc>
        <w:tc>
          <w:tcPr>
            <w:tcW w:w="1059"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161301012102[工人工资]</w:t>
            </w:r>
          </w:p>
        </w:tc>
        <w:tc>
          <w:tcPr>
            <w:tcW w:w="907" w:type="pct"/>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1,641,366.00</w:t>
            </w:r>
          </w:p>
        </w:tc>
      </w:tr>
      <w:tr w:rsidR="00ED0E0D">
        <w:trPr>
          <w:trHeight w:val="679"/>
          <w:jc w:val="center"/>
        </w:trPr>
        <w:tc>
          <w:tcPr>
            <w:tcW w:w="3032" w:type="pct"/>
            <w:gridSpan w:val="4"/>
            <w:shd w:val="clear" w:color="auto" w:fill="auto"/>
            <w:noWrap/>
            <w:tcMar>
              <w:top w:w="15" w:type="dxa"/>
              <w:left w:w="15" w:type="dxa"/>
              <w:right w:w="15" w:type="dxa"/>
            </w:tcMar>
            <w:vAlign w:val="center"/>
          </w:tcPr>
          <w:p w:rsidR="00ED0E0D" w:rsidRDefault="00276BC2">
            <w:pPr>
              <w:jc w:val="center"/>
              <w:rPr>
                <w:rFonts w:ascii="仿宋" w:eastAsia="仿宋" w:hAnsi="仿宋" w:cs="仿宋"/>
                <w:color w:val="000000"/>
                <w:sz w:val="22"/>
                <w:szCs w:val="22"/>
              </w:rPr>
            </w:pPr>
            <w:r>
              <w:rPr>
                <w:rFonts w:ascii="仿宋" w:eastAsia="仿宋" w:hAnsi="仿宋" w:cs="仿宋" w:hint="eastAsia"/>
                <w:color w:val="000000"/>
                <w:sz w:val="22"/>
                <w:szCs w:val="22"/>
              </w:rPr>
              <w:t>合计</w:t>
            </w:r>
          </w:p>
        </w:tc>
        <w:tc>
          <w:tcPr>
            <w:tcW w:w="1059" w:type="pct"/>
            <w:shd w:val="clear" w:color="auto" w:fill="auto"/>
            <w:noWrap/>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907" w:type="pct"/>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29,124,238.75</w:t>
            </w:r>
          </w:p>
        </w:tc>
      </w:tr>
    </w:tbl>
    <w:p w:rsidR="00ED0E0D" w:rsidRDefault="00ED0E0D">
      <w:pPr>
        <w:jc w:val="left"/>
        <w:outlineLvl w:val="0"/>
        <w:rPr>
          <w:rFonts w:ascii="仿宋_GB2312" w:eastAsia="仿宋_GB2312" w:hAnsi="仿宋" w:cs="Arial"/>
          <w:color w:val="000000"/>
          <w:sz w:val="32"/>
          <w:szCs w:val="32"/>
        </w:rPr>
        <w:sectPr w:rsidR="00ED0E0D">
          <w:pgSz w:w="11906" w:h="16838"/>
          <w:pgMar w:top="1440" w:right="1800" w:bottom="1440" w:left="1800" w:header="851" w:footer="992" w:gutter="0"/>
          <w:cols w:space="425"/>
          <w:docGrid w:type="lines" w:linePitch="312"/>
        </w:sectPr>
      </w:pPr>
    </w:p>
    <w:p w:rsidR="00ED0E0D" w:rsidRDefault="00276BC2">
      <w:pPr>
        <w:pStyle w:val="a8"/>
        <w:ind w:firstLineChars="0" w:firstLine="0"/>
        <w:rPr>
          <w:rFonts w:ascii="仿宋" w:eastAsia="仿宋" w:hAnsi="仿宋" w:cs="仿宋"/>
          <w:b/>
          <w:bCs/>
          <w:lang w:eastAsia="zh-CN"/>
        </w:rPr>
      </w:pPr>
      <w:r>
        <w:rPr>
          <w:rFonts w:ascii="仿宋" w:eastAsia="仿宋" w:hAnsi="仿宋" w:cs="仿宋" w:hint="eastAsia"/>
          <w:b/>
          <w:bCs/>
          <w:lang w:eastAsia="zh-CN"/>
        </w:rPr>
        <w:lastRenderedPageBreak/>
        <w:t>附表3：</w:t>
      </w:r>
      <w:bookmarkEnd w:id="51"/>
      <w:r>
        <w:rPr>
          <w:rFonts w:ascii="仿宋" w:eastAsia="仿宋" w:hAnsi="仿宋" w:cs="仿宋" w:hint="eastAsia"/>
          <w:b/>
          <w:bCs/>
          <w:lang w:eastAsia="zh-CN"/>
        </w:rPr>
        <w:t>谢岗镇镇村两级道路综合整治一期工程项目调查问卷表</w:t>
      </w:r>
    </w:p>
    <w:p w:rsidR="00ED0E0D" w:rsidRDefault="00ED0E0D">
      <w:pPr>
        <w:jc w:val="left"/>
      </w:pPr>
    </w:p>
    <w:tbl>
      <w:tblPr>
        <w:tblW w:w="5422" w:type="pct"/>
        <w:tblInd w:w="-372" w:type="dxa"/>
        <w:tblLayout w:type="fixed"/>
        <w:tblCellMar>
          <w:left w:w="0" w:type="dxa"/>
          <w:right w:w="0" w:type="dxa"/>
        </w:tblCellMar>
        <w:tblLook w:val="04A0"/>
      </w:tblPr>
      <w:tblGrid>
        <w:gridCol w:w="693"/>
        <w:gridCol w:w="2065"/>
        <w:gridCol w:w="788"/>
        <w:gridCol w:w="781"/>
        <w:gridCol w:w="1569"/>
        <w:gridCol w:w="1569"/>
        <w:gridCol w:w="1575"/>
      </w:tblGrid>
      <w:tr w:rsidR="00ED0E0D">
        <w:trPr>
          <w:trHeight w:val="510"/>
        </w:trPr>
        <w:tc>
          <w:tcPr>
            <w:tcW w:w="383" w:type="pct"/>
            <w:tcBorders>
              <w:top w:val="single" w:sz="8"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2"/>
                <w:szCs w:val="22"/>
              </w:rPr>
            </w:pPr>
            <w:r>
              <w:rPr>
                <w:rFonts w:ascii="仿宋" w:eastAsia="仿宋" w:hAnsi="仿宋" w:cs="仿宋" w:hint="eastAsia"/>
                <w:b/>
                <w:color w:val="000000"/>
                <w:kern w:val="0"/>
                <w:sz w:val="22"/>
                <w:szCs w:val="22"/>
              </w:rPr>
              <w:t>序号</w:t>
            </w:r>
          </w:p>
        </w:tc>
        <w:tc>
          <w:tcPr>
            <w:tcW w:w="1142" w:type="pct"/>
            <w:tcBorders>
              <w:top w:val="single" w:sz="8"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2"/>
                <w:szCs w:val="22"/>
              </w:rPr>
            </w:pPr>
            <w:r>
              <w:rPr>
                <w:rFonts w:ascii="仿宋" w:eastAsia="仿宋" w:hAnsi="仿宋" w:cs="仿宋" w:hint="eastAsia"/>
                <w:b/>
                <w:color w:val="000000"/>
                <w:kern w:val="0"/>
                <w:sz w:val="22"/>
                <w:szCs w:val="22"/>
              </w:rPr>
              <w:t>调查内容</w:t>
            </w:r>
          </w:p>
        </w:tc>
        <w:tc>
          <w:tcPr>
            <w:tcW w:w="3475" w:type="pct"/>
            <w:gridSpan w:val="5"/>
            <w:tcBorders>
              <w:top w:val="single" w:sz="8"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b/>
                <w:color w:val="000000"/>
                <w:sz w:val="22"/>
                <w:szCs w:val="22"/>
              </w:rPr>
            </w:pPr>
            <w:r>
              <w:rPr>
                <w:rFonts w:ascii="仿宋" w:eastAsia="仿宋" w:hAnsi="仿宋" w:cs="仿宋" w:hint="eastAsia"/>
                <w:b/>
                <w:color w:val="000000"/>
                <w:kern w:val="0"/>
                <w:sz w:val="22"/>
                <w:szCs w:val="22"/>
              </w:rPr>
              <w:t>调查结果（单位：%）</w:t>
            </w:r>
          </w:p>
        </w:tc>
      </w:tr>
      <w:tr w:rsidR="00ED0E0D">
        <w:trPr>
          <w:trHeight w:val="499"/>
        </w:trPr>
        <w:tc>
          <w:tcPr>
            <w:tcW w:w="383" w:type="pct"/>
            <w:vMerge w:val="restart"/>
            <w:tcBorders>
              <w:top w:val="single" w:sz="8" w:space="0" w:color="000000"/>
              <w:left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rPr>
            </w:pPr>
            <w:r>
              <w:rPr>
                <w:rFonts w:cs="仿宋" w:hint="eastAsia"/>
                <w:sz w:val="22"/>
                <w:lang w:eastAsia="zh-CN"/>
              </w:rPr>
              <w:t>1</w:t>
            </w:r>
          </w:p>
        </w:tc>
        <w:tc>
          <w:tcPr>
            <w:tcW w:w="1142" w:type="pct"/>
            <w:vMerge w:val="restart"/>
            <w:tcBorders>
              <w:top w:val="single" w:sz="8" w:space="0" w:color="000000"/>
              <w:left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color w:val="000000"/>
                <w:sz w:val="22"/>
                <w:lang w:eastAsia="zh-CN"/>
              </w:rPr>
              <w:t>您知道我镇对上述22条镇村两级道路进行了综合整治吗?</w:t>
            </w: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知道</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不知道</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未关注</w:t>
            </w:r>
          </w:p>
        </w:tc>
        <w:tc>
          <w:tcPr>
            <w:tcW w:w="8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pPr>
              <w:pStyle w:val="a7"/>
              <w:ind w:firstLineChars="0" w:firstLine="0"/>
              <w:jc w:val="center"/>
              <w:rPr>
                <w:rFonts w:cs="仿宋"/>
                <w:sz w:val="22"/>
                <w:lang w:eastAsia="zh-CN"/>
              </w:rPr>
            </w:pPr>
          </w:p>
        </w:tc>
      </w:tr>
      <w:tr w:rsidR="00ED0E0D">
        <w:trPr>
          <w:trHeight w:val="537"/>
        </w:trPr>
        <w:tc>
          <w:tcPr>
            <w:tcW w:w="383" w:type="pct"/>
            <w:vMerge/>
            <w:tcBorders>
              <w:left w:val="single" w:sz="4" w:space="0" w:color="000000"/>
              <w:right w:val="single" w:sz="4" w:space="0" w:color="000000"/>
            </w:tcBorders>
            <w:shd w:val="clear" w:color="auto" w:fill="auto"/>
            <w:noWrap/>
            <w:tcMar>
              <w:top w:w="15" w:type="dxa"/>
              <w:left w:w="15" w:type="dxa"/>
              <w:right w:w="15" w:type="dxa"/>
            </w:tcMar>
            <w:vAlign w:val="center"/>
          </w:tcPr>
          <w:p w:rsidR="00ED0E0D" w:rsidRDefault="00ED0E0D" w:rsidP="00BD7BA9">
            <w:pPr>
              <w:pStyle w:val="a7"/>
              <w:ind w:firstLine="440"/>
              <w:jc w:val="center"/>
              <w:rPr>
                <w:rFonts w:cs="仿宋"/>
                <w:sz w:val="22"/>
              </w:rPr>
            </w:pPr>
          </w:p>
        </w:tc>
        <w:tc>
          <w:tcPr>
            <w:tcW w:w="1142" w:type="pct"/>
            <w:vMerge/>
            <w:tcBorders>
              <w:left w:val="single" w:sz="4" w:space="0" w:color="000000"/>
              <w:right w:val="single" w:sz="4" w:space="0" w:color="000000"/>
            </w:tcBorders>
            <w:shd w:val="clear" w:color="auto" w:fill="auto"/>
            <w:noWrap/>
            <w:tcMar>
              <w:top w:w="15" w:type="dxa"/>
              <w:left w:w="15" w:type="dxa"/>
              <w:right w:w="15" w:type="dxa"/>
            </w:tcMar>
            <w:vAlign w:val="center"/>
          </w:tcPr>
          <w:p w:rsidR="00ED0E0D" w:rsidRDefault="00ED0E0D" w:rsidP="00BD7BA9">
            <w:pPr>
              <w:pStyle w:val="a7"/>
              <w:ind w:firstLine="440"/>
              <w:jc w:val="center"/>
              <w:rPr>
                <w:rFonts w:cs="仿宋"/>
                <w:sz w:val="22"/>
              </w:rPr>
            </w:pP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179</w:t>
            </w:r>
            <w:r>
              <w:rPr>
                <w:rFonts w:cs="仿宋" w:hint="eastAsia"/>
                <w:sz w:val="22"/>
                <w:lang w:eastAsia="zh-CN"/>
              </w:rPr>
              <w:br/>
              <w:t>（38.73%）</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110</w:t>
            </w:r>
            <w:r>
              <w:rPr>
                <w:rFonts w:cs="仿宋" w:hint="eastAsia"/>
                <w:sz w:val="22"/>
                <w:lang w:eastAsia="zh-CN"/>
              </w:rPr>
              <w:br/>
              <w:t>（53.92%）</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15</w:t>
            </w:r>
            <w:r>
              <w:rPr>
                <w:rFonts w:cs="仿宋" w:hint="eastAsia"/>
                <w:sz w:val="22"/>
                <w:lang w:eastAsia="zh-CN"/>
              </w:rPr>
              <w:br/>
              <w:t>（7.35%）</w:t>
            </w:r>
          </w:p>
        </w:tc>
        <w:tc>
          <w:tcPr>
            <w:tcW w:w="8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br/>
            </w:r>
          </w:p>
        </w:tc>
      </w:tr>
      <w:tr w:rsidR="00ED0E0D">
        <w:trPr>
          <w:trHeight w:val="380"/>
        </w:trPr>
        <w:tc>
          <w:tcPr>
            <w:tcW w:w="383" w:type="pct"/>
            <w:vMerge w:val="restart"/>
            <w:tcBorders>
              <w:top w:val="single" w:sz="4" w:space="0" w:color="000000"/>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rPr>
            </w:pPr>
            <w:r>
              <w:rPr>
                <w:rFonts w:cs="仿宋" w:hint="eastAsia"/>
                <w:sz w:val="22"/>
                <w:lang w:eastAsia="zh-CN"/>
              </w:rPr>
              <w:t>2</w:t>
            </w:r>
          </w:p>
        </w:tc>
        <w:tc>
          <w:tcPr>
            <w:tcW w:w="1142" w:type="pct"/>
            <w:vMerge w:val="restart"/>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您对相关道路总体整治效果满意吗?</w:t>
            </w: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满意</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一般</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不满意</w:t>
            </w:r>
          </w:p>
        </w:tc>
        <w:tc>
          <w:tcPr>
            <w:tcW w:w="8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pPr>
              <w:pStyle w:val="a7"/>
              <w:ind w:firstLineChars="0" w:firstLine="0"/>
              <w:jc w:val="center"/>
              <w:rPr>
                <w:rFonts w:cs="仿宋"/>
                <w:sz w:val="22"/>
                <w:lang w:eastAsia="zh-CN"/>
              </w:rPr>
            </w:pPr>
          </w:p>
        </w:tc>
      </w:tr>
      <w:tr w:rsidR="00ED0E0D">
        <w:trPr>
          <w:trHeight w:val="598"/>
        </w:trPr>
        <w:tc>
          <w:tcPr>
            <w:tcW w:w="383" w:type="pct"/>
            <w:vMerge/>
            <w:tcBorders>
              <w:top w:val="single" w:sz="4" w:space="0" w:color="000000"/>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rsidP="00BD7BA9">
            <w:pPr>
              <w:pStyle w:val="a7"/>
              <w:ind w:firstLine="440"/>
              <w:jc w:val="center"/>
              <w:rPr>
                <w:rFonts w:cs="仿宋"/>
                <w:sz w:val="22"/>
              </w:rPr>
            </w:pPr>
          </w:p>
        </w:tc>
        <w:tc>
          <w:tcPr>
            <w:tcW w:w="1142" w:type="pct"/>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ED0E0D" w:rsidP="00BD7BA9">
            <w:pPr>
              <w:pStyle w:val="a7"/>
              <w:ind w:firstLine="440"/>
              <w:jc w:val="center"/>
              <w:rPr>
                <w:rFonts w:cs="仿宋"/>
                <w:sz w:val="22"/>
              </w:rPr>
            </w:pP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94</w:t>
            </w:r>
            <w:r>
              <w:rPr>
                <w:rFonts w:cs="仿宋" w:hint="eastAsia"/>
                <w:sz w:val="22"/>
                <w:lang w:eastAsia="zh-CN"/>
              </w:rPr>
              <w:br/>
              <w:t>（46.08%）</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99</w:t>
            </w:r>
            <w:r>
              <w:rPr>
                <w:rFonts w:cs="仿宋" w:hint="eastAsia"/>
                <w:sz w:val="22"/>
                <w:lang w:eastAsia="zh-CN"/>
              </w:rPr>
              <w:br/>
              <w:t>（48.53%）</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11</w:t>
            </w:r>
            <w:r>
              <w:rPr>
                <w:rFonts w:cs="仿宋" w:hint="eastAsia"/>
                <w:sz w:val="22"/>
                <w:lang w:eastAsia="zh-CN"/>
              </w:rPr>
              <w:br/>
              <w:t>（5.39%）</w:t>
            </w:r>
          </w:p>
        </w:tc>
        <w:tc>
          <w:tcPr>
            <w:tcW w:w="8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pStyle w:val="a7"/>
              <w:ind w:firstLineChars="0" w:firstLine="0"/>
              <w:jc w:val="center"/>
              <w:rPr>
                <w:rFonts w:cs="仿宋"/>
                <w:sz w:val="22"/>
                <w:lang w:eastAsia="zh-CN"/>
              </w:rPr>
            </w:pPr>
          </w:p>
        </w:tc>
      </w:tr>
      <w:tr w:rsidR="00ED0E0D">
        <w:trPr>
          <w:trHeight w:val="407"/>
        </w:trPr>
        <w:tc>
          <w:tcPr>
            <w:tcW w:w="383" w:type="pct"/>
            <w:vMerge w:val="restart"/>
            <w:tcBorders>
              <w:top w:val="single" w:sz="4" w:space="0" w:color="000000"/>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3</w:t>
            </w:r>
          </w:p>
        </w:tc>
        <w:tc>
          <w:tcPr>
            <w:tcW w:w="1142" w:type="pct"/>
            <w:vMerge w:val="restart"/>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整治期间，施工工程是否为您的生活、出行带来不便?</w:t>
            </w: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影响不大</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一般</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影响很大</w:t>
            </w:r>
          </w:p>
        </w:tc>
        <w:tc>
          <w:tcPr>
            <w:tcW w:w="8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ED0E0D">
            <w:pPr>
              <w:pStyle w:val="a7"/>
              <w:ind w:firstLineChars="0" w:firstLine="0"/>
              <w:jc w:val="center"/>
              <w:rPr>
                <w:rFonts w:cs="仿宋"/>
                <w:sz w:val="22"/>
                <w:lang w:eastAsia="zh-CN"/>
              </w:rPr>
            </w:pPr>
          </w:p>
        </w:tc>
      </w:tr>
      <w:tr w:rsidR="00ED0E0D">
        <w:trPr>
          <w:trHeight w:val="489"/>
        </w:trPr>
        <w:tc>
          <w:tcPr>
            <w:tcW w:w="383" w:type="pct"/>
            <w:vMerge/>
            <w:tcBorders>
              <w:top w:val="single" w:sz="4" w:space="0" w:color="000000"/>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rsidP="00BD7BA9">
            <w:pPr>
              <w:pStyle w:val="a7"/>
              <w:ind w:firstLine="440"/>
              <w:jc w:val="center"/>
              <w:rPr>
                <w:rFonts w:cs="仿宋"/>
                <w:sz w:val="22"/>
              </w:rPr>
            </w:pPr>
          </w:p>
        </w:tc>
        <w:tc>
          <w:tcPr>
            <w:tcW w:w="1142" w:type="pct"/>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ED0E0D" w:rsidP="00BD7BA9">
            <w:pPr>
              <w:pStyle w:val="a7"/>
              <w:ind w:firstLine="440"/>
              <w:jc w:val="center"/>
              <w:rPr>
                <w:rFonts w:cs="仿宋"/>
                <w:sz w:val="22"/>
              </w:rPr>
            </w:pP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71</w:t>
            </w:r>
            <w:r>
              <w:rPr>
                <w:rFonts w:cs="仿宋" w:hint="eastAsia"/>
                <w:sz w:val="22"/>
                <w:lang w:eastAsia="zh-CN"/>
              </w:rPr>
              <w:br/>
              <w:t>（34.8%）</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118</w:t>
            </w:r>
            <w:r>
              <w:rPr>
                <w:rFonts w:cs="仿宋" w:hint="eastAsia"/>
                <w:sz w:val="22"/>
                <w:lang w:eastAsia="zh-CN"/>
              </w:rPr>
              <w:br/>
              <w:t>（57.84%）</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15</w:t>
            </w:r>
            <w:r>
              <w:rPr>
                <w:rFonts w:cs="仿宋" w:hint="eastAsia"/>
                <w:sz w:val="22"/>
                <w:lang w:eastAsia="zh-CN"/>
              </w:rPr>
              <w:br/>
              <w:t>（7.35%）</w:t>
            </w:r>
          </w:p>
        </w:tc>
        <w:tc>
          <w:tcPr>
            <w:tcW w:w="8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pPr>
              <w:pStyle w:val="a7"/>
              <w:ind w:firstLineChars="0" w:firstLine="0"/>
              <w:jc w:val="center"/>
              <w:rPr>
                <w:rFonts w:cs="仿宋"/>
                <w:sz w:val="22"/>
                <w:lang w:eastAsia="zh-CN"/>
              </w:rPr>
            </w:pPr>
          </w:p>
        </w:tc>
      </w:tr>
      <w:tr w:rsidR="00ED0E0D">
        <w:trPr>
          <w:trHeight w:val="394"/>
        </w:trPr>
        <w:tc>
          <w:tcPr>
            <w:tcW w:w="383" w:type="pct"/>
            <w:vMerge w:val="restart"/>
            <w:tcBorders>
              <w:top w:val="single" w:sz="4" w:space="0" w:color="000000"/>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4</w:t>
            </w:r>
          </w:p>
        </w:tc>
        <w:tc>
          <w:tcPr>
            <w:tcW w:w="1142" w:type="pct"/>
            <w:vMerge w:val="restart"/>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您对相关道路整治后，交通状况改善情况的评价是?</w:t>
            </w: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明显改善</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有所改善</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无变化</w:t>
            </w:r>
          </w:p>
        </w:tc>
        <w:tc>
          <w:tcPr>
            <w:tcW w:w="8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较之前更差</w:t>
            </w:r>
          </w:p>
        </w:tc>
      </w:tr>
      <w:tr w:rsidR="00ED0E0D">
        <w:trPr>
          <w:trHeight w:val="648"/>
        </w:trPr>
        <w:tc>
          <w:tcPr>
            <w:tcW w:w="383" w:type="pct"/>
            <w:vMerge/>
            <w:tcBorders>
              <w:top w:val="single" w:sz="4" w:space="0" w:color="000000"/>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rsidP="00BD7BA9">
            <w:pPr>
              <w:pStyle w:val="a7"/>
              <w:ind w:firstLine="440"/>
              <w:jc w:val="center"/>
              <w:rPr>
                <w:rFonts w:cs="仿宋"/>
                <w:sz w:val="22"/>
              </w:rPr>
            </w:pPr>
          </w:p>
        </w:tc>
        <w:tc>
          <w:tcPr>
            <w:tcW w:w="1142" w:type="pct"/>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ED0E0D" w:rsidP="00BD7BA9">
            <w:pPr>
              <w:pStyle w:val="a7"/>
              <w:ind w:firstLine="440"/>
              <w:jc w:val="center"/>
              <w:rPr>
                <w:rFonts w:cs="仿宋"/>
                <w:sz w:val="22"/>
              </w:rPr>
            </w:pP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72</w:t>
            </w:r>
            <w:r>
              <w:rPr>
                <w:rFonts w:cs="仿宋" w:hint="eastAsia"/>
                <w:sz w:val="22"/>
                <w:lang w:eastAsia="zh-CN"/>
              </w:rPr>
              <w:br/>
              <w:t>（35.29%）</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107</w:t>
            </w:r>
            <w:r>
              <w:rPr>
                <w:rFonts w:cs="仿宋" w:hint="eastAsia"/>
                <w:sz w:val="22"/>
                <w:lang w:eastAsia="zh-CN"/>
              </w:rPr>
              <w:br/>
              <w:t>（52.45%）</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22</w:t>
            </w:r>
            <w:r>
              <w:rPr>
                <w:rFonts w:cs="仿宋" w:hint="eastAsia"/>
                <w:sz w:val="22"/>
                <w:lang w:eastAsia="zh-CN"/>
              </w:rPr>
              <w:br/>
              <w:t>（10.78%）</w:t>
            </w:r>
          </w:p>
        </w:tc>
        <w:tc>
          <w:tcPr>
            <w:tcW w:w="8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3</w:t>
            </w:r>
            <w:r>
              <w:rPr>
                <w:rFonts w:cs="仿宋" w:hint="eastAsia"/>
                <w:sz w:val="22"/>
                <w:lang w:eastAsia="zh-CN"/>
              </w:rPr>
              <w:br/>
              <w:t>（1.47%）</w:t>
            </w:r>
          </w:p>
        </w:tc>
      </w:tr>
      <w:tr w:rsidR="00ED0E0D">
        <w:trPr>
          <w:trHeight w:val="386"/>
        </w:trPr>
        <w:tc>
          <w:tcPr>
            <w:tcW w:w="383" w:type="pct"/>
            <w:vMerge w:val="restart"/>
            <w:tcBorders>
              <w:top w:val="single" w:sz="4" w:space="0" w:color="000000"/>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5</w:t>
            </w:r>
          </w:p>
        </w:tc>
        <w:tc>
          <w:tcPr>
            <w:tcW w:w="1142" w:type="pct"/>
            <w:vMerge w:val="restart"/>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您对相关道路整治后，路面、道牙修复效果的评价是?</w:t>
            </w: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明显改善</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有所改善</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无变化</w:t>
            </w:r>
          </w:p>
        </w:tc>
        <w:tc>
          <w:tcPr>
            <w:tcW w:w="8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较之前更差</w:t>
            </w:r>
          </w:p>
        </w:tc>
      </w:tr>
      <w:tr w:rsidR="00ED0E0D">
        <w:trPr>
          <w:trHeight w:val="648"/>
        </w:trPr>
        <w:tc>
          <w:tcPr>
            <w:tcW w:w="383" w:type="pct"/>
            <w:vMerge/>
            <w:tcBorders>
              <w:top w:val="single" w:sz="4" w:space="0" w:color="000000"/>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rsidP="00BD7BA9">
            <w:pPr>
              <w:pStyle w:val="a7"/>
              <w:ind w:firstLine="440"/>
              <w:jc w:val="center"/>
              <w:rPr>
                <w:rFonts w:cs="仿宋"/>
                <w:sz w:val="22"/>
              </w:rPr>
            </w:pPr>
          </w:p>
        </w:tc>
        <w:tc>
          <w:tcPr>
            <w:tcW w:w="1142" w:type="pct"/>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ED0E0D" w:rsidP="00BD7BA9">
            <w:pPr>
              <w:pStyle w:val="a7"/>
              <w:ind w:firstLine="440"/>
              <w:jc w:val="center"/>
              <w:rPr>
                <w:rFonts w:cs="仿宋"/>
                <w:sz w:val="22"/>
              </w:rPr>
            </w:pP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60</w:t>
            </w:r>
            <w:r>
              <w:rPr>
                <w:rFonts w:cs="仿宋" w:hint="eastAsia"/>
                <w:sz w:val="22"/>
                <w:lang w:eastAsia="zh-CN"/>
              </w:rPr>
              <w:br/>
              <w:t>（29.41%）</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117</w:t>
            </w:r>
            <w:r>
              <w:rPr>
                <w:rFonts w:cs="仿宋" w:hint="eastAsia"/>
                <w:sz w:val="22"/>
                <w:lang w:eastAsia="zh-CN"/>
              </w:rPr>
              <w:br/>
              <w:t>（57.35%）</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21</w:t>
            </w:r>
            <w:r>
              <w:rPr>
                <w:rFonts w:cs="仿宋" w:hint="eastAsia"/>
                <w:sz w:val="22"/>
                <w:lang w:eastAsia="zh-CN"/>
              </w:rPr>
              <w:br/>
              <w:t>（10.29%）</w:t>
            </w:r>
          </w:p>
        </w:tc>
        <w:tc>
          <w:tcPr>
            <w:tcW w:w="8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6</w:t>
            </w:r>
            <w:r>
              <w:rPr>
                <w:rFonts w:cs="仿宋" w:hint="eastAsia"/>
                <w:sz w:val="22"/>
                <w:lang w:eastAsia="zh-CN"/>
              </w:rPr>
              <w:br/>
              <w:t>（2.94%）</w:t>
            </w:r>
          </w:p>
        </w:tc>
      </w:tr>
      <w:tr w:rsidR="00ED0E0D">
        <w:trPr>
          <w:trHeight w:val="366"/>
        </w:trPr>
        <w:tc>
          <w:tcPr>
            <w:tcW w:w="383" w:type="pct"/>
            <w:vMerge w:val="restart"/>
            <w:tcBorders>
              <w:top w:val="single" w:sz="4" w:space="0" w:color="000000"/>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6</w:t>
            </w:r>
          </w:p>
        </w:tc>
        <w:tc>
          <w:tcPr>
            <w:tcW w:w="1142" w:type="pct"/>
            <w:vMerge w:val="restart"/>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您对相关道路整治后，人行道通行能力的评价是?</w:t>
            </w: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明显改善</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有所改善</w:t>
            </w:r>
          </w:p>
        </w:tc>
        <w:tc>
          <w:tcPr>
            <w:tcW w:w="86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无变化</w:t>
            </w:r>
          </w:p>
        </w:tc>
        <w:tc>
          <w:tcPr>
            <w:tcW w:w="87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较之前更差</w:t>
            </w:r>
          </w:p>
        </w:tc>
      </w:tr>
      <w:tr w:rsidR="00ED0E0D">
        <w:trPr>
          <w:trHeight w:val="648"/>
        </w:trPr>
        <w:tc>
          <w:tcPr>
            <w:tcW w:w="383" w:type="pct"/>
            <w:vMerge/>
            <w:tcBorders>
              <w:top w:val="single" w:sz="4" w:space="0" w:color="000000"/>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rsidP="00BD7BA9">
            <w:pPr>
              <w:pStyle w:val="a7"/>
              <w:ind w:firstLine="440"/>
              <w:jc w:val="center"/>
              <w:rPr>
                <w:rFonts w:cs="仿宋"/>
                <w:sz w:val="22"/>
              </w:rPr>
            </w:pPr>
          </w:p>
        </w:tc>
        <w:tc>
          <w:tcPr>
            <w:tcW w:w="1142" w:type="pct"/>
            <w:vMerge/>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ED0E0D" w:rsidP="00BD7BA9">
            <w:pPr>
              <w:pStyle w:val="a7"/>
              <w:ind w:firstLine="440"/>
              <w:jc w:val="center"/>
              <w:rPr>
                <w:rFonts w:cs="仿宋"/>
                <w:sz w:val="22"/>
              </w:rPr>
            </w:pP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79</w:t>
            </w:r>
            <w:r>
              <w:rPr>
                <w:rFonts w:cs="仿宋" w:hint="eastAsia"/>
                <w:sz w:val="22"/>
                <w:lang w:eastAsia="zh-CN"/>
              </w:rPr>
              <w:br/>
              <w:t>（38.73%）</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102</w:t>
            </w:r>
            <w:r>
              <w:rPr>
                <w:rFonts w:cs="仿宋" w:hint="eastAsia"/>
                <w:sz w:val="22"/>
                <w:lang w:eastAsia="zh-CN"/>
              </w:rPr>
              <w:br/>
              <w:t>（50%）</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16</w:t>
            </w:r>
            <w:r>
              <w:rPr>
                <w:rFonts w:cs="仿宋" w:hint="eastAsia"/>
                <w:sz w:val="22"/>
                <w:lang w:eastAsia="zh-CN"/>
              </w:rPr>
              <w:br/>
              <w:t>（7.84）</w:t>
            </w:r>
          </w:p>
        </w:tc>
        <w:tc>
          <w:tcPr>
            <w:tcW w:w="8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7</w:t>
            </w:r>
            <w:r>
              <w:rPr>
                <w:rFonts w:cs="仿宋" w:hint="eastAsia"/>
                <w:sz w:val="22"/>
                <w:lang w:eastAsia="zh-CN"/>
              </w:rPr>
              <w:br/>
              <w:t>（3.43%）</w:t>
            </w:r>
          </w:p>
        </w:tc>
      </w:tr>
      <w:tr w:rsidR="00ED0E0D">
        <w:trPr>
          <w:trHeight w:val="404"/>
        </w:trPr>
        <w:tc>
          <w:tcPr>
            <w:tcW w:w="383" w:type="pct"/>
            <w:vMerge w:val="restart"/>
            <w:tcBorders>
              <w:top w:val="single" w:sz="4" w:space="0" w:color="000000"/>
              <w:left w:val="single" w:sz="8"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7</w:t>
            </w:r>
          </w:p>
        </w:tc>
        <w:tc>
          <w:tcPr>
            <w:tcW w:w="1142" w:type="pct"/>
            <w:vMerge w:val="restart"/>
            <w:tcBorders>
              <w:top w:val="single" w:sz="4" w:space="0" w:color="000000"/>
              <w:left w:val="nil"/>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您对相关道路整治后，道路绿化改善效果的评价是?</w:t>
            </w: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明显改善</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有所改善</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无变化</w:t>
            </w:r>
          </w:p>
        </w:tc>
        <w:tc>
          <w:tcPr>
            <w:tcW w:w="8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较之前更差</w:t>
            </w:r>
          </w:p>
        </w:tc>
      </w:tr>
      <w:tr w:rsidR="00ED0E0D">
        <w:trPr>
          <w:trHeight w:val="648"/>
        </w:trPr>
        <w:tc>
          <w:tcPr>
            <w:tcW w:w="383" w:type="pct"/>
            <w:vMerge/>
            <w:tcBorders>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rsidP="00BD7BA9">
            <w:pPr>
              <w:pStyle w:val="a7"/>
              <w:ind w:firstLine="440"/>
              <w:jc w:val="center"/>
              <w:rPr>
                <w:rFonts w:cs="仿宋"/>
                <w:sz w:val="22"/>
                <w:lang w:eastAsia="zh-CN"/>
              </w:rPr>
            </w:pPr>
          </w:p>
        </w:tc>
        <w:tc>
          <w:tcPr>
            <w:tcW w:w="1142" w:type="pct"/>
            <w:vMerge/>
            <w:tcBorders>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ED0E0D" w:rsidP="00BD7BA9">
            <w:pPr>
              <w:pStyle w:val="a7"/>
              <w:ind w:firstLine="440"/>
              <w:jc w:val="center"/>
              <w:rPr>
                <w:rFonts w:cs="仿宋"/>
                <w:sz w:val="22"/>
                <w:lang w:eastAsia="zh-CN"/>
              </w:rPr>
            </w:pP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68</w:t>
            </w:r>
            <w:r>
              <w:rPr>
                <w:rFonts w:cs="仿宋" w:hint="eastAsia"/>
                <w:sz w:val="22"/>
                <w:lang w:eastAsia="zh-CN"/>
              </w:rPr>
              <w:br/>
              <w:t>（65.58%）</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105</w:t>
            </w:r>
            <w:r>
              <w:rPr>
                <w:rFonts w:cs="仿宋" w:hint="eastAsia"/>
                <w:sz w:val="22"/>
                <w:lang w:eastAsia="zh-CN"/>
              </w:rPr>
              <w:br/>
              <w:t>（51.47%）</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27</w:t>
            </w:r>
            <w:r>
              <w:rPr>
                <w:rFonts w:cs="仿宋" w:hint="eastAsia"/>
                <w:sz w:val="22"/>
                <w:lang w:eastAsia="zh-CN"/>
              </w:rPr>
              <w:br/>
              <w:t>（13.24%）</w:t>
            </w:r>
          </w:p>
        </w:tc>
        <w:tc>
          <w:tcPr>
            <w:tcW w:w="8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4</w:t>
            </w:r>
            <w:r>
              <w:rPr>
                <w:rFonts w:cs="仿宋" w:hint="eastAsia"/>
                <w:sz w:val="22"/>
                <w:lang w:eastAsia="zh-CN"/>
              </w:rPr>
              <w:br/>
              <w:t>（1.96%）</w:t>
            </w:r>
          </w:p>
        </w:tc>
      </w:tr>
      <w:tr w:rsidR="00ED0E0D">
        <w:trPr>
          <w:trHeight w:val="404"/>
        </w:trPr>
        <w:tc>
          <w:tcPr>
            <w:tcW w:w="383" w:type="pct"/>
            <w:vMerge w:val="restart"/>
            <w:tcBorders>
              <w:top w:val="single" w:sz="4" w:space="0" w:color="000000"/>
              <w:left w:val="single" w:sz="8"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8</w:t>
            </w:r>
          </w:p>
        </w:tc>
        <w:tc>
          <w:tcPr>
            <w:tcW w:w="1142" w:type="pct"/>
            <w:vMerge w:val="restart"/>
            <w:tcBorders>
              <w:top w:val="single" w:sz="4" w:space="0" w:color="000000"/>
              <w:left w:val="nil"/>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 xml:space="preserve">您对相关道路整治后，交通标志边线完善情况的评价是?  </w:t>
            </w: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明显改善</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有所改善</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无变化</w:t>
            </w:r>
          </w:p>
        </w:tc>
        <w:tc>
          <w:tcPr>
            <w:tcW w:w="8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较之前更差</w:t>
            </w:r>
          </w:p>
        </w:tc>
      </w:tr>
      <w:tr w:rsidR="00ED0E0D">
        <w:trPr>
          <w:trHeight w:val="648"/>
        </w:trPr>
        <w:tc>
          <w:tcPr>
            <w:tcW w:w="383" w:type="pct"/>
            <w:vMerge/>
            <w:tcBorders>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rsidP="00BD7BA9">
            <w:pPr>
              <w:pStyle w:val="a7"/>
              <w:ind w:firstLine="440"/>
              <w:jc w:val="center"/>
              <w:rPr>
                <w:rFonts w:cs="仿宋"/>
                <w:sz w:val="22"/>
                <w:lang w:eastAsia="zh-CN"/>
              </w:rPr>
            </w:pPr>
          </w:p>
        </w:tc>
        <w:tc>
          <w:tcPr>
            <w:tcW w:w="1142" w:type="pct"/>
            <w:vMerge/>
            <w:tcBorders>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ED0E0D" w:rsidP="00BD7BA9">
            <w:pPr>
              <w:pStyle w:val="a7"/>
              <w:ind w:firstLine="440"/>
              <w:jc w:val="center"/>
              <w:rPr>
                <w:rFonts w:cs="仿宋"/>
                <w:sz w:val="22"/>
                <w:lang w:eastAsia="zh-CN"/>
              </w:rPr>
            </w:pP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55</w:t>
            </w:r>
            <w:r>
              <w:rPr>
                <w:rFonts w:cs="仿宋" w:hint="eastAsia"/>
                <w:sz w:val="22"/>
                <w:lang w:eastAsia="zh-CN"/>
              </w:rPr>
              <w:br/>
              <w:t>（26.96%）</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124</w:t>
            </w:r>
            <w:r>
              <w:rPr>
                <w:rFonts w:cs="仿宋" w:hint="eastAsia"/>
                <w:sz w:val="22"/>
                <w:lang w:eastAsia="zh-CN"/>
              </w:rPr>
              <w:br/>
              <w:t>（60.78%）</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17</w:t>
            </w:r>
            <w:r>
              <w:rPr>
                <w:rFonts w:cs="仿宋" w:hint="eastAsia"/>
                <w:sz w:val="22"/>
                <w:lang w:eastAsia="zh-CN"/>
              </w:rPr>
              <w:br/>
              <w:t>（8.33%）</w:t>
            </w:r>
          </w:p>
        </w:tc>
        <w:tc>
          <w:tcPr>
            <w:tcW w:w="8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8</w:t>
            </w:r>
            <w:r>
              <w:rPr>
                <w:rFonts w:cs="仿宋" w:hint="eastAsia"/>
                <w:sz w:val="22"/>
                <w:lang w:eastAsia="zh-CN"/>
              </w:rPr>
              <w:br/>
              <w:t>（3.92%）</w:t>
            </w:r>
          </w:p>
        </w:tc>
      </w:tr>
      <w:tr w:rsidR="00ED0E0D">
        <w:trPr>
          <w:trHeight w:val="376"/>
        </w:trPr>
        <w:tc>
          <w:tcPr>
            <w:tcW w:w="383" w:type="pct"/>
            <w:vMerge w:val="restart"/>
            <w:tcBorders>
              <w:top w:val="single" w:sz="4" w:space="0" w:color="000000"/>
              <w:left w:val="single" w:sz="8"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9</w:t>
            </w:r>
          </w:p>
        </w:tc>
        <w:tc>
          <w:tcPr>
            <w:tcW w:w="1142" w:type="pct"/>
            <w:vMerge w:val="restart"/>
            <w:tcBorders>
              <w:top w:val="single" w:sz="4" w:space="0" w:color="000000"/>
              <w:left w:val="nil"/>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据您观察，道路整治后行车舒适度的变化是?</w:t>
            </w: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明显提升</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有所提升</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无变化</w:t>
            </w:r>
          </w:p>
        </w:tc>
        <w:tc>
          <w:tcPr>
            <w:tcW w:w="8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较之前更差</w:t>
            </w:r>
          </w:p>
        </w:tc>
      </w:tr>
      <w:tr w:rsidR="00ED0E0D">
        <w:trPr>
          <w:trHeight w:val="648"/>
        </w:trPr>
        <w:tc>
          <w:tcPr>
            <w:tcW w:w="383" w:type="pct"/>
            <w:vMerge/>
            <w:tcBorders>
              <w:left w:val="single" w:sz="8"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ED0E0D" w:rsidP="00BD7BA9">
            <w:pPr>
              <w:pStyle w:val="a7"/>
              <w:ind w:firstLine="440"/>
              <w:jc w:val="center"/>
              <w:rPr>
                <w:rFonts w:cs="仿宋"/>
                <w:sz w:val="22"/>
                <w:lang w:eastAsia="zh-CN"/>
              </w:rPr>
            </w:pPr>
          </w:p>
        </w:tc>
        <w:tc>
          <w:tcPr>
            <w:tcW w:w="1142" w:type="pct"/>
            <w:vMerge/>
            <w:tcBorders>
              <w:left w:val="nil"/>
              <w:bottom w:val="single" w:sz="4" w:space="0" w:color="000000"/>
              <w:right w:val="single" w:sz="4" w:space="0" w:color="000000"/>
            </w:tcBorders>
            <w:shd w:val="clear" w:color="auto" w:fill="auto"/>
            <w:tcMar>
              <w:top w:w="15" w:type="dxa"/>
              <w:left w:w="15" w:type="dxa"/>
              <w:right w:w="15" w:type="dxa"/>
            </w:tcMar>
            <w:vAlign w:val="center"/>
          </w:tcPr>
          <w:p w:rsidR="00ED0E0D" w:rsidRDefault="00ED0E0D" w:rsidP="00BD7BA9">
            <w:pPr>
              <w:pStyle w:val="a7"/>
              <w:ind w:firstLine="440"/>
              <w:jc w:val="center"/>
              <w:rPr>
                <w:rFonts w:cs="仿宋"/>
                <w:sz w:val="22"/>
                <w:lang w:eastAsia="zh-CN"/>
              </w:rPr>
            </w:pPr>
          </w:p>
        </w:tc>
        <w:tc>
          <w:tcPr>
            <w:tcW w:w="868"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224</w:t>
            </w:r>
            <w:r>
              <w:rPr>
                <w:rFonts w:cs="仿宋" w:hint="eastAsia"/>
                <w:sz w:val="22"/>
                <w:lang w:eastAsia="zh-CN"/>
              </w:rPr>
              <w:br/>
              <w:t>（81.16%）</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52</w:t>
            </w:r>
            <w:r>
              <w:rPr>
                <w:rFonts w:cs="仿宋" w:hint="eastAsia"/>
                <w:sz w:val="22"/>
                <w:lang w:eastAsia="zh-CN"/>
              </w:rPr>
              <w:br/>
              <w:t>（18.84%）</w:t>
            </w:r>
          </w:p>
        </w:tc>
        <w:tc>
          <w:tcPr>
            <w:tcW w:w="86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23</w:t>
            </w:r>
            <w:r>
              <w:rPr>
                <w:rFonts w:cs="仿宋" w:hint="eastAsia"/>
                <w:sz w:val="22"/>
                <w:lang w:eastAsia="zh-CN"/>
              </w:rPr>
              <w:br/>
              <w:t>（11.27%）</w:t>
            </w:r>
          </w:p>
        </w:tc>
        <w:tc>
          <w:tcPr>
            <w:tcW w:w="8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pStyle w:val="a7"/>
              <w:ind w:firstLineChars="0" w:firstLine="0"/>
              <w:jc w:val="center"/>
              <w:rPr>
                <w:rFonts w:cs="仿宋"/>
                <w:sz w:val="22"/>
                <w:lang w:eastAsia="zh-CN"/>
              </w:rPr>
            </w:pPr>
            <w:r>
              <w:rPr>
                <w:rFonts w:cs="仿宋" w:hint="eastAsia"/>
                <w:sz w:val="22"/>
                <w:lang w:eastAsia="zh-CN"/>
              </w:rPr>
              <w:t>4</w:t>
            </w:r>
            <w:r>
              <w:rPr>
                <w:rFonts w:cs="仿宋" w:hint="eastAsia"/>
                <w:sz w:val="22"/>
                <w:lang w:eastAsia="zh-CN"/>
              </w:rPr>
              <w:br/>
              <w:t>（1.96%）</w:t>
            </w:r>
          </w:p>
        </w:tc>
      </w:tr>
      <w:tr w:rsidR="00ED0E0D">
        <w:trPr>
          <w:trHeight w:val="624"/>
        </w:trPr>
        <w:tc>
          <w:tcPr>
            <w:tcW w:w="383" w:type="pct"/>
            <w:vMerge w:val="restart"/>
            <w:tcBorders>
              <w:top w:val="single" w:sz="4" w:space="0" w:color="auto"/>
              <w:left w:val="single" w:sz="4" w:space="0" w:color="auto"/>
              <w:bottom w:val="single" w:sz="4" w:space="0" w:color="auto"/>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sz w:val="22"/>
                <w:szCs w:val="22"/>
              </w:rPr>
              <w:t>10</w:t>
            </w:r>
          </w:p>
        </w:tc>
        <w:tc>
          <w:tcPr>
            <w:tcW w:w="1142" w:type="pct"/>
            <w:vMerge w:val="restart"/>
            <w:tcBorders>
              <w:top w:val="single" w:sz="4" w:space="0" w:color="auto"/>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您对镇村两级道路综合整治一期工程项目后续建设、管理工作的建议</w:t>
            </w:r>
          </w:p>
        </w:tc>
        <w:tc>
          <w:tcPr>
            <w:tcW w:w="436" w:type="pct"/>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w:t>
            </w:r>
          </w:p>
        </w:tc>
        <w:tc>
          <w:tcPr>
            <w:tcW w:w="3039" w:type="pct"/>
            <w:gridSpan w:val="4"/>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继续进行道路升级。</w:t>
            </w:r>
          </w:p>
        </w:tc>
      </w:tr>
      <w:tr w:rsidR="00ED0E0D">
        <w:trPr>
          <w:trHeight w:val="624"/>
        </w:trPr>
        <w:tc>
          <w:tcPr>
            <w:tcW w:w="383" w:type="pct"/>
            <w:vMerge/>
            <w:tcBorders>
              <w:top w:val="single" w:sz="4" w:space="0" w:color="auto"/>
              <w:left w:val="single" w:sz="4" w:space="0" w:color="auto"/>
              <w:bottom w:val="single" w:sz="4" w:space="0" w:color="auto"/>
              <w:right w:val="single" w:sz="4" w:space="0" w:color="000000"/>
            </w:tcBorders>
            <w:shd w:val="clear" w:color="auto" w:fill="auto"/>
            <w:noWrap/>
            <w:tcMar>
              <w:top w:w="15" w:type="dxa"/>
              <w:left w:w="15" w:type="dxa"/>
              <w:right w:w="15" w:type="dxa"/>
            </w:tcMar>
            <w:vAlign w:val="center"/>
          </w:tcPr>
          <w:p w:rsidR="00ED0E0D" w:rsidRDefault="00ED0E0D">
            <w:pPr>
              <w:jc w:val="center"/>
              <w:rPr>
                <w:rFonts w:ascii="仿宋" w:eastAsia="仿宋" w:hAnsi="仿宋" w:cs="仿宋"/>
                <w:color w:val="000000"/>
                <w:sz w:val="22"/>
                <w:szCs w:val="22"/>
              </w:rPr>
            </w:pPr>
          </w:p>
        </w:tc>
        <w:tc>
          <w:tcPr>
            <w:tcW w:w="1142" w:type="pct"/>
            <w:vMerge/>
            <w:tcBorders>
              <w:top w:val="single" w:sz="4" w:space="0" w:color="auto"/>
              <w:left w:val="single" w:sz="4" w:space="0" w:color="000000"/>
              <w:bottom w:val="single" w:sz="4" w:space="0" w:color="auto"/>
              <w:right w:val="single" w:sz="4" w:space="0" w:color="auto"/>
            </w:tcBorders>
            <w:shd w:val="clear" w:color="auto" w:fill="auto"/>
            <w:tcMar>
              <w:top w:w="15" w:type="dxa"/>
              <w:left w:w="15" w:type="dxa"/>
              <w:right w:w="15" w:type="dxa"/>
            </w:tcMar>
            <w:vAlign w:val="center"/>
          </w:tcPr>
          <w:p w:rsidR="00ED0E0D" w:rsidRDefault="00ED0E0D">
            <w:pPr>
              <w:jc w:val="center"/>
              <w:rPr>
                <w:rFonts w:ascii="仿宋" w:eastAsia="仿宋" w:hAnsi="仿宋" w:cs="仿宋"/>
                <w:b/>
                <w:color w:val="000000"/>
                <w:sz w:val="22"/>
                <w:szCs w:val="22"/>
              </w:rPr>
            </w:pPr>
          </w:p>
        </w:tc>
        <w:tc>
          <w:tcPr>
            <w:tcW w:w="436" w:type="pct"/>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ED0E0D" w:rsidRDefault="00276B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w:t>
            </w:r>
          </w:p>
        </w:tc>
        <w:tc>
          <w:tcPr>
            <w:tcW w:w="3039" w:type="pct"/>
            <w:gridSpan w:val="4"/>
            <w:tcBorders>
              <w:top w:val="single" w:sz="4" w:space="0" w:color="000000"/>
              <w:left w:val="single" w:sz="4" w:space="0" w:color="000000"/>
              <w:bottom w:val="single" w:sz="4" w:space="0" w:color="000000"/>
              <w:right w:val="single" w:sz="8" w:space="0" w:color="000000"/>
            </w:tcBorders>
            <w:shd w:val="clear" w:color="auto" w:fill="auto"/>
            <w:noWrap/>
            <w:tcMar>
              <w:top w:w="15" w:type="dxa"/>
              <w:left w:w="15" w:type="dxa"/>
              <w:right w:w="15" w:type="dxa"/>
            </w:tcMar>
            <w:vAlign w:val="center"/>
          </w:tcPr>
          <w:p w:rsidR="00ED0E0D" w:rsidRDefault="00276BC2">
            <w:pPr>
              <w:widowControl/>
              <w:textAlignment w:val="center"/>
              <w:rPr>
                <w:rFonts w:ascii="仿宋" w:eastAsia="仿宋" w:hAnsi="仿宋" w:cs="仿宋"/>
                <w:color w:val="000000"/>
                <w:sz w:val="22"/>
                <w:szCs w:val="22"/>
              </w:rPr>
            </w:pPr>
            <w:r>
              <w:rPr>
                <w:rFonts w:ascii="仿宋" w:eastAsia="仿宋" w:hAnsi="仿宋" w:cs="仿宋" w:hint="eastAsia"/>
                <w:color w:val="000000"/>
                <w:sz w:val="22"/>
                <w:szCs w:val="22"/>
              </w:rPr>
              <w:t>加强相关道路的建设。</w:t>
            </w:r>
          </w:p>
        </w:tc>
      </w:tr>
    </w:tbl>
    <w:p w:rsidR="00ED0E0D" w:rsidRDefault="00ED0E0D">
      <w:pPr>
        <w:jc w:val="left"/>
      </w:pPr>
    </w:p>
    <w:sectPr w:rsidR="00ED0E0D" w:rsidSect="00ED0E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39B" w:rsidRDefault="0083139B" w:rsidP="00ED0E0D">
      <w:r>
        <w:separator/>
      </w:r>
    </w:p>
  </w:endnote>
  <w:endnote w:type="continuationSeparator" w:id="0">
    <w:p w:rsidR="0083139B" w:rsidRDefault="0083139B" w:rsidP="00ED0E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E0D" w:rsidRDefault="00ED0E0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E0D" w:rsidRDefault="009B6545">
    <w:pPr>
      <w:pStyle w:val="a4"/>
    </w:pPr>
    <w:r>
      <w:pict>
        <v:shapetype id="_x0000_t202" coordsize="21600,21600" o:spt="202" path="m,l,21600r21600,l21600,xe">
          <v:stroke joinstyle="miter"/>
          <v:path gradientshapeok="t" o:connecttype="rect"/>
        </v:shapetype>
        <v:shape id="_x0000_s1027"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filled="f" stroked="f" strokeweight=".5pt">
          <v:textbox style="mso-fit-shape-to-text:t" inset="0,0,0,0">
            <w:txbxContent>
              <w:p w:rsidR="00ED0E0D" w:rsidRDefault="009B6545">
                <w:pPr>
                  <w:pStyle w:val="a4"/>
                </w:pPr>
                <w:r>
                  <w:fldChar w:fldCharType="begin"/>
                </w:r>
                <w:r w:rsidR="00276BC2">
                  <w:instrText xml:space="preserve"> PAGE  \* MERGEFORMAT </w:instrText>
                </w:r>
                <w:r>
                  <w:fldChar w:fldCharType="separate"/>
                </w:r>
                <w:r w:rsidR="00C87944">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39B" w:rsidRDefault="0083139B" w:rsidP="00ED0E0D">
      <w:r>
        <w:separator/>
      </w:r>
    </w:p>
  </w:footnote>
  <w:footnote w:type="continuationSeparator" w:id="0">
    <w:p w:rsidR="0083139B" w:rsidRDefault="0083139B" w:rsidP="00ED0E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D546D6"/>
    <w:multiLevelType w:val="singleLevel"/>
    <w:tmpl w:val="8DD546D6"/>
    <w:lvl w:ilvl="0">
      <w:start w:val="3"/>
      <w:numFmt w:val="chineseCounting"/>
      <w:suff w:val="nothing"/>
      <w:lvlText w:val="（%1）"/>
      <w:lvlJc w:val="left"/>
      <w:rPr>
        <w:rFonts w:hint="eastAsia"/>
      </w:rPr>
    </w:lvl>
  </w:abstractNum>
  <w:abstractNum w:abstractNumId="1">
    <w:nsid w:val="22F48417"/>
    <w:multiLevelType w:val="singleLevel"/>
    <w:tmpl w:val="22F48417"/>
    <w:lvl w:ilvl="0">
      <w:start w:val="12"/>
      <w:numFmt w:val="decimal"/>
      <w:lvlText w:val="%1."/>
      <w:lvlJc w:val="left"/>
      <w:pPr>
        <w:tabs>
          <w:tab w:val="left" w:pos="312"/>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B22D6"/>
    <w:rsid w:val="00147E28"/>
    <w:rsid w:val="00167EBB"/>
    <w:rsid w:val="00172A27"/>
    <w:rsid w:val="00223B4B"/>
    <w:rsid w:val="00234E1D"/>
    <w:rsid w:val="002519A3"/>
    <w:rsid w:val="00276BC2"/>
    <w:rsid w:val="002E6CC0"/>
    <w:rsid w:val="003018AD"/>
    <w:rsid w:val="00304CF9"/>
    <w:rsid w:val="00313D72"/>
    <w:rsid w:val="0032528E"/>
    <w:rsid w:val="00421B3B"/>
    <w:rsid w:val="004541E3"/>
    <w:rsid w:val="00455043"/>
    <w:rsid w:val="004623A4"/>
    <w:rsid w:val="0048000B"/>
    <w:rsid w:val="004B773A"/>
    <w:rsid w:val="004C0055"/>
    <w:rsid w:val="004D1B2A"/>
    <w:rsid w:val="004D6947"/>
    <w:rsid w:val="004E1B3C"/>
    <w:rsid w:val="004F5DD5"/>
    <w:rsid w:val="004F66EF"/>
    <w:rsid w:val="005072AB"/>
    <w:rsid w:val="005346D4"/>
    <w:rsid w:val="00542ED9"/>
    <w:rsid w:val="005E5A14"/>
    <w:rsid w:val="00676782"/>
    <w:rsid w:val="0076555C"/>
    <w:rsid w:val="00782379"/>
    <w:rsid w:val="007A5767"/>
    <w:rsid w:val="007C3CB3"/>
    <w:rsid w:val="0083139B"/>
    <w:rsid w:val="008508B1"/>
    <w:rsid w:val="00870CA4"/>
    <w:rsid w:val="00886E58"/>
    <w:rsid w:val="008A4442"/>
    <w:rsid w:val="008F5B77"/>
    <w:rsid w:val="009144B2"/>
    <w:rsid w:val="009907B3"/>
    <w:rsid w:val="009B6545"/>
    <w:rsid w:val="00A32D5F"/>
    <w:rsid w:val="00A45F30"/>
    <w:rsid w:val="00AE1E06"/>
    <w:rsid w:val="00B41B38"/>
    <w:rsid w:val="00B779EE"/>
    <w:rsid w:val="00BB3724"/>
    <w:rsid w:val="00BD7BA9"/>
    <w:rsid w:val="00BF48BF"/>
    <w:rsid w:val="00C81A08"/>
    <w:rsid w:val="00C87944"/>
    <w:rsid w:val="00C946CB"/>
    <w:rsid w:val="00CA0F88"/>
    <w:rsid w:val="00CD6C86"/>
    <w:rsid w:val="00CE0E54"/>
    <w:rsid w:val="00CE254D"/>
    <w:rsid w:val="00DE4D36"/>
    <w:rsid w:val="00E00B28"/>
    <w:rsid w:val="00EB7EEC"/>
    <w:rsid w:val="00ED0E0D"/>
    <w:rsid w:val="00EF3CD5"/>
    <w:rsid w:val="00EF7026"/>
    <w:rsid w:val="00F63DDF"/>
    <w:rsid w:val="00F958AC"/>
    <w:rsid w:val="00FD70E4"/>
    <w:rsid w:val="01076B05"/>
    <w:rsid w:val="010D3E6B"/>
    <w:rsid w:val="01471870"/>
    <w:rsid w:val="014C4F49"/>
    <w:rsid w:val="014D6652"/>
    <w:rsid w:val="01587205"/>
    <w:rsid w:val="018F3B7A"/>
    <w:rsid w:val="01A35386"/>
    <w:rsid w:val="01AA4D9D"/>
    <w:rsid w:val="01B8133D"/>
    <w:rsid w:val="01DE6C7C"/>
    <w:rsid w:val="01F2202C"/>
    <w:rsid w:val="01FC149C"/>
    <w:rsid w:val="027A470C"/>
    <w:rsid w:val="029915D1"/>
    <w:rsid w:val="02A13BAD"/>
    <w:rsid w:val="02A604A4"/>
    <w:rsid w:val="02A82587"/>
    <w:rsid w:val="02D41329"/>
    <w:rsid w:val="02EE1275"/>
    <w:rsid w:val="02FC2F17"/>
    <w:rsid w:val="02FF7295"/>
    <w:rsid w:val="0302275B"/>
    <w:rsid w:val="03114370"/>
    <w:rsid w:val="03337E8F"/>
    <w:rsid w:val="035731B8"/>
    <w:rsid w:val="035B0F67"/>
    <w:rsid w:val="03A31153"/>
    <w:rsid w:val="03E24503"/>
    <w:rsid w:val="03EF0CDA"/>
    <w:rsid w:val="03F73335"/>
    <w:rsid w:val="040C6273"/>
    <w:rsid w:val="04461E3B"/>
    <w:rsid w:val="047B59B9"/>
    <w:rsid w:val="04A251E6"/>
    <w:rsid w:val="04A56715"/>
    <w:rsid w:val="04B8621E"/>
    <w:rsid w:val="04B87B1E"/>
    <w:rsid w:val="04BD14EB"/>
    <w:rsid w:val="04DF5E91"/>
    <w:rsid w:val="04E20BB8"/>
    <w:rsid w:val="04F25BAA"/>
    <w:rsid w:val="04F652F7"/>
    <w:rsid w:val="054B1A81"/>
    <w:rsid w:val="057220D2"/>
    <w:rsid w:val="0578285D"/>
    <w:rsid w:val="057F08BD"/>
    <w:rsid w:val="05810237"/>
    <w:rsid w:val="058634F8"/>
    <w:rsid w:val="058670CA"/>
    <w:rsid w:val="05875A4E"/>
    <w:rsid w:val="0595502D"/>
    <w:rsid w:val="05964DB0"/>
    <w:rsid w:val="05AA1C6B"/>
    <w:rsid w:val="05C52425"/>
    <w:rsid w:val="05F33AD3"/>
    <w:rsid w:val="05F5514C"/>
    <w:rsid w:val="05F6518C"/>
    <w:rsid w:val="060C25D1"/>
    <w:rsid w:val="061D2678"/>
    <w:rsid w:val="061E25F4"/>
    <w:rsid w:val="063054E9"/>
    <w:rsid w:val="06451E14"/>
    <w:rsid w:val="065F1412"/>
    <w:rsid w:val="06765796"/>
    <w:rsid w:val="06BF437F"/>
    <w:rsid w:val="06C14C4C"/>
    <w:rsid w:val="06C37F57"/>
    <w:rsid w:val="06E034AD"/>
    <w:rsid w:val="06EA4D65"/>
    <w:rsid w:val="06F532D5"/>
    <w:rsid w:val="07013757"/>
    <w:rsid w:val="07052FBA"/>
    <w:rsid w:val="071361AA"/>
    <w:rsid w:val="07377D12"/>
    <w:rsid w:val="074969A6"/>
    <w:rsid w:val="074E4913"/>
    <w:rsid w:val="07521CB4"/>
    <w:rsid w:val="075A5CAF"/>
    <w:rsid w:val="077B2048"/>
    <w:rsid w:val="078D2B2E"/>
    <w:rsid w:val="07B006CA"/>
    <w:rsid w:val="07BB6FC3"/>
    <w:rsid w:val="07C557D1"/>
    <w:rsid w:val="07D457DE"/>
    <w:rsid w:val="07D61A22"/>
    <w:rsid w:val="07F418C6"/>
    <w:rsid w:val="07FC6C8C"/>
    <w:rsid w:val="08045ECE"/>
    <w:rsid w:val="08304AF4"/>
    <w:rsid w:val="08311B32"/>
    <w:rsid w:val="083D63AD"/>
    <w:rsid w:val="084438A0"/>
    <w:rsid w:val="086B392F"/>
    <w:rsid w:val="08744DEB"/>
    <w:rsid w:val="087F18AF"/>
    <w:rsid w:val="08A1763C"/>
    <w:rsid w:val="08D936D4"/>
    <w:rsid w:val="08DC0213"/>
    <w:rsid w:val="08E52E81"/>
    <w:rsid w:val="08EC34BB"/>
    <w:rsid w:val="090C30B7"/>
    <w:rsid w:val="090E3300"/>
    <w:rsid w:val="0915181B"/>
    <w:rsid w:val="093D40F8"/>
    <w:rsid w:val="09410F7C"/>
    <w:rsid w:val="097D2234"/>
    <w:rsid w:val="09801C0A"/>
    <w:rsid w:val="098915E4"/>
    <w:rsid w:val="098A7A13"/>
    <w:rsid w:val="09CE6FBC"/>
    <w:rsid w:val="09D263D6"/>
    <w:rsid w:val="09D63656"/>
    <w:rsid w:val="0A143C8C"/>
    <w:rsid w:val="0A46515B"/>
    <w:rsid w:val="0A491092"/>
    <w:rsid w:val="0A5A4EBD"/>
    <w:rsid w:val="0A682062"/>
    <w:rsid w:val="0A7509F5"/>
    <w:rsid w:val="0B4F02E8"/>
    <w:rsid w:val="0B524709"/>
    <w:rsid w:val="0B5E48F3"/>
    <w:rsid w:val="0B6A03A0"/>
    <w:rsid w:val="0B6A5F1F"/>
    <w:rsid w:val="0B9F794B"/>
    <w:rsid w:val="0BD53F47"/>
    <w:rsid w:val="0BDB3E1F"/>
    <w:rsid w:val="0BEA6F65"/>
    <w:rsid w:val="0C0B570F"/>
    <w:rsid w:val="0C3F30C7"/>
    <w:rsid w:val="0C521DD8"/>
    <w:rsid w:val="0C981C41"/>
    <w:rsid w:val="0D014324"/>
    <w:rsid w:val="0D4E7DEF"/>
    <w:rsid w:val="0D532930"/>
    <w:rsid w:val="0D5C2AA3"/>
    <w:rsid w:val="0D660810"/>
    <w:rsid w:val="0D6E7D2C"/>
    <w:rsid w:val="0D8E679E"/>
    <w:rsid w:val="0D9635E2"/>
    <w:rsid w:val="0DAA697F"/>
    <w:rsid w:val="0DBB1AFA"/>
    <w:rsid w:val="0DEB011D"/>
    <w:rsid w:val="0DF7750A"/>
    <w:rsid w:val="0E1B6541"/>
    <w:rsid w:val="0E48223B"/>
    <w:rsid w:val="0E517781"/>
    <w:rsid w:val="0E552AD1"/>
    <w:rsid w:val="0E5C27BF"/>
    <w:rsid w:val="0E773308"/>
    <w:rsid w:val="0EC21305"/>
    <w:rsid w:val="0EE11E7E"/>
    <w:rsid w:val="0EEE21CF"/>
    <w:rsid w:val="0F045C10"/>
    <w:rsid w:val="0F06297E"/>
    <w:rsid w:val="0F1D0AFF"/>
    <w:rsid w:val="0F22744B"/>
    <w:rsid w:val="0F447F43"/>
    <w:rsid w:val="0F6635A7"/>
    <w:rsid w:val="0F7D65E6"/>
    <w:rsid w:val="0FA11F90"/>
    <w:rsid w:val="0FA4290F"/>
    <w:rsid w:val="0FA83BC4"/>
    <w:rsid w:val="0FA941BB"/>
    <w:rsid w:val="0FE602F3"/>
    <w:rsid w:val="10374E45"/>
    <w:rsid w:val="1040402C"/>
    <w:rsid w:val="104B3333"/>
    <w:rsid w:val="105F43A8"/>
    <w:rsid w:val="10620F08"/>
    <w:rsid w:val="106D561C"/>
    <w:rsid w:val="10732A3A"/>
    <w:rsid w:val="107D00C2"/>
    <w:rsid w:val="107E783E"/>
    <w:rsid w:val="10CA50BF"/>
    <w:rsid w:val="11284A1D"/>
    <w:rsid w:val="11517338"/>
    <w:rsid w:val="1173429E"/>
    <w:rsid w:val="11BD4E56"/>
    <w:rsid w:val="11ED00D9"/>
    <w:rsid w:val="11FB41A4"/>
    <w:rsid w:val="120C23AD"/>
    <w:rsid w:val="120F12C4"/>
    <w:rsid w:val="121534DC"/>
    <w:rsid w:val="121D7B6B"/>
    <w:rsid w:val="12234C34"/>
    <w:rsid w:val="12384832"/>
    <w:rsid w:val="124463A4"/>
    <w:rsid w:val="12652FFD"/>
    <w:rsid w:val="12696022"/>
    <w:rsid w:val="12867F38"/>
    <w:rsid w:val="129D37A8"/>
    <w:rsid w:val="12A0574A"/>
    <w:rsid w:val="12C17079"/>
    <w:rsid w:val="12D54B47"/>
    <w:rsid w:val="12D80E42"/>
    <w:rsid w:val="12FF33C7"/>
    <w:rsid w:val="1329263D"/>
    <w:rsid w:val="1333600B"/>
    <w:rsid w:val="135F352E"/>
    <w:rsid w:val="136B6DB2"/>
    <w:rsid w:val="138B400D"/>
    <w:rsid w:val="13B10A14"/>
    <w:rsid w:val="13C12FB6"/>
    <w:rsid w:val="13C71C10"/>
    <w:rsid w:val="13C7722D"/>
    <w:rsid w:val="13FF2185"/>
    <w:rsid w:val="141237D5"/>
    <w:rsid w:val="14221C96"/>
    <w:rsid w:val="1448687D"/>
    <w:rsid w:val="144B67D2"/>
    <w:rsid w:val="146B2E28"/>
    <w:rsid w:val="147F1FCE"/>
    <w:rsid w:val="149C486F"/>
    <w:rsid w:val="14BC47E6"/>
    <w:rsid w:val="14D249F5"/>
    <w:rsid w:val="14FD791D"/>
    <w:rsid w:val="15031545"/>
    <w:rsid w:val="150B1B5B"/>
    <w:rsid w:val="15281BBA"/>
    <w:rsid w:val="153A43BF"/>
    <w:rsid w:val="154E6859"/>
    <w:rsid w:val="15524BBE"/>
    <w:rsid w:val="157B510C"/>
    <w:rsid w:val="15812D96"/>
    <w:rsid w:val="15830548"/>
    <w:rsid w:val="158E4679"/>
    <w:rsid w:val="158F7C67"/>
    <w:rsid w:val="15BA14F7"/>
    <w:rsid w:val="15C11AC1"/>
    <w:rsid w:val="15FA3D45"/>
    <w:rsid w:val="16156E67"/>
    <w:rsid w:val="1634019A"/>
    <w:rsid w:val="165B5C69"/>
    <w:rsid w:val="1688148B"/>
    <w:rsid w:val="16942270"/>
    <w:rsid w:val="169E5807"/>
    <w:rsid w:val="16AD3104"/>
    <w:rsid w:val="16BD6AAA"/>
    <w:rsid w:val="16D9331F"/>
    <w:rsid w:val="16E320B4"/>
    <w:rsid w:val="16EC07B1"/>
    <w:rsid w:val="16F30F5B"/>
    <w:rsid w:val="17136000"/>
    <w:rsid w:val="17296FF4"/>
    <w:rsid w:val="172F1973"/>
    <w:rsid w:val="17344753"/>
    <w:rsid w:val="173875EB"/>
    <w:rsid w:val="173D31C0"/>
    <w:rsid w:val="17475A53"/>
    <w:rsid w:val="17486633"/>
    <w:rsid w:val="1788296E"/>
    <w:rsid w:val="178B32ED"/>
    <w:rsid w:val="17A91271"/>
    <w:rsid w:val="17F63633"/>
    <w:rsid w:val="17F636A7"/>
    <w:rsid w:val="180B35DE"/>
    <w:rsid w:val="18401B91"/>
    <w:rsid w:val="186661C6"/>
    <w:rsid w:val="18CB1ED1"/>
    <w:rsid w:val="18D342DB"/>
    <w:rsid w:val="1902798C"/>
    <w:rsid w:val="19054158"/>
    <w:rsid w:val="19092429"/>
    <w:rsid w:val="195D3E2A"/>
    <w:rsid w:val="1990759B"/>
    <w:rsid w:val="199721D9"/>
    <w:rsid w:val="19976498"/>
    <w:rsid w:val="199C1155"/>
    <w:rsid w:val="19B147DF"/>
    <w:rsid w:val="19B45718"/>
    <w:rsid w:val="19B5622A"/>
    <w:rsid w:val="19B92773"/>
    <w:rsid w:val="19F027E5"/>
    <w:rsid w:val="1A131AC8"/>
    <w:rsid w:val="1A1A7E7E"/>
    <w:rsid w:val="1A1B1313"/>
    <w:rsid w:val="1A5B5996"/>
    <w:rsid w:val="1A8A3291"/>
    <w:rsid w:val="1A8C28FC"/>
    <w:rsid w:val="1A9955B0"/>
    <w:rsid w:val="1A9C1B9E"/>
    <w:rsid w:val="1AA0377C"/>
    <w:rsid w:val="1ACF2626"/>
    <w:rsid w:val="1AEA0734"/>
    <w:rsid w:val="1AEE729C"/>
    <w:rsid w:val="1B156953"/>
    <w:rsid w:val="1B394B52"/>
    <w:rsid w:val="1B434E71"/>
    <w:rsid w:val="1B47190A"/>
    <w:rsid w:val="1B507163"/>
    <w:rsid w:val="1B590BF9"/>
    <w:rsid w:val="1B5F4A3B"/>
    <w:rsid w:val="1B8041C1"/>
    <w:rsid w:val="1B807C4D"/>
    <w:rsid w:val="1B973593"/>
    <w:rsid w:val="1BA2782D"/>
    <w:rsid w:val="1BA432DE"/>
    <w:rsid w:val="1BAC0188"/>
    <w:rsid w:val="1BBC2DC2"/>
    <w:rsid w:val="1BCD508D"/>
    <w:rsid w:val="1BD428B2"/>
    <w:rsid w:val="1BEE0CC5"/>
    <w:rsid w:val="1BF11CAC"/>
    <w:rsid w:val="1C027DAA"/>
    <w:rsid w:val="1C05248B"/>
    <w:rsid w:val="1C0C7B75"/>
    <w:rsid w:val="1C135B06"/>
    <w:rsid w:val="1C6A3FBD"/>
    <w:rsid w:val="1C6E12E3"/>
    <w:rsid w:val="1C8F5E50"/>
    <w:rsid w:val="1C915D6F"/>
    <w:rsid w:val="1CAF35F8"/>
    <w:rsid w:val="1CB94AEF"/>
    <w:rsid w:val="1CC35518"/>
    <w:rsid w:val="1CCE771D"/>
    <w:rsid w:val="1CF64CAA"/>
    <w:rsid w:val="1D4B4E89"/>
    <w:rsid w:val="1D536143"/>
    <w:rsid w:val="1D5A6969"/>
    <w:rsid w:val="1D6D7B76"/>
    <w:rsid w:val="1D6E5AC4"/>
    <w:rsid w:val="1DA7732B"/>
    <w:rsid w:val="1DD56F81"/>
    <w:rsid w:val="1E107214"/>
    <w:rsid w:val="1E110170"/>
    <w:rsid w:val="1E1442D1"/>
    <w:rsid w:val="1E2C18F9"/>
    <w:rsid w:val="1E3D1621"/>
    <w:rsid w:val="1E4F0659"/>
    <w:rsid w:val="1E5940C0"/>
    <w:rsid w:val="1E731918"/>
    <w:rsid w:val="1E8B7E65"/>
    <w:rsid w:val="1E914C0E"/>
    <w:rsid w:val="1EA049FE"/>
    <w:rsid w:val="1EEA527F"/>
    <w:rsid w:val="1EFD68F0"/>
    <w:rsid w:val="1F294F33"/>
    <w:rsid w:val="1F2F628D"/>
    <w:rsid w:val="1F4C1B1A"/>
    <w:rsid w:val="1F55080A"/>
    <w:rsid w:val="1F570C86"/>
    <w:rsid w:val="1FB74E1F"/>
    <w:rsid w:val="1FBB05C1"/>
    <w:rsid w:val="1FBE198E"/>
    <w:rsid w:val="1FEA45AB"/>
    <w:rsid w:val="1FF87D2A"/>
    <w:rsid w:val="20160E73"/>
    <w:rsid w:val="202D6423"/>
    <w:rsid w:val="20327599"/>
    <w:rsid w:val="204832E2"/>
    <w:rsid w:val="205B54E2"/>
    <w:rsid w:val="20627907"/>
    <w:rsid w:val="20892C42"/>
    <w:rsid w:val="20A8186B"/>
    <w:rsid w:val="20AF27B0"/>
    <w:rsid w:val="20DB6FDC"/>
    <w:rsid w:val="20F31B88"/>
    <w:rsid w:val="21007B60"/>
    <w:rsid w:val="21204CD9"/>
    <w:rsid w:val="215F457C"/>
    <w:rsid w:val="218A5E6F"/>
    <w:rsid w:val="21EA1318"/>
    <w:rsid w:val="22172B86"/>
    <w:rsid w:val="222472A7"/>
    <w:rsid w:val="22455B4F"/>
    <w:rsid w:val="22544F6D"/>
    <w:rsid w:val="226E52C6"/>
    <w:rsid w:val="22745409"/>
    <w:rsid w:val="22745CE3"/>
    <w:rsid w:val="227B6FB6"/>
    <w:rsid w:val="228F7174"/>
    <w:rsid w:val="22931B66"/>
    <w:rsid w:val="22AD6DD4"/>
    <w:rsid w:val="22B10D92"/>
    <w:rsid w:val="22B57940"/>
    <w:rsid w:val="22BE1E13"/>
    <w:rsid w:val="22D32F55"/>
    <w:rsid w:val="22D532C7"/>
    <w:rsid w:val="22D82E0A"/>
    <w:rsid w:val="22E65367"/>
    <w:rsid w:val="22EE4C29"/>
    <w:rsid w:val="23000F1D"/>
    <w:rsid w:val="23084605"/>
    <w:rsid w:val="230F603B"/>
    <w:rsid w:val="233166D7"/>
    <w:rsid w:val="23347822"/>
    <w:rsid w:val="233C2DF1"/>
    <w:rsid w:val="23542752"/>
    <w:rsid w:val="23730E50"/>
    <w:rsid w:val="23BA6A21"/>
    <w:rsid w:val="23D57C59"/>
    <w:rsid w:val="23EB33BD"/>
    <w:rsid w:val="23F12DC3"/>
    <w:rsid w:val="23F25FA7"/>
    <w:rsid w:val="24061062"/>
    <w:rsid w:val="2412019F"/>
    <w:rsid w:val="243F7FF2"/>
    <w:rsid w:val="245B02BC"/>
    <w:rsid w:val="249F3413"/>
    <w:rsid w:val="24BD57B2"/>
    <w:rsid w:val="250D77D7"/>
    <w:rsid w:val="25245348"/>
    <w:rsid w:val="25933176"/>
    <w:rsid w:val="25AB0B54"/>
    <w:rsid w:val="260F10E1"/>
    <w:rsid w:val="261F42A0"/>
    <w:rsid w:val="262C5C9A"/>
    <w:rsid w:val="263F75BC"/>
    <w:rsid w:val="26633ADC"/>
    <w:rsid w:val="2673058B"/>
    <w:rsid w:val="267C1AE5"/>
    <w:rsid w:val="26992939"/>
    <w:rsid w:val="26A32C9B"/>
    <w:rsid w:val="26A55168"/>
    <w:rsid w:val="26B9025B"/>
    <w:rsid w:val="26B92EC6"/>
    <w:rsid w:val="26E83211"/>
    <w:rsid w:val="26EA41CA"/>
    <w:rsid w:val="27002661"/>
    <w:rsid w:val="271E273A"/>
    <w:rsid w:val="276D61CF"/>
    <w:rsid w:val="278F6DFD"/>
    <w:rsid w:val="27A941FB"/>
    <w:rsid w:val="280A3F81"/>
    <w:rsid w:val="281763B7"/>
    <w:rsid w:val="284011E0"/>
    <w:rsid w:val="28A56E52"/>
    <w:rsid w:val="28B73AE6"/>
    <w:rsid w:val="28CA7FE7"/>
    <w:rsid w:val="28FA6A14"/>
    <w:rsid w:val="28FE2949"/>
    <w:rsid w:val="28FF3C12"/>
    <w:rsid w:val="290172EE"/>
    <w:rsid w:val="291779FA"/>
    <w:rsid w:val="291A17A4"/>
    <w:rsid w:val="29291940"/>
    <w:rsid w:val="29494B5C"/>
    <w:rsid w:val="29622060"/>
    <w:rsid w:val="2969422F"/>
    <w:rsid w:val="29910B14"/>
    <w:rsid w:val="29934699"/>
    <w:rsid w:val="2993738B"/>
    <w:rsid w:val="29A11C30"/>
    <w:rsid w:val="29B43E75"/>
    <w:rsid w:val="29B83450"/>
    <w:rsid w:val="29BA6DCE"/>
    <w:rsid w:val="29C22D8E"/>
    <w:rsid w:val="29CE101E"/>
    <w:rsid w:val="29DA2E37"/>
    <w:rsid w:val="2A0C170B"/>
    <w:rsid w:val="2A0F25DC"/>
    <w:rsid w:val="2A453F6B"/>
    <w:rsid w:val="2A5D698B"/>
    <w:rsid w:val="2A5F5AD7"/>
    <w:rsid w:val="2A663649"/>
    <w:rsid w:val="2A730D48"/>
    <w:rsid w:val="2A7A0B90"/>
    <w:rsid w:val="2A8B43C6"/>
    <w:rsid w:val="2A8D5024"/>
    <w:rsid w:val="2AA202DE"/>
    <w:rsid w:val="2AB9725C"/>
    <w:rsid w:val="2B4F5DB9"/>
    <w:rsid w:val="2B554FE9"/>
    <w:rsid w:val="2B5C169D"/>
    <w:rsid w:val="2B8E1FA8"/>
    <w:rsid w:val="2B9474ED"/>
    <w:rsid w:val="2BA74784"/>
    <w:rsid w:val="2BD67C88"/>
    <w:rsid w:val="2BE21D59"/>
    <w:rsid w:val="2BE524C3"/>
    <w:rsid w:val="2BFC6552"/>
    <w:rsid w:val="2C2B1160"/>
    <w:rsid w:val="2C445BA8"/>
    <w:rsid w:val="2C7F4B5D"/>
    <w:rsid w:val="2C9D5EC4"/>
    <w:rsid w:val="2CA6014A"/>
    <w:rsid w:val="2CA9776F"/>
    <w:rsid w:val="2CB74187"/>
    <w:rsid w:val="2CD158DB"/>
    <w:rsid w:val="2D0E1609"/>
    <w:rsid w:val="2D0E5F7D"/>
    <w:rsid w:val="2D105421"/>
    <w:rsid w:val="2D127C0E"/>
    <w:rsid w:val="2D284744"/>
    <w:rsid w:val="2D301706"/>
    <w:rsid w:val="2D326D27"/>
    <w:rsid w:val="2DAD05C0"/>
    <w:rsid w:val="2DBF1D5E"/>
    <w:rsid w:val="2DCF4982"/>
    <w:rsid w:val="2DD12B04"/>
    <w:rsid w:val="2DE163D2"/>
    <w:rsid w:val="2DFD74E1"/>
    <w:rsid w:val="2E25736F"/>
    <w:rsid w:val="2E6632BD"/>
    <w:rsid w:val="2E6D0FAB"/>
    <w:rsid w:val="2EBB066F"/>
    <w:rsid w:val="2EDE7249"/>
    <w:rsid w:val="2F113348"/>
    <w:rsid w:val="2F321CAB"/>
    <w:rsid w:val="2F374B11"/>
    <w:rsid w:val="2F590EEA"/>
    <w:rsid w:val="2F7E6A9C"/>
    <w:rsid w:val="2FB10090"/>
    <w:rsid w:val="2FEA1E4A"/>
    <w:rsid w:val="2FED5816"/>
    <w:rsid w:val="300A14DF"/>
    <w:rsid w:val="300E3786"/>
    <w:rsid w:val="301B10BE"/>
    <w:rsid w:val="303F63BF"/>
    <w:rsid w:val="30586BA3"/>
    <w:rsid w:val="308B0E6A"/>
    <w:rsid w:val="30B854B7"/>
    <w:rsid w:val="30CC5068"/>
    <w:rsid w:val="30DA631B"/>
    <w:rsid w:val="30F04A26"/>
    <w:rsid w:val="311350F1"/>
    <w:rsid w:val="315D23C2"/>
    <w:rsid w:val="3168549B"/>
    <w:rsid w:val="31965385"/>
    <w:rsid w:val="319A4DF9"/>
    <w:rsid w:val="31BC7CAE"/>
    <w:rsid w:val="31C076C7"/>
    <w:rsid w:val="31C84B3B"/>
    <w:rsid w:val="31E042B1"/>
    <w:rsid w:val="31E55965"/>
    <w:rsid w:val="32353DA9"/>
    <w:rsid w:val="323B4F67"/>
    <w:rsid w:val="3269261F"/>
    <w:rsid w:val="327A6BBC"/>
    <w:rsid w:val="329573D2"/>
    <w:rsid w:val="32A761B0"/>
    <w:rsid w:val="32B839E4"/>
    <w:rsid w:val="32D342F8"/>
    <w:rsid w:val="32DA6BC7"/>
    <w:rsid w:val="32EC0356"/>
    <w:rsid w:val="331339C5"/>
    <w:rsid w:val="334F11DF"/>
    <w:rsid w:val="33911905"/>
    <w:rsid w:val="33C35926"/>
    <w:rsid w:val="33D44FF9"/>
    <w:rsid w:val="33DF1120"/>
    <w:rsid w:val="344646A4"/>
    <w:rsid w:val="345F1D9A"/>
    <w:rsid w:val="34607E87"/>
    <w:rsid w:val="34710D7F"/>
    <w:rsid w:val="34743772"/>
    <w:rsid w:val="34805D57"/>
    <w:rsid w:val="34991C9B"/>
    <w:rsid w:val="349A4923"/>
    <w:rsid w:val="34AE6F0C"/>
    <w:rsid w:val="34BB32B7"/>
    <w:rsid w:val="34DE166C"/>
    <w:rsid w:val="34E00F0E"/>
    <w:rsid w:val="34E07179"/>
    <w:rsid w:val="34F21FB1"/>
    <w:rsid w:val="34F815D1"/>
    <w:rsid w:val="34FD7E5F"/>
    <w:rsid w:val="35050BBB"/>
    <w:rsid w:val="3507758B"/>
    <w:rsid w:val="35160208"/>
    <w:rsid w:val="353C368A"/>
    <w:rsid w:val="354567C7"/>
    <w:rsid w:val="35533ECB"/>
    <w:rsid w:val="35992749"/>
    <w:rsid w:val="35AA4B86"/>
    <w:rsid w:val="35D55FDC"/>
    <w:rsid w:val="35E625B8"/>
    <w:rsid w:val="35F23A82"/>
    <w:rsid w:val="3600611D"/>
    <w:rsid w:val="360A1CEA"/>
    <w:rsid w:val="360D27C9"/>
    <w:rsid w:val="36172708"/>
    <w:rsid w:val="36222295"/>
    <w:rsid w:val="36412A1C"/>
    <w:rsid w:val="364C49CC"/>
    <w:rsid w:val="364D15D5"/>
    <w:rsid w:val="369062BB"/>
    <w:rsid w:val="36A25CDE"/>
    <w:rsid w:val="36A77ED7"/>
    <w:rsid w:val="36CF000A"/>
    <w:rsid w:val="36E04640"/>
    <w:rsid w:val="36FD1955"/>
    <w:rsid w:val="3702281F"/>
    <w:rsid w:val="37097ED1"/>
    <w:rsid w:val="370C2495"/>
    <w:rsid w:val="37111019"/>
    <w:rsid w:val="371A3539"/>
    <w:rsid w:val="37382A12"/>
    <w:rsid w:val="373A5130"/>
    <w:rsid w:val="373D156D"/>
    <w:rsid w:val="37413ACB"/>
    <w:rsid w:val="37426D45"/>
    <w:rsid w:val="374C2113"/>
    <w:rsid w:val="375503A1"/>
    <w:rsid w:val="37A420F6"/>
    <w:rsid w:val="37B57873"/>
    <w:rsid w:val="37C718E3"/>
    <w:rsid w:val="37CF7A24"/>
    <w:rsid w:val="381A640F"/>
    <w:rsid w:val="384106FB"/>
    <w:rsid w:val="384A7F8D"/>
    <w:rsid w:val="386972B1"/>
    <w:rsid w:val="38743E7A"/>
    <w:rsid w:val="3889132F"/>
    <w:rsid w:val="38A617DF"/>
    <w:rsid w:val="38B208AF"/>
    <w:rsid w:val="38BD0233"/>
    <w:rsid w:val="38C57687"/>
    <w:rsid w:val="38D74177"/>
    <w:rsid w:val="38D93570"/>
    <w:rsid w:val="38DB0713"/>
    <w:rsid w:val="38DF10FA"/>
    <w:rsid w:val="391D62C0"/>
    <w:rsid w:val="39401287"/>
    <w:rsid w:val="394D70BA"/>
    <w:rsid w:val="396842FE"/>
    <w:rsid w:val="399E46F0"/>
    <w:rsid w:val="39A5092D"/>
    <w:rsid w:val="39AD7513"/>
    <w:rsid w:val="39B377DC"/>
    <w:rsid w:val="39BC09FE"/>
    <w:rsid w:val="39CB0BC4"/>
    <w:rsid w:val="39DA1979"/>
    <w:rsid w:val="3A16587A"/>
    <w:rsid w:val="3A185E24"/>
    <w:rsid w:val="3A1F58CE"/>
    <w:rsid w:val="3A2B32BF"/>
    <w:rsid w:val="3A3814E4"/>
    <w:rsid w:val="3A4077F8"/>
    <w:rsid w:val="3A511FBA"/>
    <w:rsid w:val="3A7F1336"/>
    <w:rsid w:val="3A9F753F"/>
    <w:rsid w:val="3AB813AF"/>
    <w:rsid w:val="3ABC2DEE"/>
    <w:rsid w:val="3ADB2A4D"/>
    <w:rsid w:val="3AF63159"/>
    <w:rsid w:val="3B2F2E43"/>
    <w:rsid w:val="3B5F2465"/>
    <w:rsid w:val="3B6F2649"/>
    <w:rsid w:val="3B976C40"/>
    <w:rsid w:val="3BA8370A"/>
    <w:rsid w:val="3BB42087"/>
    <w:rsid w:val="3BB5476D"/>
    <w:rsid w:val="3BBA48E4"/>
    <w:rsid w:val="3BD37325"/>
    <w:rsid w:val="3BF15600"/>
    <w:rsid w:val="3BF61461"/>
    <w:rsid w:val="3C323E75"/>
    <w:rsid w:val="3C586D85"/>
    <w:rsid w:val="3C5F2788"/>
    <w:rsid w:val="3C6A2794"/>
    <w:rsid w:val="3C8A4697"/>
    <w:rsid w:val="3C9C6E08"/>
    <w:rsid w:val="3CA1436F"/>
    <w:rsid w:val="3CE325B0"/>
    <w:rsid w:val="3CF74AD4"/>
    <w:rsid w:val="3D0B1333"/>
    <w:rsid w:val="3D1F4B32"/>
    <w:rsid w:val="3D220FFD"/>
    <w:rsid w:val="3D31029E"/>
    <w:rsid w:val="3D4E55FE"/>
    <w:rsid w:val="3DB27123"/>
    <w:rsid w:val="3DC04B0A"/>
    <w:rsid w:val="3DC26EEC"/>
    <w:rsid w:val="3DC736B8"/>
    <w:rsid w:val="3E134AC9"/>
    <w:rsid w:val="3E2916F2"/>
    <w:rsid w:val="3E404F5A"/>
    <w:rsid w:val="3E9B68D4"/>
    <w:rsid w:val="3ECA0226"/>
    <w:rsid w:val="3ED92531"/>
    <w:rsid w:val="3EE54B63"/>
    <w:rsid w:val="3F032A8D"/>
    <w:rsid w:val="3F090025"/>
    <w:rsid w:val="3F5B2D55"/>
    <w:rsid w:val="3F876D53"/>
    <w:rsid w:val="3F907663"/>
    <w:rsid w:val="3F9B3FAC"/>
    <w:rsid w:val="3FA7206A"/>
    <w:rsid w:val="3FC82161"/>
    <w:rsid w:val="3FCF21CA"/>
    <w:rsid w:val="3FDD0A3C"/>
    <w:rsid w:val="40303052"/>
    <w:rsid w:val="40674498"/>
    <w:rsid w:val="4075640B"/>
    <w:rsid w:val="40836429"/>
    <w:rsid w:val="409D5A0B"/>
    <w:rsid w:val="40A70600"/>
    <w:rsid w:val="40A91CE2"/>
    <w:rsid w:val="40B10BA3"/>
    <w:rsid w:val="40BA208D"/>
    <w:rsid w:val="40C2531E"/>
    <w:rsid w:val="40CD237E"/>
    <w:rsid w:val="40D76F48"/>
    <w:rsid w:val="40FE66BA"/>
    <w:rsid w:val="41053EEF"/>
    <w:rsid w:val="41375649"/>
    <w:rsid w:val="41404526"/>
    <w:rsid w:val="415200EF"/>
    <w:rsid w:val="418F1342"/>
    <w:rsid w:val="419736B0"/>
    <w:rsid w:val="42085B14"/>
    <w:rsid w:val="422E030D"/>
    <w:rsid w:val="42347AF6"/>
    <w:rsid w:val="427C1FEC"/>
    <w:rsid w:val="427F7CCF"/>
    <w:rsid w:val="428C6BF0"/>
    <w:rsid w:val="42945ECE"/>
    <w:rsid w:val="429B6552"/>
    <w:rsid w:val="42E63D14"/>
    <w:rsid w:val="42FC6188"/>
    <w:rsid w:val="43012577"/>
    <w:rsid w:val="4314452B"/>
    <w:rsid w:val="433A5F60"/>
    <w:rsid w:val="43573A0E"/>
    <w:rsid w:val="43A15EEE"/>
    <w:rsid w:val="43AC4379"/>
    <w:rsid w:val="43C579F7"/>
    <w:rsid w:val="43D145A4"/>
    <w:rsid w:val="43D23D3C"/>
    <w:rsid w:val="44064775"/>
    <w:rsid w:val="440E1BA4"/>
    <w:rsid w:val="44176D30"/>
    <w:rsid w:val="44247109"/>
    <w:rsid w:val="445B0D2E"/>
    <w:rsid w:val="44747C9D"/>
    <w:rsid w:val="44860F01"/>
    <w:rsid w:val="448A74F7"/>
    <w:rsid w:val="449A3454"/>
    <w:rsid w:val="44A7565D"/>
    <w:rsid w:val="44AE6310"/>
    <w:rsid w:val="44B92663"/>
    <w:rsid w:val="44E90ED3"/>
    <w:rsid w:val="44FB73E3"/>
    <w:rsid w:val="45094D40"/>
    <w:rsid w:val="452875C0"/>
    <w:rsid w:val="453961E1"/>
    <w:rsid w:val="45757493"/>
    <w:rsid w:val="45C15BC2"/>
    <w:rsid w:val="45D51B7C"/>
    <w:rsid w:val="45F71967"/>
    <w:rsid w:val="46042ADD"/>
    <w:rsid w:val="463063D8"/>
    <w:rsid w:val="463C51CF"/>
    <w:rsid w:val="466E7C53"/>
    <w:rsid w:val="467D437D"/>
    <w:rsid w:val="46BE59A6"/>
    <w:rsid w:val="46C11E93"/>
    <w:rsid w:val="46D87D3B"/>
    <w:rsid w:val="46E52135"/>
    <w:rsid w:val="471507B7"/>
    <w:rsid w:val="47247B3F"/>
    <w:rsid w:val="472F6FF5"/>
    <w:rsid w:val="47692AE4"/>
    <w:rsid w:val="47716BB9"/>
    <w:rsid w:val="47977C06"/>
    <w:rsid w:val="47BC635D"/>
    <w:rsid w:val="47EA2A04"/>
    <w:rsid w:val="47F471F2"/>
    <w:rsid w:val="48007761"/>
    <w:rsid w:val="48175A94"/>
    <w:rsid w:val="48245BE8"/>
    <w:rsid w:val="483719F9"/>
    <w:rsid w:val="483B16AE"/>
    <w:rsid w:val="485B51D0"/>
    <w:rsid w:val="48660E62"/>
    <w:rsid w:val="48685846"/>
    <w:rsid w:val="48882E47"/>
    <w:rsid w:val="48AB7A4F"/>
    <w:rsid w:val="48AC618F"/>
    <w:rsid w:val="48ED7ED5"/>
    <w:rsid w:val="492179F6"/>
    <w:rsid w:val="49363D13"/>
    <w:rsid w:val="495678A6"/>
    <w:rsid w:val="49712B06"/>
    <w:rsid w:val="49961386"/>
    <w:rsid w:val="49A519DD"/>
    <w:rsid w:val="49A546DF"/>
    <w:rsid w:val="49A60242"/>
    <w:rsid w:val="49CE6DC2"/>
    <w:rsid w:val="49D62046"/>
    <w:rsid w:val="49E43256"/>
    <w:rsid w:val="49FA0C9F"/>
    <w:rsid w:val="4A2E0918"/>
    <w:rsid w:val="4A3730A0"/>
    <w:rsid w:val="4A426F5B"/>
    <w:rsid w:val="4A4A709F"/>
    <w:rsid w:val="4A527055"/>
    <w:rsid w:val="4A6643C2"/>
    <w:rsid w:val="4ABC5EC7"/>
    <w:rsid w:val="4AE85596"/>
    <w:rsid w:val="4AFC3E42"/>
    <w:rsid w:val="4B0E4A30"/>
    <w:rsid w:val="4B16220A"/>
    <w:rsid w:val="4B2207B6"/>
    <w:rsid w:val="4B276589"/>
    <w:rsid w:val="4B303839"/>
    <w:rsid w:val="4B8F7471"/>
    <w:rsid w:val="4BE93950"/>
    <w:rsid w:val="4BF222A8"/>
    <w:rsid w:val="4C021F65"/>
    <w:rsid w:val="4C174C6E"/>
    <w:rsid w:val="4C224173"/>
    <w:rsid w:val="4C3763ED"/>
    <w:rsid w:val="4C3C7B4F"/>
    <w:rsid w:val="4C830996"/>
    <w:rsid w:val="4C965F65"/>
    <w:rsid w:val="4CA34E97"/>
    <w:rsid w:val="4CB43190"/>
    <w:rsid w:val="4CC204C3"/>
    <w:rsid w:val="4CC508BC"/>
    <w:rsid w:val="4CEC17E7"/>
    <w:rsid w:val="4CEF4593"/>
    <w:rsid w:val="4D154DD1"/>
    <w:rsid w:val="4D4007F6"/>
    <w:rsid w:val="4D463BFA"/>
    <w:rsid w:val="4D5403F1"/>
    <w:rsid w:val="4D5863D8"/>
    <w:rsid w:val="4D643F6E"/>
    <w:rsid w:val="4D793396"/>
    <w:rsid w:val="4D8D2B83"/>
    <w:rsid w:val="4DE3361C"/>
    <w:rsid w:val="4E0859B7"/>
    <w:rsid w:val="4E0B6D99"/>
    <w:rsid w:val="4E0D661D"/>
    <w:rsid w:val="4E3D4760"/>
    <w:rsid w:val="4E42183A"/>
    <w:rsid w:val="4E4E6748"/>
    <w:rsid w:val="4E5E6C42"/>
    <w:rsid w:val="4E6B2AD3"/>
    <w:rsid w:val="4E7B083D"/>
    <w:rsid w:val="4E7E7CEE"/>
    <w:rsid w:val="4E8F1F96"/>
    <w:rsid w:val="4ED41BDA"/>
    <w:rsid w:val="4EFD2CAF"/>
    <w:rsid w:val="4EFF4735"/>
    <w:rsid w:val="4F0C5422"/>
    <w:rsid w:val="4F1B1429"/>
    <w:rsid w:val="4F2343DF"/>
    <w:rsid w:val="4F5F39CB"/>
    <w:rsid w:val="4F770989"/>
    <w:rsid w:val="4F9C5D14"/>
    <w:rsid w:val="4FA531B6"/>
    <w:rsid w:val="4FB10338"/>
    <w:rsid w:val="4FB77801"/>
    <w:rsid w:val="4FD65E1A"/>
    <w:rsid w:val="4FDB48D7"/>
    <w:rsid w:val="50095924"/>
    <w:rsid w:val="502665A1"/>
    <w:rsid w:val="50A96966"/>
    <w:rsid w:val="50BA0725"/>
    <w:rsid w:val="50C65C4A"/>
    <w:rsid w:val="510A579F"/>
    <w:rsid w:val="511275D2"/>
    <w:rsid w:val="51175DA4"/>
    <w:rsid w:val="51407A51"/>
    <w:rsid w:val="514F303F"/>
    <w:rsid w:val="515F5907"/>
    <w:rsid w:val="51613B68"/>
    <w:rsid w:val="5178792C"/>
    <w:rsid w:val="51857D78"/>
    <w:rsid w:val="519165DE"/>
    <w:rsid w:val="51995E91"/>
    <w:rsid w:val="51E325D8"/>
    <w:rsid w:val="51EB1A9A"/>
    <w:rsid w:val="522212E0"/>
    <w:rsid w:val="52974B1C"/>
    <w:rsid w:val="529977F9"/>
    <w:rsid w:val="52C1107E"/>
    <w:rsid w:val="52C524E8"/>
    <w:rsid w:val="52C846D9"/>
    <w:rsid w:val="52D814A9"/>
    <w:rsid w:val="52F75CDD"/>
    <w:rsid w:val="531E743A"/>
    <w:rsid w:val="533E3C88"/>
    <w:rsid w:val="534B53BF"/>
    <w:rsid w:val="53527F82"/>
    <w:rsid w:val="53534E07"/>
    <w:rsid w:val="53601FFA"/>
    <w:rsid w:val="53765C61"/>
    <w:rsid w:val="537E4F29"/>
    <w:rsid w:val="5386043D"/>
    <w:rsid w:val="53B004C3"/>
    <w:rsid w:val="53BE10EE"/>
    <w:rsid w:val="53C45EA0"/>
    <w:rsid w:val="53D43EDF"/>
    <w:rsid w:val="540B3E45"/>
    <w:rsid w:val="541752CC"/>
    <w:rsid w:val="542C2E47"/>
    <w:rsid w:val="54570FB0"/>
    <w:rsid w:val="545E2F0B"/>
    <w:rsid w:val="5497480B"/>
    <w:rsid w:val="549D4F5F"/>
    <w:rsid w:val="54C9552D"/>
    <w:rsid w:val="54D04B06"/>
    <w:rsid w:val="54F2606B"/>
    <w:rsid w:val="54F416A8"/>
    <w:rsid w:val="54F85BD6"/>
    <w:rsid w:val="551C7F30"/>
    <w:rsid w:val="553C45E9"/>
    <w:rsid w:val="55431469"/>
    <w:rsid w:val="555F27D7"/>
    <w:rsid w:val="55695E65"/>
    <w:rsid w:val="55716ACE"/>
    <w:rsid w:val="55751455"/>
    <w:rsid w:val="557B75B4"/>
    <w:rsid w:val="557D120B"/>
    <w:rsid w:val="55A56D74"/>
    <w:rsid w:val="55AA7A20"/>
    <w:rsid w:val="55B3160F"/>
    <w:rsid w:val="55B7244A"/>
    <w:rsid w:val="55BF708B"/>
    <w:rsid w:val="55D968B4"/>
    <w:rsid w:val="55E31C69"/>
    <w:rsid w:val="55FC477D"/>
    <w:rsid w:val="5678796E"/>
    <w:rsid w:val="56790351"/>
    <w:rsid w:val="56A16115"/>
    <w:rsid w:val="56B3469C"/>
    <w:rsid w:val="57301425"/>
    <w:rsid w:val="573044FD"/>
    <w:rsid w:val="574D6F8E"/>
    <w:rsid w:val="577637C2"/>
    <w:rsid w:val="57882E1D"/>
    <w:rsid w:val="57A155A1"/>
    <w:rsid w:val="57A40427"/>
    <w:rsid w:val="57A960D9"/>
    <w:rsid w:val="57D3793E"/>
    <w:rsid w:val="57F40FFC"/>
    <w:rsid w:val="581D4282"/>
    <w:rsid w:val="58203A9C"/>
    <w:rsid w:val="58437EF2"/>
    <w:rsid w:val="585B73A9"/>
    <w:rsid w:val="586365BE"/>
    <w:rsid w:val="586737EC"/>
    <w:rsid w:val="58771BB9"/>
    <w:rsid w:val="587F73D1"/>
    <w:rsid w:val="59354FEE"/>
    <w:rsid w:val="593A0C5E"/>
    <w:rsid w:val="59506BC3"/>
    <w:rsid w:val="59634E37"/>
    <w:rsid w:val="5992406B"/>
    <w:rsid w:val="59B12B1F"/>
    <w:rsid w:val="59CE4D78"/>
    <w:rsid w:val="59D701AE"/>
    <w:rsid w:val="59D74C49"/>
    <w:rsid w:val="5A312C93"/>
    <w:rsid w:val="5A40051A"/>
    <w:rsid w:val="5A590BA1"/>
    <w:rsid w:val="5A72046D"/>
    <w:rsid w:val="5ACE3FAA"/>
    <w:rsid w:val="5ADD71A7"/>
    <w:rsid w:val="5AE73A7F"/>
    <w:rsid w:val="5AF96537"/>
    <w:rsid w:val="5B2E0CAE"/>
    <w:rsid w:val="5B4D4F03"/>
    <w:rsid w:val="5B73319F"/>
    <w:rsid w:val="5B8278E2"/>
    <w:rsid w:val="5B921B12"/>
    <w:rsid w:val="5B950397"/>
    <w:rsid w:val="5B974648"/>
    <w:rsid w:val="5BA93D43"/>
    <w:rsid w:val="5BA950FB"/>
    <w:rsid w:val="5C012C98"/>
    <w:rsid w:val="5C126AAF"/>
    <w:rsid w:val="5C1B3C77"/>
    <w:rsid w:val="5C420E91"/>
    <w:rsid w:val="5C8019EF"/>
    <w:rsid w:val="5CC04D54"/>
    <w:rsid w:val="5CC13769"/>
    <w:rsid w:val="5CEF7C8E"/>
    <w:rsid w:val="5CF06607"/>
    <w:rsid w:val="5CFA6096"/>
    <w:rsid w:val="5D062282"/>
    <w:rsid w:val="5D3F7F83"/>
    <w:rsid w:val="5D9323D9"/>
    <w:rsid w:val="5D985A85"/>
    <w:rsid w:val="5DA4517C"/>
    <w:rsid w:val="5DCE52A3"/>
    <w:rsid w:val="5DD53E3B"/>
    <w:rsid w:val="5E173547"/>
    <w:rsid w:val="5E5A692E"/>
    <w:rsid w:val="5E754FB0"/>
    <w:rsid w:val="5E8B451E"/>
    <w:rsid w:val="5EBB6B88"/>
    <w:rsid w:val="5EE07D0A"/>
    <w:rsid w:val="5EE4386E"/>
    <w:rsid w:val="5F0122E6"/>
    <w:rsid w:val="5F1A5B61"/>
    <w:rsid w:val="5F2312FB"/>
    <w:rsid w:val="5F3E5317"/>
    <w:rsid w:val="5F4F6913"/>
    <w:rsid w:val="5F5760FF"/>
    <w:rsid w:val="5F627F6E"/>
    <w:rsid w:val="5F660AFD"/>
    <w:rsid w:val="5F725C1C"/>
    <w:rsid w:val="5F787EF5"/>
    <w:rsid w:val="5F88146B"/>
    <w:rsid w:val="5F8D6B55"/>
    <w:rsid w:val="5FA8474D"/>
    <w:rsid w:val="5FB059D3"/>
    <w:rsid w:val="5FB9702C"/>
    <w:rsid w:val="5FC32976"/>
    <w:rsid w:val="5FE97271"/>
    <w:rsid w:val="60104232"/>
    <w:rsid w:val="60275BB4"/>
    <w:rsid w:val="60407D43"/>
    <w:rsid w:val="60470842"/>
    <w:rsid w:val="60493E33"/>
    <w:rsid w:val="608976AE"/>
    <w:rsid w:val="6093159C"/>
    <w:rsid w:val="60C718B8"/>
    <w:rsid w:val="60C82A1B"/>
    <w:rsid w:val="60DD190C"/>
    <w:rsid w:val="60DD79F9"/>
    <w:rsid w:val="612829E2"/>
    <w:rsid w:val="613742A4"/>
    <w:rsid w:val="61717A44"/>
    <w:rsid w:val="61A13DD0"/>
    <w:rsid w:val="61B256FE"/>
    <w:rsid w:val="61C80865"/>
    <w:rsid w:val="61CA0E16"/>
    <w:rsid w:val="61F25947"/>
    <w:rsid w:val="61FD0F09"/>
    <w:rsid w:val="621446FD"/>
    <w:rsid w:val="62332415"/>
    <w:rsid w:val="62366BBB"/>
    <w:rsid w:val="626006B9"/>
    <w:rsid w:val="627804B2"/>
    <w:rsid w:val="62825EB6"/>
    <w:rsid w:val="628F5BDE"/>
    <w:rsid w:val="62AC0A97"/>
    <w:rsid w:val="62AE1DE2"/>
    <w:rsid w:val="63117DA1"/>
    <w:rsid w:val="6329074A"/>
    <w:rsid w:val="634C1A2B"/>
    <w:rsid w:val="63504BD0"/>
    <w:rsid w:val="63726798"/>
    <w:rsid w:val="63735AF6"/>
    <w:rsid w:val="6381628F"/>
    <w:rsid w:val="63C23DD9"/>
    <w:rsid w:val="63C9658F"/>
    <w:rsid w:val="63F94CAF"/>
    <w:rsid w:val="64003ACA"/>
    <w:rsid w:val="64050AEC"/>
    <w:rsid w:val="64100320"/>
    <w:rsid w:val="64241663"/>
    <w:rsid w:val="642A6A96"/>
    <w:rsid w:val="642B23A1"/>
    <w:rsid w:val="64362FF4"/>
    <w:rsid w:val="645B5412"/>
    <w:rsid w:val="64947437"/>
    <w:rsid w:val="64962C32"/>
    <w:rsid w:val="64B0477F"/>
    <w:rsid w:val="64C3135E"/>
    <w:rsid w:val="64C61E39"/>
    <w:rsid w:val="64C760B1"/>
    <w:rsid w:val="64CF02EC"/>
    <w:rsid w:val="64D1272D"/>
    <w:rsid w:val="64DA2598"/>
    <w:rsid w:val="64DB5CA7"/>
    <w:rsid w:val="64F14205"/>
    <w:rsid w:val="651A1BA8"/>
    <w:rsid w:val="653F5D30"/>
    <w:rsid w:val="657B3D34"/>
    <w:rsid w:val="658963EF"/>
    <w:rsid w:val="65A6092F"/>
    <w:rsid w:val="65C77925"/>
    <w:rsid w:val="65C924C3"/>
    <w:rsid w:val="65E71029"/>
    <w:rsid w:val="66022147"/>
    <w:rsid w:val="6607233A"/>
    <w:rsid w:val="665B163E"/>
    <w:rsid w:val="665B4C03"/>
    <w:rsid w:val="66624F7F"/>
    <w:rsid w:val="66634B76"/>
    <w:rsid w:val="66AF0FE2"/>
    <w:rsid w:val="66B67035"/>
    <w:rsid w:val="66C30AA4"/>
    <w:rsid w:val="66CE0D9D"/>
    <w:rsid w:val="66D07581"/>
    <w:rsid w:val="66F27A2E"/>
    <w:rsid w:val="674059D5"/>
    <w:rsid w:val="6744325C"/>
    <w:rsid w:val="674922CA"/>
    <w:rsid w:val="67507385"/>
    <w:rsid w:val="67666597"/>
    <w:rsid w:val="676B0C83"/>
    <w:rsid w:val="677606AA"/>
    <w:rsid w:val="67792160"/>
    <w:rsid w:val="6779379D"/>
    <w:rsid w:val="677A7D96"/>
    <w:rsid w:val="677F4951"/>
    <w:rsid w:val="679A6A60"/>
    <w:rsid w:val="68103F2C"/>
    <w:rsid w:val="68202BD9"/>
    <w:rsid w:val="6850630A"/>
    <w:rsid w:val="686E2A8B"/>
    <w:rsid w:val="687D074F"/>
    <w:rsid w:val="6894349C"/>
    <w:rsid w:val="68955438"/>
    <w:rsid w:val="68986CED"/>
    <w:rsid w:val="689C7AB8"/>
    <w:rsid w:val="68A01A17"/>
    <w:rsid w:val="68B41930"/>
    <w:rsid w:val="68B432FE"/>
    <w:rsid w:val="68B75FC2"/>
    <w:rsid w:val="68C03E7D"/>
    <w:rsid w:val="68E878C5"/>
    <w:rsid w:val="68EA21A7"/>
    <w:rsid w:val="68F079A8"/>
    <w:rsid w:val="68F50FC7"/>
    <w:rsid w:val="696F525F"/>
    <w:rsid w:val="69B93E57"/>
    <w:rsid w:val="69F02B6F"/>
    <w:rsid w:val="6A0E6FD7"/>
    <w:rsid w:val="6A52582D"/>
    <w:rsid w:val="6A6066C9"/>
    <w:rsid w:val="6A79540A"/>
    <w:rsid w:val="6AA151A1"/>
    <w:rsid w:val="6AB04B0E"/>
    <w:rsid w:val="6ABE2EF2"/>
    <w:rsid w:val="6ACB6D86"/>
    <w:rsid w:val="6ACE0A38"/>
    <w:rsid w:val="6AED351C"/>
    <w:rsid w:val="6AF438C1"/>
    <w:rsid w:val="6AF928BC"/>
    <w:rsid w:val="6B324066"/>
    <w:rsid w:val="6B4F484E"/>
    <w:rsid w:val="6B6C052E"/>
    <w:rsid w:val="6B71190B"/>
    <w:rsid w:val="6BAF056D"/>
    <w:rsid w:val="6C061654"/>
    <w:rsid w:val="6C0E7B92"/>
    <w:rsid w:val="6C3B2299"/>
    <w:rsid w:val="6C6E7E68"/>
    <w:rsid w:val="6C75683A"/>
    <w:rsid w:val="6C7634F0"/>
    <w:rsid w:val="6C79046F"/>
    <w:rsid w:val="6C906926"/>
    <w:rsid w:val="6CDF1C7D"/>
    <w:rsid w:val="6CEB640A"/>
    <w:rsid w:val="6D0A2234"/>
    <w:rsid w:val="6D411398"/>
    <w:rsid w:val="6D807B97"/>
    <w:rsid w:val="6D857123"/>
    <w:rsid w:val="6DDA35B4"/>
    <w:rsid w:val="6DDF0F4B"/>
    <w:rsid w:val="6DEB78D3"/>
    <w:rsid w:val="6DFF2089"/>
    <w:rsid w:val="6E0E6DB7"/>
    <w:rsid w:val="6E12486A"/>
    <w:rsid w:val="6E156473"/>
    <w:rsid w:val="6E29710C"/>
    <w:rsid w:val="6E2C4E1D"/>
    <w:rsid w:val="6E43652A"/>
    <w:rsid w:val="6E525530"/>
    <w:rsid w:val="6E727DDB"/>
    <w:rsid w:val="6E841797"/>
    <w:rsid w:val="6E8A15DA"/>
    <w:rsid w:val="6E8D2327"/>
    <w:rsid w:val="6EA62FBC"/>
    <w:rsid w:val="6EA709FF"/>
    <w:rsid w:val="6EA77E0F"/>
    <w:rsid w:val="6EAD1A1D"/>
    <w:rsid w:val="6EAE47F1"/>
    <w:rsid w:val="6EB53061"/>
    <w:rsid w:val="6EC344B5"/>
    <w:rsid w:val="6ECF5DBC"/>
    <w:rsid w:val="6EE349C0"/>
    <w:rsid w:val="6EEB03DC"/>
    <w:rsid w:val="6EFC01C3"/>
    <w:rsid w:val="6F0F4E64"/>
    <w:rsid w:val="6F204A18"/>
    <w:rsid w:val="6F2F743B"/>
    <w:rsid w:val="6F7871EE"/>
    <w:rsid w:val="6F7B78CF"/>
    <w:rsid w:val="6FB12628"/>
    <w:rsid w:val="6FDF3D18"/>
    <w:rsid w:val="70012B03"/>
    <w:rsid w:val="700426BA"/>
    <w:rsid w:val="70305578"/>
    <w:rsid w:val="70370799"/>
    <w:rsid w:val="709A3410"/>
    <w:rsid w:val="709D5C78"/>
    <w:rsid w:val="709F3101"/>
    <w:rsid w:val="70A00755"/>
    <w:rsid w:val="70A4022F"/>
    <w:rsid w:val="70B701FD"/>
    <w:rsid w:val="70BA4F30"/>
    <w:rsid w:val="70DA45DE"/>
    <w:rsid w:val="70EC7107"/>
    <w:rsid w:val="70ED1E73"/>
    <w:rsid w:val="70F42C9D"/>
    <w:rsid w:val="711969D9"/>
    <w:rsid w:val="712405F8"/>
    <w:rsid w:val="71407421"/>
    <w:rsid w:val="71432540"/>
    <w:rsid w:val="71511470"/>
    <w:rsid w:val="71536B16"/>
    <w:rsid w:val="716C7477"/>
    <w:rsid w:val="717347D6"/>
    <w:rsid w:val="71857125"/>
    <w:rsid w:val="718B4F01"/>
    <w:rsid w:val="71A32B38"/>
    <w:rsid w:val="71BE2DF5"/>
    <w:rsid w:val="71D62672"/>
    <w:rsid w:val="71DB1BE9"/>
    <w:rsid w:val="71EF5802"/>
    <w:rsid w:val="72145FE3"/>
    <w:rsid w:val="725371CF"/>
    <w:rsid w:val="725452FF"/>
    <w:rsid w:val="726F3764"/>
    <w:rsid w:val="727A198E"/>
    <w:rsid w:val="727A384C"/>
    <w:rsid w:val="72943F40"/>
    <w:rsid w:val="72A12B4A"/>
    <w:rsid w:val="72A56845"/>
    <w:rsid w:val="72EB038E"/>
    <w:rsid w:val="72F72070"/>
    <w:rsid w:val="72FF227E"/>
    <w:rsid w:val="73041802"/>
    <w:rsid w:val="731F121C"/>
    <w:rsid w:val="73202C9B"/>
    <w:rsid w:val="73AA2226"/>
    <w:rsid w:val="73B57ACE"/>
    <w:rsid w:val="73D07E20"/>
    <w:rsid w:val="73E93BA8"/>
    <w:rsid w:val="74174026"/>
    <w:rsid w:val="741C0440"/>
    <w:rsid w:val="7439161E"/>
    <w:rsid w:val="744418F8"/>
    <w:rsid w:val="74641601"/>
    <w:rsid w:val="74954BA5"/>
    <w:rsid w:val="74AB7A0E"/>
    <w:rsid w:val="74AF0651"/>
    <w:rsid w:val="74B72369"/>
    <w:rsid w:val="74C13139"/>
    <w:rsid w:val="74CC15CD"/>
    <w:rsid w:val="74DE3C64"/>
    <w:rsid w:val="7518690C"/>
    <w:rsid w:val="757C40CC"/>
    <w:rsid w:val="75B71EF5"/>
    <w:rsid w:val="75D821F1"/>
    <w:rsid w:val="75DB0C0D"/>
    <w:rsid w:val="75DF25C5"/>
    <w:rsid w:val="75E655D1"/>
    <w:rsid w:val="75F836CA"/>
    <w:rsid w:val="75FE3A5F"/>
    <w:rsid w:val="760517DA"/>
    <w:rsid w:val="760C53C1"/>
    <w:rsid w:val="761A77BC"/>
    <w:rsid w:val="762F2B79"/>
    <w:rsid w:val="763A7CD4"/>
    <w:rsid w:val="763E7312"/>
    <w:rsid w:val="764835FD"/>
    <w:rsid w:val="7652356D"/>
    <w:rsid w:val="76530767"/>
    <w:rsid w:val="766D72DF"/>
    <w:rsid w:val="766F797F"/>
    <w:rsid w:val="76801A1A"/>
    <w:rsid w:val="76AA51C7"/>
    <w:rsid w:val="76CC05AA"/>
    <w:rsid w:val="771B7C0C"/>
    <w:rsid w:val="77467840"/>
    <w:rsid w:val="775B57F2"/>
    <w:rsid w:val="77775517"/>
    <w:rsid w:val="77792ABC"/>
    <w:rsid w:val="777C49A6"/>
    <w:rsid w:val="77853DEC"/>
    <w:rsid w:val="77854F46"/>
    <w:rsid w:val="778C3E7C"/>
    <w:rsid w:val="77A03586"/>
    <w:rsid w:val="77CC56B2"/>
    <w:rsid w:val="77FF0527"/>
    <w:rsid w:val="781B3A4B"/>
    <w:rsid w:val="78243262"/>
    <w:rsid w:val="78452BFB"/>
    <w:rsid w:val="78467455"/>
    <w:rsid w:val="78623691"/>
    <w:rsid w:val="78696BD9"/>
    <w:rsid w:val="788B1FD5"/>
    <w:rsid w:val="78F46D86"/>
    <w:rsid w:val="79086252"/>
    <w:rsid w:val="794945CC"/>
    <w:rsid w:val="797700FF"/>
    <w:rsid w:val="798807C4"/>
    <w:rsid w:val="79B47A77"/>
    <w:rsid w:val="79B53D1B"/>
    <w:rsid w:val="79D90943"/>
    <w:rsid w:val="79E43535"/>
    <w:rsid w:val="79FE2DA3"/>
    <w:rsid w:val="7A085BD4"/>
    <w:rsid w:val="7A1A4F78"/>
    <w:rsid w:val="7A2649DE"/>
    <w:rsid w:val="7A3B0C46"/>
    <w:rsid w:val="7A5F62C9"/>
    <w:rsid w:val="7A611768"/>
    <w:rsid w:val="7A665723"/>
    <w:rsid w:val="7A693011"/>
    <w:rsid w:val="7A726149"/>
    <w:rsid w:val="7A933392"/>
    <w:rsid w:val="7AAD5EFF"/>
    <w:rsid w:val="7ABF1686"/>
    <w:rsid w:val="7AFA0E10"/>
    <w:rsid w:val="7B0F576C"/>
    <w:rsid w:val="7B16712A"/>
    <w:rsid w:val="7B2045F3"/>
    <w:rsid w:val="7B293FA0"/>
    <w:rsid w:val="7B671ED2"/>
    <w:rsid w:val="7B737BE7"/>
    <w:rsid w:val="7B763716"/>
    <w:rsid w:val="7B8A59B5"/>
    <w:rsid w:val="7BC50736"/>
    <w:rsid w:val="7BE554F6"/>
    <w:rsid w:val="7BF01EF9"/>
    <w:rsid w:val="7BFC5374"/>
    <w:rsid w:val="7C25504F"/>
    <w:rsid w:val="7C25785E"/>
    <w:rsid w:val="7C2C0671"/>
    <w:rsid w:val="7C400FB4"/>
    <w:rsid w:val="7C561A2E"/>
    <w:rsid w:val="7C5E013E"/>
    <w:rsid w:val="7C7267B5"/>
    <w:rsid w:val="7C8643AD"/>
    <w:rsid w:val="7C9A120A"/>
    <w:rsid w:val="7CA947BC"/>
    <w:rsid w:val="7CEE1F08"/>
    <w:rsid w:val="7D1C73BC"/>
    <w:rsid w:val="7D24539B"/>
    <w:rsid w:val="7D3815B1"/>
    <w:rsid w:val="7D456C65"/>
    <w:rsid w:val="7D61440C"/>
    <w:rsid w:val="7D795ADF"/>
    <w:rsid w:val="7D940AF2"/>
    <w:rsid w:val="7DCF5EFF"/>
    <w:rsid w:val="7DDE27F2"/>
    <w:rsid w:val="7DED6E73"/>
    <w:rsid w:val="7E072D1F"/>
    <w:rsid w:val="7E0865E5"/>
    <w:rsid w:val="7E1417AC"/>
    <w:rsid w:val="7E466040"/>
    <w:rsid w:val="7E563D14"/>
    <w:rsid w:val="7E63522A"/>
    <w:rsid w:val="7E814616"/>
    <w:rsid w:val="7EA72B50"/>
    <w:rsid w:val="7EB8027D"/>
    <w:rsid w:val="7F0D4A79"/>
    <w:rsid w:val="7F3A12C3"/>
    <w:rsid w:val="7F3E0AA0"/>
    <w:rsid w:val="7F8710A1"/>
    <w:rsid w:val="7FC80472"/>
    <w:rsid w:val="7FDB222D"/>
    <w:rsid w:val="7FF055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0E0D"/>
    <w:pPr>
      <w:widowControl w:val="0"/>
      <w:jc w:val="both"/>
    </w:pPr>
    <w:rPr>
      <w:kern w:val="2"/>
      <w:sz w:val="21"/>
      <w:szCs w:val="24"/>
    </w:rPr>
  </w:style>
  <w:style w:type="paragraph" w:styleId="2">
    <w:name w:val="heading 2"/>
    <w:basedOn w:val="a"/>
    <w:next w:val="a"/>
    <w:uiPriority w:val="1"/>
    <w:qFormat/>
    <w:rsid w:val="00ED0E0D"/>
    <w:pPr>
      <w:spacing w:before="42"/>
      <w:ind w:left="1940"/>
      <w:outlineLvl w:val="1"/>
    </w:pPr>
    <w:rPr>
      <w:rFonts w:ascii="仿宋" w:eastAsia="仿宋" w:hAnsi="仿宋" w:cs="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ED0E0D"/>
    <w:rPr>
      <w:rFonts w:ascii="仿宋" w:eastAsia="仿宋" w:hAnsi="仿宋" w:cs="仿宋"/>
      <w:sz w:val="32"/>
      <w:szCs w:val="32"/>
    </w:rPr>
  </w:style>
  <w:style w:type="paragraph" w:styleId="a4">
    <w:name w:val="footer"/>
    <w:basedOn w:val="a"/>
    <w:qFormat/>
    <w:rsid w:val="00ED0E0D"/>
    <w:pPr>
      <w:tabs>
        <w:tab w:val="center" w:pos="4153"/>
        <w:tab w:val="right" w:pos="8306"/>
      </w:tabs>
      <w:snapToGrid w:val="0"/>
      <w:jc w:val="left"/>
    </w:pPr>
    <w:rPr>
      <w:sz w:val="18"/>
    </w:rPr>
  </w:style>
  <w:style w:type="paragraph" w:styleId="a5">
    <w:name w:val="header"/>
    <w:basedOn w:val="a"/>
    <w:qFormat/>
    <w:rsid w:val="00ED0E0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a6">
    <w:name w:val="正文（绩效）"/>
    <w:basedOn w:val="a"/>
    <w:qFormat/>
    <w:rsid w:val="00ED0E0D"/>
    <w:pPr>
      <w:spacing w:line="540" w:lineRule="exact"/>
      <w:ind w:firstLineChars="200" w:firstLine="1080"/>
    </w:pPr>
    <w:rPr>
      <w:rFonts w:ascii="仿宋" w:eastAsia="仿宋" w:hAnsi="仿宋"/>
      <w:sz w:val="32"/>
    </w:rPr>
  </w:style>
  <w:style w:type="paragraph" w:customStyle="1" w:styleId="a7">
    <w:name w:val="（绩效）正文"/>
    <w:basedOn w:val="a"/>
    <w:qFormat/>
    <w:rsid w:val="00ED0E0D"/>
    <w:pPr>
      <w:ind w:firstLineChars="200" w:firstLine="1080"/>
    </w:pPr>
    <w:rPr>
      <w:rFonts w:ascii="仿宋" w:eastAsia="仿宋" w:hAnsi="仿宋"/>
      <w:sz w:val="32"/>
      <w:szCs w:val="22"/>
      <w:lang w:eastAsia="en-US"/>
    </w:rPr>
  </w:style>
  <w:style w:type="paragraph" w:customStyle="1" w:styleId="a8">
    <w:name w:val="（绩效）标题一、"/>
    <w:basedOn w:val="a"/>
    <w:qFormat/>
    <w:rsid w:val="00ED0E0D"/>
    <w:pPr>
      <w:ind w:firstLineChars="200" w:firstLine="1080"/>
    </w:pPr>
    <w:rPr>
      <w:rFonts w:eastAsia="黑体"/>
      <w:sz w:val="32"/>
      <w:szCs w:val="22"/>
      <w:lang w:eastAsia="en-US"/>
    </w:rPr>
  </w:style>
  <w:style w:type="paragraph" w:customStyle="1" w:styleId="3">
    <w:name w:val="（绩效）标题3."/>
    <w:basedOn w:val="a"/>
    <w:qFormat/>
    <w:rsid w:val="00ED0E0D"/>
    <w:pPr>
      <w:ind w:firstLineChars="200" w:firstLine="1080"/>
    </w:pPr>
    <w:rPr>
      <w:rFonts w:ascii="仿宋" w:eastAsia="仿宋" w:hAnsi="仿宋"/>
      <w:b/>
      <w:sz w:val="32"/>
      <w:szCs w:val="22"/>
      <w:lang w:eastAsia="en-US"/>
    </w:rPr>
  </w:style>
  <w:style w:type="paragraph" w:customStyle="1" w:styleId="a9">
    <w:name w:val="（绩效）标题（二）"/>
    <w:basedOn w:val="a"/>
    <w:qFormat/>
    <w:rsid w:val="00ED0E0D"/>
    <w:pPr>
      <w:ind w:firstLineChars="200" w:firstLine="1080"/>
    </w:pPr>
    <w:rPr>
      <w:rFonts w:eastAsia="楷体"/>
      <w:b/>
      <w:sz w:val="32"/>
      <w:szCs w:val="22"/>
      <w:lang w:eastAsia="en-US"/>
    </w:rPr>
  </w:style>
  <w:style w:type="paragraph" w:styleId="aa">
    <w:name w:val="Balloon Text"/>
    <w:basedOn w:val="a"/>
    <w:link w:val="Char"/>
    <w:rsid w:val="00BD7BA9"/>
    <w:rPr>
      <w:sz w:val="18"/>
      <w:szCs w:val="18"/>
    </w:rPr>
  </w:style>
  <w:style w:type="character" w:customStyle="1" w:styleId="Char">
    <w:name w:val="批注框文本 Char"/>
    <w:basedOn w:val="a0"/>
    <w:link w:val="aa"/>
    <w:rsid w:val="00BD7BA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26032;&#24314;&#25991;&#20214;&#22841;\&#35874;&#23703;&#36947;&#36335;\&#29616;&#22330;&#35780;&#23457;&#19987;&#23478;&#24847;&#35265;(&#35874;&#23703;&#36947;&#36335;&#65289;\2.&#65288;&#24352;&#25991;&#29141;&#65289;&#19987;&#23478;&#24847;&#35265;\2.&#65288;&#24352;&#25991;&#29141;&#65289;&#65289;&#35874;&#23703;&#38215;&#38215;&#26449;&#20004;&#32423;&#36947;&#36335;&#32508;&#21512;&#25972;&#27835;&#19968;&#26399;&#24037;&#31243;&#39033;&#30446;&#37325;&#28857;&#32489;&#25928;&#35780;&#20215;&#35780;&#20998;&#25351;&#26631;&#20307;&#31995;.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pg01_\Desktop\&#35874;&#23703;&#36947;&#36335;&#24037;&#31243;&#39033;&#30446;\&#20854;&#20182;\&#35874;&#23703;&#38215;&#38215;&#26449;&#20004;&#32423;&#36947;&#36335;&#32508;&#21512;&#25972;&#27835;&#19968;&#26399;&#24037;&#31243;&#39033;&#30446;&#37325;&#28857;&#32489;&#25928;&#35780;&#20215;&#28385;&#24847;&#24230;&#38382;&#21367;&#35843;&#26597;\&#35874;&#23703;&#38215;&#38215;&#26449;&#20004;&#32423;&#36947;&#36335;&#32508;&#21512;&#25972;&#27835;&#19968;&#26399;&#24037;&#31243;&#39033;&#30446;&#37325;&#28857;&#32489;&#25928;&#35780;&#20215;&#28385;&#24847;&#24230;&#38382;&#21367;&#35843;&#26597;\&#35874;&#23703;&#38215;&#38215;&#26449;&#20004;&#32423;&#36947;&#36335;&#32508;&#21512;&#25972;&#27835;&#19968;&#26399;&#24037;&#31243;&#39033;&#30446;&#37325;&#28857;&#32489;&#25928;&#35780;&#20215;&#28385;&#24847;&#2423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pg01_\Desktop\&#35874;&#23703;&#36947;&#36335;&#24037;&#31243;&#39033;&#30446;\&#20854;&#20182;\&#35874;&#23703;&#38215;&#38215;&#26449;&#20004;&#32423;&#36947;&#36335;&#32508;&#21512;&#25972;&#27835;&#19968;&#26399;&#24037;&#31243;&#39033;&#30446;&#37325;&#28857;&#32489;&#25928;&#35780;&#20215;&#28385;&#24847;&#24230;&#38382;&#21367;&#35843;&#26597;\&#35874;&#23703;&#38215;&#38215;&#26449;&#20004;&#32423;&#36947;&#36335;&#32508;&#21512;&#25972;&#27835;&#19968;&#26399;&#24037;&#31243;&#39033;&#30446;&#37325;&#28857;&#32489;&#25928;&#35780;&#20215;&#28385;&#24847;&#24230;&#38382;&#21367;&#35843;&#26597;\&#35874;&#23703;&#38215;&#38215;&#26449;&#20004;&#32423;&#36947;&#36335;&#32508;&#21512;&#25972;&#27835;&#19968;&#26399;&#24037;&#31243;&#39033;&#30446;&#37325;&#28857;&#32489;&#25928;&#35780;&#20215;&#28385;&#24847;&#2423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pg01_\Desktop\&#35874;&#23703;&#36947;&#36335;&#24037;&#31243;&#39033;&#30446;\&#20854;&#20182;\&#35874;&#23703;&#38215;&#38215;&#26449;&#20004;&#32423;&#36947;&#36335;&#32508;&#21512;&#25972;&#27835;&#19968;&#26399;&#24037;&#31243;&#39033;&#30446;&#37325;&#28857;&#32489;&#25928;&#35780;&#20215;&#28385;&#24847;&#24230;&#38382;&#21367;&#35843;&#26597;\&#35874;&#23703;&#38215;&#38215;&#26449;&#20004;&#32423;&#36947;&#36335;&#32508;&#21512;&#25972;&#27835;&#19968;&#26399;&#24037;&#31243;&#39033;&#30446;&#37325;&#28857;&#32489;&#25928;&#35780;&#20215;&#28385;&#24847;&#24230;&#38382;&#21367;&#35843;&#26597;\&#35874;&#23703;&#38215;&#38215;&#26449;&#20004;&#32423;&#36947;&#36335;&#32508;&#21512;&#25972;&#27835;&#19968;&#26399;&#24037;&#31243;&#39033;&#30446;&#37325;&#28857;&#32489;&#25928;&#35780;&#20215;&#28385;&#24847;&#2423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pg01_\Desktop\&#35874;&#23703;&#36947;&#36335;&#24037;&#31243;&#39033;&#30446;\&#20854;&#20182;\&#35874;&#23703;&#38215;&#38215;&#26449;&#20004;&#32423;&#36947;&#36335;&#32508;&#21512;&#25972;&#27835;&#19968;&#26399;&#24037;&#31243;&#39033;&#30446;&#37325;&#28857;&#32489;&#25928;&#35780;&#20215;&#28385;&#24847;&#24230;&#38382;&#21367;&#35843;&#26597;\&#35874;&#23703;&#38215;&#38215;&#26449;&#20004;&#32423;&#36947;&#36335;&#32508;&#21512;&#25972;&#27835;&#19968;&#26399;&#24037;&#31243;&#39033;&#30446;&#37325;&#28857;&#32489;&#25928;&#35780;&#20215;&#28385;&#24847;&#24230;&#38382;&#21367;&#35843;&#26597;\&#35874;&#23703;&#38215;&#38215;&#26449;&#20004;&#32423;&#36947;&#36335;&#32508;&#21512;&#25972;&#27835;&#19968;&#26399;&#24037;&#31243;&#39033;&#30446;&#37325;&#28857;&#32489;&#25928;&#35780;&#20215;&#28385;&#24847;&#2423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pg01_\Desktop\&#35874;&#23703;&#36947;&#36335;&#24037;&#31243;&#39033;&#30446;\&#20854;&#20182;\&#35874;&#23703;&#38215;&#38215;&#26449;&#20004;&#32423;&#36947;&#36335;&#32508;&#21512;&#25972;&#27835;&#19968;&#26399;&#24037;&#31243;&#39033;&#30446;&#37325;&#28857;&#32489;&#25928;&#35780;&#20215;&#28385;&#24847;&#24230;&#38382;&#21367;&#35843;&#26597;\&#35874;&#23703;&#38215;&#38215;&#26449;&#20004;&#32423;&#36947;&#36335;&#32508;&#21512;&#25972;&#27835;&#19968;&#26399;&#24037;&#31243;&#39033;&#30446;&#37325;&#28857;&#32489;&#25928;&#35780;&#20215;&#28385;&#24847;&#24230;&#38382;&#21367;&#35843;&#26597;\&#35874;&#23703;&#38215;&#38215;&#26449;&#20004;&#32423;&#36947;&#36335;&#32508;&#21512;&#25972;&#27835;&#19968;&#26399;&#24037;&#31243;&#39033;&#30446;&#37325;&#28857;&#32489;&#25928;&#35780;&#20215;&#28385;&#24847;&#2423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图</a:t>
            </a:r>
            <a:r>
              <a:rPr lang="en-US" altLang="zh-CN"/>
              <a:t>1</a:t>
            </a:r>
            <a:r>
              <a:rPr lang="zh-CN" altLang="en-US" baseline="0"/>
              <a:t>            </a:t>
            </a:r>
            <a:r>
              <a:rPr lang="zh-CN" altLang="en-US"/>
              <a:t>一级指标得分图</a:t>
            </a:r>
          </a:p>
        </c:rich>
      </c:tx>
    </c:title>
    <c:plotArea>
      <c:layout/>
      <c:barChart>
        <c:barDir val="col"/>
        <c:grouping val="clustered"/>
        <c:ser>
          <c:idx val="0"/>
          <c:order val="0"/>
          <c:tx>
            <c:strRef>
              <c:f>Sheet2!$N$6</c:f>
              <c:strCache>
                <c:ptCount val="1"/>
                <c:pt idx="0">
                  <c:v>指标权重</c:v>
                </c:pt>
              </c:strCache>
            </c:strRef>
          </c:tx>
          <c:cat>
            <c:strRef>
              <c:f>Sheet2!$O$5:$R$5</c:f>
              <c:strCache>
                <c:ptCount val="4"/>
                <c:pt idx="0">
                  <c:v>前期工作</c:v>
                </c:pt>
                <c:pt idx="1">
                  <c:v>过程管理</c:v>
                </c:pt>
                <c:pt idx="2">
                  <c:v>产出</c:v>
                </c:pt>
                <c:pt idx="3">
                  <c:v>效益</c:v>
                </c:pt>
              </c:strCache>
            </c:strRef>
          </c:cat>
          <c:val>
            <c:numRef>
              <c:f>Sheet2!$O$6:$R$6</c:f>
              <c:numCache>
                <c:formatCode>General</c:formatCode>
                <c:ptCount val="4"/>
                <c:pt idx="0">
                  <c:v>20</c:v>
                </c:pt>
                <c:pt idx="1">
                  <c:v>35</c:v>
                </c:pt>
                <c:pt idx="2">
                  <c:v>25</c:v>
                </c:pt>
                <c:pt idx="3">
                  <c:v>20</c:v>
                </c:pt>
              </c:numCache>
            </c:numRef>
          </c:val>
        </c:ser>
        <c:ser>
          <c:idx val="1"/>
          <c:order val="1"/>
          <c:tx>
            <c:strRef>
              <c:f>Sheet2!$N$7</c:f>
              <c:strCache>
                <c:ptCount val="1"/>
                <c:pt idx="0">
                  <c:v>评价得分</c:v>
                </c:pt>
              </c:strCache>
            </c:strRef>
          </c:tx>
          <c:cat>
            <c:strRef>
              <c:f>Sheet2!$O$5:$R$5</c:f>
              <c:strCache>
                <c:ptCount val="4"/>
                <c:pt idx="0">
                  <c:v>前期工作</c:v>
                </c:pt>
                <c:pt idx="1">
                  <c:v>过程管理</c:v>
                </c:pt>
                <c:pt idx="2">
                  <c:v>产出</c:v>
                </c:pt>
                <c:pt idx="3">
                  <c:v>效益</c:v>
                </c:pt>
              </c:strCache>
            </c:strRef>
          </c:cat>
          <c:val>
            <c:numRef>
              <c:f>Sheet2!$O$7:$R$7</c:f>
              <c:numCache>
                <c:formatCode>General</c:formatCode>
                <c:ptCount val="4"/>
                <c:pt idx="0">
                  <c:v>13</c:v>
                </c:pt>
                <c:pt idx="1">
                  <c:v>26</c:v>
                </c:pt>
                <c:pt idx="2">
                  <c:v>15</c:v>
                </c:pt>
                <c:pt idx="3">
                  <c:v>19</c:v>
                </c:pt>
              </c:numCache>
            </c:numRef>
          </c:val>
        </c:ser>
        <c:ser>
          <c:idx val="2"/>
          <c:order val="2"/>
          <c:tx>
            <c:strRef>
              <c:f>Sheet2!$N$8</c:f>
              <c:strCache>
                <c:ptCount val="1"/>
                <c:pt idx="0">
                  <c:v>得分率</c:v>
                </c:pt>
              </c:strCache>
            </c:strRef>
          </c:tx>
          <c:cat>
            <c:strRef>
              <c:f>Sheet2!$O$5:$R$5</c:f>
              <c:strCache>
                <c:ptCount val="4"/>
                <c:pt idx="0">
                  <c:v>前期工作</c:v>
                </c:pt>
                <c:pt idx="1">
                  <c:v>过程管理</c:v>
                </c:pt>
                <c:pt idx="2">
                  <c:v>产出</c:v>
                </c:pt>
                <c:pt idx="3">
                  <c:v>效益</c:v>
                </c:pt>
              </c:strCache>
            </c:strRef>
          </c:cat>
          <c:val>
            <c:numRef>
              <c:f>Sheet2!$O$8:$R$8</c:f>
              <c:numCache>
                <c:formatCode>0.0%</c:formatCode>
                <c:ptCount val="4"/>
                <c:pt idx="0">
                  <c:v>0.65000000000000091</c:v>
                </c:pt>
                <c:pt idx="1">
                  <c:v>0.74300000000000066</c:v>
                </c:pt>
                <c:pt idx="2">
                  <c:v>0.60000000000000064</c:v>
                </c:pt>
                <c:pt idx="3">
                  <c:v>0.95000000000000062</c:v>
                </c:pt>
              </c:numCache>
            </c:numRef>
          </c:val>
        </c:ser>
        <c:axId val="184483200"/>
        <c:axId val="201665920"/>
      </c:barChart>
      <c:catAx>
        <c:axId val="184483200"/>
        <c:scaling>
          <c:orientation val="minMax"/>
        </c:scaling>
        <c:axPos val="b"/>
        <c:maj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01665920"/>
        <c:crosses val="autoZero"/>
        <c:auto val="1"/>
        <c:lblAlgn val="ctr"/>
        <c:lblOffset val="100"/>
      </c:catAx>
      <c:valAx>
        <c:axId val="201665920"/>
        <c:scaling>
          <c:orientation val="minMax"/>
        </c:scaling>
        <c:axPos val="l"/>
        <c:majorGridlines/>
        <c:title>
          <c:txPr>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endParaRPr lang="zh-CN"/>
            </a:p>
          </c:txPr>
        </c:title>
        <c:numFmt formatCode="General" sourceLinked="1"/>
        <c:maj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4483200"/>
        <c:crosses val="autoZero"/>
        <c:crossBetween val="between"/>
      </c:valAx>
      <c:dTable>
        <c:showHorzBorder val="1"/>
        <c:showVertBorder val="1"/>
        <c:showOutline val="1"/>
        <c:showKeys val="1"/>
        <c:txPr>
          <a:bodyPr rot="0" spcFirstLastPara="0" vertOverflow="ellipsis" vert="horz" wrap="square" anchor="ctr" anchorCtr="1"/>
          <a:lstStyle/>
          <a:p>
            <a:pPr rtl="0">
              <a:defRPr lang="zh-CN" sz="1000" b="0" i="0" u="none" strike="noStrike" kern="1200" baseline="0">
                <a:solidFill>
                  <a:schemeClr val="tx1"/>
                </a:solidFill>
                <a:latin typeface="+mn-lt"/>
                <a:ea typeface="+mn-ea"/>
                <a:cs typeface="+mn-cs"/>
              </a:defRPr>
            </a:pPr>
            <a:endParaRPr lang="zh-CN"/>
          </a:p>
        </c:txPr>
      </c:dTable>
      <c:spPr>
        <a:solidFill>
          <a:schemeClr val="bg1"/>
        </a:solidFill>
        <a:ln>
          <a:noFill/>
        </a:ln>
        <a:effectLst/>
      </c:spPr>
    </c:plotArea>
    <c:plotVisOnly val="1"/>
    <c:dispBlanksAs val="gap"/>
  </c:chart>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a:t>  </a:t>
            </a:r>
            <a:r>
              <a:rPr lang="zh-CN" altLang="en-US"/>
              <a:t>图</a:t>
            </a:r>
            <a:r>
              <a:rPr lang="en-US" altLang="zh-CN"/>
              <a:t>2 </a:t>
            </a:r>
            <a:r>
              <a:t>道路整治后行车舒适度的变化</a:t>
            </a:r>
          </a:p>
        </c:rich>
      </c:tx>
      <c:spPr>
        <a:noFill/>
        <a:ln>
          <a:noFill/>
        </a:ln>
        <a:effectLst/>
      </c:spPr>
    </c:title>
    <c:plotArea>
      <c:layout/>
      <c:barChart>
        <c:barDir val="col"/>
        <c:grouping val="clustered"/>
        <c:ser>
          <c:idx val="0"/>
          <c:order val="0"/>
          <c:tx>
            <c:strRef>
              <c:f>[谢岗镇镇村两级道路综合整治一期工程项目重点绩效评价满意度.xlsx]Sheet1!$A$19</c:f>
              <c:strCache>
                <c:ptCount val="1"/>
                <c:pt idx="0">
                  <c:v>9.据您观察，道路整治后行车舒适度的变化是?</c:v>
                </c:pt>
              </c:strCache>
            </c:strRef>
          </c:tx>
          <c:spPr>
            <a:solidFill>
              <a:schemeClr val="accent1">
                <a:lumMod val="75000"/>
              </a:schemeClr>
            </a:solidFill>
            <a:ln>
              <a:noFill/>
            </a:ln>
            <a:effectLst/>
            <a:sp3d/>
          </c:spPr>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[谢岗镇镇村两级道路综合整治一期工程项目重点绩效评价满意度.xlsx]Sheet1!$B$18:$E$18</c:f>
              <c:strCache>
                <c:ptCount val="4"/>
                <c:pt idx="0">
                  <c:v>明显提升</c:v>
                </c:pt>
                <c:pt idx="1">
                  <c:v>有所提升</c:v>
                </c:pt>
                <c:pt idx="2">
                  <c:v>无变化</c:v>
                </c:pt>
                <c:pt idx="3">
                  <c:v>比之前更差</c:v>
                </c:pt>
              </c:strCache>
            </c:strRef>
          </c:cat>
          <c:val>
            <c:numRef>
              <c:f>[谢岗镇镇村两级道路综合整治一期工程项目重点绩效评价满意度.xlsx]Sheet1!$B$19:$E$19</c:f>
              <c:numCache>
                <c:formatCode>0.00%</c:formatCode>
                <c:ptCount val="4"/>
                <c:pt idx="0">
                  <c:v>0.28430000000000033</c:v>
                </c:pt>
                <c:pt idx="1">
                  <c:v>0.58329999999999849</c:v>
                </c:pt>
                <c:pt idx="2">
                  <c:v>0.11270000000000002</c:v>
                </c:pt>
                <c:pt idx="3">
                  <c:v>1.9600000000000024E-2</c:v>
                </c:pt>
              </c:numCache>
            </c:numRef>
          </c:val>
        </c:ser>
        <c:dLbls>
          <c:showVal val="1"/>
        </c:dLbls>
        <c:axId val="201979392"/>
        <c:axId val="201980928"/>
      </c:barChart>
      <c:catAx>
        <c:axId val="201979392"/>
        <c:scaling>
          <c:orientation val="minMax"/>
        </c:scaling>
        <c:axPos val="b"/>
        <c:numFmt formatCode="General" sourceLinked="1"/>
        <c:maj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01980928"/>
        <c:crosses val="autoZero"/>
        <c:auto val="1"/>
        <c:lblAlgn val="ctr"/>
        <c:lblOffset val="100"/>
      </c:catAx>
      <c:valAx>
        <c:axId val="201980928"/>
        <c:scaling>
          <c:orientation val="minMax"/>
        </c:scaling>
        <c:axPos val="l"/>
        <c:majorGridlines>
          <c:spPr>
            <a:ln w="9525" cap="flat" cmpd="sng" algn="ctr">
              <a:solidFill>
                <a:schemeClr val="tx1">
                  <a:lumMod val="15000"/>
                  <a:lumOff val="85000"/>
                </a:schemeClr>
              </a:solidFill>
              <a:prstDash val="solid"/>
              <a:round/>
            </a:ln>
            <a:effectLst/>
          </c:spPr>
        </c:majorGridlines>
        <c:numFmt formatCode="0.00%" sourceLinked="1"/>
        <c:maj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01979392"/>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en-US" altLang="zh-CN"/>
              <a:t>  </a:t>
            </a:r>
            <a:r>
              <a:rPr lang="zh-CN" altLang="en-US"/>
              <a:t>图</a:t>
            </a:r>
            <a:r>
              <a:rPr lang="en-US" altLang="zh-CN"/>
              <a:t>3  </a:t>
            </a:r>
            <a:r>
              <a:rPr lang="zh-CN" altLang="en-US"/>
              <a:t> 对相关道路整治后，人行道通行能力的评价</a:t>
            </a:r>
            <a:endParaRPr lang="en-US" altLang="zh-CN"/>
          </a:p>
        </c:rich>
      </c:tx>
      <c:spPr>
        <a:noFill/>
        <a:ln>
          <a:noFill/>
        </a:ln>
        <a:effectLst/>
      </c:spPr>
    </c:title>
    <c:plotArea>
      <c:layout>
        <c:manualLayout>
          <c:layoutTarget val="inner"/>
          <c:xMode val="edge"/>
          <c:yMode val="edge"/>
          <c:x val="0.17180314960629917"/>
          <c:y val="0.26819444444444401"/>
          <c:w val="0.76577318460192501"/>
          <c:h val="0.6244061679790025"/>
        </c:manualLayout>
      </c:layout>
      <c:barChart>
        <c:barDir val="bar"/>
        <c:grouping val="clustered"/>
        <c:ser>
          <c:idx val="0"/>
          <c:order val="0"/>
          <c:tx>
            <c:strRef>
              <c:f>[谢岗镇镇村两级道路综合整治一期工程项目重点绩效评价满意度.xlsx]Sheet1!$A$13</c:f>
              <c:strCache>
                <c:ptCount val="1"/>
                <c:pt idx="0">
                  <c:v>6.您对相关道路整治后，人行道通行能力的评价是?</c:v>
                </c:pt>
              </c:strCache>
            </c:strRef>
          </c:tx>
          <c:spPr>
            <a:solidFill>
              <a:schemeClr val="accent1"/>
            </a:solidFill>
            <a:ln>
              <a:noFill/>
            </a:ln>
            <a:effectLst/>
            <a:sp3d/>
          </c:spPr>
          <c:cat>
            <c:strRef>
              <c:f>[谢岗镇镇村两级道路综合整治一期工程项目重点绩效评价满意度.xlsx]Sheet1!$B$12:$E$12</c:f>
              <c:strCache>
                <c:ptCount val="4"/>
                <c:pt idx="0">
                  <c:v>明显改善</c:v>
                </c:pt>
                <c:pt idx="1">
                  <c:v>有所改善</c:v>
                </c:pt>
                <c:pt idx="2">
                  <c:v>无变化</c:v>
                </c:pt>
                <c:pt idx="3">
                  <c:v>比之前更差</c:v>
                </c:pt>
              </c:strCache>
            </c:strRef>
          </c:cat>
          <c:val>
            <c:numRef>
              <c:f>[谢岗镇镇村两级道路综合整治一期工程项目重点绩效评价满意度.xlsx]Sheet1!$B$13:$E$13</c:f>
              <c:numCache>
                <c:formatCode>0%</c:formatCode>
                <c:ptCount val="4"/>
                <c:pt idx="0" formatCode="0.00%">
                  <c:v>0.38730000000000048</c:v>
                </c:pt>
                <c:pt idx="1">
                  <c:v>0.5</c:v>
                </c:pt>
                <c:pt idx="2" formatCode="0.00%">
                  <c:v>7.8400000000000011E-2</c:v>
                </c:pt>
                <c:pt idx="3" formatCode="0.00%">
                  <c:v>3.4300000000000004E-2</c:v>
                </c:pt>
              </c:numCache>
            </c:numRef>
          </c:val>
        </c:ser>
        <c:axId val="201992448"/>
        <c:axId val="201994240"/>
      </c:barChart>
      <c:catAx>
        <c:axId val="201992448"/>
        <c:scaling>
          <c:orientation val="minMax"/>
        </c:scaling>
        <c:axPos val="l"/>
        <c:numFmt formatCode="General" sourceLinked="1"/>
        <c:maj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01994240"/>
        <c:crosses val="autoZero"/>
        <c:auto val="1"/>
        <c:lblAlgn val="ctr"/>
        <c:lblOffset val="100"/>
      </c:catAx>
      <c:valAx>
        <c:axId val="201994240"/>
        <c:scaling>
          <c:orientation val="minMax"/>
        </c:scaling>
        <c:axPos val="b"/>
        <c:majorGridlines>
          <c:spPr>
            <a:ln w="9525" cap="flat" cmpd="sng" algn="ctr">
              <a:solidFill>
                <a:schemeClr val="tx1">
                  <a:lumMod val="15000"/>
                  <a:lumOff val="85000"/>
                </a:schemeClr>
              </a:solidFill>
              <a:prstDash val="solid"/>
              <a:round/>
            </a:ln>
            <a:effectLst/>
          </c:spPr>
        </c:majorGridlines>
        <c:numFmt formatCode="0.00%" sourceLinked="1"/>
        <c:maj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01992448"/>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图</a:t>
            </a:r>
            <a:r>
              <a:rPr lang="en-US" altLang="zh-CN"/>
              <a:t>4</a:t>
            </a:r>
            <a:r>
              <a:rPr lang="zh-CN" altLang="en-US"/>
              <a:t>道路整治后，交通状况改善情况的评价</a:t>
            </a:r>
            <a:endParaRPr lang="en-US" altLang="zh-CN"/>
          </a:p>
        </c:rich>
      </c:tx>
      <c:spPr>
        <a:noFill/>
        <a:ln>
          <a:noFill/>
        </a:ln>
        <a:effectLst/>
      </c:spPr>
    </c:title>
    <c:plotArea>
      <c:layout/>
      <c:pieChart>
        <c:varyColors val="1"/>
        <c:ser>
          <c:idx val="0"/>
          <c:order val="0"/>
          <c:tx>
            <c:strRef>
              <c:f>[谢岗镇镇村两级道路综合整治一期工程项目重点绩效评价满意度.xlsx]Sheet1!$A$9</c:f>
              <c:strCache>
                <c:ptCount val="1"/>
                <c:pt idx="0">
                  <c:v>4.您对相关道路整治后，交通状况改善情况的评价是?</c:v>
                </c:pt>
              </c:strCache>
            </c:strRef>
          </c:tx>
          <c:dPt>
            <c:idx val="0"/>
            <c:spPr>
              <a:solidFill>
                <a:schemeClr val="accent1"/>
              </a:solidFill>
              <a:ln w="25400">
                <a:solidFill>
                  <a:schemeClr val="lt1"/>
                </a:solidFill>
              </a:ln>
              <a:effectLst/>
              <a:sp3d contourW="25400">
                <a:contourClr>
                  <a:schemeClr val="lt1"/>
                </a:contourClr>
              </a:sp3d>
            </c:spPr>
          </c:dPt>
          <c:dPt>
            <c:idx val="1"/>
            <c:spPr>
              <a:solidFill>
                <a:schemeClr val="accent2"/>
              </a:solidFill>
              <a:ln w="25400">
                <a:solidFill>
                  <a:schemeClr val="lt1"/>
                </a:solidFill>
              </a:ln>
              <a:effectLst/>
              <a:sp3d contourW="25400">
                <a:contourClr>
                  <a:schemeClr val="lt1"/>
                </a:contourClr>
              </a:sp3d>
            </c:spPr>
          </c:dPt>
          <c:dPt>
            <c:idx val="2"/>
            <c:spPr>
              <a:solidFill>
                <a:schemeClr val="accent3"/>
              </a:solidFill>
              <a:ln w="25400">
                <a:solidFill>
                  <a:schemeClr val="lt1"/>
                </a:solidFill>
              </a:ln>
              <a:effectLst/>
              <a:sp3d contourW="25400">
                <a:contourClr>
                  <a:schemeClr val="lt1"/>
                </a:contourClr>
              </a:sp3d>
            </c:spPr>
          </c:dPt>
          <c:dPt>
            <c:idx val="3"/>
            <c:spPr>
              <a:solidFill>
                <a:schemeClr val="accent4"/>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[谢岗镇镇村两级道路综合整治一期工程项目重点绩效评价满意度.xlsx]Sheet1!$B$8:$E$8</c:f>
              <c:strCache>
                <c:ptCount val="4"/>
                <c:pt idx="0">
                  <c:v>明显改善</c:v>
                </c:pt>
                <c:pt idx="1">
                  <c:v>有所改善</c:v>
                </c:pt>
                <c:pt idx="2">
                  <c:v>无变化</c:v>
                </c:pt>
                <c:pt idx="3">
                  <c:v>比之前更差</c:v>
                </c:pt>
              </c:strCache>
            </c:strRef>
          </c:cat>
          <c:val>
            <c:numRef>
              <c:f>[谢岗镇镇村两级道路综合整治一期工程项目重点绩效评价满意度.xlsx]Sheet1!$B$9:$E$9</c:f>
              <c:numCache>
                <c:formatCode>0.00%</c:formatCode>
                <c:ptCount val="4"/>
                <c:pt idx="0">
                  <c:v>0.35290000000000032</c:v>
                </c:pt>
                <c:pt idx="1">
                  <c:v>0.52449999999999997</c:v>
                </c:pt>
                <c:pt idx="2">
                  <c:v>0.10780000000000002</c:v>
                </c:pt>
                <c:pt idx="3">
                  <c:v>1.4700000000000003E-2</c:v>
                </c:pt>
              </c:numCache>
            </c:numRef>
          </c:val>
        </c:ser>
        <c:dLbls>
          <c:showVal val="1"/>
        </c:dLbls>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图</a:t>
            </a:r>
            <a:r>
              <a:rPr lang="en-US" altLang="zh-CN"/>
              <a:t>5   </a:t>
            </a:r>
            <a:r>
              <a:rPr lang="zh-CN" altLang="en-US"/>
              <a:t> 道路整治后，道路绿化改善效果的评价</a:t>
            </a:r>
            <a:endParaRPr lang="en-US" altLang="zh-CN"/>
          </a:p>
        </c:rich>
      </c:tx>
      <c:spPr>
        <a:noFill/>
        <a:ln>
          <a:noFill/>
        </a:ln>
        <a:effectLst/>
      </c:spPr>
    </c:title>
    <c:plotArea>
      <c:layout/>
      <c:doughnutChart>
        <c:varyColors val="1"/>
        <c:ser>
          <c:idx val="0"/>
          <c:order val="0"/>
          <c:tx>
            <c:strRef>
              <c:f>[谢岗镇镇村两级道路综合整治一期工程项目重点绩效评价满意度.xlsx]Sheet1!$A$15</c:f>
              <c:strCache>
                <c:ptCount val="1"/>
                <c:pt idx="0">
                  <c:v>7.您对相关道路整治后，道路绿化改善效果的评价是? </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Pt>
            <c:idx val="3"/>
            <c:spPr>
              <a:solidFill>
                <a:schemeClr val="accent4"/>
              </a:solidFill>
              <a:ln w="19050">
                <a:solidFill>
                  <a:schemeClr val="lt1"/>
                </a:solidFill>
              </a:ln>
              <a:effectLst/>
            </c:spPr>
          </c:dPt>
          <c:dLbls>
            <c:dLbl>
              <c:idx val="3"/>
              <c:layout>
                <c:manualLayout>
                  <c:x val="1.3052699606610125E-3"/>
                  <c:y val="-9.3167701863354033E-2"/>
                </c:manualLayout>
              </c:layout>
              <c:showVal val="1"/>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[谢岗镇镇村两级道路综合整治一期工程项目重点绩效评价满意度.xlsx]Sheet1!$B$14:$E$14</c:f>
              <c:strCache>
                <c:ptCount val="4"/>
                <c:pt idx="0">
                  <c:v>明显改善</c:v>
                </c:pt>
                <c:pt idx="1">
                  <c:v>有所改善</c:v>
                </c:pt>
                <c:pt idx="2">
                  <c:v>无变化</c:v>
                </c:pt>
                <c:pt idx="3">
                  <c:v>比之前更差</c:v>
                </c:pt>
              </c:strCache>
            </c:strRef>
          </c:cat>
          <c:val>
            <c:numRef>
              <c:f>[谢岗镇镇村两级道路综合整治一期工程项目重点绩效评价满意度.xlsx]Sheet1!$B$15:$E$15</c:f>
              <c:numCache>
                <c:formatCode>0.00%</c:formatCode>
                <c:ptCount val="4"/>
                <c:pt idx="0">
                  <c:v>0.33330000000000154</c:v>
                </c:pt>
                <c:pt idx="1">
                  <c:v>0.51470000000000005</c:v>
                </c:pt>
                <c:pt idx="2">
                  <c:v>0.13240000000000016</c:v>
                </c:pt>
                <c:pt idx="3">
                  <c:v>1.9600000000000024E-2</c:v>
                </c:pt>
              </c:numCache>
            </c:numRef>
          </c:val>
        </c:ser>
        <c:dLbls>
          <c:showVal val="1"/>
        </c:dLbls>
        <c:firstSliceAng val="0"/>
        <c:holeSize val="75"/>
      </c:doughnutChart>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图</a:t>
            </a:r>
            <a:r>
              <a:rPr lang="en-US" altLang="zh-CN"/>
              <a:t>6 </a:t>
            </a:r>
            <a:r>
              <a:rPr lang="zh-CN" altLang="en-US"/>
              <a:t>对相关道路整治后，交通标志边线完善情况的评价</a:t>
            </a:r>
            <a:endParaRPr lang="en-US" altLang="zh-CN"/>
          </a:p>
        </c:rich>
      </c:tx>
      <c:spPr>
        <a:noFill/>
        <a:ln>
          <a:noFill/>
        </a:ln>
        <a:effectLst/>
      </c:spPr>
    </c:title>
    <c:plotArea>
      <c:layout/>
      <c:barChart>
        <c:barDir val="bar"/>
        <c:grouping val="clustered"/>
        <c:ser>
          <c:idx val="0"/>
          <c:order val="0"/>
          <c:tx>
            <c:strRef>
              <c:f>[谢岗镇镇村两级道路综合整治一期工程项目重点绩效评价满意度.xlsx]Sheet1!$A$17</c:f>
              <c:strCache>
                <c:ptCount val="1"/>
                <c:pt idx="0">
                  <c:v>8.您对相关道路整治后，交通标志边线完善情况的评价是?</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[谢岗镇镇村两级道路综合整治一期工程项目重点绩效评价满意度.xlsx]Sheet1!$B$16:$E$16</c:f>
              <c:strCache>
                <c:ptCount val="4"/>
                <c:pt idx="0">
                  <c:v>明显改善</c:v>
                </c:pt>
                <c:pt idx="1">
                  <c:v>有所改善</c:v>
                </c:pt>
                <c:pt idx="2">
                  <c:v>无变化</c:v>
                </c:pt>
                <c:pt idx="3">
                  <c:v>比之前更差</c:v>
                </c:pt>
              </c:strCache>
            </c:strRef>
          </c:cat>
          <c:val>
            <c:numRef>
              <c:f>[谢岗镇镇村两级道路综合整治一期工程项目重点绩效评价满意度.xlsx]Sheet1!$B$17:$E$17</c:f>
              <c:numCache>
                <c:formatCode>0.00%</c:formatCode>
                <c:ptCount val="4"/>
                <c:pt idx="0">
                  <c:v>0.26960000000000001</c:v>
                </c:pt>
                <c:pt idx="1">
                  <c:v>0.60780000000000178</c:v>
                </c:pt>
                <c:pt idx="2">
                  <c:v>8.3300000000000027E-2</c:v>
                </c:pt>
                <c:pt idx="3">
                  <c:v>3.9200000000000006E-2</c:v>
                </c:pt>
              </c:numCache>
            </c:numRef>
          </c:val>
        </c:ser>
        <c:dLbls>
          <c:showVal val="1"/>
        </c:dLbls>
        <c:axId val="68447232"/>
        <c:axId val="68473600"/>
      </c:barChart>
      <c:catAx>
        <c:axId val="68447232"/>
        <c:scaling>
          <c:orientation val="minMax"/>
        </c:scaling>
        <c:axPos val="l"/>
        <c:numFmt formatCode="General" sourceLinked="1"/>
        <c:maj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68473600"/>
        <c:crosses val="autoZero"/>
        <c:auto val="1"/>
        <c:lblAlgn val="ctr"/>
        <c:lblOffset val="100"/>
      </c:catAx>
      <c:valAx>
        <c:axId val="68473600"/>
        <c:scaling>
          <c:orientation val="minMax"/>
        </c:scaling>
        <c:axPos val="b"/>
        <c:majorGridlines>
          <c:spPr>
            <a:ln w="9525" cap="flat" cmpd="sng" algn="ctr">
              <a:solidFill>
                <a:schemeClr val="tx1">
                  <a:lumMod val="15000"/>
                  <a:lumOff val="85000"/>
                </a:schemeClr>
              </a:solidFill>
              <a:prstDash val="solid"/>
              <a:round/>
            </a:ln>
            <a:effectLst/>
          </c:spPr>
        </c:majorGridlines>
        <c:numFmt formatCode="0.00%" sourceLinked="1"/>
        <c:maj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68447232"/>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5CDD71-93E2-429C-A0CE-0BE8E8A6B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39</Pages>
  <Words>3257</Words>
  <Characters>18568</Characters>
  <Application>Microsoft Office Word</Application>
  <DocSecurity>0</DocSecurity>
  <Lines>154</Lines>
  <Paragraphs>43</Paragraphs>
  <ScaleCrop>false</ScaleCrop>
  <Company/>
  <LinksUpToDate>false</LinksUpToDate>
  <CharactersWithSpaces>21782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3</cp:revision>
  <cp:lastPrinted>2021-09-13T10:50:00Z</cp:lastPrinted>
  <dcterms:created xsi:type="dcterms:W3CDTF">2014-10-29T12:08:00Z</dcterms:created>
  <dcterms:modified xsi:type="dcterms:W3CDTF">2021-12-23T07:57:00Z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39E802FDC2BF4FB68E1060089BD05444</vt:lpwstr>
  </property>
</Properties>
</file>