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 w:hAnsi="仿宋" w:eastAsia="仿宋" w:cs="仿宋"/>
          <w:b/>
          <w:color w:val="auto"/>
          <w:sz w:val="52"/>
          <w:highlight w:val="none"/>
        </w:rPr>
      </w:pPr>
      <w:r>
        <w:rPr>
          <w:rFonts w:hint="eastAsia" w:ascii="仿宋" w:hAnsi="仿宋" w:eastAsia="仿宋" w:cs="仿宋"/>
          <w:b/>
          <w:color w:val="auto"/>
          <w:sz w:val="52"/>
          <w:highlight w:val="none"/>
        </w:rPr>
        <w:t>东莞市万江街道政府采购</w:t>
      </w:r>
    </w:p>
    <w:p>
      <w:pPr>
        <w:spacing w:line="1100" w:lineRule="exact"/>
        <w:jc w:val="center"/>
        <w:rPr>
          <w:rFonts w:ascii="仿宋" w:hAnsi="仿宋" w:eastAsia="仿宋" w:cs="仿宋"/>
          <w:color w:val="auto"/>
          <w:sz w:val="90"/>
          <w:highlight w:val="none"/>
        </w:rPr>
      </w:pPr>
    </w:p>
    <w:p>
      <w:pPr>
        <w:spacing w:line="1100" w:lineRule="exact"/>
        <w:jc w:val="center"/>
        <w:rPr>
          <w:rFonts w:ascii="仿宋" w:hAnsi="仿宋" w:eastAsia="仿宋" w:cs="仿宋"/>
          <w:b/>
          <w:color w:val="auto"/>
          <w:sz w:val="90"/>
          <w:highlight w:val="none"/>
        </w:rPr>
      </w:pPr>
      <w:r>
        <w:rPr>
          <w:rFonts w:hint="eastAsia" w:ascii="仿宋" w:hAnsi="仿宋" w:eastAsia="仿宋" w:cs="仿宋"/>
          <w:b/>
          <w:color w:val="auto"/>
          <w:sz w:val="90"/>
          <w:highlight w:val="none"/>
        </w:rPr>
        <w:t>招</w:t>
      </w:r>
    </w:p>
    <w:p>
      <w:pPr>
        <w:spacing w:line="1100" w:lineRule="exact"/>
        <w:jc w:val="center"/>
        <w:rPr>
          <w:rFonts w:ascii="仿宋" w:hAnsi="仿宋" w:eastAsia="仿宋" w:cs="仿宋"/>
          <w:b/>
          <w:color w:val="auto"/>
          <w:sz w:val="90"/>
          <w:highlight w:val="none"/>
        </w:rPr>
      </w:pPr>
      <w:r>
        <w:rPr>
          <w:rFonts w:hint="eastAsia" w:ascii="仿宋" w:hAnsi="仿宋" w:eastAsia="仿宋" w:cs="仿宋"/>
          <w:b/>
          <w:color w:val="auto"/>
          <w:sz w:val="90"/>
          <w:highlight w:val="none"/>
        </w:rPr>
        <w:t>标</w:t>
      </w:r>
    </w:p>
    <w:p>
      <w:pPr>
        <w:spacing w:line="1100" w:lineRule="exact"/>
        <w:jc w:val="center"/>
        <w:rPr>
          <w:rFonts w:ascii="仿宋" w:hAnsi="仿宋" w:eastAsia="仿宋" w:cs="仿宋"/>
          <w:b/>
          <w:color w:val="auto"/>
          <w:sz w:val="90"/>
          <w:highlight w:val="none"/>
        </w:rPr>
      </w:pPr>
      <w:r>
        <w:rPr>
          <w:rFonts w:hint="eastAsia" w:ascii="仿宋" w:hAnsi="仿宋" w:eastAsia="仿宋" w:cs="仿宋"/>
          <w:b/>
          <w:color w:val="auto"/>
          <w:sz w:val="90"/>
          <w:highlight w:val="none"/>
        </w:rPr>
        <w:t>文</w:t>
      </w:r>
    </w:p>
    <w:p>
      <w:pPr>
        <w:spacing w:line="1100" w:lineRule="exact"/>
        <w:jc w:val="center"/>
        <w:rPr>
          <w:rFonts w:ascii="仿宋" w:hAnsi="仿宋" w:eastAsia="仿宋" w:cs="仿宋"/>
          <w:b/>
          <w:color w:val="auto"/>
          <w:sz w:val="90"/>
          <w:highlight w:val="none"/>
        </w:rPr>
      </w:pPr>
      <w:r>
        <w:rPr>
          <w:rFonts w:hint="eastAsia" w:ascii="仿宋" w:hAnsi="仿宋" w:eastAsia="仿宋" w:cs="仿宋"/>
          <w:b/>
          <w:color w:val="auto"/>
          <w:sz w:val="90"/>
          <w:highlight w:val="none"/>
        </w:rPr>
        <w:t>件</w:t>
      </w:r>
    </w:p>
    <w:p>
      <w:pPr>
        <w:spacing w:line="600" w:lineRule="exact"/>
        <w:jc w:val="center"/>
        <w:rPr>
          <w:rFonts w:ascii="仿宋" w:hAnsi="仿宋" w:eastAsia="仿宋" w:cs="仿宋"/>
          <w:b/>
          <w:color w:val="auto"/>
          <w:sz w:val="28"/>
          <w:highlight w:val="none"/>
        </w:rPr>
      </w:pPr>
    </w:p>
    <w:p>
      <w:pPr>
        <w:spacing w:line="600" w:lineRule="exact"/>
        <w:jc w:val="center"/>
        <w:rPr>
          <w:rFonts w:ascii="仿宋" w:hAnsi="仿宋" w:eastAsia="仿宋" w:cs="仿宋"/>
          <w:b/>
          <w:color w:val="auto"/>
          <w:sz w:val="28"/>
          <w:highlight w:val="none"/>
        </w:rPr>
      </w:pPr>
    </w:p>
    <w:p>
      <w:pPr>
        <w:spacing w:line="600" w:lineRule="exact"/>
        <w:jc w:val="center"/>
        <w:rPr>
          <w:rFonts w:ascii="仿宋" w:hAnsi="仿宋" w:eastAsia="仿宋" w:cs="仿宋"/>
          <w:b/>
          <w:color w:val="auto"/>
          <w:sz w:val="28"/>
          <w:highlight w:val="none"/>
        </w:rPr>
      </w:pPr>
    </w:p>
    <w:p>
      <w:pPr>
        <w:spacing w:line="600" w:lineRule="exact"/>
        <w:jc w:val="center"/>
        <w:rPr>
          <w:rFonts w:ascii="仿宋" w:hAnsi="仿宋" w:eastAsia="仿宋" w:cs="仿宋"/>
          <w:b/>
          <w:color w:val="auto"/>
          <w:sz w:val="28"/>
          <w:highlight w:val="none"/>
        </w:rPr>
      </w:pPr>
    </w:p>
    <w:p>
      <w:pPr>
        <w:snapToGrid w:val="0"/>
        <w:spacing w:line="600" w:lineRule="exac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项目编号：WJGP2021007</w:t>
      </w:r>
    </w:p>
    <w:p>
      <w:pPr>
        <w:snapToGrid w:val="0"/>
        <w:spacing w:line="600" w:lineRule="exact"/>
        <w:ind w:left="1435" w:leftChars="-1" w:hanging="1437" w:hangingChars="477"/>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项目名称：</w:t>
      </w:r>
      <w:bookmarkStart w:id="0" w:name="OLE_LINK1"/>
      <w:r>
        <w:rPr>
          <w:rFonts w:hint="eastAsia" w:ascii="仿宋" w:hAnsi="仿宋" w:eastAsia="仿宋" w:cs="仿宋"/>
          <w:b/>
          <w:color w:val="auto"/>
          <w:sz w:val="30"/>
          <w:szCs w:val="30"/>
          <w:highlight w:val="none"/>
          <w:lang w:val="en-US" w:eastAsia="zh-CN"/>
        </w:rPr>
        <w:t>2021年</w:t>
      </w:r>
      <w:r>
        <w:rPr>
          <w:rFonts w:hint="eastAsia" w:ascii="仿宋" w:hAnsi="仿宋" w:eastAsia="仿宋" w:cs="仿宋"/>
          <w:b/>
          <w:bCs w:val="0"/>
          <w:color w:val="auto"/>
          <w:sz w:val="30"/>
          <w:szCs w:val="30"/>
          <w:highlight w:val="none"/>
          <w:lang w:eastAsia="zh-CN"/>
        </w:rPr>
        <w:t>万江消防队消防器材购置项目</w:t>
      </w:r>
    </w:p>
    <w:p>
      <w:pPr>
        <w:pStyle w:val="2"/>
        <w:rPr>
          <w:color w:val="auto"/>
          <w:highlight w:val="none"/>
        </w:rPr>
      </w:pPr>
    </w:p>
    <w:bookmarkEnd w:id="0"/>
    <w:p>
      <w:pPr>
        <w:snapToGrid w:val="0"/>
        <w:spacing w:line="6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东莞市万江招投标服务所</w:t>
      </w:r>
    </w:p>
    <w:p>
      <w:pPr>
        <w:snapToGrid w:val="0"/>
        <w:spacing w:line="600" w:lineRule="exact"/>
        <w:jc w:val="center"/>
        <w:rPr>
          <w:rFonts w:ascii="仿宋" w:hAnsi="仿宋" w:eastAsia="仿宋" w:cs="仿宋"/>
          <w:color w:val="auto"/>
          <w:szCs w:val="21"/>
          <w:highlight w:val="none"/>
        </w:rPr>
      </w:pPr>
      <w:r>
        <w:rPr>
          <w:rFonts w:hint="eastAsia" w:ascii="仿宋" w:hAnsi="仿宋" w:eastAsia="仿宋" w:cs="仿宋"/>
          <w:b/>
          <w:color w:val="auto"/>
          <w:sz w:val="30"/>
          <w:szCs w:val="30"/>
          <w:highlight w:val="none"/>
          <w:lang w:val="en-US" w:eastAsia="zh-CN"/>
        </w:rPr>
        <w:t>2021</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10</w:t>
      </w:r>
      <w:r>
        <w:rPr>
          <w:rFonts w:hint="eastAsia" w:ascii="仿宋" w:hAnsi="仿宋" w:eastAsia="仿宋" w:cs="仿宋"/>
          <w:b/>
          <w:color w:val="auto"/>
          <w:sz w:val="30"/>
          <w:szCs w:val="30"/>
          <w:highlight w:val="none"/>
        </w:rPr>
        <w:t>月</w:t>
      </w:r>
      <w:r>
        <w:rPr>
          <w:rFonts w:hint="eastAsia" w:ascii="仿宋" w:hAnsi="仿宋" w:eastAsia="仿宋" w:cs="仿宋"/>
          <w:b/>
          <w:color w:val="auto"/>
          <w:sz w:val="30"/>
          <w:szCs w:val="30"/>
          <w:highlight w:val="none"/>
          <w:lang w:val="en-US" w:eastAsia="zh-CN"/>
        </w:rPr>
        <w:t>18</w:t>
      </w:r>
      <w:r>
        <w:rPr>
          <w:rFonts w:hint="eastAsia" w:ascii="仿宋" w:hAnsi="仿宋" w:eastAsia="仿宋" w:cs="仿宋"/>
          <w:b/>
          <w:color w:val="auto"/>
          <w:sz w:val="30"/>
          <w:szCs w:val="30"/>
          <w:highlight w:val="none"/>
        </w:rPr>
        <w:t>日</w:t>
      </w:r>
      <w:r>
        <w:rPr>
          <w:rFonts w:hint="eastAsia" w:ascii="仿宋" w:hAnsi="仿宋" w:eastAsia="仿宋" w:cs="仿宋"/>
          <w:b/>
          <w:color w:val="auto"/>
          <w:sz w:val="30"/>
          <w:szCs w:val="30"/>
          <w:highlight w:val="none"/>
        </w:rPr>
        <w:br w:type="page"/>
      </w:r>
      <w:r>
        <w:rPr>
          <w:rFonts w:hint="eastAsia" w:ascii="仿宋" w:hAnsi="仿宋" w:eastAsia="仿宋" w:cs="仿宋"/>
          <w:b/>
          <w:color w:val="auto"/>
          <w:spacing w:val="20"/>
          <w:sz w:val="28"/>
          <w:szCs w:val="28"/>
          <w:highlight w:val="none"/>
        </w:rPr>
        <w:t>目     录</w:t>
      </w:r>
    </w:p>
    <w:p>
      <w:pPr>
        <w:spacing w:line="320" w:lineRule="exact"/>
        <w:rPr>
          <w:rFonts w:ascii="仿宋" w:hAnsi="仿宋" w:eastAsia="仿宋" w:cs="仿宋"/>
          <w:color w:val="auto"/>
          <w:szCs w:val="21"/>
          <w:highlight w:val="none"/>
        </w:rPr>
      </w:pPr>
    </w:p>
    <w:p>
      <w:pPr>
        <w:pStyle w:val="17"/>
        <w:tabs>
          <w:tab w:val="right" w:leader="dot" w:pos="8845"/>
          <w:tab w:val="clear" w:pos="8835"/>
        </w:tabs>
        <w:rPr>
          <w:rFonts w:hint="eastAsia" w:ascii="仿宋_GB2312" w:hAnsi="仿宋_GB2312" w:eastAsia="仿宋_GB2312" w:cs="仿宋_GB2312"/>
          <w:color w:val="auto"/>
          <w:sz w:val="24"/>
          <w:szCs w:val="24"/>
          <w:highlight w:val="none"/>
        </w:rPr>
      </w:pP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TOC \o "1-3" \h \z \u </w:instrText>
      </w:r>
      <w:r>
        <w:rPr>
          <w:rFonts w:hint="eastAsia" w:ascii="仿宋" w:hAnsi="仿宋" w:eastAsia="仿宋" w:cs="仿宋"/>
          <w:color w:val="auto"/>
          <w:sz w:val="18"/>
          <w:szCs w:val="18"/>
          <w:highlight w:val="none"/>
        </w:rPr>
        <w:fldChar w:fldCharType="separate"/>
      </w:r>
      <w:r>
        <w:rPr>
          <w:rFonts w:hint="eastAsia" w:ascii="仿宋_GB2312" w:hAnsi="仿宋_GB2312" w:eastAsia="仿宋_GB2312" w:cs="仿宋_GB2312"/>
          <w:color w:val="auto"/>
          <w:szCs w:val="24"/>
          <w:highlight w:val="none"/>
        </w:rPr>
        <w:fldChar w:fldCharType="begin"/>
      </w:r>
      <w:r>
        <w:rPr>
          <w:rFonts w:hint="eastAsia" w:ascii="仿宋_GB2312" w:hAnsi="仿宋_GB2312" w:eastAsia="仿宋_GB2312" w:cs="仿宋_GB2312"/>
          <w:color w:val="auto"/>
          <w:szCs w:val="24"/>
          <w:highlight w:val="none"/>
        </w:rPr>
        <w:instrText xml:space="preserve"> HYPERLINK \l "_Toc1944" </w:instrText>
      </w:r>
      <w:r>
        <w:rPr>
          <w:rFonts w:hint="eastAsia" w:ascii="仿宋_GB2312" w:hAnsi="仿宋_GB2312" w:eastAsia="仿宋_GB2312" w:cs="仿宋_GB2312"/>
          <w:color w:val="auto"/>
          <w:szCs w:val="24"/>
          <w:highlight w:val="none"/>
        </w:rPr>
        <w:fldChar w:fldCharType="separate"/>
      </w:r>
      <w:r>
        <w:rPr>
          <w:rFonts w:hint="eastAsia" w:ascii="仿宋_GB2312" w:hAnsi="仿宋_GB2312" w:eastAsia="仿宋_GB2312" w:cs="仿宋_GB2312"/>
          <w:bCs/>
          <w:color w:val="auto"/>
          <w:spacing w:val="20"/>
          <w:sz w:val="24"/>
          <w:szCs w:val="24"/>
          <w:highlight w:val="none"/>
        </w:rPr>
        <w:t>第一章 投标邀请</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_Toc1944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20"/>
        <w:tabs>
          <w:tab w:val="right" w:leader="dot" w:pos="8845"/>
          <w:tab w:val="clear" w:pos="883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"_Toc1934"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投 标 邀 请 函</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_Toc1934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7"/>
        <w:tabs>
          <w:tab w:val="right" w:leader="dot" w:pos="8845"/>
          <w:tab w:val="clear" w:pos="883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Cs w:val="24"/>
          <w:highlight w:val="none"/>
        </w:rPr>
        <w:fldChar w:fldCharType="begin"/>
      </w:r>
      <w:r>
        <w:rPr>
          <w:rFonts w:hint="eastAsia" w:ascii="仿宋_GB2312" w:hAnsi="仿宋_GB2312" w:eastAsia="仿宋_GB2312" w:cs="仿宋_GB2312"/>
          <w:color w:val="auto"/>
          <w:szCs w:val="24"/>
          <w:highlight w:val="none"/>
        </w:rPr>
        <w:instrText xml:space="preserve"> HYPERLINK \l "_Toc17349" </w:instrText>
      </w:r>
      <w:r>
        <w:rPr>
          <w:rFonts w:hint="eastAsia" w:ascii="仿宋_GB2312" w:hAnsi="仿宋_GB2312" w:eastAsia="仿宋_GB2312" w:cs="仿宋_GB2312"/>
          <w:color w:val="auto"/>
          <w:szCs w:val="24"/>
          <w:highlight w:val="none"/>
        </w:rPr>
        <w:fldChar w:fldCharType="separate"/>
      </w:r>
      <w:r>
        <w:rPr>
          <w:rFonts w:hint="eastAsia" w:ascii="仿宋_GB2312" w:hAnsi="仿宋_GB2312" w:eastAsia="仿宋_GB2312" w:cs="仿宋_GB2312"/>
          <w:color w:val="auto"/>
          <w:spacing w:val="20"/>
          <w:sz w:val="24"/>
          <w:szCs w:val="24"/>
          <w:highlight w:val="none"/>
        </w:rPr>
        <w:t>第二章 供应商须知资料表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pacing w:val="0"/>
          <w:sz w:val="24"/>
          <w:szCs w:val="24"/>
          <w:highlight w:val="none"/>
        </w:rPr>
        <w:fldChar w:fldCharType="begin"/>
      </w:r>
      <w:r>
        <w:rPr>
          <w:rFonts w:hint="eastAsia" w:ascii="仿宋_GB2312" w:hAnsi="仿宋_GB2312" w:eastAsia="仿宋_GB2312" w:cs="仿宋_GB2312"/>
          <w:color w:val="auto"/>
          <w:spacing w:val="0"/>
          <w:sz w:val="24"/>
          <w:szCs w:val="24"/>
          <w:highlight w:val="none"/>
        </w:rPr>
        <w:instrText xml:space="preserve"> PAGEREF _Toc17349 </w:instrText>
      </w:r>
      <w:r>
        <w:rPr>
          <w:rFonts w:hint="eastAsia" w:ascii="仿宋_GB2312" w:hAnsi="仿宋_GB2312" w:eastAsia="仿宋_GB2312" w:cs="仿宋_GB2312"/>
          <w:color w:val="auto"/>
          <w:spacing w:val="0"/>
          <w:sz w:val="24"/>
          <w:szCs w:val="24"/>
          <w:highlight w:val="none"/>
        </w:rPr>
        <w:fldChar w:fldCharType="separate"/>
      </w:r>
      <w:r>
        <w:rPr>
          <w:rFonts w:hint="eastAsia" w:ascii="仿宋_GB2312" w:hAnsi="仿宋_GB2312" w:eastAsia="仿宋_GB2312" w:cs="仿宋_GB2312"/>
          <w:color w:val="auto"/>
          <w:spacing w:val="0"/>
          <w:sz w:val="24"/>
          <w:szCs w:val="24"/>
          <w:highlight w:val="none"/>
        </w:rPr>
        <w:t>8</w:t>
      </w:r>
      <w:r>
        <w:rPr>
          <w:rFonts w:hint="eastAsia" w:ascii="仿宋_GB2312" w:hAnsi="仿宋_GB2312" w:eastAsia="仿宋_GB2312" w:cs="仿宋_GB2312"/>
          <w:color w:val="auto"/>
          <w:spacing w:val="0"/>
          <w:sz w:val="24"/>
          <w:szCs w:val="24"/>
          <w:highlight w:val="none"/>
        </w:rPr>
        <w:fldChar w:fldCharType="end"/>
      </w:r>
      <w:r>
        <w:rPr>
          <w:rFonts w:hint="eastAsia" w:ascii="仿宋_GB2312" w:hAnsi="仿宋_GB2312" w:eastAsia="仿宋_GB2312" w:cs="仿宋_GB2312"/>
          <w:color w:val="auto"/>
          <w:spacing w:val="0"/>
          <w:sz w:val="24"/>
          <w:szCs w:val="24"/>
          <w:highlight w:val="none"/>
        </w:rPr>
        <w:fldChar w:fldCharType="end"/>
      </w:r>
    </w:p>
    <w:p>
      <w:pPr>
        <w:pStyle w:val="17"/>
        <w:tabs>
          <w:tab w:val="right" w:leader="dot" w:pos="8845"/>
          <w:tab w:val="clear" w:pos="883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Cs w:val="24"/>
          <w:highlight w:val="none"/>
        </w:rPr>
        <w:fldChar w:fldCharType="begin"/>
      </w:r>
      <w:r>
        <w:rPr>
          <w:rFonts w:hint="eastAsia" w:ascii="仿宋_GB2312" w:hAnsi="仿宋_GB2312" w:eastAsia="仿宋_GB2312" w:cs="仿宋_GB2312"/>
          <w:color w:val="auto"/>
          <w:szCs w:val="24"/>
          <w:highlight w:val="none"/>
        </w:rPr>
        <w:instrText xml:space="preserve"> HYPERLINK \l "_Toc11076" </w:instrText>
      </w:r>
      <w:r>
        <w:rPr>
          <w:rFonts w:hint="eastAsia" w:ascii="仿宋_GB2312" w:hAnsi="仿宋_GB2312" w:eastAsia="仿宋_GB2312" w:cs="仿宋_GB2312"/>
          <w:color w:val="auto"/>
          <w:szCs w:val="24"/>
          <w:highlight w:val="none"/>
        </w:rPr>
        <w:fldChar w:fldCharType="separate"/>
      </w:r>
      <w:r>
        <w:rPr>
          <w:rFonts w:hint="eastAsia" w:ascii="仿宋_GB2312" w:hAnsi="仿宋_GB2312" w:eastAsia="仿宋_GB2312" w:cs="仿宋_GB2312"/>
          <w:color w:val="auto"/>
          <w:spacing w:val="20"/>
          <w:sz w:val="24"/>
          <w:szCs w:val="24"/>
          <w:highlight w:val="none"/>
        </w:rPr>
        <w:t>第三章 供应商须知</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pacing w:val="0"/>
          <w:sz w:val="24"/>
          <w:szCs w:val="24"/>
          <w:highlight w:val="none"/>
        </w:rPr>
        <w:fldChar w:fldCharType="begin"/>
      </w:r>
      <w:r>
        <w:rPr>
          <w:rFonts w:hint="eastAsia" w:ascii="仿宋_GB2312" w:hAnsi="仿宋_GB2312" w:eastAsia="仿宋_GB2312" w:cs="仿宋_GB2312"/>
          <w:color w:val="auto"/>
          <w:spacing w:val="0"/>
          <w:sz w:val="24"/>
          <w:szCs w:val="24"/>
          <w:highlight w:val="none"/>
        </w:rPr>
        <w:instrText xml:space="preserve"> PAGEREF _Toc11076 </w:instrText>
      </w:r>
      <w:r>
        <w:rPr>
          <w:rFonts w:hint="eastAsia" w:ascii="仿宋_GB2312" w:hAnsi="仿宋_GB2312" w:eastAsia="仿宋_GB2312" w:cs="仿宋_GB2312"/>
          <w:color w:val="auto"/>
          <w:spacing w:val="0"/>
          <w:sz w:val="24"/>
          <w:szCs w:val="24"/>
          <w:highlight w:val="none"/>
        </w:rPr>
        <w:fldChar w:fldCharType="separate"/>
      </w:r>
      <w:r>
        <w:rPr>
          <w:rFonts w:hint="eastAsia" w:ascii="仿宋_GB2312" w:hAnsi="仿宋_GB2312" w:eastAsia="仿宋_GB2312" w:cs="仿宋_GB2312"/>
          <w:color w:val="auto"/>
          <w:spacing w:val="0"/>
          <w:sz w:val="24"/>
          <w:szCs w:val="24"/>
          <w:highlight w:val="none"/>
        </w:rPr>
        <w:t>8</w:t>
      </w:r>
      <w:r>
        <w:rPr>
          <w:rFonts w:hint="eastAsia" w:ascii="仿宋_GB2312" w:hAnsi="仿宋_GB2312" w:eastAsia="仿宋_GB2312" w:cs="仿宋_GB2312"/>
          <w:color w:val="auto"/>
          <w:spacing w:val="0"/>
          <w:sz w:val="24"/>
          <w:szCs w:val="24"/>
          <w:highlight w:val="none"/>
        </w:rPr>
        <w:fldChar w:fldCharType="end"/>
      </w:r>
      <w:r>
        <w:rPr>
          <w:rFonts w:hint="eastAsia" w:ascii="仿宋_GB2312" w:hAnsi="仿宋_GB2312" w:eastAsia="仿宋_GB2312" w:cs="仿宋_GB2312"/>
          <w:color w:val="auto"/>
          <w:spacing w:val="0"/>
          <w:sz w:val="24"/>
          <w:szCs w:val="24"/>
          <w:highlight w:val="none"/>
        </w:rPr>
        <w:fldChar w:fldCharType="end"/>
      </w:r>
    </w:p>
    <w:p>
      <w:pPr>
        <w:pStyle w:val="17"/>
        <w:tabs>
          <w:tab w:val="right" w:leader="dot" w:pos="8845"/>
          <w:tab w:val="clear" w:pos="883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Cs w:val="24"/>
          <w:highlight w:val="none"/>
        </w:rPr>
        <w:fldChar w:fldCharType="begin"/>
      </w:r>
      <w:r>
        <w:rPr>
          <w:rFonts w:hint="eastAsia" w:ascii="仿宋_GB2312" w:hAnsi="仿宋_GB2312" w:eastAsia="仿宋_GB2312" w:cs="仿宋_GB2312"/>
          <w:color w:val="auto"/>
          <w:szCs w:val="24"/>
          <w:highlight w:val="none"/>
        </w:rPr>
        <w:instrText xml:space="preserve"> HYPERLINK \l "_Toc28428" </w:instrText>
      </w:r>
      <w:r>
        <w:rPr>
          <w:rFonts w:hint="eastAsia" w:ascii="仿宋_GB2312" w:hAnsi="仿宋_GB2312" w:eastAsia="仿宋_GB2312" w:cs="仿宋_GB2312"/>
          <w:color w:val="auto"/>
          <w:szCs w:val="24"/>
          <w:highlight w:val="none"/>
        </w:rPr>
        <w:fldChar w:fldCharType="separate"/>
      </w:r>
      <w:r>
        <w:rPr>
          <w:rFonts w:hint="eastAsia" w:ascii="仿宋_GB2312" w:hAnsi="仿宋_GB2312" w:eastAsia="仿宋_GB2312" w:cs="仿宋_GB2312"/>
          <w:color w:val="auto"/>
          <w:sz w:val="24"/>
          <w:szCs w:val="24"/>
          <w:highlight w:val="none"/>
        </w:rPr>
        <w:t>一、</w:t>
      </w:r>
      <w:r>
        <w:rPr>
          <w:rFonts w:hint="eastAsia" w:ascii="仿宋_GB2312" w:hAnsi="仿宋_GB2312" w:eastAsia="仿宋_GB2312" w:cs="仿宋_GB2312"/>
          <w:bCs/>
          <w:color w:val="auto"/>
          <w:spacing w:val="0"/>
          <w:sz w:val="24"/>
          <w:szCs w:val="24"/>
          <w:highlight w:val="none"/>
        </w:rPr>
        <w:t>总 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pacing w:val="0"/>
          <w:sz w:val="24"/>
          <w:szCs w:val="24"/>
          <w:highlight w:val="none"/>
        </w:rPr>
        <w:fldChar w:fldCharType="begin"/>
      </w:r>
      <w:r>
        <w:rPr>
          <w:rFonts w:hint="eastAsia" w:ascii="仿宋_GB2312" w:hAnsi="仿宋_GB2312" w:eastAsia="仿宋_GB2312" w:cs="仿宋_GB2312"/>
          <w:color w:val="auto"/>
          <w:spacing w:val="0"/>
          <w:sz w:val="24"/>
          <w:szCs w:val="24"/>
          <w:highlight w:val="none"/>
        </w:rPr>
        <w:instrText xml:space="preserve"> PAGEREF _Toc28428 </w:instrText>
      </w:r>
      <w:r>
        <w:rPr>
          <w:rFonts w:hint="eastAsia" w:ascii="仿宋_GB2312" w:hAnsi="仿宋_GB2312" w:eastAsia="仿宋_GB2312" w:cs="仿宋_GB2312"/>
          <w:color w:val="auto"/>
          <w:spacing w:val="0"/>
          <w:sz w:val="24"/>
          <w:szCs w:val="24"/>
          <w:highlight w:val="none"/>
        </w:rPr>
        <w:fldChar w:fldCharType="separate"/>
      </w:r>
      <w:r>
        <w:rPr>
          <w:rFonts w:hint="eastAsia" w:ascii="仿宋_GB2312" w:hAnsi="仿宋_GB2312" w:eastAsia="仿宋_GB2312" w:cs="仿宋_GB2312"/>
          <w:color w:val="auto"/>
          <w:spacing w:val="0"/>
          <w:sz w:val="24"/>
          <w:szCs w:val="24"/>
          <w:highlight w:val="none"/>
        </w:rPr>
        <w:t>10</w:t>
      </w:r>
      <w:r>
        <w:rPr>
          <w:rFonts w:hint="eastAsia" w:ascii="仿宋_GB2312" w:hAnsi="仿宋_GB2312" w:eastAsia="仿宋_GB2312" w:cs="仿宋_GB2312"/>
          <w:color w:val="auto"/>
          <w:spacing w:val="0"/>
          <w:sz w:val="24"/>
          <w:szCs w:val="24"/>
          <w:highlight w:val="none"/>
        </w:rPr>
        <w:fldChar w:fldCharType="end"/>
      </w:r>
      <w:r>
        <w:rPr>
          <w:rFonts w:hint="eastAsia" w:ascii="仿宋_GB2312" w:hAnsi="仿宋_GB2312" w:eastAsia="仿宋_GB2312" w:cs="仿宋_GB2312"/>
          <w:color w:val="auto"/>
          <w:spacing w:val="0"/>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"_Toc2265"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 采购人、采购代理机构及供应商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_Toc2265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"_Toc20536"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 资金来源</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_Toc20536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"_Toc12088"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3. 投标费用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_Toc12088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"_Toc22673"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4.适用法律</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_Toc22673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20"/>
        <w:tabs>
          <w:tab w:val="right" w:leader="dot" w:pos="8845"/>
          <w:tab w:val="clear" w:pos="883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"_Toc6256"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二 、招标文件</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_Toc6256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"_Toc14399"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5.招标文件构成</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_Toc14399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"_Toc16630"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6. 招标文件的澄清与修改</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_Toc16630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20"/>
        <w:tabs>
          <w:tab w:val="right" w:leader="dot" w:pos="8845"/>
          <w:tab w:val="clear" w:pos="883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"_Toc6936"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三 、投标文件的编制</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_Toc6936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13</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"_Toc27088"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7. 投标范围及投标文件中标准和计量单位的使用</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_Toc27088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13</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"_Toc30844"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8. 投标文件的组成</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_Toc30844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13</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"_Toc25966"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bCs/>
          <w:color w:val="auto"/>
          <w:sz w:val="24"/>
          <w:szCs w:val="24"/>
          <w:highlight w:val="none"/>
        </w:rPr>
        <w:t>. 投标文件的编制、盖章、签署、密封和标记</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_Toc25966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13</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"_Toc30567"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10. 投标报价</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_Toc30567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14</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"_Toc3068"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11. 投标有效期</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_Toc3068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15</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20"/>
        <w:tabs>
          <w:tab w:val="right" w:leader="dot" w:pos="8845"/>
          <w:tab w:val="clear" w:pos="883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"_Toc12274"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四、投标文件的递交</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_Toc12274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15</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"_Toc7011"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12. 投标截止</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_Toc7011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15</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"_Toc7623"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13. 投标文件的接收、修改与撤回</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_Toc7623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15</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20"/>
        <w:tabs>
          <w:tab w:val="right" w:leader="dot" w:pos="8845"/>
          <w:tab w:val="clear" w:pos="883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"_Toc10340"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五 、开标及评标</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_Toc10340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16</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"_Toc29534"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14. 开标</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_Toc29534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16</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"_Toc12652"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15. 资格审查及组建评标委员会</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_Toc12652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16</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"_Toc15357"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16. 投标文件的符合性审查与澄清</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_Toc15357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17</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"_Toc10507"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17. 投标无效</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_Toc10507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18</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"_Toc27339"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18. 比较与评价</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_Toc27339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19</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"_Toc15679"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19. 废标</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_Toc15679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19</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"_Toc10108"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20. 保密原则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_Toc10108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19</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20"/>
        <w:tabs>
          <w:tab w:val="right" w:leader="dot" w:pos="8845"/>
          <w:tab w:val="clear" w:pos="883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"_Toc2537"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六 、确定中标</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_Toc2537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"_Toc28001"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21. 确定中标候选人</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_Toc28001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"_Toc6190"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22. 采购任务取消</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_Toc6190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"_Toc30681"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23. 中标结果发布</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_Toc30681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"_Toc22927"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24. 签订合同</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_Toc22927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"_Toc3966"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25. 履约保证金</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_Toc3966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"_Toc1266"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26. 中标服务费</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_Toc1266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21</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"_Toc9599"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27. 融资担保</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_Toc9599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"_Toc11529"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28. 廉洁自律规定</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_Toc11529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2"/>
        <w:tabs>
          <w:tab w:val="right" w:leader="dot" w:pos="8845"/>
        </w:tabs>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"_Toc22280"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bCs/>
          <w:color w:val="auto"/>
          <w:sz w:val="24"/>
          <w:szCs w:val="24"/>
          <w:highlight w:val="none"/>
        </w:rPr>
        <w:t>29. 质疑与接收</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PAGEREF _Toc22280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fldChar w:fldCharType="end"/>
      </w:r>
    </w:p>
    <w:p>
      <w:pPr>
        <w:pStyle w:val="17"/>
        <w:tabs>
          <w:tab w:val="right" w:leader="dot" w:pos="8845"/>
          <w:tab w:val="clear" w:pos="8835"/>
        </w:tabs>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zCs w:val="24"/>
          <w:highlight w:val="none"/>
        </w:rPr>
        <w:fldChar w:fldCharType="begin"/>
      </w:r>
      <w:r>
        <w:rPr>
          <w:rFonts w:hint="eastAsia" w:ascii="仿宋_GB2312" w:hAnsi="仿宋_GB2312" w:eastAsia="仿宋_GB2312" w:cs="仿宋_GB2312"/>
          <w:color w:val="auto"/>
          <w:szCs w:val="24"/>
          <w:highlight w:val="none"/>
        </w:rPr>
        <w:instrText xml:space="preserve"> HYPERLINK \l "_Toc25256" </w:instrText>
      </w:r>
      <w:r>
        <w:rPr>
          <w:rFonts w:hint="eastAsia" w:ascii="仿宋_GB2312" w:hAnsi="仿宋_GB2312" w:eastAsia="仿宋_GB2312" w:cs="仿宋_GB2312"/>
          <w:color w:val="auto"/>
          <w:szCs w:val="24"/>
          <w:highlight w:val="none"/>
        </w:rPr>
        <w:fldChar w:fldCharType="separate"/>
      </w:r>
      <w:r>
        <w:rPr>
          <w:rFonts w:hint="eastAsia" w:ascii="仿宋_GB2312" w:hAnsi="仿宋_GB2312" w:eastAsia="仿宋_GB2312" w:cs="仿宋_GB2312"/>
          <w:bCs/>
          <w:color w:val="auto"/>
          <w:spacing w:val="20"/>
          <w:sz w:val="24"/>
          <w:szCs w:val="24"/>
          <w:highlight w:val="none"/>
        </w:rPr>
        <w:t>第四章  评标方法和标准</w:t>
      </w:r>
      <w:r>
        <w:rPr>
          <w:rFonts w:hint="eastAsia" w:ascii="仿宋_GB2312" w:hAnsi="仿宋_GB2312" w:eastAsia="仿宋_GB2312" w:cs="仿宋_GB2312"/>
          <w:color w:val="auto"/>
          <w:spacing w:val="0"/>
          <w:sz w:val="24"/>
          <w:szCs w:val="24"/>
          <w:highlight w:val="none"/>
        </w:rPr>
        <w:tab/>
      </w:r>
      <w:r>
        <w:rPr>
          <w:rFonts w:hint="eastAsia" w:ascii="仿宋_GB2312" w:hAnsi="仿宋_GB2312" w:eastAsia="仿宋_GB2312" w:cs="仿宋_GB2312"/>
          <w:color w:val="auto"/>
          <w:spacing w:val="0"/>
          <w:sz w:val="24"/>
          <w:szCs w:val="24"/>
          <w:highlight w:val="none"/>
        </w:rPr>
        <w:fldChar w:fldCharType="begin"/>
      </w:r>
      <w:r>
        <w:rPr>
          <w:rFonts w:hint="eastAsia" w:ascii="仿宋_GB2312" w:hAnsi="仿宋_GB2312" w:eastAsia="仿宋_GB2312" w:cs="仿宋_GB2312"/>
          <w:color w:val="auto"/>
          <w:spacing w:val="0"/>
          <w:sz w:val="24"/>
          <w:szCs w:val="24"/>
          <w:highlight w:val="none"/>
        </w:rPr>
        <w:instrText xml:space="preserve"> PAGEREF _Toc25256 </w:instrText>
      </w:r>
      <w:r>
        <w:rPr>
          <w:rFonts w:hint="eastAsia" w:ascii="仿宋_GB2312" w:hAnsi="仿宋_GB2312" w:eastAsia="仿宋_GB2312" w:cs="仿宋_GB2312"/>
          <w:color w:val="auto"/>
          <w:spacing w:val="0"/>
          <w:sz w:val="24"/>
          <w:szCs w:val="24"/>
          <w:highlight w:val="none"/>
        </w:rPr>
        <w:fldChar w:fldCharType="separate"/>
      </w:r>
      <w:r>
        <w:rPr>
          <w:rFonts w:hint="eastAsia" w:ascii="仿宋_GB2312" w:hAnsi="仿宋_GB2312" w:eastAsia="仿宋_GB2312" w:cs="仿宋_GB2312"/>
          <w:color w:val="auto"/>
          <w:spacing w:val="0"/>
          <w:sz w:val="24"/>
          <w:szCs w:val="24"/>
          <w:highlight w:val="none"/>
        </w:rPr>
        <w:t>27</w:t>
      </w:r>
      <w:r>
        <w:rPr>
          <w:rFonts w:hint="eastAsia" w:ascii="仿宋_GB2312" w:hAnsi="仿宋_GB2312" w:eastAsia="仿宋_GB2312" w:cs="仿宋_GB2312"/>
          <w:color w:val="auto"/>
          <w:spacing w:val="0"/>
          <w:sz w:val="24"/>
          <w:szCs w:val="24"/>
          <w:highlight w:val="none"/>
        </w:rPr>
        <w:fldChar w:fldCharType="end"/>
      </w:r>
      <w:r>
        <w:rPr>
          <w:rFonts w:hint="eastAsia" w:ascii="仿宋_GB2312" w:hAnsi="仿宋_GB2312" w:eastAsia="仿宋_GB2312" w:cs="仿宋_GB2312"/>
          <w:color w:val="auto"/>
          <w:spacing w:val="0"/>
          <w:sz w:val="24"/>
          <w:szCs w:val="24"/>
          <w:highlight w:val="none"/>
        </w:rPr>
        <w:fldChar w:fldCharType="end"/>
      </w:r>
    </w:p>
    <w:p>
      <w:pPr>
        <w:pStyle w:val="17"/>
        <w:tabs>
          <w:tab w:val="right" w:leader="dot" w:pos="8845"/>
          <w:tab w:val="clear" w:pos="8835"/>
        </w:tabs>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zCs w:val="24"/>
          <w:highlight w:val="none"/>
        </w:rPr>
        <w:fldChar w:fldCharType="begin"/>
      </w:r>
      <w:r>
        <w:rPr>
          <w:rFonts w:hint="eastAsia" w:ascii="仿宋_GB2312" w:hAnsi="仿宋_GB2312" w:eastAsia="仿宋_GB2312" w:cs="仿宋_GB2312"/>
          <w:color w:val="auto"/>
          <w:szCs w:val="24"/>
          <w:highlight w:val="none"/>
        </w:rPr>
        <w:instrText xml:space="preserve"> HYPERLINK \l "_Toc19291" </w:instrText>
      </w:r>
      <w:r>
        <w:rPr>
          <w:rFonts w:hint="eastAsia" w:ascii="仿宋_GB2312" w:hAnsi="仿宋_GB2312" w:eastAsia="仿宋_GB2312" w:cs="仿宋_GB2312"/>
          <w:color w:val="auto"/>
          <w:szCs w:val="24"/>
          <w:highlight w:val="none"/>
        </w:rPr>
        <w:fldChar w:fldCharType="separate"/>
      </w:r>
      <w:r>
        <w:rPr>
          <w:rFonts w:hint="eastAsia" w:ascii="仿宋_GB2312" w:hAnsi="仿宋_GB2312" w:eastAsia="仿宋_GB2312" w:cs="仿宋_GB2312"/>
          <w:bCs/>
          <w:color w:val="auto"/>
          <w:spacing w:val="20"/>
          <w:sz w:val="24"/>
          <w:szCs w:val="24"/>
          <w:highlight w:val="none"/>
        </w:rPr>
        <w:t>第五章  用户需求书</w:t>
      </w:r>
      <w:r>
        <w:rPr>
          <w:rFonts w:hint="eastAsia" w:ascii="仿宋_GB2312" w:hAnsi="仿宋_GB2312" w:eastAsia="仿宋_GB2312" w:cs="仿宋_GB2312"/>
          <w:color w:val="auto"/>
          <w:spacing w:val="0"/>
          <w:sz w:val="24"/>
          <w:szCs w:val="24"/>
          <w:highlight w:val="none"/>
        </w:rPr>
        <w:tab/>
      </w:r>
      <w:r>
        <w:rPr>
          <w:rFonts w:hint="eastAsia" w:ascii="仿宋_GB2312" w:hAnsi="仿宋_GB2312" w:eastAsia="仿宋_GB2312" w:cs="仿宋_GB2312"/>
          <w:color w:val="auto"/>
          <w:spacing w:val="0"/>
          <w:sz w:val="24"/>
          <w:szCs w:val="24"/>
          <w:highlight w:val="none"/>
        </w:rPr>
        <w:fldChar w:fldCharType="begin"/>
      </w:r>
      <w:r>
        <w:rPr>
          <w:rFonts w:hint="eastAsia" w:ascii="仿宋_GB2312" w:hAnsi="仿宋_GB2312" w:eastAsia="仿宋_GB2312" w:cs="仿宋_GB2312"/>
          <w:color w:val="auto"/>
          <w:spacing w:val="0"/>
          <w:sz w:val="24"/>
          <w:szCs w:val="24"/>
          <w:highlight w:val="none"/>
        </w:rPr>
        <w:instrText xml:space="preserve"> PAGEREF _Toc19291 </w:instrText>
      </w:r>
      <w:r>
        <w:rPr>
          <w:rFonts w:hint="eastAsia" w:ascii="仿宋_GB2312" w:hAnsi="仿宋_GB2312" w:eastAsia="仿宋_GB2312" w:cs="仿宋_GB2312"/>
          <w:color w:val="auto"/>
          <w:spacing w:val="0"/>
          <w:sz w:val="24"/>
          <w:szCs w:val="24"/>
          <w:highlight w:val="none"/>
        </w:rPr>
        <w:fldChar w:fldCharType="separate"/>
      </w:r>
      <w:r>
        <w:rPr>
          <w:rFonts w:hint="eastAsia" w:ascii="仿宋_GB2312" w:hAnsi="仿宋_GB2312" w:eastAsia="仿宋_GB2312" w:cs="仿宋_GB2312"/>
          <w:color w:val="auto"/>
          <w:spacing w:val="0"/>
          <w:sz w:val="24"/>
          <w:szCs w:val="24"/>
          <w:highlight w:val="none"/>
        </w:rPr>
        <w:t>34</w:t>
      </w:r>
      <w:r>
        <w:rPr>
          <w:rFonts w:hint="eastAsia" w:ascii="仿宋_GB2312" w:hAnsi="仿宋_GB2312" w:eastAsia="仿宋_GB2312" w:cs="仿宋_GB2312"/>
          <w:color w:val="auto"/>
          <w:spacing w:val="0"/>
          <w:sz w:val="24"/>
          <w:szCs w:val="24"/>
          <w:highlight w:val="none"/>
        </w:rPr>
        <w:fldChar w:fldCharType="end"/>
      </w:r>
      <w:r>
        <w:rPr>
          <w:rFonts w:hint="eastAsia" w:ascii="仿宋_GB2312" w:hAnsi="仿宋_GB2312" w:eastAsia="仿宋_GB2312" w:cs="仿宋_GB2312"/>
          <w:color w:val="auto"/>
          <w:spacing w:val="0"/>
          <w:sz w:val="24"/>
          <w:szCs w:val="24"/>
          <w:highlight w:val="none"/>
        </w:rPr>
        <w:fldChar w:fldCharType="end"/>
      </w:r>
    </w:p>
    <w:p>
      <w:pPr>
        <w:pStyle w:val="17"/>
        <w:tabs>
          <w:tab w:val="right" w:leader="dot" w:pos="8845"/>
          <w:tab w:val="clear" w:pos="8835"/>
        </w:tabs>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zCs w:val="24"/>
          <w:highlight w:val="none"/>
        </w:rPr>
        <w:fldChar w:fldCharType="begin"/>
      </w:r>
      <w:r>
        <w:rPr>
          <w:rFonts w:hint="eastAsia" w:ascii="仿宋_GB2312" w:hAnsi="仿宋_GB2312" w:eastAsia="仿宋_GB2312" w:cs="仿宋_GB2312"/>
          <w:color w:val="auto"/>
          <w:szCs w:val="24"/>
          <w:highlight w:val="none"/>
        </w:rPr>
        <w:instrText xml:space="preserve"> HYPERLINK \l "_Toc27198" </w:instrText>
      </w:r>
      <w:r>
        <w:rPr>
          <w:rFonts w:hint="eastAsia" w:ascii="仿宋_GB2312" w:hAnsi="仿宋_GB2312" w:eastAsia="仿宋_GB2312" w:cs="仿宋_GB2312"/>
          <w:color w:val="auto"/>
          <w:szCs w:val="24"/>
          <w:highlight w:val="none"/>
        </w:rPr>
        <w:fldChar w:fldCharType="separate"/>
      </w:r>
      <w:r>
        <w:rPr>
          <w:rFonts w:hint="eastAsia" w:ascii="仿宋_GB2312" w:hAnsi="仿宋_GB2312" w:eastAsia="仿宋_GB2312" w:cs="仿宋_GB2312"/>
          <w:bCs/>
          <w:color w:val="auto"/>
          <w:spacing w:val="20"/>
          <w:sz w:val="24"/>
          <w:szCs w:val="24"/>
          <w:highlight w:val="none"/>
        </w:rPr>
        <w:t>第六章  合同书格式</w:t>
      </w:r>
      <w:r>
        <w:rPr>
          <w:rFonts w:hint="eastAsia" w:ascii="仿宋_GB2312" w:hAnsi="仿宋_GB2312" w:eastAsia="仿宋_GB2312" w:cs="仿宋_GB2312"/>
          <w:color w:val="auto"/>
          <w:spacing w:val="0"/>
          <w:sz w:val="24"/>
          <w:szCs w:val="24"/>
          <w:highlight w:val="none"/>
        </w:rPr>
        <w:tab/>
      </w:r>
      <w:r>
        <w:rPr>
          <w:rFonts w:hint="eastAsia" w:ascii="仿宋_GB2312" w:hAnsi="仿宋_GB2312" w:eastAsia="仿宋_GB2312" w:cs="仿宋_GB2312"/>
          <w:color w:val="auto"/>
          <w:spacing w:val="0"/>
          <w:sz w:val="24"/>
          <w:szCs w:val="24"/>
          <w:highlight w:val="none"/>
        </w:rPr>
        <w:fldChar w:fldCharType="begin"/>
      </w:r>
      <w:r>
        <w:rPr>
          <w:rFonts w:hint="eastAsia" w:ascii="仿宋_GB2312" w:hAnsi="仿宋_GB2312" w:eastAsia="仿宋_GB2312" w:cs="仿宋_GB2312"/>
          <w:color w:val="auto"/>
          <w:spacing w:val="0"/>
          <w:sz w:val="24"/>
          <w:szCs w:val="24"/>
          <w:highlight w:val="none"/>
        </w:rPr>
        <w:instrText xml:space="preserve"> PAGEREF _Toc27198 </w:instrText>
      </w:r>
      <w:r>
        <w:rPr>
          <w:rFonts w:hint="eastAsia" w:ascii="仿宋_GB2312" w:hAnsi="仿宋_GB2312" w:eastAsia="仿宋_GB2312" w:cs="仿宋_GB2312"/>
          <w:color w:val="auto"/>
          <w:spacing w:val="0"/>
          <w:sz w:val="24"/>
          <w:szCs w:val="24"/>
          <w:highlight w:val="none"/>
        </w:rPr>
        <w:fldChar w:fldCharType="separate"/>
      </w:r>
      <w:r>
        <w:rPr>
          <w:rFonts w:hint="eastAsia" w:ascii="仿宋_GB2312" w:hAnsi="仿宋_GB2312" w:eastAsia="仿宋_GB2312" w:cs="仿宋_GB2312"/>
          <w:color w:val="auto"/>
          <w:spacing w:val="0"/>
          <w:sz w:val="24"/>
          <w:szCs w:val="24"/>
          <w:highlight w:val="none"/>
        </w:rPr>
        <w:t>35</w:t>
      </w:r>
      <w:r>
        <w:rPr>
          <w:rFonts w:hint="eastAsia" w:ascii="仿宋_GB2312" w:hAnsi="仿宋_GB2312" w:eastAsia="仿宋_GB2312" w:cs="仿宋_GB2312"/>
          <w:color w:val="auto"/>
          <w:spacing w:val="0"/>
          <w:sz w:val="24"/>
          <w:szCs w:val="24"/>
          <w:highlight w:val="none"/>
        </w:rPr>
        <w:fldChar w:fldCharType="end"/>
      </w:r>
      <w:r>
        <w:rPr>
          <w:rFonts w:hint="eastAsia" w:ascii="仿宋_GB2312" w:hAnsi="仿宋_GB2312" w:eastAsia="仿宋_GB2312" w:cs="仿宋_GB2312"/>
          <w:color w:val="auto"/>
          <w:spacing w:val="0"/>
          <w:sz w:val="24"/>
          <w:szCs w:val="24"/>
          <w:highlight w:val="none"/>
        </w:rPr>
        <w:fldChar w:fldCharType="end"/>
      </w:r>
    </w:p>
    <w:p>
      <w:pPr>
        <w:pStyle w:val="17"/>
        <w:tabs>
          <w:tab w:val="right" w:leader="dot" w:pos="8845"/>
          <w:tab w:val="clear" w:pos="8835"/>
        </w:tabs>
        <w:rPr>
          <w:rFonts w:ascii="仿宋" w:hAnsi="仿宋" w:eastAsia="仿宋" w:cs="仿宋"/>
          <w:color w:val="auto"/>
          <w:sz w:val="18"/>
          <w:szCs w:val="18"/>
          <w:highlight w:val="none"/>
        </w:rPr>
      </w:pPr>
      <w:r>
        <w:rPr>
          <w:rFonts w:hint="eastAsia" w:ascii="仿宋_GB2312" w:hAnsi="仿宋_GB2312" w:eastAsia="仿宋_GB2312" w:cs="仿宋_GB2312"/>
          <w:color w:val="auto"/>
          <w:szCs w:val="24"/>
          <w:highlight w:val="none"/>
        </w:rPr>
        <w:fldChar w:fldCharType="begin"/>
      </w:r>
      <w:r>
        <w:rPr>
          <w:rFonts w:hint="eastAsia" w:ascii="仿宋_GB2312" w:hAnsi="仿宋_GB2312" w:eastAsia="仿宋_GB2312" w:cs="仿宋_GB2312"/>
          <w:color w:val="auto"/>
          <w:szCs w:val="24"/>
          <w:highlight w:val="none"/>
        </w:rPr>
        <w:instrText xml:space="preserve"> HYPERLINK \l "_Toc19116" </w:instrText>
      </w:r>
      <w:r>
        <w:rPr>
          <w:rFonts w:hint="eastAsia" w:ascii="仿宋_GB2312" w:hAnsi="仿宋_GB2312" w:eastAsia="仿宋_GB2312" w:cs="仿宋_GB2312"/>
          <w:color w:val="auto"/>
          <w:szCs w:val="24"/>
          <w:highlight w:val="none"/>
        </w:rPr>
        <w:fldChar w:fldCharType="separate"/>
      </w:r>
      <w:r>
        <w:rPr>
          <w:rFonts w:hint="eastAsia" w:ascii="仿宋_GB2312" w:hAnsi="仿宋_GB2312" w:eastAsia="仿宋_GB2312" w:cs="仿宋_GB2312"/>
          <w:bCs/>
          <w:color w:val="auto"/>
          <w:spacing w:val="20"/>
          <w:sz w:val="24"/>
          <w:szCs w:val="24"/>
          <w:highlight w:val="none"/>
        </w:rPr>
        <w:t>第七章投标文件格式</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pacing w:val="0"/>
          <w:sz w:val="24"/>
          <w:szCs w:val="24"/>
          <w:highlight w:val="none"/>
        </w:rPr>
        <w:fldChar w:fldCharType="begin"/>
      </w:r>
      <w:r>
        <w:rPr>
          <w:rFonts w:hint="eastAsia" w:ascii="仿宋_GB2312" w:hAnsi="仿宋_GB2312" w:eastAsia="仿宋_GB2312" w:cs="仿宋_GB2312"/>
          <w:color w:val="auto"/>
          <w:spacing w:val="0"/>
          <w:sz w:val="24"/>
          <w:szCs w:val="24"/>
          <w:highlight w:val="none"/>
        </w:rPr>
        <w:instrText xml:space="preserve"> PAGEREF _Toc19116 </w:instrText>
      </w:r>
      <w:r>
        <w:rPr>
          <w:rFonts w:hint="eastAsia" w:ascii="仿宋_GB2312" w:hAnsi="仿宋_GB2312" w:eastAsia="仿宋_GB2312" w:cs="仿宋_GB2312"/>
          <w:color w:val="auto"/>
          <w:spacing w:val="0"/>
          <w:sz w:val="24"/>
          <w:szCs w:val="24"/>
          <w:highlight w:val="none"/>
        </w:rPr>
        <w:fldChar w:fldCharType="separate"/>
      </w:r>
      <w:r>
        <w:rPr>
          <w:rFonts w:hint="eastAsia" w:ascii="仿宋_GB2312" w:hAnsi="仿宋_GB2312" w:eastAsia="仿宋_GB2312" w:cs="仿宋_GB2312"/>
          <w:color w:val="auto"/>
          <w:spacing w:val="0"/>
          <w:sz w:val="24"/>
          <w:szCs w:val="24"/>
          <w:highlight w:val="none"/>
        </w:rPr>
        <w:t>72</w:t>
      </w:r>
      <w:r>
        <w:rPr>
          <w:rFonts w:hint="eastAsia" w:ascii="仿宋_GB2312" w:hAnsi="仿宋_GB2312" w:eastAsia="仿宋_GB2312" w:cs="仿宋_GB2312"/>
          <w:color w:val="auto"/>
          <w:spacing w:val="0"/>
          <w:sz w:val="24"/>
          <w:szCs w:val="24"/>
          <w:highlight w:val="none"/>
        </w:rPr>
        <w:fldChar w:fldCharType="end"/>
      </w:r>
      <w:r>
        <w:rPr>
          <w:rFonts w:hint="eastAsia" w:ascii="仿宋_GB2312" w:hAnsi="仿宋_GB2312" w:eastAsia="仿宋_GB2312" w:cs="仿宋_GB2312"/>
          <w:color w:val="auto"/>
          <w:spacing w:val="0"/>
          <w:sz w:val="24"/>
          <w:szCs w:val="24"/>
          <w:highlight w:val="none"/>
        </w:rPr>
        <w:fldChar w:fldCharType="end"/>
      </w:r>
    </w:p>
    <w:p>
      <w:pPr>
        <w:pStyle w:val="20"/>
        <w:spacing w:line="360" w:lineRule="exact"/>
        <w:rPr>
          <w:rFonts w:ascii="仿宋" w:hAnsi="仿宋" w:eastAsia="仿宋" w:cs="仿宋"/>
          <w:color w:val="auto"/>
          <w:sz w:val="18"/>
          <w:szCs w:val="18"/>
          <w:highlight w:val="none"/>
        </w:rPr>
      </w:pPr>
      <w:r>
        <w:rPr>
          <w:rFonts w:hint="eastAsia" w:ascii="仿宋" w:hAnsi="仿宋" w:eastAsia="仿宋" w:cs="仿宋"/>
          <w:color w:val="auto"/>
          <w:spacing w:val="30"/>
          <w:sz w:val="18"/>
          <w:szCs w:val="18"/>
          <w:highlight w:val="none"/>
        </w:rPr>
        <w:fldChar w:fldCharType="end"/>
      </w:r>
    </w:p>
    <w:p>
      <w:pPr>
        <w:snapToGrid w:val="0"/>
        <w:spacing w:line="600" w:lineRule="exact"/>
        <w:outlineLvl w:val="0"/>
        <w:rPr>
          <w:rFonts w:ascii="仿宋" w:hAnsi="仿宋" w:eastAsia="仿宋" w:cs="仿宋"/>
          <w:b/>
          <w:bCs/>
          <w:color w:val="auto"/>
          <w:spacing w:val="20"/>
          <w:sz w:val="28"/>
          <w:szCs w:val="28"/>
          <w:highlight w:val="none"/>
        </w:rPr>
      </w:pPr>
      <w:bookmarkStart w:id="1" w:name="_第一部分__投标邀请"/>
      <w:bookmarkEnd w:id="1"/>
      <w:bookmarkStart w:id="2" w:name="_Toc28"/>
      <w:bookmarkStart w:id="3" w:name="_Toc18467"/>
      <w:bookmarkStart w:id="4" w:name="_Toc24399"/>
      <w:bookmarkStart w:id="5" w:name="_Toc512289647"/>
      <w:bookmarkStart w:id="6" w:name="_Toc499543056"/>
    </w:p>
    <w:p>
      <w:pPr>
        <w:snapToGrid w:val="0"/>
        <w:spacing w:line="600" w:lineRule="exact"/>
        <w:jc w:val="center"/>
        <w:outlineLvl w:val="0"/>
        <w:rPr>
          <w:rFonts w:ascii="仿宋" w:hAnsi="仿宋" w:eastAsia="仿宋" w:cs="仿宋"/>
          <w:b/>
          <w:bCs/>
          <w:color w:val="auto"/>
          <w:spacing w:val="20"/>
          <w:sz w:val="28"/>
          <w:szCs w:val="28"/>
          <w:highlight w:val="none"/>
        </w:rPr>
      </w:pPr>
    </w:p>
    <w:p>
      <w:pPr>
        <w:snapToGrid w:val="0"/>
        <w:spacing w:line="600" w:lineRule="exact"/>
        <w:jc w:val="center"/>
        <w:outlineLvl w:val="0"/>
        <w:rPr>
          <w:rFonts w:ascii="仿宋" w:hAnsi="仿宋" w:eastAsia="仿宋" w:cs="仿宋"/>
          <w:b/>
          <w:bCs/>
          <w:color w:val="auto"/>
          <w:spacing w:val="20"/>
          <w:sz w:val="28"/>
          <w:szCs w:val="28"/>
          <w:highlight w:val="none"/>
        </w:rPr>
      </w:pPr>
    </w:p>
    <w:p>
      <w:pPr>
        <w:snapToGrid w:val="0"/>
        <w:spacing w:line="600" w:lineRule="exact"/>
        <w:jc w:val="center"/>
        <w:outlineLvl w:val="0"/>
        <w:rPr>
          <w:rFonts w:ascii="仿宋" w:hAnsi="仿宋" w:eastAsia="仿宋" w:cs="仿宋"/>
          <w:b/>
          <w:bCs/>
          <w:color w:val="auto"/>
          <w:spacing w:val="20"/>
          <w:sz w:val="28"/>
          <w:szCs w:val="28"/>
          <w:highlight w:val="none"/>
        </w:rPr>
      </w:pPr>
      <w:bookmarkStart w:id="7" w:name="_Toc28823"/>
    </w:p>
    <w:p>
      <w:pPr>
        <w:snapToGrid w:val="0"/>
        <w:spacing w:line="600" w:lineRule="exact"/>
        <w:jc w:val="center"/>
        <w:outlineLvl w:val="0"/>
        <w:rPr>
          <w:rFonts w:ascii="仿宋" w:hAnsi="仿宋" w:eastAsia="仿宋" w:cs="仿宋"/>
          <w:b/>
          <w:bCs/>
          <w:color w:val="auto"/>
          <w:spacing w:val="20"/>
          <w:sz w:val="28"/>
          <w:szCs w:val="28"/>
          <w:highlight w:val="none"/>
        </w:rPr>
      </w:pPr>
    </w:p>
    <w:p>
      <w:pPr>
        <w:snapToGrid w:val="0"/>
        <w:spacing w:line="600" w:lineRule="exact"/>
        <w:jc w:val="center"/>
        <w:outlineLvl w:val="0"/>
        <w:rPr>
          <w:rFonts w:ascii="仿宋" w:hAnsi="仿宋" w:eastAsia="仿宋" w:cs="仿宋"/>
          <w:b/>
          <w:bCs/>
          <w:color w:val="auto"/>
          <w:spacing w:val="20"/>
          <w:sz w:val="28"/>
          <w:szCs w:val="28"/>
          <w:highlight w:val="none"/>
        </w:rPr>
      </w:pPr>
      <w:bookmarkStart w:id="8" w:name="_Toc23827"/>
      <w:bookmarkStart w:id="9" w:name="_Toc25914"/>
      <w:bookmarkStart w:id="10" w:name="_Toc3751648"/>
      <w:bookmarkStart w:id="11" w:name="_Toc13108"/>
      <w:bookmarkStart w:id="12" w:name="_Toc3287"/>
      <w:bookmarkStart w:id="13" w:name="_Toc22624"/>
      <w:bookmarkStart w:id="14" w:name="_Toc23069"/>
      <w:bookmarkStart w:id="15" w:name="_Toc10477"/>
    </w:p>
    <w:p>
      <w:pPr>
        <w:snapToGrid w:val="0"/>
        <w:spacing w:line="600" w:lineRule="exact"/>
        <w:jc w:val="center"/>
        <w:outlineLvl w:val="0"/>
        <w:rPr>
          <w:rFonts w:ascii="仿宋" w:hAnsi="仿宋" w:eastAsia="仿宋" w:cs="仿宋"/>
          <w:b/>
          <w:bCs/>
          <w:color w:val="auto"/>
          <w:spacing w:val="20"/>
          <w:sz w:val="28"/>
          <w:szCs w:val="28"/>
          <w:highlight w:val="none"/>
        </w:rPr>
      </w:pPr>
    </w:p>
    <w:p>
      <w:pPr>
        <w:snapToGrid w:val="0"/>
        <w:spacing w:line="600" w:lineRule="exact"/>
        <w:jc w:val="center"/>
        <w:outlineLvl w:val="0"/>
        <w:rPr>
          <w:rFonts w:ascii="仿宋" w:hAnsi="仿宋" w:eastAsia="仿宋" w:cs="仿宋"/>
          <w:b/>
          <w:bCs/>
          <w:color w:val="auto"/>
          <w:spacing w:val="20"/>
          <w:sz w:val="28"/>
          <w:szCs w:val="28"/>
          <w:highlight w:val="none"/>
        </w:rPr>
      </w:pPr>
    </w:p>
    <w:p>
      <w:pPr>
        <w:snapToGrid w:val="0"/>
        <w:spacing w:line="600" w:lineRule="exact"/>
        <w:jc w:val="center"/>
        <w:outlineLvl w:val="0"/>
        <w:rPr>
          <w:rFonts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bookmarkStart w:id="16" w:name="_Toc1944"/>
      <w:bookmarkStart w:id="17" w:name="_Toc29098"/>
      <w:bookmarkStart w:id="18" w:name="_Toc13458"/>
      <w:bookmarkStart w:id="19" w:name="_Toc9884"/>
      <w:bookmarkStart w:id="20" w:name="_Toc14058"/>
      <w:bookmarkStart w:id="21" w:name="_Toc8061"/>
      <w:bookmarkStart w:id="22" w:name="_Toc25085"/>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hint="eastAsia" w:ascii="仿宋" w:hAnsi="仿宋" w:eastAsia="仿宋" w:cs="仿宋"/>
          <w:b/>
          <w:bCs/>
          <w:color w:val="auto"/>
          <w:spacing w:val="20"/>
          <w:sz w:val="28"/>
          <w:szCs w:val="28"/>
          <w:highlight w:val="none"/>
        </w:rPr>
      </w:pPr>
    </w:p>
    <w:p>
      <w:pPr>
        <w:snapToGrid w:val="0"/>
        <w:spacing w:line="600" w:lineRule="exact"/>
        <w:jc w:val="center"/>
        <w:outlineLvl w:val="0"/>
        <w:rPr>
          <w:rFonts w:ascii="仿宋" w:hAnsi="仿宋" w:eastAsia="仿宋" w:cs="仿宋"/>
          <w:b/>
          <w:bCs/>
          <w:color w:val="auto"/>
          <w:spacing w:val="20"/>
          <w:sz w:val="28"/>
          <w:szCs w:val="28"/>
          <w:highlight w:val="none"/>
        </w:rPr>
      </w:pPr>
      <w:r>
        <w:rPr>
          <w:rFonts w:hint="eastAsia" w:ascii="仿宋" w:hAnsi="仿宋" w:eastAsia="仿宋" w:cs="仿宋"/>
          <w:b/>
          <w:bCs/>
          <w:color w:val="auto"/>
          <w:spacing w:val="20"/>
          <w:sz w:val="28"/>
          <w:szCs w:val="28"/>
          <w:highlight w:val="none"/>
        </w:rPr>
        <w:t>第一章  投标邀请</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napToGrid w:val="0"/>
        <w:spacing w:line="600" w:lineRule="exact"/>
        <w:jc w:val="center"/>
        <w:rPr>
          <w:rFonts w:ascii="仿宋" w:hAnsi="仿宋" w:eastAsia="仿宋" w:cs="仿宋"/>
          <w:b/>
          <w:color w:val="auto"/>
          <w:spacing w:val="30"/>
          <w:sz w:val="48"/>
          <w:highlight w:val="none"/>
        </w:rPr>
      </w:pPr>
    </w:p>
    <w:p>
      <w:pPr>
        <w:snapToGrid w:val="0"/>
        <w:spacing w:line="600" w:lineRule="exact"/>
        <w:jc w:val="center"/>
        <w:rPr>
          <w:rFonts w:ascii="仿宋" w:hAnsi="仿宋" w:eastAsia="仿宋" w:cs="仿宋"/>
          <w:b/>
          <w:color w:val="auto"/>
          <w:spacing w:val="30"/>
          <w:sz w:val="48"/>
          <w:highlight w:val="none"/>
        </w:rPr>
      </w:pPr>
    </w:p>
    <w:p>
      <w:pPr>
        <w:snapToGrid w:val="0"/>
        <w:spacing w:line="600" w:lineRule="exact"/>
        <w:jc w:val="center"/>
        <w:rPr>
          <w:rFonts w:ascii="仿宋" w:hAnsi="仿宋" w:eastAsia="仿宋" w:cs="仿宋"/>
          <w:b/>
          <w:color w:val="auto"/>
          <w:spacing w:val="30"/>
          <w:sz w:val="48"/>
          <w:highlight w:val="none"/>
        </w:rPr>
      </w:pPr>
    </w:p>
    <w:p>
      <w:pPr>
        <w:snapToGrid w:val="0"/>
        <w:spacing w:line="600" w:lineRule="exact"/>
        <w:jc w:val="center"/>
        <w:rPr>
          <w:rFonts w:ascii="仿宋" w:hAnsi="仿宋" w:eastAsia="仿宋" w:cs="仿宋"/>
          <w:b/>
          <w:color w:val="auto"/>
          <w:spacing w:val="30"/>
          <w:sz w:val="48"/>
          <w:highlight w:val="none"/>
        </w:rPr>
      </w:pPr>
    </w:p>
    <w:p>
      <w:pPr>
        <w:snapToGrid w:val="0"/>
        <w:spacing w:line="600" w:lineRule="exact"/>
        <w:jc w:val="center"/>
        <w:rPr>
          <w:rFonts w:ascii="仿宋" w:hAnsi="仿宋" w:eastAsia="仿宋" w:cs="仿宋"/>
          <w:b/>
          <w:color w:val="auto"/>
          <w:spacing w:val="30"/>
          <w:sz w:val="48"/>
          <w:highlight w:val="none"/>
        </w:rPr>
      </w:pPr>
    </w:p>
    <w:p>
      <w:pPr>
        <w:snapToGrid w:val="0"/>
        <w:spacing w:line="600" w:lineRule="exact"/>
        <w:jc w:val="center"/>
        <w:rPr>
          <w:rFonts w:ascii="仿宋" w:hAnsi="仿宋" w:eastAsia="仿宋" w:cs="仿宋"/>
          <w:b/>
          <w:color w:val="auto"/>
          <w:spacing w:val="30"/>
          <w:sz w:val="48"/>
          <w:highlight w:val="none"/>
        </w:rPr>
      </w:pPr>
    </w:p>
    <w:p>
      <w:pPr>
        <w:snapToGrid w:val="0"/>
        <w:spacing w:line="600" w:lineRule="exact"/>
        <w:jc w:val="center"/>
        <w:rPr>
          <w:rFonts w:ascii="仿宋" w:hAnsi="仿宋" w:eastAsia="仿宋" w:cs="仿宋"/>
          <w:b/>
          <w:color w:val="auto"/>
          <w:spacing w:val="30"/>
          <w:sz w:val="48"/>
          <w:highlight w:val="none"/>
        </w:rPr>
      </w:pPr>
    </w:p>
    <w:p>
      <w:pPr>
        <w:snapToGrid w:val="0"/>
        <w:spacing w:line="600" w:lineRule="exact"/>
        <w:jc w:val="center"/>
        <w:rPr>
          <w:rFonts w:ascii="仿宋" w:hAnsi="仿宋" w:eastAsia="仿宋" w:cs="仿宋"/>
          <w:b/>
          <w:color w:val="auto"/>
          <w:spacing w:val="30"/>
          <w:sz w:val="48"/>
          <w:highlight w:val="none"/>
        </w:rPr>
        <w:sectPr>
          <w:footerReference r:id="rId3" w:type="default"/>
          <w:pgSz w:w="11907" w:h="16840"/>
          <w:pgMar w:top="2041" w:right="1531" w:bottom="2041" w:left="1531" w:header="1701" w:footer="1474" w:gutter="0"/>
          <w:paperSrc w:first="534" w:other="534"/>
          <w:cols w:space="720" w:num="1"/>
          <w:docGrid w:linePitch="523" w:charSpace="0"/>
        </w:sectPr>
      </w:pPr>
    </w:p>
    <w:p>
      <w:pPr>
        <w:pStyle w:val="4"/>
        <w:spacing w:before="0" w:after="0"/>
        <w:rPr>
          <w:rFonts w:ascii="仿宋" w:hAnsi="仿宋" w:eastAsia="仿宋" w:cs="仿宋"/>
          <w:color w:val="auto"/>
          <w:sz w:val="28"/>
          <w:szCs w:val="28"/>
          <w:highlight w:val="none"/>
        </w:rPr>
      </w:pPr>
      <w:bookmarkStart w:id="23" w:name="_Toc23142"/>
      <w:bookmarkStart w:id="24" w:name="_Toc11426"/>
      <w:bookmarkStart w:id="25" w:name="_Toc9092"/>
      <w:bookmarkStart w:id="26" w:name="_Toc500885223"/>
      <w:bookmarkStart w:id="27" w:name="_Toc3751649"/>
      <w:bookmarkStart w:id="28" w:name="_Toc3293"/>
      <w:bookmarkStart w:id="29" w:name="_Toc31217"/>
      <w:bookmarkStart w:id="30" w:name="_Toc13212"/>
      <w:bookmarkStart w:id="31" w:name="_Toc14561"/>
      <w:bookmarkStart w:id="32" w:name="_Toc13506"/>
      <w:bookmarkStart w:id="33" w:name="_Toc28044"/>
      <w:bookmarkStart w:id="34" w:name="_Toc13429"/>
      <w:bookmarkStart w:id="35" w:name="_Toc30400"/>
      <w:bookmarkStart w:id="36" w:name="_Toc17368"/>
      <w:bookmarkStart w:id="37" w:name="_Toc24832"/>
      <w:bookmarkStart w:id="38" w:name="_Toc11585"/>
      <w:bookmarkStart w:id="39" w:name="_Toc30660"/>
      <w:bookmarkStart w:id="40" w:name="_Toc13722"/>
      <w:bookmarkStart w:id="41" w:name="_Toc1169"/>
      <w:bookmarkStart w:id="42" w:name="_Toc512289648"/>
      <w:bookmarkStart w:id="43" w:name="_Toc10634"/>
      <w:bookmarkStart w:id="44" w:name="_Toc30913"/>
      <w:bookmarkStart w:id="45" w:name="_Toc3049"/>
      <w:bookmarkStart w:id="46" w:name="_Toc1934"/>
      <w:bookmarkStart w:id="47" w:name="_Toc14213"/>
      <w:bookmarkStart w:id="48" w:name="_Toc11064"/>
      <w:bookmarkStart w:id="49" w:name="_Toc499201120"/>
      <w:bookmarkStart w:id="50" w:name="_Toc3732"/>
      <w:bookmarkStart w:id="51" w:name="_Toc15429"/>
      <w:bookmarkStart w:id="52" w:name="_Toc31892"/>
      <w:bookmarkStart w:id="53" w:name="_Toc6599"/>
      <w:r>
        <w:rPr>
          <w:rFonts w:hint="eastAsia" w:ascii="仿宋" w:hAnsi="仿宋" w:eastAsia="仿宋" w:cs="仿宋"/>
          <w:color w:val="auto"/>
          <w:sz w:val="28"/>
          <w:szCs w:val="28"/>
          <w:highlight w:val="none"/>
        </w:rPr>
        <w:t>投 标 邀 请 函</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spacing w:line="50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u w:val="single"/>
        </w:rPr>
        <w:t>东莞市万江招投标服务所（以下简称“招投标所”）</w:t>
      </w:r>
      <w:r>
        <w:rPr>
          <w:rFonts w:hint="eastAsia" w:ascii="仿宋" w:hAnsi="仿宋" w:eastAsia="仿宋" w:cs="仿宋"/>
          <w:color w:val="auto"/>
          <w:sz w:val="28"/>
          <w:highlight w:val="none"/>
        </w:rPr>
        <w:t>受</w:t>
      </w:r>
      <w:r>
        <w:rPr>
          <w:rFonts w:hint="eastAsia" w:ascii="仿宋" w:hAnsi="仿宋" w:eastAsia="仿宋" w:cs="仿宋"/>
          <w:color w:val="auto"/>
          <w:sz w:val="28"/>
          <w:highlight w:val="none"/>
          <w:u w:val="single"/>
        </w:rPr>
        <w:t>东莞市万江消防队（以下简称“采购人”）的</w:t>
      </w:r>
      <w:r>
        <w:rPr>
          <w:rFonts w:hint="eastAsia" w:ascii="仿宋" w:hAnsi="仿宋" w:eastAsia="仿宋" w:cs="仿宋"/>
          <w:color w:val="auto"/>
          <w:sz w:val="28"/>
          <w:highlight w:val="none"/>
        </w:rPr>
        <w:t>委托，对下述</w:t>
      </w:r>
      <w:r>
        <w:rPr>
          <w:rFonts w:hint="eastAsia" w:ascii="仿宋" w:hAnsi="仿宋" w:eastAsia="仿宋" w:cs="仿宋"/>
          <w:color w:val="auto"/>
          <w:sz w:val="28"/>
          <w:highlight w:val="none"/>
          <w:lang w:eastAsia="zh-CN"/>
        </w:rPr>
        <w:t>货物</w:t>
      </w:r>
      <w:r>
        <w:rPr>
          <w:rFonts w:hint="eastAsia" w:ascii="仿宋" w:hAnsi="仿宋" w:eastAsia="仿宋" w:cs="仿宋"/>
          <w:color w:val="auto"/>
          <w:sz w:val="28"/>
          <w:highlight w:val="none"/>
        </w:rPr>
        <w:t>进行国内公开招标。欢迎合格的供应商前来投标。</w:t>
      </w:r>
    </w:p>
    <w:p>
      <w:pPr>
        <w:spacing w:line="500" w:lineRule="exact"/>
        <w:ind w:firstLine="56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28"/>
          <w:highlight w:val="none"/>
        </w:rPr>
        <w:t>一、采购项目编号</w:t>
      </w:r>
      <w:r>
        <w:rPr>
          <w:rFonts w:hint="eastAsia" w:ascii="仿宋" w:hAnsi="仿宋" w:eastAsia="仿宋" w:cs="仿宋"/>
          <w:color w:val="auto"/>
          <w:sz w:val="32"/>
          <w:szCs w:val="32"/>
          <w:highlight w:val="none"/>
        </w:rPr>
        <w:t>：WJGP2021007</w:t>
      </w:r>
    </w:p>
    <w:p>
      <w:pPr>
        <w:snapToGrid w:val="0"/>
        <w:spacing w:line="600" w:lineRule="exact"/>
        <w:ind w:firstLine="560" w:firstLineChars="200"/>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二、采购项目名称：2021年万江消防队消防器材购置项目</w:t>
      </w:r>
    </w:p>
    <w:p>
      <w:pPr>
        <w:spacing w:line="500" w:lineRule="exact"/>
        <w:ind w:firstLine="560" w:firstLineChars="200"/>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三、资金来源：</w:t>
      </w:r>
      <w:r>
        <w:rPr>
          <w:rFonts w:hint="eastAsia" w:ascii="仿宋" w:hAnsi="仿宋" w:eastAsia="仿宋" w:cs="仿宋"/>
          <w:color w:val="auto"/>
          <w:sz w:val="28"/>
          <w:highlight w:val="none"/>
          <w:lang w:eastAsia="zh-CN"/>
        </w:rPr>
        <w:t>财政预算</w:t>
      </w:r>
    </w:p>
    <w:p>
      <w:pPr>
        <w:pStyle w:val="58"/>
        <w:spacing w:line="500" w:lineRule="exact"/>
        <w:ind w:firstLine="577"/>
        <w:rPr>
          <w:rFonts w:ascii="仿宋" w:hAnsi="仿宋" w:eastAsia="仿宋" w:cs="仿宋"/>
          <w:color w:val="auto"/>
          <w:sz w:val="28"/>
          <w:highlight w:val="none"/>
        </w:rPr>
      </w:pPr>
      <w:r>
        <w:rPr>
          <w:rFonts w:hint="eastAsia" w:ascii="仿宋" w:hAnsi="仿宋" w:eastAsia="仿宋" w:cs="仿宋"/>
          <w:color w:val="auto"/>
          <w:sz w:val="28"/>
          <w:highlight w:val="none"/>
        </w:rPr>
        <w:t xml:space="preserve">    采购总预算：￥</w:t>
      </w:r>
      <w:r>
        <w:rPr>
          <w:rFonts w:hint="eastAsia" w:ascii="仿宋" w:hAnsi="仿宋" w:eastAsia="仿宋" w:cs="仿宋"/>
          <w:color w:val="auto"/>
          <w:sz w:val="28"/>
          <w:highlight w:val="none"/>
          <w:lang w:val="en-US" w:eastAsia="zh-CN"/>
        </w:rPr>
        <w:t>740596.25</w:t>
      </w:r>
      <w:r>
        <w:rPr>
          <w:rFonts w:hint="eastAsia" w:ascii="仿宋" w:hAnsi="仿宋" w:eastAsia="仿宋" w:cs="仿宋"/>
          <w:color w:val="auto"/>
          <w:sz w:val="28"/>
          <w:highlight w:val="none"/>
        </w:rPr>
        <w:t xml:space="preserve">元   </w:t>
      </w:r>
    </w:p>
    <w:p>
      <w:pPr>
        <w:pStyle w:val="58"/>
        <w:spacing w:line="500" w:lineRule="exact"/>
        <w:ind w:firstLine="577"/>
        <w:rPr>
          <w:rFonts w:hint="eastAsia" w:ascii="仿宋" w:hAnsi="仿宋" w:eastAsia="仿宋" w:cs="仿宋"/>
          <w:color w:val="auto"/>
          <w:sz w:val="28"/>
          <w:highlight w:val="none"/>
        </w:rPr>
      </w:pPr>
      <w:r>
        <w:rPr>
          <w:rFonts w:hint="eastAsia" w:ascii="仿宋" w:hAnsi="仿宋" w:eastAsia="仿宋" w:cs="仿宋"/>
          <w:color w:val="auto"/>
          <w:kern w:val="0"/>
          <w:sz w:val="28"/>
          <w:szCs w:val="28"/>
          <w:highlight w:val="none"/>
        </w:rPr>
        <w:t>四、采购项目内容：</w:t>
      </w:r>
      <w:r>
        <w:rPr>
          <w:rFonts w:hint="eastAsia" w:ascii="仿宋" w:hAnsi="仿宋" w:eastAsia="仿宋" w:cs="仿宋"/>
          <w:color w:val="auto"/>
          <w:sz w:val="28"/>
          <w:highlight w:val="none"/>
        </w:rPr>
        <w:t xml:space="preserve"> </w:t>
      </w:r>
    </w:p>
    <w:tbl>
      <w:tblPr>
        <w:tblStyle w:val="24"/>
        <w:tblW w:w="6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1504"/>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560" w:type="dxa"/>
            <w:shd w:val="clear" w:color="auto" w:fill="FFFFFF"/>
            <w:vAlign w:val="center"/>
          </w:tcPr>
          <w:p>
            <w:pPr>
              <w:widowControl/>
              <w:spacing w:line="52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采购内容</w:t>
            </w:r>
          </w:p>
        </w:tc>
        <w:tc>
          <w:tcPr>
            <w:tcW w:w="1504" w:type="dxa"/>
            <w:shd w:val="clear" w:color="auto" w:fill="FFFFFF"/>
            <w:vAlign w:val="center"/>
          </w:tcPr>
          <w:p>
            <w:pPr>
              <w:widowControl/>
              <w:spacing w:line="52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数量</w:t>
            </w:r>
          </w:p>
        </w:tc>
        <w:tc>
          <w:tcPr>
            <w:tcW w:w="2132" w:type="dxa"/>
            <w:shd w:val="clear" w:color="auto" w:fill="FFFFFF"/>
            <w:vAlign w:val="center"/>
          </w:tcPr>
          <w:p>
            <w:pPr>
              <w:widowControl/>
              <w:spacing w:line="520" w:lineRule="exact"/>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560" w:type="dxa"/>
            <w:vAlign w:val="center"/>
          </w:tcPr>
          <w:p>
            <w:pPr>
              <w:spacing w:line="520" w:lineRule="exact"/>
              <w:jc w:val="center"/>
              <w:rPr>
                <w:rFonts w:ascii="Times New Roman" w:hAnsi="Times New Roman" w:eastAsia="仿宋_GB2312" w:cs="Times New Roman"/>
                <w:color w:val="auto"/>
                <w:sz w:val="28"/>
                <w:szCs w:val="28"/>
                <w:highlight w:val="none"/>
              </w:rPr>
            </w:pPr>
            <w:r>
              <w:rPr>
                <w:rFonts w:hint="eastAsia" w:ascii="仿宋_GB2312" w:hAnsi="仿宋_GB2312" w:eastAsia="仿宋_GB2312" w:cs="仿宋_GB2312"/>
                <w:bCs/>
                <w:color w:val="auto"/>
                <w:sz w:val="28"/>
                <w:szCs w:val="28"/>
                <w:highlight w:val="none"/>
                <w:lang w:eastAsia="zh-CN"/>
              </w:rPr>
              <w:t>2021年万江消防队消防器材购置项目</w:t>
            </w:r>
          </w:p>
        </w:tc>
        <w:tc>
          <w:tcPr>
            <w:tcW w:w="1504" w:type="dxa"/>
            <w:vAlign w:val="center"/>
          </w:tcPr>
          <w:p>
            <w:pPr>
              <w:spacing w:line="520" w:lineRule="exact"/>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1批</w:t>
            </w:r>
          </w:p>
        </w:tc>
        <w:tc>
          <w:tcPr>
            <w:tcW w:w="2132" w:type="dxa"/>
            <w:vAlign w:val="center"/>
          </w:tcPr>
          <w:p>
            <w:pPr>
              <w:spacing w:line="520" w:lineRule="exact"/>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highlight w:val="none"/>
                <w:lang w:eastAsia="zh-CN"/>
              </w:rPr>
              <w:t>详见招标文件</w:t>
            </w:r>
          </w:p>
        </w:tc>
      </w:tr>
    </w:tbl>
    <w:p>
      <w:pPr>
        <w:pStyle w:val="58"/>
        <w:spacing w:beforeLines="50" w:line="500" w:lineRule="exact"/>
        <w:ind w:firstLine="577"/>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五、</w:t>
      </w:r>
      <w:r>
        <w:rPr>
          <w:rFonts w:hint="eastAsia" w:ascii="仿宋" w:hAnsi="仿宋" w:eastAsia="仿宋" w:cs="仿宋"/>
          <w:color w:val="auto"/>
          <w:sz w:val="28"/>
          <w:szCs w:val="28"/>
          <w:highlight w:val="none"/>
        </w:rPr>
        <w:t>供应商须满足以下资格条件:</w:t>
      </w:r>
    </w:p>
    <w:p>
      <w:pPr>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5.1符合《中华人民共和国政府采购法》第二十二条规定，并提供以下证明资料：</w:t>
      </w:r>
    </w:p>
    <w:p>
      <w:pPr>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（1）法人或者其他组织的营业执照（或事业单位法人证书）等证明文件（允许分支机构作为供应商参加投标的须同时提供总公司的授权书），自然人参加投标时还须提供自然人的身份证明材料；</w:t>
      </w:r>
    </w:p>
    <w:p>
      <w:pPr>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（2）财务状况报告（提供财务报告或基本开户银行出具的资信证明或专业担保机构出具的投标担保函）；</w:t>
      </w:r>
    </w:p>
    <w:p>
      <w:pPr>
        <w:tabs>
          <w:tab w:val="left" w:pos="0"/>
        </w:tabs>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（3）具备履行合同所必需的设备和专业技术能力的证明材料，须提供《供应商具有履行合同所必需的设备和专业技术能力情况》；</w:t>
      </w:r>
    </w:p>
    <w:p>
      <w:pPr>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（4）依法缴纳税收和社会保障资金的良好记录（提供投标截止日前6个月内任意1个月依法缴纳税收和社会保障资金的相关材料。如依法免税或不需要缴纳社会保障资金的，须提供相应证明材料）；</w:t>
      </w:r>
    </w:p>
    <w:p>
      <w:pPr>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（5）参加政府采购活动前3年内在经营活动中没有重大违法记录的书面声明。</w:t>
      </w:r>
    </w:p>
    <w:p>
      <w:pPr>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5.2 供应商的单位负责人为同一人或者存在直接控股、管理关系的不同供应商，不得参加同一合同项下的政府采购活动。</w:t>
      </w:r>
    </w:p>
    <w:p>
      <w:pPr>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5.3 供应商未被列入“信用中国”网站(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仿宋" w:hAnsi="仿宋" w:eastAsia="仿宋" w:cs="仿宋"/>
          <w:color w:val="auto"/>
          <w:sz w:val="28"/>
          <w:szCs w:val="28"/>
          <w:highlight w:val="none"/>
          <w:u w:val="single"/>
        </w:rPr>
        <w:t>www.creditchina.gov.cn)“记录失</w:t>
      </w:r>
      <w:r>
        <w:rPr>
          <w:rFonts w:hint="eastAsia" w:ascii="仿宋" w:hAnsi="仿宋" w:eastAsia="仿宋" w:cs="仿宋"/>
          <w:color w:val="auto"/>
          <w:sz w:val="28"/>
          <w:szCs w:val="28"/>
          <w:highlight w:val="none"/>
          <w:u w:val="single"/>
        </w:rPr>
        <w:fldChar w:fldCharType="end"/>
      </w:r>
      <w:r>
        <w:rPr>
          <w:rFonts w:hint="eastAsia" w:ascii="仿宋" w:hAnsi="仿宋" w:eastAsia="仿宋" w:cs="仿宋"/>
          <w:color w:val="auto"/>
          <w:sz w:val="28"/>
          <w:szCs w:val="28"/>
          <w:highlight w:val="none"/>
          <w:u w:val="single"/>
        </w:rPr>
        <w:t>信被执行人或重大税收违法案件当事人名单或政府采购严重违法失信行为”记录名单；不处于中国政府采购网(www.ccgp.gov.cn)“政府采购严重违法失信行为信息记录”中的禁止参加政府采购活动期间。(不需要供应商提供证明材料，采购人或采购代理机构将在开标当天查询供应商的信用记录。)</w:t>
      </w:r>
    </w:p>
    <w:p>
      <w:pPr>
        <w:spacing w:line="500" w:lineRule="exact"/>
        <w:ind w:firstLine="560" w:firstLineChars="200"/>
        <w:rPr>
          <w:rFonts w:hint="default" w:eastAsia="仿宋"/>
          <w:highlight w:val="none"/>
          <w:lang w:val="en-US" w:eastAsia="zh-CN"/>
        </w:rPr>
      </w:pPr>
      <w:r>
        <w:rPr>
          <w:rFonts w:hint="eastAsia" w:ascii="仿宋" w:hAnsi="仿宋" w:eastAsia="仿宋" w:cs="仿宋"/>
          <w:color w:val="auto"/>
          <w:sz w:val="28"/>
          <w:szCs w:val="28"/>
          <w:highlight w:val="none"/>
          <w:u w:val="single"/>
        </w:rPr>
        <w:t>5.</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 xml:space="preserve"> 本项目不接受联合体投标。</w:t>
      </w:r>
    </w:p>
    <w:p>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六、招标文件公告时间、获取网址及方式</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 招标文件公告期限：</w:t>
      </w: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日起至</w:t>
      </w: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日止</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招标文件获取网址：中国东莞万江街道栏目。</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获取招标文件方式：现场领取、网上下载招标文件以及相关附件，文件均不收费。</w:t>
      </w:r>
    </w:p>
    <w:p>
      <w:pPr>
        <w:autoSpaceDE w:val="0"/>
        <w:autoSpaceDN w:val="0"/>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七、投标人购买采购文件登记事宜</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7.1 </w:t>
      </w:r>
      <w:r>
        <w:rPr>
          <w:rFonts w:hint="eastAsia" w:ascii="仿宋" w:hAnsi="仿宋" w:eastAsia="仿宋" w:cs="仿宋"/>
          <w:color w:val="auto"/>
          <w:sz w:val="28"/>
          <w:szCs w:val="28"/>
          <w:highlight w:val="none"/>
          <w:lang w:eastAsia="zh-CN"/>
        </w:rPr>
        <w:t>购买</w:t>
      </w:r>
      <w:r>
        <w:rPr>
          <w:rFonts w:hint="eastAsia" w:ascii="仿宋" w:hAnsi="仿宋" w:eastAsia="仿宋" w:cs="仿宋"/>
          <w:color w:val="auto"/>
          <w:sz w:val="28"/>
          <w:szCs w:val="28"/>
          <w:highlight w:val="none"/>
        </w:rPr>
        <w:t>时间：符合资格的投标人应当在</w:t>
      </w:r>
      <w:r>
        <w:rPr>
          <w:rFonts w:hint="eastAsia" w:ascii="仿宋" w:hAnsi="仿宋" w:eastAsia="仿宋" w:cs="仿宋"/>
          <w:color w:val="auto"/>
          <w:sz w:val="28"/>
          <w:szCs w:val="28"/>
          <w:highlight w:val="none"/>
          <w:lang w:val="en-US" w:eastAsia="zh-CN"/>
        </w:rPr>
        <w:t>2021年10月18日起至2021年10月25日</w:t>
      </w:r>
      <w:r>
        <w:rPr>
          <w:rFonts w:hint="eastAsia" w:ascii="仿宋" w:hAnsi="仿宋" w:eastAsia="仿宋" w:cs="仿宋"/>
          <w:color w:val="auto"/>
          <w:sz w:val="28"/>
          <w:szCs w:val="28"/>
          <w:highlight w:val="none"/>
        </w:rPr>
        <w:t>止（法定节假日除外）</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7.2 </w:t>
      </w:r>
      <w:r>
        <w:rPr>
          <w:rFonts w:hint="eastAsia" w:ascii="仿宋" w:hAnsi="仿宋" w:eastAsia="仿宋" w:cs="仿宋"/>
          <w:color w:val="auto"/>
          <w:sz w:val="28"/>
          <w:szCs w:val="28"/>
          <w:highlight w:val="none"/>
          <w:lang w:eastAsia="zh-CN"/>
        </w:rPr>
        <w:t>登记</w:t>
      </w:r>
      <w:r>
        <w:rPr>
          <w:rFonts w:hint="eastAsia" w:ascii="仿宋" w:hAnsi="仿宋" w:eastAsia="仿宋" w:cs="仿宋"/>
          <w:color w:val="auto"/>
          <w:sz w:val="28"/>
          <w:szCs w:val="28"/>
          <w:highlight w:val="none"/>
        </w:rPr>
        <w:t>地点：东莞市万江街道行政办事中心3号楼2楼办公室</w:t>
      </w:r>
    </w:p>
    <w:p>
      <w:pPr>
        <w:autoSpaceDE w:val="0"/>
        <w:autoSpaceDN w:val="0"/>
        <w:spacing w:line="500" w:lineRule="exact"/>
        <w:ind w:firstLine="560" w:firstLineChars="200"/>
        <w:rPr>
          <w:rFonts w:eastAsia="仿宋_GB2312"/>
          <w:color w:val="auto"/>
          <w:sz w:val="28"/>
          <w:szCs w:val="28"/>
          <w:highlight w:val="none"/>
        </w:rPr>
      </w:pPr>
      <w:r>
        <w:rPr>
          <w:rFonts w:hint="eastAsia" w:ascii="仿宋" w:hAnsi="仿宋" w:eastAsia="仿宋" w:cs="仿宋"/>
          <w:color w:val="auto"/>
          <w:sz w:val="28"/>
          <w:szCs w:val="28"/>
          <w:highlight w:val="none"/>
          <w:lang w:val="en-US" w:eastAsia="zh-CN"/>
        </w:rPr>
        <w:t xml:space="preserve">7.3 </w:t>
      </w:r>
      <w:r>
        <w:rPr>
          <w:rFonts w:hint="eastAsia" w:eastAsia="仿宋_GB2312"/>
          <w:color w:val="auto"/>
          <w:sz w:val="28"/>
          <w:szCs w:val="28"/>
          <w:highlight w:val="none"/>
          <w:lang w:eastAsia="zh-CN"/>
        </w:rPr>
        <w:t>购买采购文件登记</w:t>
      </w:r>
      <w:r>
        <w:rPr>
          <w:rFonts w:eastAsia="仿宋_GB2312"/>
          <w:color w:val="auto"/>
          <w:sz w:val="28"/>
          <w:szCs w:val="28"/>
          <w:highlight w:val="none"/>
        </w:rPr>
        <w:t>时须提供“</w:t>
      </w:r>
      <w:r>
        <w:rPr>
          <w:rFonts w:eastAsia="仿宋_GB2312"/>
          <w:b/>
          <w:bCs/>
          <w:color w:val="auto"/>
          <w:sz w:val="28"/>
          <w:szCs w:val="28"/>
          <w:highlight w:val="none"/>
        </w:rPr>
        <w:t>万江招投标服务所登记表</w:t>
      </w:r>
      <w:r>
        <w:rPr>
          <w:rFonts w:eastAsia="仿宋_GB2312"/>
          <w:color w:val="auto"/>
          <w:sz w:val="28"/>
          <w:szCs w:val="28"/>
          <w:highlight w:val="none"/>
        </w:rPr>
        <w:t>”和《营业执照》或《事业单位法人证书》复印件（加盖公章）。</w:t>
      </w:r>
    </w:p>
    <w:p>
      <w:pPr>
        <w:autoSpaceDE w:val="0"/>
        <w:autoSpaceDN w:val="0"/>
        <w:spacing w:line="500" w:lineRule="exact"/>
        <w:rPr>
          <w:rFonts w:hint="eastAsia"/>
          <w:color w:val="auto"/>
          <w:highlight w:val="none"/>
          <w:lang w:eastAsia="zh-CN"/>
        </w:rPr>
      </w:pPr>
      <w:r>
        <w:rPr>
          <w:rFonts w:eastAsia="仿宋_GB2312"/>
          <w:b/>
          <w:bCs/>
          <w:color w:val="auto"/>
          <w:sz w:val="28"/>
          <w:szCs w:val="28"/>
          <w:highlight w:val="none"/>
        </w:rPr>
        <w:t>注： 如“三证合一”的营业执照，则不需要提供税务登记证和组织机构代码证。</w:t>
      </w:r>
    </w:p>
    <w:p>
      <w:pPr>
        <w:autoSpaceDE w:val="0"/>
        <w:autoSpaceDN w:val="0"/>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八、递交投标文件及签到事宜</w:t>
      </w:r>
      <w:r>
        <w:rPr>
          <w:rFonts w:hint="eastAsia" w:ascii="仿宋" w:hAnsi="仿宋" w:eastAsia="仿宋" w:cs="仿宋"/>
          <w:color w:val="auto"/>
          <w:sz w:val="28"/>
          <w:szCs w:val="28"/>
          <w:highlight w:val="none"/>
          <w:lang w:eastAsia="zh-CN"/>
        </w:rPr>
        <w:t>。</w:t>
      </w:r>
    </w:p>
    <w:p>
      <w:pPr>
        <w:spacing w:line="500" w:lineRule="exact"/>
        <w:ind w:firstLine="588" w:firstLineChars="21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8.1递交投标文件开始时间：20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日上午9:00</w:t>
      </w:r>
    </w:p>
    <w:p>
      <w:pPr>
        <w:spacing w:line="500" w:lineRule="exact"/>
        <w:ind w:firstLine="588" w:firstLineChars="21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递交投标文件截止及开标时间：</w:t>
      </w: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日上午9:30时</w:t>
      </w:r>
    </w:p>
    <w:p>
      <w:pPr>
        <w:spacing w:line="500" w:lineRule="exact"/>
        <w:ind w:firstLine="590" w:firstLineChars="21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(逾期送达或未按招标文件要求密封的投标文件恕不接收。)</w:t>
      </w:r>
    </w:p>
    <w:p>
      <w:pPr>
        <w:spacing w:line="500" w:lineRule="exact"/>
        <w:ind w:firstLine="588" w:firstLineChars="21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8.2 递交投标文件及开标地点：东莞市万江街道行政办事中心3号楼1楼会议室。</w:t>
      </w:r>
    </w:p>
    <w:p>
      <w:pPr>
        <w:spacing w:line="50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8.3 </w:t>
      </w:r>
      <w:r>
        <w:rPr>
          <w:rFonts w:hint="eastAsia" w:ascii="仿宋" w:hAnsi="仿宋" w:eastAsia="仿宋" w:cs="仿宋"/>
          <w:b/>
          <w:bCs/>
          <w:color w:val="auto"/>
          <w:sz w:val="28"/>
          <w:szCs w:val="28"/>
          <w:highlight w:val="none"/>
        </w:rPr>
        <w:t>签到事宜：</w:t>
      </w:r>
    </w:p>
    <w:p>
      <w:pPr>
        <w:spacing w:line="50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8.3.1 投标人的法定代表人参加的，需携带有效身份证明签名报到；</w:t>
      </w:r>
    </w:p>
    <w:p>
      <w:pPr>
        <w:spacing w:line="50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8.3.2 非法定代表人参加的，需携带有效身份证明，并在签到时向招标所现场工作人员提供法定代表人授权委托书原件。</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九、投标保证金事宜：</w:t>
      </w:r>
    </w:p>
    <w:p>
      <w:pPr>
        <w:autoSpaceDE w:val="0"/>
        <w:autoSpaceDN w:val="0"/>
        <w:spacing w:line="500" w:lineRule="exact"/>
        <w:ind w:firstLine="562" w:firstLineChars="200"/>
        <w:rPr>
          <w:rFonts w:ascii="仿宋" w:hAnsi="仿宋" w:eastAsia="仿宋" w:cs="仿宋"/>
          <w:color w:val="auto"/>
          <w:highlight w:val="none"/>
        </w:rPr>
      </w:pPr>
      <w:r>
        <w:rPr>
          <w:rFonts w:hint="eastAsia" w:ascii="仿宋" w:hAnsi="仿宋" w:eastAsia="仿宋" w:cs="仿宋"/>
          <w:b/>
          <w:bCs/>
          <w:color w:val="auto"/>
          <w:sz w:val="28"/>
          <w:szCs w:val="28"/>
          <w:highlight w:val="none"/>
        </w:rPr>
        <w:t>本项目不收取投标保证金。</w:t>
      </w:r>
    </w:p>
    <w:p>
      <w:pPr>
        <w:autoSpaceDE w:val="0"/>
        <w:autoSpaceDN w:val="0"/>
        <w:spacing w:line="500" w:lineRule="exact"/>
        <w:rPr>
          <w:rFonts w:ascii="仿宋" w:hAnsi="仿宋" w:eastAsia="仿宋" w:cs="仿宋"/>
          <w:color w:val="auto"/>
          <w:sz w:val="28"/>
          <w:szCs w:val="28"/>
          <w:highlight w:val="none"/>
        </w:rPr>
      </w:pPr>
    </w:p>
    <w:p>
      <w:pPr>
        <w:spacing w:line="50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仿宋" w:hAnsi="仿宋" w:eastAsia="仿宋" w:cs="仿宋"/>
          <w:color w:val="auto"/>
          <w:sz w:val="28"/>
          <w:szCs w:val="28"/>
          <w:highlight w:val="none"/>
        </w:rPr>
        <w:t>采购联系人：何</w:t>
      </w:r>
      <w:r>
        <w:rPr>
          <w:rFonts w:hint="eastAsia" w:ascii="仿宋" w:hAnsi="仿宋" w:eastAsia="仿宋" w:cs="仿宋"/>
          <w:color w:val="auto"/>
          <w:sz w:val="28"/>
          <w:szCs w:val="28"/>
          <w:highlight w:val="none"/>
          <w:lang w:eastAsia="zh-CN"/>
        </w:rPr>
        <w:t>先生</w:t>
      </w:r>
      <w:r>
        <w:rPr>
          <w:rFonts w:hint="eastAsia" w:ascii="Times New Roman" w:hAnsi="Times New Roman" w:eastAsia="仿宋_GB2312" w:cs="Times New Roman"/>
          <w:color w:val="auto"/>
          <w:sz w:val="28"/>
          <w:szCs w:val="28"/>
          <w:highlight w:val="none"/>
          <w:lang w:val="en-US" w:eastAsia="zh-CN"/>
        </w:rPr>
        <w:t xml:space="preserve"> </w:t>
      </w:r>
    </w:p>
    <w:p>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0769</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22776681</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联系地址</w:t>
      </w:r>
      <w:r>
        <w:rPr>
          <w:rFonts w:hint="eastAsia" w:ascii="Times New Roman" w:hAnsi="Times New Roman" w:eastAsia="仿宋_GB2312" w:cs="Times New Roman"/>
          <w:color w:val="auto"/>
          <w:sz w:val="28"/>
          <w:szCs w:val="28"/>
          <w:highlight w:val="none"/>
          <w:lang w:eastAsia="zh-CN"/>
        </w:rPr>
        <w:t>：东莞市万江街道大汾社区汾溪路308号</w:t>
      </w:r>
      <w:r>
        <w:rPr>
          <w:rFonts w:hint="eastAsia" w:ascii="仿宋" w:hAnsi="仿宋" w:eastAsia="仿宋"/>
          <w:color w:val="auto"/>
          <w:sz w:val="24"/>
          <w:highlight w:val="none"/>
        </w:rPr>
        <w:t>　</w:t>
      </w:r>
      <w:r>
        <w:rPr>
          <w:rFonts w:hint="eastAsia" w:ascii="仿宋" w:hAnsi="仿宋" w:eastAsia="仿宋" w:cs="仿宋"/>
          <w:color w:val="auto"/>
          <w:sz w:val="28"/>
          <w:szCs w:val="28"/>
          <w:highlight w:val="none"/>
        </w:rPr>
        <w:t xml:space="preserve">       </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邮编：523000   </w:t>
      </w:r>
    </w:p>
    <w:p>
      <w:pPr>
        <w:autoSpaceDE w:val="0"/>
        <w:autoSpaceDN w:val="0"/>
        <w:spacing w:line="500" w:lineRule="exact"/>
        <w:ind w:firstLine="560" w:firstLineChars="200"/>
        <w:rPr>
          <w:rFonts w:ascii="仿宋" w:hAnsi="仿宋" w:eastAsia="仿宋" w:cs="仿宋"/>
          <w:color w:val="auto"/>
          <w:sz w:val="28"/>
          <w:szCs w:val="28"/>
          <w:highlight w:val="none"/>
        </w:rPr>
      </w:pP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招投标所联系人：</w:t>
      </w:r>
      <w:r>
        <w:rPr>
          <w:rFonts w:hint="eastAsia" w:ascii="仿宋" w:hAnsi="仿宋" w:eastAsia="仿宋" w:cs="仿宋"/>
          <w:color w:val="auto"/>
          <w:sz w:val="28"/>
          <w:szCs w:val="28"/>
          <w:highlight w:val="none"/>
          <w:lang w:eastAsia="zh-CN"/>
        </w:rPr>
        <w:t>李小姐</w:t>
      </w:r>
      <w:r>
        <w:rPr>
          <w:rFonts w:hint="eastAsia" w:ascii="仿宋" w:hAnsi="仿宋" w:eastAsia="仿宋" w:cs="仿宋"/>
          <w:color w:val="auto"/>
          <w:sz w:val="28"/>
          <w:szCs w:val="28"/>
          <w:highlight w:val="none"/>
        </w:rPr>
        <w:t xml:space="preserve">     </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电话：（0769）21661806            </w:t>
      </w:r>
    </w:p>
    <w:p>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邮箱地址：wjzbs@foxmail.com  </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联系地址：东莞市万江街道行政办事中心3号楼2楼办公室     </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邮编：523000</w:t>
      </w:r>
    </w:p>
    <w:p>
      <w:pPr>
        <w:spacing w:line="500" w:lineRule="exact"/>
        <w:ind w:firstLine="560" w:firstLineChars="200"/>
        <w:rPr>
          <w:rFonts w:ascii="仿宋" w:hAnsi="仿宋" w:eastAsia="仿宋" w:cs="仿宋"/>
          <w:color w:val="auto"/>
          <w:sz w:val="28"/>
          <w:szCs w:val="28"/>
          <w:highlight w:val="none"/>
        </w:rPr>
      </w:pPr>
    </w:p>
    <w:p>
      <w:pPr>
        <w:spacing w:line="500" w:lineRule="exact"/>
        <w:ind w:firstLine="4340" w:firstLineChars="15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东莞市万江招投标服务所</w:t>
      </w:r>
    </w:p>
    <w:p>
      <w:pPr>
        <w:pStyle w:val="58"/>
        <w:spacing w:line="500" w:lineRule="exact"/>
        <w:ind w:left="239" w:leftChars="114" w:firstLine="577"/>
        <w:rPr>
          <w:rFonts w:ascii="仿宋" w:hAnsi="仿宋" w:eastAsia="仿宋" w:cs="仿宋"/>
          <w:color w:val="auto"/>
          <w:spacing w:val="20"/>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18 </w:t>
      </w:r>
      <w:r>
        <w:rPr>
          <w:rFonts w:hint="eastAsia" w:ascii="仿宋" w:hAnsi="仿宋" w:eastAsia="仿宋" w:cs="仿宋"/>
          <w:color w:val="auto"/>
          <w:sz w:val="28"/>
          <w:szCs w:val="28"/>
          <w:highlight w:val="none"/>
        </w:rPr>
        <w:t>日</w:t>
      </w:r>
      <w:bookmarkStart w:id="54" w:name="_Toc31565"/>
      <w:bookmarkStart w:id="55" w:name="_Toc195"/>
      <w:bookmarkStart w:id="56" w:name="_Toc15308"/>
      <w:bookmarkStart w:id="57" w:name="_Toc499543058"/>
      <w:bookmarkStart w:id="58" w:name="_Toc512289649"/>
      <w:bookmarkStart w:id="59" w:name="_Toc18492"/>
      <w:bookmarkStart w:id="60" w:name="_Toc19528"/>
      <w:bookmarkStart w:id="61" w:name="_Toc6118"/>
      <w:bookmarkStart w:id="62" w:name="_Toc22066"/>
      <w:bookmarkStart w:id="63" w:name="_Toc5619"/>
      <w:bookmarkStart w:id="64" w:name="_Toc7996"/>
      <w:bookmarkStart w:id="65" w:name="_Toc30695"/>
    </w:p>
    <w:p>
      <w:pPr>
        <w:pStyle w:val="3"/>
        <w:spacing w:after="0" w:line="400" w:lineRule="exact"/>
        <w:jc w:val="center"/>
        <w:rPr>
          <w:rFonts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br w:type="page"/>
      </w:r>
      <w:bookmarkStart w:id="66" w:name="_Toc830"/>
      <w:bookmarkStart w:id="67" w:name="_Toc14112"/>
      <w:bookmarkStart w:id="68" w:name="_Toc3751650"/>
      <w:bookmarkStart w:id="69" w:name="_Toc20638"/>
      <w:bookmarkStart w:id="70" w:name="_Toc6655"/>
      <w:bookmarkStart w:id="71" w:name="_Toc8921"/>
      <w:bookmarkStart w:id="72" w:name="_Toc17349"/>
      <w:bookmarkStart w:id="73" w:name="_Toc27438"/>
      <w:r>
        <w:rPr>
          <w:rFonts w:hint="eastAsia" w:ascii="仿宋" w:hAnsi="仿宋" w:eastAsia="仿宋" w:cs="仿宋"/>
          <w:color w:val="auto"/>
          <w:spacing w:val="20"/>
          <w:sz w:val="28"/>
          <w:szCs w:val="28"/>
          <w:highlight w:val="none"/>
        </w:rPr>
        <w:t>供应商须知资料表</w:t>
      </w:r>
      <w:bookmarkEnd w:id="66"/>
      <w:bookmarkEnd w:id="67"/>
      <w:bookmarkEnd w:id="68"/>
      <w:bookmarkEnd w:id="69"/>
      <w:bookmarkEnd w:id="70"/>
      <w:bookmarkEnd w:id="71"/>
      <w:bookmarkEnd w:id="72"/>
      <w:bookmarkEnd w:id="73"/>
    </w:p>
    <w:p>
      <w:pPr>
        <w:spacing w:line="480" w:lineRule="exact"/>
        <w:rPr>
          <w:rFonts w:ascii="仿宋" w:hAnsi="仿宋" w:eastAsia="仿宋" w:cs="仿宋"/>
          <w:color w:val="auto"/>
          <w:highlight w:val="none"/>
        </w:rPr>
      </w:pPr>
      <w:r>
        <w:rPr>
          <w:rFonts w:hint="eastAsia" w:ascii="仿宋" w:hAnsi="仿宋" w:eastAsia="仿宋" w:cs="仿宋"/>
          <w:b/>
          <w:bCs/>
          <w:color w:val="auto"/>
          <w:sz w:val="24"/>
          <w:szCs w:val="24"/>
          <w:highlight w:val="none"/>
          <w:u w:val="single"/>
        </w:rPr>
        <w:t>本表是本招标项目的具体资料，如与供应商须知存在矛盾，应以本资料表为准</w:t>
      </w:r>
    </w:p>
    <w:tbl>
      <w:tblPr>
        <w:tblStyle w:val="24"/>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91"/>
        <w:gridCol w:w="78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13" w:type="pct"/>
            <w:vAlign w:val="center"/>
          </w:tcPr>
          <w:p>
            <w:pPr>
              <w:jc w:val="center"/>
              <w:rPr>
                <w:rFonts w:hint="eastAsia" w:ascii="仿宋_GB2312" w:hAnsi="仿宋_GB2312" w:eastAsia="仿宋_GB2312" w:cs="仿宋_GB2312"/>
                <w:color w:val="auto"/>
                <w:sz w:val="24"/>
                <w:highlight w:val="none"/>
              </w:rPr>
            </w:pPr>
            <w:bookmarkStart w:id="74" w:name="_Toc29532"/>
            <w:bookmarkStart w:id="75" w:name="_Toc8905"/>
            <w:bookmarkStart w:id="76" w:name="_Toc11076"/>
            <w:bookmarkStart w:id="77" w:name="_Toc17623"/>
            <w:bookmarkStart w:id="78" w:name="_Toc18856"/>
            <w:bookmarkStart w:id="79" w:name="_Toc9779"/>
            <w:bookmarkStart w:id="80" w:name="_Toc3751651"/>
            <w:bookmarkStart w:id="81" w:name="_Toc16696"/>
            <w:bookmarkStart w:id="82" w:name="_Toc1653"/>
            <w:r>
              <w:rPr>
                <w:rFonts w:hint="eastAsia" w:ascii="仿宋_GB2312" w:hAnsi="仿宋_GB2312" w:eastAsia="仿宋_GB2312" w:cs="仿宋_GB2312"/>
                <w:color w:val="auto"/>
                <w:sz w:val="24"/>
                <w:highlight w:val="none"/>
              </w:rPr>
              <w:t>序号</w:t>
            </w:r>
          </w:p>
        </w:tc>
        <w:tc>
          <w:tcPr>
            <w:tcW w:w="4386" w:type="pct"/>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04" w:hRule="atLeast"/>
        </w:trPr>
        <w:tc>
          <w:tcPr>
            <w:tcW w:w="613" w:type="pct"/>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4386" w:type="pct"/>
            <w:vAlign w:val="center"/>
          </w:tcPr>
          <w:p>
            <w:pPr>
              <w:rPr>
                <w:rFonts w:ascii="仿宋" w:hAnsi="仿宋" w:eastAsia="仿宋"/>
                <w:color w:val="000000"/>
                <w:sz w:val="24"/>
                <w:highlight w:val="none"/>
              </w:rPr>
            </w:pPr>
            <w:r>
              <w:rPr>
                <w:rFonts w:hint="eastAsia" w:ascii="仿宋" w:hAnsi="仿宋" w:eastAsia="仿宋"/>
                <w:color w:val="000000"/>
                <w:sz w:val="24"/>
                <w:highlight w:val="none"/>
              </w:rPr>
              <w:t>采购人：东莞市万江消防队　　　　　　　　　　　　　　</w:t>
            </w:r>
          </w:p>
          <w:p>
            <w:pPr>
              <w:rPr>
                <w:rFonts w:ascii="仿宋" w:hAnsi="仿宋" w:eastAsia="仿宋"/>
                <w:color w:val="000000"/>
                <w:sz w:val="24"/>
                <w:highlight w:val="none"/>
              </w:rPr>
            </w:pPr>
            <w:r>
              <w:rPr>
                <w:rFonts w:hint="eastAsia" w:ascii="仿宋" w:hAnsi="仿宋" w:eastAsia="仿宋"/>
                <w:color w:val="000000"/>
                <w:sz w:val="24"/>
                <w:highlight w:val="none"/>
              </w:rPr>
              <w:t>地  址：东莞市万江街道大汾社区汾溪路308号　　　　　　　　　　  　　　</w:t>
            </w:r>
          </w:p>
          <w:p>
            <w:pPr>
              <w:rPr>
                <w:rFonts w:hint="eastAsia" w:ascii="仿宋_GB2312" w:hAnsi="仿宋_GB2312" w:eastAsia="仿宋_GB2312" w:cs="仿宋_GB2312"/>
                <w:color w:val="auto"/>
                <w:sz w:val="24"/>
                <w:highlight w:val="none"/>
              </w:rPr>
            </w:pPr>
            <w:r>
              <w:rPr>
                <w:rFonts w:hint="eastAsia" w:ascii="仿宋" w:hAnsi="仿宋" w:eastAsia="仿宋"/>
                <w:color w:val="000000"/>
                <w:sz w:val="24"/>
                <w:highlight w:val="none"/>
              </w:rPr>
              <w:t>联系</w:t>
            </w:r>
            <w:r>
              <w:rPr>
                <w:rFonts w:ascii="仿宋" w:hAnsi="仿宋" w:eastAsia="仿宋"/>
                <w:color w:val="000000"/>
                <w:sz w:val="24"/>
                <w:highlight w:val="none"/>
              </w:rPr>
              <w:t>人：</w:t>
            </w:r>
            <w:r>
              <w:rPr>
                <w:rFonts w:hint="eastAsia" w:ascii="仿宋" w:hAnsi="仿宋" w:eastAsia="仿宋"/>
                <w:color w:val="000000"/>
                <w:sz w:val="24"/>
                <w:highlight w:val="none"/>
              </w:rPr>
              <w:t>何兴强       电  话：076922776681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13" w:type="pct"/>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4386" w:type="pct"/>
            <w:vAlign w:val="center"/>
          </w:tcPr>
          <w:p>
            <w:p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预算（元）：￥740596.25</w:t>
            </w:r>
            <w:r>
              <w:rPr>
                <w:rFonts w:hint="eastAsia" w:ascii="仿宋_GB2312" w:hAnsi="仿宋_GB2312" w:eastAsia="仿宋_GB2312" w:cs="仿宋_GB2312"/>
                <w:color w:val="auto"/>
                <w:sz w:val="24"/>
                <w:highlight w:val="none"/>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613" w:type="pct"/>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4386" w:type="pct"/>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是否为专门面向中小企业采购：</w:t>
            </w:r>
            <w:r>
              <w:rPr>
                <w:rFonts w:hint="eastAsia" w:ascii="仿宋_GB2312" w:hAnsi="仿宋_GB2312" w:eastAsia="仿宋_GB2312" w:cs="仿宋_GB2312"/>
                <w:b/>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613" w:type="pct"/>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w:t>
            </w:r>
          </w:p>
        </w:tc>
        <w:tc>
          <w:tcPr>
            <w:tcW w:w="4386" w:type="pct"/>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是否允许分公司投标：</w:t>
            </w:r>
            <w:r>
              <w:rPr>
                <w:rFonts w:hint="eastAsia" w:ascii="仿宋_GB2312" w:hAnsi="仿宋_GB2312" w:eastAsia="仿宋_GB2312" w:cs="仿宋_GB2312"/>
                <w:b/>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613" w:type="pct"/>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5</w:t>
            </w:r>
          </w:p>
        </w:tc>
        <w:tc>
          <w:tcPr>
            <w:tcW w:w="4386" w:type="pct"/>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是否允许联合体投标：</w:t>
            </w:r>
            <w:r>
              <w:rPr>
                <w:rFonts w:hint="eastAsia" w:ascii="仿宋_GB2312" w:hAnsi="仿宋_GB2312" w:eastAsia="仿宋_GB2312" w:cs="仿宋_GB2312"/>
                <w:b/>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8" w:hRule="atLeast"/>
        </w:trPr>
        <w:tc>
          <w:tcPr>
            <w:tcW w:w="613" w:type="pct"/>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6</w:t>
            </w:r>
          </w:p>
        </w:tc>
        <w:tc>
          <w:tcPr>
            <w:tcW w:w="4386" w:type="pct"/>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其他资格要求：</w:t>
            </w:r>
            <w:r>
              <w:rPr>
                <w:rFonts w:hint="eastAsia" w:ascii="仿宋_GB2312" w:hAnsi="仿宋_GB2312" w:eastAsia="仿宋_GB2312" w:cs="仿宋_GB2312"/>
                <w:color w:val="auto"/>
                <w:sz w:val="24"/>
                <w:highlight w:val="none"/>
                <w:u w:val="single"/>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613" w:type="pct"/>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7</w:t>
            </w:r>
          </w:p>
        </w:tc>
        <w:tc>
          <w:tcPr>
            <w:tcW w:w="4386" w:type="pct"/>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本项目分包情况：</w:t>
            </w:r>
            <w:r>
              <w:rPr>
                <w:rFonts w:hint="eastAsia" w:ascii="仿宋_GB2312" w:hAnsi="仿宋_GB2312" w:eastAsia="仿宋_GB2312" w:cs="仿宋_GB2312"/>
                <w:b/>
                <w:color w:val="auto"/>
                <w:sz w:val="24"/>
                <w:highlight w:val="none"/>
                <w:u w:val="singl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5" w:hRule="atLeast"/>
        </w:trPr>
        <w:tc>
          <w:tcPr>
            <w:tcW w:w="613" w:type="pct"/>
            <w:vAlign w:val="center"/>
          </w:tcPr>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w:t>
            </w:r>
          </w:p>
        </w:tc>
        <w:tc>
          <w:tcPr>
            <w:tcW w:w="4386" w:type="pct"/>
            <w:vAlign w:val="center"/>
          </w:tcPr>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本项目包含多种产品：</w:t>
            </w:r>
            <w:r>
              <w:rPr>
                <w:rFonts w:hint="eastAsia" w:ascii="仿宋_GB2312" w:hAnsi="仿宋_GB2312" w:eastAsia="仿宋_GB2312" w:cs="仿宋_GB2312"/>
                <w:color w:val="auto"/>
                <w:sz w:val="24"/>
                <w:highlight w:val="none"/>
                <w:lang w:eastAsia="zh-CN"/>
              </w:rPr>
              <w:t>是</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本项目核心产品：消防员灭火防护服（指挥款）、消防员灭火防护靴、正压式消防空气呼吸器、手持电台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5" w:hRule="atLeast"/>
        </w:trPr>
        <w:tc>
          <w:tcPr>
            <w:tcW w:w="613" w:type="pct"/>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9</w:t>
            </w:r>
          </w:p>
        </w:tc>
        <w:tc>
          <w:tcPr>
            <w:tcW w:w="4386" w:type="pct"/>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价格文件、商务文件、技术文件：正本：</w:t>
            </w:r>
            <w:r>
              <w:rPr>
                <w:rFonts w:hint="eastAsia" w:ascii="仿宋_GB2312" w:hAnsi="仿宋_GB2312" w:eastAsia="仿宋_GB2312" w:cs="仿宋_GB2312"/>
                <w:color w:val="auto"/>
                <w:sz w:val="24"/>
                <w:highlight w:val="none"/>
                <w:u w:val="single"/>
              </w:rPr>
              <w:t>1</w:t>
            </w:r>
            <w:r>
              <w:rPr>
                <w:rFonts w:hint="eastAsia" w:ascii="仿宋_GB2312" w:hAnsi="仿宋_GB2312" w:eastAsia="仿宋_GB2312" w:cs="仿宋_GB2312"/>
                <w:color w:val="auto"/>
                <w:sz w:val="24"/>
                <w:highlight w:val="none"/>
              </w:rPr>
              <w:t>份、副本：</w:t>
            </w:r>
            <w:r>
              <w:rPr>
                <w:rFonts w:hint="eastAsia" w:ascii="仿宋_GB2312" w:hAnsi="仿宋_GB2312" w:eastAsia="仿宋_GB2312" w:cs="仿宋_GB2312"/>
                <w:color w:val="auto"/>
                <w:sz w:val="24"/>
                <w:highlight w:val="none"/>
                <w:u w:val="single"/>
              </w:rPr>
              <w:t>5</w:t>
            </w:r>
            <w:r>
              <w:rPr>
                <w:rFonts w:hint="eastAsia" w:ascii="仿宋_GB2312" w:hAnsi="仿宋_GB2312" w:eastAsia="仿宋_GB2312" w:cs="仿宋_GB2312"/>
                <w:color w:val="auto"/>
                <w:sz w:val="24"/>
                <w:highlight w:val="none"/>
              </w:rPr>
              <w:t>份；</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唱标信封：一份。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613" w:type="pct"/>
            <w:vAlign w:val="center"/>
          </w:tcPr>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w:t>
            </w:r>
          </w:p>
        </w:tc>
        <w:tc>
          <w:tcPr>
            <w:tcW w:w="4386" w:type="pct"/>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推荐中标候选人数量：</w:t>
            </w:r>
            <w:r>
              <w:rPr>
                <w:rFonts w:hint="eastAsia" w:ascii="仿宋_GB2312" w:hAnsi="仿宋_GB2312" w:eastAsia="仿宋_GB2312" w:cs="仿宋_GB2312"/>
                <w:b/>
                <w:color w:val="auto"/>
                <w:sz w:val="24"/>
                <w:highlight w:val="none"/>
                <w:u w:val="single"/>
              </w:rPr>
              <w:t>2家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613" w:type="pct"/>
            <w:vAlign w:val="center"/>
          </w:tcPr>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11</w:t>
            </w:r>
          </w:p>
        </w:tc>
        <w:tc>
          <w:tcPr>
            <w:tcW w:w="4386" w:type="pct"/>
            <w:vAlign w:val="center"/>
          </w:tcPr>
          <w:p>
            <w:pPr>
              <w:spacing w:line="240" w:lineRule="atLeas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履约保证金收取：</w:t>
            </w:r>
            <w:r>
              <w:rPr>
                <w:rFonts w:hint="eastAsia" w:ascii="仿宋_GB2312" w:hAnsi="仿宋_GB2312" w:eastAsia="仿宋_GB2312" w:cs="仿宋_GB2312"/>
                <w:b/>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613" w:type="pct"/>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12</w:t>
            </w:r>
          </w:p>
        </w:tc>
        <w:tc>
          <w:tcPr>
            <w:tcW w:w="4386" w:type="pct"/>
            <w:vAlign w:val="center"/>
          </w:tcPr>
          <w:p>
            <w:pPr>
              <w:spacing w:line="240" w:lineRule="atLeas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采购标的对应的中小企业划分标准所属行业：</w:t>
            </w:r>
            <w:r>
              <w:rPr>
                <w:rFonts w:hint="eastAsia" w:ascii="仿宋_GB2312" w:hAnsi="仿宋_GB2312" w:eastAsia="仿宋_GB2312" w:cs="仿宋_GB2312"/>
                <w:color w:val="auto"/>
                <w:sz w:val="24"/>
                <w:highlight w:val="none"/>
                <w:lang w:eastAsia="zh-CN"/>
              </w:rPr>
              <w:t>批发业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4" w:hRule="atLeast"/>
        </w:trPr>
        <w:tc>
          <w:tcPr>
            <w:tcW w:w="5000" w:type="pct"/>
            <w:gridSpan w:val="2"/>
            <w:tcBorders>
              <w:top w:val="single" w:color="auto" w:sz="12" w:space="0"/>
              <w:left w:val="single" w:color="auto" w:sz="12" w:space="0"/>
              <w:bottom w:val="single" w:color="auto" w:sz="12" w:space="0"/>
              <w:right w:val="single" w:color="auto" w:sz="12" w:space="0"/>
            </w:tcBorders>
            <w:vAlign w:val="center"/>
          </w:tcPr>
          <w:p>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适用于本供应商须知的额外增加的变动：无</w:t>
            </w:r>
          </w:p>
        </w:tc>
      </w:tr>
    </w:tbl>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第三章  供应商须知</w:t>
      </w:r>
      <w:bookmarkEnd w:id="54"/>
      <w:bookmarkEnd w:id="55"/>
      <w:bookmarkEnd w:id="56"/>
      <w:bookmarkEnd w:id="57"/>
      <w:bookmarkEnd w:id="58"/>
      <w:bookmarkEnd w:id="59"/>
      <w:bookmarkEnd w:id="60"/>
      <w:bookmarkEnd w:id="61"/>
      <w:bookmarkEnd w:id="62"/>
      <w:bookmarkEnd w:id="63"/>
      <w:bookmarkEnd w:id="64"/>
      <w:bookmarkEnd w:id="65"/>
      <w:bookmarkEnd w:id="74"/>
      <w:bookmarkEnd w:id="75"/>
      <w:bookmarkEnd w:id="76"/>
      <w:bookmarkEnd w:id="77"/>
      <w:bookmarkEnd w:id="78"/>
      <w:bookmarkEnd w:id="79"/>
      <w:bookmarkEnd w:id="80"/>
      <w:bookmarkEnd w:id="81"/>
      <w:bookmarkEnd w:id="82"/>
    </w:p>
    <w:p>
      <w:pPr>
        <w:spacing w:line="600" w:lineRule="exact"/>
        <w:rPr>
          <w:rFonts w:ascii="仿宋" w:hAnsi="仿宋" w:eastAsia="仿宋" w:cs="仿宋"/>
          <w:color w:val="auto"/>
          <w:sz w:val="31"/>
          <w:highlight w:val="none"/>
        </w:rPr>
      </w:pPr>
    </w:p>
    <w:p>
      <w:pPr>
        <w:spacing w:line="600" w:lineRule="exact"/>
        <w:rPr>
          <w:rFonts w:ascii="仿宋" w:hAnsi="仿宋" w:eastAsia="仿宋" w:cs="仿宋"/>
          <w:color w:val="auto"/>
          <w:sz w:val="31"/>
          <w:highlight w:val="none"/>
        </w:rPr>
      </w:pPr>
    </w:p>
    <w:p>
      <w:pPr>
        <w:spacing w:line="600" w:lineRule="exact"/>
        <w:rPr>
          <w:rFonts w:ascii="仿宋" w:hAnsi="仿宋" w:eastAsia="仿宋" w:cs="仿宋"/>
          <w:color w:val="auto"/>
          <w:sz w:val="31"/>
          <w:highlight w:val="none"/>
        </w:rPr>
      </w:pPr>
    </w:p>
    <w:p>
      <w:pPr>
        <w:spacing w:line="600" w:lineRule="exact"/>
        <w:rPr>
          <w:rFonts w:ascii="仿宋" w:hAnsi="仿宋" w:eastAsia="仿宋" w:cs="仿宋"/>
          <w:color w:val="auto"/>
          <w:sz w:val="31"/>
          <w:highlight w:val="none"/>
        </w:rPr>
      </w:pPr>
    </w:p>
    <w:p>
      <w:pPr>
        <w:spacing w:line="600" w:lineRule="exact"/>
        <w:rPr>
          <w:rFonts w:ascii="仿宋" w:hAnsi="仿宋" w:eastAsia="仿宋" w:cs="仿宋"/>
          <w:color w:val="auto"/>
          <w:sz w:val="31"/>
          <w:highlight w:val="none"/>
        </w:rPr>
      </w:pPr>
    </w:p>
    <w:p>
      <w:pPr>
        <w:spacing w:line="600" w:lineRule="exact"/>
        <w:rPr>
          <w:rFonts w:ascii="仿宋" w:hAnsi="仿宋" w:eastAsia="仿宋" w:cs="仿宋"/>
          <w:color w:val="auto"/>
          <w:sz w:val="31"/>
          <w:highlight w:val="none"/>
        </w:rPr>
      </w:pPr>
    </w:p>
    <w:p>
      <w:pPr>
        <w:spacing w:line="600" w:lineRule="exact"/>
        <w:rPr>
          <w:rFonts w:ascii="仿宋" w:hAnsi="仿宋" w:eastAsia="仿宋" w:cs="仿宋"/>
          <w:color w:val="auto"/>
          <w:sz w:val="31"/>
          <w:highlight w:val="none"/>
        </w:rPr>
      </w:pPr>
    </w:p>
    <w:p>
      <w:pPr>
        <w:spacing w:line="600" w:lineRule="exact"/>
        <w:rPr>
          <w:rFonts w:ascii="仿宋" w:hAnsi="仿宋" w:eastAsia="仿宋" w:cs="仿宋"/>
          <w:color w:val="auto"/>
          <w:sz w:val="31"/>
          <w:highlight w:val="none"/>
        </w:rPr>
      </w:pPr>
    </w:p>
    <w:p>
      <w:pPr>
        <w:pStyle w:val="2"/>
        <w:rPr>
          <w:rFonts w:ascii="仿宋" w:hAnsi="仿宋" w:eastAsia="仿宋" w:cs="仿宋"/>
          <w:color w:val="auto"/>
          <w:sz w:val="31"/>
          <w:highlight w:val="none"/>
        </w:rPr>
      </w:pPr>
    </w:p>
    <w:p>
      <w:pPr>
        <w:rPr>
          <w:rFonts w:ascii="仿宋" w:hAnsi="仿宋" w:eastAsia="仿宋" w:cs="仿宋"/>
          <w:b/>
          <w:color w:val="auto"/>
          <w:sz w:val="28"/>
          <w:szCs w:val="24"/>
          <w:highlight w:val="none"/>
        </w:rPr>
      </w:pPr>
      <w:bookmarkStart w:id="83" w:name="_Toc520356143"/>
      <w:bookmarkStart w:id="84" w:name="_Toc515647757"/>
      <w:bookmarkStart w:id="85" w:name="_Toc216582805"/>
      <w:bookmarkStart w:id="86" w:name="_Toc527622566"/>
      <w:bookmarkStart w:id="87" w:name="_Toc28428"/>
      <w:bookmarkStart w:id="88" w:name="_Toc8318"/>
      <w:bookmarkStart w:id="89" w:name="_Toc21015"/>
      <w:bookmarkStart w:id="90" w:name="_Toc1938"/>
      <w:bookmarkStart w:id="91" w:name="_Toc21215"/>
      <w:bookmarkStart w:id="92" w:name="_Toc26245"/>
      <w:bookmarkStart w:id="93" w:name="_Toc3751652"/>
      <w:bookmarkStart w:id="94" w:name="_Toc3641"/>
      <w:bookmarkStart w:id="95" w:name="_Toc23772"/>
      <w:bookmarkStart w:id="96" w:name="_Toc22853"/>
      <w:bookmarkStart w:id="97" w:name="_Toc26003"/>
      <w:bookmarkStart w:id="98" w:name="_Toc512289650"/>
      <w:bookmarkStart w:id="99" w:name="_Toc2099"/>
      <w:bookmarkStart w:id="100" w:name="_Toc499543059"/>
      <w:bookmarkStart w:id="101" w:name="_Toc5081"/>
      <w:bookmarkStart w:id="102" w:name="_Toc17732"/>
      <w:bookmarkStart w:id="103" w:name="_Toc29612"/>
      <w:bookmarkStart w:id="104" w:name="_Toc30826"/>
      <w:bookmarkStart w:id="105" w:name="_Toc31123"/>
      <w:bookmarkStart w:id="106" w:name="_Toc20680"/>
      <w:r>
        <w:rPr>
          <w:rFonts w:hint="eastAsia" w:ascii="仿宋" w:hAnsi="仿宋" w:eastAsia="仿宋" w:cs="仿宋"/>
          <w:b/>
          <w:color w:val="auto"/>
          <w:sz w:val="28"/>
          <w:szCs w:val="24"/>
          <w:highlight w:val="none"/>
        </w:rPr>
        <w:br w:type="page"/>
      </w:r>
    </w:p>
    <w:p>
      <w:pPr>
        <w:widowControl/>
        <w:outlineLvl w:val="0"/>
        <w:rPr>
          <w:rFonts w:ascii="仿宋" w:hAnsi="仿宋" w:eastAsia="仿宋" w:cs="仿宋"/>
          <w:bCs/>
          <w:color w:val="auto"/>
          <w:sz w:val="28"/>
          <w:szCs w:val="24"/>
          <w:highlight w:val="none"/>
        </w:rPr>
      </w:pPr>
      <w:r>
        <w:rPr>
          <w:rFonts w:hint="eastAsia" w:ascii="仿宋" w:hAnsi="仿宋" w:eastAsia="仿宋" w:cs="仿宋"/>
          <w:b/>
          <w:color w:val="auto"/>
          <w:sz w:val="28"/>
          <w:szCs w:val="24"/>
          <w:highlight w:val="none"/>
        </w:rPr>
        <w:t xml:space="preserve">一 </w:t>
      </w:r>
      <w:r>
        <w:rPr>
          <w:rFonts w:hint="eastAsia" w:ascii="仿宋" w:hAnsi="仿宋" w:eastAsia="仿宋" w:cs="仿宋"/>
          <w:b/>
          <w:color w:val="auto"/>
          <w:sz w:val="28"/>
          <w:szCs w:val="18"/>
          <w:highlight w:val="none"/>
        </w:rPr>
        <w:t>、</w:t>
      </w:r>
      <w:r>
        <w:rPr>
          <w:rFonts w:hint="eastAsia" w:ascii="仿宋" w:hAnsi="仿宋" w:eastAsia="仿宋" w:cs="仿宋"/>
          <w:b/>
          <w:color w:val="auto"/>
          <w:sz w:val="28"/>
          <w:szCs w:val="24"/>
          <w:highlight w:val="none"/>
        </w:rPr>
        <w:t xml:space="preserve"> </w:t>
      </w:r>
      <w:bookmarkEnd w:id="83"/>
      <w:bookmarkEnd w:id="84"/>
      <w:bookmarkEnd w:id="85"/>
      <w:r>
        <w:rPr>
          <w:rFonts w:hint="eastAsia" w:ascii="仿宋" w:hAnsi="仿宋" w:eastAsia="仿宋" w:cs="仿宋"/>
          <w:b/>
          <w:color w:val="auto"/>
          <w:sz w:val="28"/>
          <w:szCs w:val="24"/>
          <w:highlight w:val="none"/>
        </w:rPr>
        <w:t>总 则</w:t>
      </w:r>
      <w:bookmarkEnd w:id="86"/>
      <w:bookmarkEnd w:id="87"/>
      <w:bookmarkEnd w:id="88"/>
      <w:bookmarkEnd w:id="89"/>
      <w:bookmarkEnd w:id="90"/>
      <w:bookmarkEnd w:id="91"/>
      <w:bookmarkEnd w:id="92"/>
      <w:bookmarkEnd w:id="93"/>
    </w:p>
    <w:p>
      <w:pPr>
        <w:numPr>
          <w:ilvl w:val="0"/>
          <w:numId w:val="1"/>
        </w:numPr>
        <w:spacing w:line="480" w:lineRule="exact"/>
        <w:ind w:firstLine="562" w:firstLineChars="200"/>
        <w:outlineLvl w:val="2"/>
        <w:rPr>
          <w:rFonts w:ascii="仿宋" w:hAnsi="仿宋" w:eastAsia="仿宋" w:cs="仿宋"/>
          <w:bCs/>
          <w:color w:val="auto"/>
          <w:sz w:val="28"/>
          <w:szCs w:val="24"/>
          <w:highlight w:val="none"/>
        </w:rPr>
      </w:pPr>
      <w:bookmarkStart w:id="107" w:name="_Toc520356144"/>
      <w:bookmarkStart w:id="108" w:name="_Toc27820"/>
      <w:bookmarkStart w:id="109" w:name="_Toc515647758"/>
      <w:bookmarkStart w:id="110" w:name="_Toc15274"/>
      <w:bookmarkStart w:id="111" w:name="_Toc22741"/>
      <w:bookmarkStart w:id="112" w:name="_Toc3751653"/>
      <w:bookmarkStart w:id="113" w:name="_Toc31953"/>
      <w:bookmarkStart w:id="114" w:name="_Toc2265"/>
      <w:bookmarkStart w:id="115" w:name="_Toc32189"/>
      <w:bookmarkStart w:id="116" w:name="_Toc32623"/>
      <w:bookmarkStart w:id="117" w:name="_Toc21240"/>
      <w:bookmarkStart w:id="118" w:name="_Toc527622567"/>
      <w:bookmarkStart w:id="119" w:name="_Toc2721"/>
      <w:r>
        <w:rPr>
          <w:rFonts w:hint="eastAsia" w:ascii="仿宋" w:hAnsi="仿宋" w:eastAsia="仿宋" w:cs="仿宋"/>
          <w:b/>
          <w:bCs/>
          <w:color w:val="auto"/>
          <w:sz w:val="28"/>
          <w:szCs w:val="24"/>
          <w:highlight w:val="none"/>
        </w:rPr>
        <w:t>采购人、</w:t>
      </w:r>
      <w:r>
        <w:rPr>
          <w:rFonts w:hint="eastAsia" w:ascii="仿宋" w:hAnsi="仿宋" w:eastAsia="仿宋" w:cs="仿宋"/>
          <w:b/>
          <w:bCs/>
          <w:color w:val="auto"/>
          <w:sz w:val="28"/>
          <w:highlight w:val="none"/>
        </w:rPr>
        <w:t>采购代理机构</w:t>
      </w:r>
      <w:r>
        <w:rPr>
          <w:rFonts w:hint="eastAsia" w:ascii="仿宋" w:hAnsi="仿宋" w:eastAsia="仿宋" w:cs="仿宋"/>
          <w:b/>
          <w:bCs/>
          <w:color w:val="auto"/>
          <w:sz w:val="28"/>
          <w:szCs w:val="24"/>
          <w:highlight w:val="none"/>
        </w:rPr>
        <w:t>及</w:t>
      </w:r>
      <w:bookmarkEnd w:id="107"/>
      <w:r>
        <w:rPr>
          <w:rFonts w:hint="eastAsia" w:ascii="仿宋" w:hAnsi="仿宋" w:eastAsia="仿宋" w:cs="仿宋"/>
          <w:b/>
          <w:bCs/>
          <w:color w:val="auto"/>
          <w:sz w:val="28"/>
          <w:szCs w:val="24"/>
          <w:highlight w:val="none"/>
        </w:rPr>
        <w:t>供应商</w:t>
      </w:r>
      <w:bookmarkEnd w:id="108"/>
      <w:bookmarkEnd w:id="109"/>
      <w:bookmarkEnd w:id="110"/>
      <w:bookmarkEnd w:id="111"/>
      <w:bookmarkEnd w:id="112"/>
      <w:bookmarkEnd w:id="113"/>
      <w:bookmarkEnd w:id="114"/>
      <w:bookmarkEnd w:id="115"/>
      <w:bookmarkEnd w:id="116"/>
      <w:bookmarkEnd w:id="117"/>
      <w:bookmarkEnd w:id="118"/>
      <w:bookmarkEnd w:id="119"/>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1.1 采购人：是指依法开展政府采购活动的国家机关、事业单位、团体组织。本项目的采购人见</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1.2 采购代理机构：是指在集中采购机构或从事采购代理业务的社会中介机构。本项目的采购代理机构见</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1.3 供应商：是指向采购人提供货物、工程或者服务的法人、非法人组织或者自然人。</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1.4 若</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中写明允许采购进口产品，供应商应保证所投产品可履行合法报通关手续进入中国关境内。</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1.5 若</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中未写明允许采购进口产品，如供应商所投产品为进口产品，其投标将被认定为</w:t>
      </w:r>
      <w:r>
        <w:rPr>
          <w:rFonts w:hint="eastAsia" w:ascii="仿宋" w:hAnsi="仿宋" w:eastAsia="仿宋" w:cs="仿宋"/>
          <w:b/>
          <w:bCs/>
          <w:color w:val="auto"/>
          <w:sz w:val="28"/>
          <w:highlight w:val="none"/>
          <w:u w:val="single"/>
        </w:rPr>
        <w:t>投标无效。</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1.6 若</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中写明专门面向中小企业采购的，如供应商为非中小企业且所投产品为非中小企业产品，其投标将被认定为</w:t>
      </w:r>
      <w:r>
        <w:rPr>
          <w:rFonts w:hint="eastAsia" w:ascii="仿宋" w:hAnsi="仿宋" w:eastAsia="仿宋" w:cs="仿宋"/>
          <w:b/>
          <w:bCs/>
          <w:color w:val="auto"/>
          <w:sz w:val="28"/>
          <w:highlight w:val="none"/>
          <w:u w:val="single"/>
        </w:rPr>
        <w:t>投标无效。</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 如</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中允许联合体投标，对联合体规定如下：</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1.7.1 两个以上供应商可以组成一个投标联合体，以一个供应商的身份投标。</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1.7.2 联合体各方均应符合《中华人民共和国政府采购法》第二十二条规定的条件。</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1.7.3 采购人根据采购项目对供应商的特殊要求，联合体中至少应当有一方符合相关规定。</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1.7.4 联合体各方应签订共同投标协议，明确约定联合体各方承担的工作和相应的责任，并将共同投标协议连同作为投标文件第一部分的内容提交。</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1.7.5 大中型企业、其他自然人、法人或者非法人组织与小型、微型企业组成联合体共同参加投标，共同投标协议中应写明小型、微型企业的协议合同金额占到共同投标协议投标总金额的比例。</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1.7.6 联合体中有同类资质的供应商按照联合体分工承担相同工作的，按照较低的资质等级确定联合体的资质等级。</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1.7.8 对联合体投标的其他资格要求见</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1.8 对可接受分公司投标的项目，分公司投标的，需提供具有法人资格的总公司的营业执照原件扫描件及授权书，授权书须加盖总公司公章。总公司可就本项目在一定范围或时间内出具授权书。已由总公司授权的，总公司取得的相关资质证书对分公司有效，法律法规或者行业另有规定的除外。</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1.9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w:t>
      </w:r>
    </w:p>
    <w:p>
      <w:pPr>
        <w:spacing w:line="480" w:lineRule="exact"/>
        <w:ind w:firstLine="560" w:firstLineChars="200"/>
        <w:jc w:val="left"/>
        <w:rPr>
          <w:rFonts w:ascii="仿宋" w:hAnsi="仿宋" w:eastAsia="仿宋" w:cs="仿宋"/>
          <w:b/>
          <w:bCs/>
          <w:color w:val="auto"/>
          <w:sz w:val="28"/>
          <w:highlight w:val="none"/>
          <w:u w:val="single"/>
        </w:rPr>
      </w:pPr>
      <w:r>
        <w:rPr>
          <w:rFonts w:hint="eastAsia" w:ascii="仿宋" w:hAnsi="仿宋" w:eastAsia="仿宋" w:cs="仿宋"/>
          <w:color w:val="auto"/>
          <w:sz w:val="28"/>
          <w:highlight w:val="none"/>
        </w:rPr>
        <w:t>1.10  供应商在投标过程中不得向采购人提供、给予任何有价值的物品，影响其正常决策行为。一经发现，其将被认定为</w:t>
      </w:r>
      <w:r>
        <w:rPr>
          <w:rFonts w:hint="eastAsia" w:ascii="仿宋" w:hAnsi="仿宋" w:eastAsia="仿宋" w:cs="仿宋"/>
          <w:b/>
          <w:bCs/>
          <w:color w:val="auto"/>
          <w:sz w:val="28"/>
          <w:highlight w:val="none"/>
          <w:u w:val="single"/>
        </w:rPr>
        <w:t>投标无效。</w:t>
      </w:r>
    </w:p>
    <w:p>
      <w:pPr>
        <w:spacing w:line="480" w:lineRule="exact"/>
        <w:ind w:firstLine="562" w:firstLineChars="200"/>
        <w:outlineLvl w:val="2"/>
        <w:rPr>
          <w:rFonts w:ascii="仿宋" w:hAnsi="仿宋" w:eastAsia="仿宋" w:cs="仿宋"/>
          <w:bCs/>
          <w:color w:val="auto"/>
          <w:sz w:val="28"/>
          <w:szCs w:val="24"/>
          <w:highlight w:val="none"/>
        </w:rPr>
      </w:pPr>
      <w:bookmarkStart w:id="120" w:name="_Toc3751654"/>
      <w:bookmarkStart w:id="121" w:name="_Toc3984"/>
      <w:bookmarkStart w:id="122" w:name="_Toc28248"/>
      <w:bookmarkStart w:id="123" w:name="_Toc19024"/>
      <w:bookmarkStart w:id="124" w:name="_Toc15560"/>
      <w:bookmarkStart w:id="125" w:name="_Toc31425"/>
      <w:bookmarkStart w:id="126" w:name="_Toc12139"/>
      <w:bookmarkStart w:id="127" w:name="_Toc9535"/>
      <w:bookmarkStart w:id="128" w:name="_Toc527622568"/>
      <w:bookmarkStart w:id="129" w:name="_Toc20536"/>
      <w:bookmarkStart w:id="130" w:name="_Toc5286"/>
      <w:bookmarkStart w:id="131" w:name="_Toc515647759"/>
      <w:r>
        <w:rPr>
          <w:rFonts w:hint="eastAsia" w:ascii="仿宋" w:hAnsi="仿宋" w:eastAsia="仿宋" w:cs="仿宋"/>
          <w:b/>
          <w:bCs/>
          <w:color w:val="auto"/>
          <w:sz w:val="28"/>
          <w:szCs w:val="24"/>
          <w:highlight w:val="none"/>
        </w:rPr>
        <w:t>2.</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资金来源</w:t>
      </w:r>
      <w:bookmarkEnd w:id="120"/>
      <w:bookmarkEnd w:id="121"/>
      <w:bookmarkEnd w:id="122"/>
      <w:bookmarkEnd w:id="123"/>
      <w:bookmarkEnd w:id="124"/>
      <w:bookmarkEnd w:id="125"/>
      <w:bookmarkEnd w:id="126"/>
      <w:bookmarkEnd w:id="127"/>
      <w:bookmarkEnd w:id="128"/>
      <w:bookmarkEnd w:id="129"/>
      <w:bookmarkEnd w:id="130"/>
      <w:bookmarkEnd w:id="131"/>
    </w:p>
    <w:p>
      <w:pPr>
        <w:spacing w:line="480" w:lineRule="exact"/>
        <w:ind w:firstLine="560" w:firstLineChars="200"/>
        <w:jc w:val="left"/>
        <w:rPr>
          <w:rFonts w:ascii="仿宋" w:hAnsi="仿宋" w:eastAsia="仿宋" w:cs="仿宋"/>
          <w:color w:val="auto"/>
          <w:sz w:val="28"/>
          <w:highlight w:val="none"/>
        </w:rPr>
      </w:pPr>
      <w:bookmarkStart w:id="132" w:name="_Toc527622569"/>
      <w:bookmarkStart w:id="133" w:name="_Toc515647760"/>
      <w:bookmarkStart w:id="134" w:name="_Toc15936"/>
      <w:bookmarkStart w:id="135" w:name="_Toc520356145"/>
      <w:bookmarkStart w:id="136" w:name="_Toc20526"/>
      <w:r>
        <w:rPr>
          <w:rFonts w:hint="eastAsia" w:ascii="仿宋" w:hAnsi="仿宋" w:eastAsia="仿宋" w:cs="仿宋"/>
          <w:color w:val="auto"/>
          <w:sz w:val="28"/>
          <w:highlight w:val="none"/>
        </w:rPr>
        <w:t>2.1本项目的采购人已获得足以支付本次招标后所签订的合同项下的资金（包括财政性资金和本项目采购中无法与财政性资金分割的非财政性资金）。</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2.2 项目预算金额和分项或分包最高限价见投标邀请。</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2.3 供应商报价超过招标文件规定的预算金额或者分项、分包最高限价的，其投标将被认定为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w:t>
      </w:r>
    </w:p>
    <w:p>
      <w:pPr>
        <w:spacing w:line="480" w:lineRule="exact"/>
        <w:ind w:firstLine="562" w:firstLineChars="200"/>
        <w:jc w:val="left"/>
        <w:outlineLvl w:val="2"/>
        <w:rPr>
          <w:rFonts w:ascii="仿宋" w:hAnsi="仿宋" w:eastAsia="仿宋" w:cs="仿宋"/>
          <w:b/>
          <w:bCs/>
          <w:color w:val="auto"/>
          <w:sz w:val="28"/>
          <w:highlight w:val="none"/>
        </w:rPr>
      </w:pPr>
      <w:bookmarkStart w:id="137" w:name="_Toc29332"/>
      <w:bookmarkStart w:id="138" w:name="_Toc1490"/>
      <w:bookmarkStart w:id="139" w:name="_Toc3751655"/>
      <w:bookmarkStart w:id="140" w:name="_Toc26731"/>
      <w:bookmarkStart w:id="141" w:name="_Toc14695"/>
      <w:bookmarkStart w:id="142" w:name="_Toc12000"/>
      <w:bookmarkStart w:id="143" w:name="_Toc25374"/>
      <w:bookmarkStart w:id="144" w:name="_Toc12088"/>
      <w:r>
        <w:rPr>
          <w:rFonts w:hint="eastAsia" w:ascii="仿宋" w:hAnsi="仿宋" w:eastAsia="仿宋" w:cs="仿宋"/>
          <w:b/>
          <w:bCs/>
          <w:color w:val="auto"/>
          <w:sz w:val="28"/>
          <w:highlight w:val="none"/>
        </w:rPr>
        <w:t>3. 投标费用</w:t>
      </w:r>
      <w:bookmarkEnd w:id="132"/>
      <w:bookmarkEnd w:id="133"/>
      <w:bookmarkEnd w:id="134"/>
      <w:bookmarkEnd w:id="135"/>
      <w:bookmarkEnd w:id="136"/>
      <w:bookmarkEnd w:id="137"/>
      <w:bookmarkEnd w:id="138"/>
      <w:bookmarkEnd w:id="139"/>
      <w:bookmarkEnd w:id="140"/>
      <w:bookmarkEnd w:id="141"/>
      <w:bookmarkEnd w:id="142"/>
      <w:bookmarkEnd w:id="143"/>
      <w:bookmarkEnd w:id="144"/>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不论投标的结果如何，供应商应承担所有与参加投标有关的费用。</w:t>
      </w:r>
    </w:p>
    <w:p>
      <w:pPr>
        <w:numPr>
          <w:ins w:id="0" w:author="励励-yao" w:date="2019-03-20T10:34:00Z"/>
        </w:numPr>
        <w:spacing w:line="480" w:lineRule="exact"/>
        <w:ind w:firstLine="562" w:firstLineChars="200"/>
        <w:jc w:val="left"/>
        <w:outlineLvl w:val="2"/>
        <w:rPr>
          <w:rFonts w:ascii="仿宋" w:hAnsi="仿宋" w:eastAsia="仿宋" w:cs="仿宋"/>
          <w:b/>
          <w:bCs/>
          <w:color w:val="auto"/>
          <w:sz w:val="28"/>
          <w:highlight w:val="none"/>
        </w:rPr>
      </w:pPr>
      <w:bookmarkStart w:id="145" w:name="_Toc22673"/>
      <w:bookmarkStart w:id="146" w:name="_Toc515647761"/>
      <w:bookmarkStart w:id="147" w:name="_Toc9188"/>
      <w:bookmarkStart w:id="148" w:name="_Toc4463"/>
      <w:bookmarkStart w:id="149" w:name="_Toc13454"/>
      <w:bookmarkStart w:id="150" w:name="_Toc8162"/>
      <w:bookmarkStart w:id="151" w:name="_Toc15198"/>
      <w:bookmarkStart w:id="152" w:name="_Toc22301"/>
      <w:bookmarkStart w:id="153" w:name="_Toc6116"/>
      <w:bookmarkStart w:id="154" w:name="_Toc3751656"/>
      <w:bookmarkStart w:id="155" w:name="_Toc527622570"/>
      <w:bookmarkStart w:id="156" w:name="_Toc32070"/>
      <w:r>
        <w:rPr>
          <w:rFonts w:hint="eastAsia" w:ascii="仿宋" w:hAnsi="仿宋" w:eastAsia="仿宋" w:cs="仿宋"/>
          <w:b/>
          <w:bCs/>
          <w:color w:val="auto"/>
          <w:sz w:val="28"/>
          <w:highlight w:val="none"/>
        </w:rPr>
        <w:t>4.适用法律</w:t>
      </w:r>
      <w:bookmarkEnd w:id="145"/>
      <w:bookmarkEnd w:id="146"/>
      <w:bookmarkEnd w:id="147"/>
      <w:bookmarkEnd w:id="148"/>
      <w:bookmarkEnd w:id="149"/>
      <w:bookmarkEnd w:id="150"/>
      <w:bookmarkEnd w:id="151"/>
      <w:bookmarkEnd w:id="152"/>
      <w:bookmarkEnd w:id="153"/>
      <w:bookmarkEnd w:id="154"/>
      <w:bookmarkEnd w:id="155"/>
      <w:bookmarkEnd w:id="156"/>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pPr>
        <w:spacing w:line="480" w:lineRule="exact"/>
        <w:ind w:firstLine="560" w:firstLineChars="200"/>
        <w:rPr>
          <w:rFonts w:ascii="仿宋" w:hAnsi="仿宋" w:eastAsia="仿宋" w:cs="仿宋"/>
          <w:color w:val="auto"/>
          <w:sz w:val="28"/>
          <w:highlight w:val="none"/>
        </w:rPr>
      </w:pPr>
    </w:p>
    <w:p>
      <w:pPr>
        <w:spacing w:line="480" w:lineRule="exact"/>
        <w:ind w:firstLine="562" w:firstLineChars="200"/>
        <w:outlineLvl w:val="1"/>
        <w:rPr>
          <w:rFonts w:ascii="仿宋" w:hAnsi="仿宋" w:eastAsia="仿宋" w:cs="仿宋"/>
          <w:color w:val="auto"/>
          <w:sz w:val="28"/>
          <w:szCs w:val="24"/>
          <w:highlight w:val="none"/>
        </w:rPr>
      </w:pPr>
      <w:bookmarkStart w:id="157" w:name="_Toc5672"/>
      <w:bookmarkStart w:id="158" w:name="_Toc216582806"/>
      <w:bookmarkStart w:id="159" w:name="_Toc32188"/>
      <w:bookmarkStart w:id="160" w:name="_Toc10499"/>
      <w:bookmarkStart w:id="161" w:name="_Toc19666"/>
      <w:bookmarkStart w:id="162" w:name="_Toc520356146"/>
      <w:bookmarkStart w:id="163" w:name="_Toc3751657"/>
      <w:bookmarkStart w:id="164" w:name="_Toc515647762"/>
      <w:bookmarkStart w:id="165" w:name="_Toc14606"/>
      <w:bookmarkStart w:id="166" w:name="_Toc6256"/>
      <w:bookmarkStart w:id="167" w:name="_Toc21566"/>
      <w:bookmarkStart w:id="168" w:name="_Toc4365"/>
      <w:bookmarkStart w:id="169" w:name="_Toc527622571"/>
      <w:bookmarkStart w:id="170" w:name="_Toc2450"/>
      <w:r>
        <w:rPr>
          <w:rFonts w:hint="eastAsia" w:ascii="仿宋" w:hAnsi="仿宋" w:eastAsia="仿宋" w:cs="仿宋"/>
          <w:b/>
          <w:bCs/>
          <w:color w:val="auto"/>
          <w:sz w:val="28"/>
          <w:szCs w:val="24"/>
          <w:highlight w:val="none"/>
        </w:rPr>
        <w:t xml:space="preserve">二 </w:t>
      </w:r>
      <w:r>
        <w:rPr>
          <w:rFonts w:hint="eastAsia" w:ascii="仿宋" w:hAnsi="仿宋" w:eastAsia="仿宋" w:cs="仿宋"/>
          <w:b/>
          <w:bCs/>
          <w:color w:val="auto"/>
          <w:sz w:val="28"/>
          <w:highlight w:val="none"/>
        </w:rPr>
        <w:t>、</w:t>
      </w:r>
      <w:r>
        <w:rPr>
          <w:rFonts w:hint="eastAsia" w:ascii="仿宋" w:hAnsi="仿宋" w:eastAsia="仿宋" w:cs="仿宋"/>
          <w:b/>
          <w:bCs/>
          <w:color w:val="auto"/>
          <w:sz w:val="28"/>
          <w:szCs w:val="24"/>
          <w:highlight w:val="none"/>
        </w:rPr>
        <w:t>招标文件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spacing w:line="480" w:lineRule="exact"/>
        <w:ind w:firstLine="562" w:firstLineChars="200"/>
        <w:jc w:val="left"/>
        <w:outlineLvl w:val="2"/>
        <w:rPr>
          <w:rFonts w:ascii="仿宋" w:hAnsi="仿宋" w:eastAsia="仿宋" w:cs="仿宋"/>
          <w:b/>
          <w:bCs/>
          <w:color w:val="auto"/>
          <w:sz w:val="28"/>
          <w:highlight w:val="none"/>
        </w:rPr>
      </w:pPr>
      <w:bookmarkStart w:id="171" w:name="_Toc14399"/>
      <w:bookmarkStart w:id="172" w:name="_Toc27213"/>
      <w:bookmarkStart w:id="173" w:name="_Toc16540"/>
      <w:bookmarkStart w:id="174" w:name="_Toc29732"/>
      <w:bookmarkStart w:id="175" w:name="_Toc17388"/>
      <w:bookmarkStart w:id="176" w:name="_Toc19763"/>
      <w:bookmarkStart w:id="177" w:name="_Toc6766"/>
      <w:bookmarkStart w:id="178" w:name="_Toc4734"/>
      <w:bookmarkStart w:id="179" w:name="_Toc520356147"/>
      <w:bookmarkStart w:id="180" w:name="_Toc515647763"/>
      <w:bookmarkStart w:id="181" w:name="_Toc14084"/>
      <w:bookmarkStart w:id="182" w:name="_Toc25743"/>
      <w:bookmarkStart w:id="183" w:name="_Toc3751658"/>
      <w:bookmarkStart w:id="184" w:name="_Toc527622572"/>
      <w:r>
        <w:rPr>
          <w:rFonts w:hint="eastAsia" w:ascii="仿宋" w:hAnsi="仿宋" w:eastAsia="仿宋" w:cs="仿宋"/>
          <w:b/>
          <w:bCs/>
          <w:color w:val="auto"/>
          <w:sz w:val="28"/>
          <w:highlight w:val="none"/>
        </w:rPr>
        <w:t>5.招标文件构成</w:t>
      </w:r>
      <w:bookmarkEnd w:id="171"/>
      <w:bookmarkEnd w:id="172"/>
      <w:bookmarkEnd w:id="173"/>
      <w:bookmarkEnd w:id="174"/>
      <w:bookmarkEnd w:id="175"/>
      <w:bookmarkEnd w:id="176"/>
      <w:bookmarkEnd w:id="177"/>
      <w:bookmarkEnd w:id="178"/>
    </w:p>
    <w:bookmarkEnd w:id="179"/>
    <w:bookmarkEnd w:id="180"/>
    <w:bookmarkEnd w:id="181"/>
    <w:bookmarkEnd w:id="182"/>
    <w:bookmarkEnd w:id="183"/>
    <w:bookmarkEnd w:id="184"/>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5.1  招标文件分7章，内容如下：</w:t>
      </w:r>
    </w:p>
    <w:p>
      <w:pPr>
        <w:spacing w:line="480" w:lineRule="exact"/>
        <w:ind w:firstLine="1120" w:firstLineChars="400"/>
        <w:rPr>
          <w:rFonts w:ascii="仿宋" w:hAnsi="仿宋" w:eastAsia="仿宋" w:cs="仿宋"/>
          <w:color w:val="auto"/>
          <w:sz w:val="28"/>
          <w:highlight w:val="none"/>
        </w:rPr>
      </w:pPr>
      <w:r>
        <w:rPr>
          <w:rFonts w:hint="eastAsia" w:ascii="仿宋" w:hAnsi="仿宋" w:eastAsia="仿宋" w:cs="仿宋"/>
          <w:color w:val="auto"/>
          <w:sz w:val="28"/>
          <w:highlight w:val="none"/>
        </w:rPr>
        <w:t>第1章  投标邀请</w:t>
      </w:r>
    </w:p>
    <w:p>
      <w:pPr>
        <w:spacing w:line="480" w:lineRule="exact"/>
        <w:ind w:firstLine="1120" w:firstLineChars="400"/>
        <w:rPr>
          <w:rFonts w:ascii="仿宋" w:hAnsi="仿宋" w:eastAsia="仿宋" w:cs="仿宋"/>
          <w:color w:val="auto"/>
          <w:sz w:val="28"/>
          <w:highlight w:val="none"/>
        </w:rPr>
      </w:pPr>
      <w:r>
        <w:rPr>
          <w:rFonts w:hint="eastAsia" w:ascii="仿宋" w:hAnsi="仿宋" w:eastAsia="仿宋" w:cs="仿宋"/>
          <w:color w:val="auto"/>
          <w:sz w:val="28"/>
          <w:highlight w:val="none"/>
        </w:rPr>
        <w:t>第2章  供应商须知资料表</w:t>
      </w:r>
    </w:p>
    <w:p>
      <w:pPr>
        <w:spacing w:line="480" w:lineRule="exact"/>
        <w:ind w:firstLine="1120" w:firstLineChars="400"/>
        <w:rPr>
          <w:rFonts w:ascii="仿宋" w:hAnsi="仿宋" w:eastAsia="仿宋" w:cs="仿宋"/>
          <w:color w:val="auto"/>
          <w:sz w:val="28"/>
          <w:highlight w:val="none"/>
        </w:rPr>
      </w:pPr>
      <w:r>
        <w:rPr>
          <w:rFonts w:hint="eastAsia" w:ascii="仿宋" w:hAnsi="仿宋" w:eastAsia="仿宋" w:cs="仿宋"/>
          <w:color w:val="auto"/>
          <w:sz w:val="28"/>
          <w:highlight w:val="none"/>
        </w:rPr>
        <w:t>第3章  供应商须知</w:t>
      </w:r>
    </w:p>
    <w:p>
      <w:pPr>
        <w:spacing w:line="480" w:lineRule="exact"/>
        <w:ind w:firstLine="1120" w:firstLineChars="400"/>
        <w:rPr>
          <w:rFonts w:ascii="仿宋" w:hAnsi="仿宋" w:eastAsia="仿宋" w:cs="仿宋"/>
          <w:color w:val="auto"/>
          <w:sz w:val="28"/>
          <w:highlight w:val="none"/>
        </w:rPr>
      </w:pPr>
      <w:r>
        <w:rPr>
          <w:rFonts w:hint="eastAsia" w:ascii="仿宋" w:hAnsi="仿宋" w:eastAsia="仿宋" w:cs="仿宋"/>
          <w:color w:val="auto"/>
          <w:sz w:val="28"/>
          <w:highlight w:val="none"/>
        </w:rPr>
        <w:t>第4章  评标方法和标准</w:t>
      </w:r>
    </w:p>
    <w:p>
      <w:pPr>
        <w:spacing w:line="480" w:lineRule="exact"/>
        <w:ind w:firstLine="1120" w:firstLineChars="400"/>
        <w:rPr>
          <w:rFonts w:ascii="仿宋" w:hAnsi="仿宋" w:eastAsia="仿宋" w:cs="仿宋"/>
          <w:color w:val="auto"/>
          <w:sz w:val="28"/>
          <w:highlight w:val="none"/>
        </w:rPr>
      </w:pPr>
      <w:r>
        <w:rPr>
          <w:rFonts w:hint="eastAsia" w:ascii="仿宋" w:hAnsi="仿宋" w:eastAsia="仿宋" w:cs="仿宋"/>
          <w:color w:val="auto"/>
          <w:sz w:val="28"/>
          <w:highlight w:val="none"/>
        </w:rPr>
        <w:t>第5章  用户需求</w:t>
      </w:r>
    </w:p>
    <w:p>
      <w:pPr>
        <w:spacing w:line="480" w:lineRule="exact"/>
        <w:ind w:firstLine="1120" w:firstLineChars="400"/>
        <w:rPr>
          <w:rFonts w:ascii="仿宋" w:hAnsi="仿宋" w:eastAsia="仿宋" w:cs="仿宋"/>
          <w:color w:val="auto"/>
          <w:sz w:val="28"/>
          <w:highlight w:val="none"/>
        </w:rPr>
      </w:pPr>
      <w:r>
        <w:rPr>
          <w:rFonts w:hint="eastAsia" w:ascii="仿宋" w:hAnsi="仿宋" w:eastAsia="仿宋" w:cs="仿宋"/>
          <w:color w:val="auto"/>
          <w:sz w:val="28"/>
          <w:highlight w:val="none"/>
        </w:rPr>
        <w:t>第6章  政府采购合同文本</w:t>
      </w:r>
    </w:p>
    <w:p>
      <w:pPr>
        <w:spacing w:line="480" w:lineRule="exact"/>
        <w:ind w:firstLine="1120" w:firstLineChars="400"/>
        <w:rPr>
          <w:rFonts w:ascii="仿宋" w:hAnsi="仿宋" w:eastAsia="仿宋" w:cs="仿宋"/>
          <w:color w:val="auto"/>
          <w:sz w:val="28"/>
          <w:highlight w:val="none"/>
        </w:rPr>
      </w:pPr>
      <w:r>
        <w:rPr>
          <w:rFonts w:hint="eastAsia" w:ascii="仿宋" w:hAnsi="仿宋" w:eastAsia="仿宋" w:cs="仿宋"/>
          <w:color w:val="auto"/>
          <w:sz w:val="28"/>
          <w:highlight w:val="none"/>
        </w:rPr>
        <w:t>第7章  投标文件格式</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5.2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w:t>
      </w:r>
    </w:p>
    <w:p>
      <w:pPr>
        <w:spacing w:line="480" w:lineRule="exact"/>
        <w:ind w:firstLine="562" w:firstLineChars="200"/>
        <w:outlineLvl w:val="2"/>
        <w:rPr>
          <w:rFonts w:ascii="仿宋" w:hAnsi="仿宋" w:eastAsia="仿宋" w:cs="仿宋"/>
          <w:bCs/>
          <w:color w:val="auto"/>
          <w:sz w:val="28"/>
          <w:szCs w:val="24"/>
          <w:highlight w:val="none"/>
        </w:rPr>
      </w:pPr>
      <w:bookmarkStart w:id="185" w:name="_Toc520356148"/>
      <w:bookmarkStart w:id="186" w:name="_Toc515904805"/>
      <w:bookmarkStart w:id="187" w:name="_Toc16630"/>
      <w:bookmarkStart w:id="188" w:name="_Toc30625"/>
      <w:bookmarkStart w:id="189" w:name="_Toc11331"/>
      <w:bookmarkStart w:id="190" w:name="_Toc527622573"/>
      <w:bookmarkStart w:id="191" w:name="_Toc26073"/>
      <w:bookmarkStart w:id="192" w:name="_Toc7676"/>
      <w:bookmarkStart w:id="193" w:name="_Toc9232"/>
      <w:bookmarkStart w:id="194" w:name="_Toc7008"/>
      <w:bookmarkStart w:id="195" w:name="_Toc3751659"/>
      <w:bookmarkStart w:id="196" w:name="_Toc26044"/>
      <w:bookmarkStart w:id="197" w:name="_Toc29188"/>
      <w:r>
        <w:rPr>
          <w:rFonts w:hint="eastAsia" w:ascii="仿宋" w:hAnsi="仿宋" w:eastAsia="仿宋" w:cs="仿宋"/>
          <w:b/>
          <w:bCs/>
          <w:color w:val="auto"/>
          <w:sz w:val="28"/>
          <w:szCs w:val="24"/>
          <w:highlight w:val="none"/>
        </w:rPr>
        <w:t>6.</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招标文件的澄清</w:t>
      </w:r>
      <w:bookmarkEnd w:id="185"/>
      <w:bookmarkEnd w:id="186"/>
      <w:r>
        <w:rPr>
          <w:rFonts w:hint="eastAsia" w:ascii="仿宋" w:hAnsi="仿宋" w:eastAsia="仿宋" w:cs="仿宋"/>
          <w:b/>
          <w:bCs/>
          <w:color w:val="auto"/>
          <w:sz w:val="28"/>
          <w:szCs w:val="24"/>
          <w:highlight w:val="none"/>
        </w:rPr>
        <w:t>与修改</w:t>
      </w:r>
      <w:bookmarkEnd w:id="187"/>
      <w:bookmarkEnd w:id="188"/>
      <w:bookmarkEnd w:id="189"/>
      <w:bookmarkEnd w:id="190"/>
      <w:bookmarkEnd w:id="191"/>
      <w:bookmarkEnd w:id="192"/>
      <w:bookmarkEnd w:id="193"/>
      <w:bookmarkEnd w:id="194"/>
      <w:bookmarkEnd w:id="195"/>
      <w:bookmarkEnd w:id="196"/>
      <w:bookmarkEnd w:id="197"/>
    </w:p>
    <w:p>
      <w:pPr>
        <w:spacing w:line="480" w:lineRule="exact"/>
        <w:ind w:firstLine="560" w:firstLineChars="200"/>
        <w:rPr>
          <w:rFonts w:ascii="仿宋" w:hAnsi="仿宋" w:eastAsia="仿宋" w:cs="仿宋"/>
          <w:color w:val="auto"/>
          <w:sz w:val="28"/>
          <w:szCs w:val="24"/>
          <w:highlight w:val="none"/>
        </w:rPr>
      </w:pPr>
      <w:r>
        <w:rPr>
          <w:rFonts w:hint="eastAsia" w:ascii="仿宋" w:hAnsi="仿宋" w:eastAsia="仿宋" w:cs="仿宋"/>
          <w:color w:val="auto"/>
          <w:sz w:val="28"/>
          <w:szCs w:val="24"/>
          <w:highlight w:val="none"/>
        </w:rPr>
        <w:t>6.1 为了保证对招标文件的澄清和修改满足法律的时限要求，任何要求对招标文件进行澄清的供应商，均应在投标截止期十五日前，以书面形式将澄清要求通知采购人或</w:t>
      </w:r>
      <w:r>
        <w:rPr>
          <w:rFonts w:hint="eastAsia" w:ascii="仿宋" w:hAnsi="仿宋" w:eastAsia="仿宋" w:cs="仿宋"/>
          <w:color w:val="auto"/>
          <w:sz w:val="28"/>
          <w:highlight w:val="none"/>
        </w:rPr>
        <w:t>招投标所</w:t>
      </w:r>
      <w:r>
        <w:rPr>
          <w:rFonts w:hint="eastAsia" w:ascii="仿宋" w:hAnsi="仿宋" w:eastAsia="仿宋" w:cs="仿宋"/>
          <w:color w:val="auto"/>
          <w:sz w:val="28"/>
          <w:szCs w:val="24"/>
          <w:highlight w:val="none"/>
        </w:rPr>
        <w:t>。</w:t>
      </w:r>
    </w:p>
    <w:p>
      <w:pPr>
        <w:spacing w:line="480" w:lineRule="exact"/>
        <w:ind w:firstLine="560" w:firstLineChars="200"/>
        <w:rPr>
          <w:rFonts w:ascii="仿宋" w:hAnsi="仿宋" w:eastAsia="仿宋" w:cs="仿宋"/>
          <w:color w:val="auto"/>
          <w:sz w:val="28"/>
          <w:szCs w:val="24"/>
          <w:highlight w:val="none"/>
        </w:rPr>
      </w:pPr>
      <w:bookmarkStart w:id="198" w:name="_Ref467378678"/>
      <w:bookmarkStart w:id="199" w:name="_Toc515904806"/>
      <w:bookmarkStart w:id="200" w:name="_Toc25635"/>
      <w:bookmarkStart w:id="201" w:name="_Toc520356149"/>
      <w:bookmarkStart w:id="202" w:name="_Toc14569"/>
      <w:r>
        <w:rPr>
          <w:rFonts w:hint="eastAsia" w:ascii="仿宋" w:hAnsi="仿宋" w:eastAsia="仿宋" w:cs="仿宋"/>
          <w:color w:val="auto"/>
          <w:sz w:val="28"/>
          <w:szCs w:val="24"/>
          <w:highlight w:val="none"/>
        </w:rPr>
        <w:t>6.2</w:t>
      </w:r>
      <w:r>
        <w:rPr>
          <w:rFonts w:hint="eastAsia" w:ascii="仿宋" w:hAnsi="仿宋" w:eastAsia="仿宋" w:cs="仿宋"/>
          <w:color w:val="auto"/>
          <w:sz w:val="28"/>
          <w:szCs w:val="18"/>
          <w:highlight w:val="none"/>
        </w:rPr>
        <w:t xml:space="preserve"> </w:t>
      </w:r>
      <w:r>
        <w:rPr>
          <w:rFonts w:hint="eastAsia" w:ascii="仿宋" w:hAnsi="仿宋" w:eastAsia="仿宋" w:cs="仿宋"/>
          <w:color w:val="auto"/>
          <w:sz w:val="28"/>
          <w:szCs w:val="24"/>
          <w:highlight w:val="none"/>
        </w:rPr>
        <w:t>采购人或</w:t>
      </w:r>
      <w:r>
        <w:rPr>
          <w:rFonts w:hint="eastAsia" w:ascii="仿宋" w:hAnsi="仿宋" w:eastAsia="仿宋" w:cs="仿宋"/>
          <w:color w:val="auto"/>
          <w:sz w:val="28"/>
          <w:highlight w:val="none"/>
        </w:rPr>
        <w:t>招投标所</w:t>
      </w:r>
      <w:r>
        <w:rPr>
          <w:rFonts w:hint="eastAsia" w:ascii="仿宋" w:hAnsi="仿宋" w:eastAsia="仿宋" w:cs="仿宋"/>
          <w:color w:val="auto"/>
          <w:sz w:val="28"/>
          <w:szCs w:val="24"/>
          <w:highlight w:val="none"/>
        </w:rPr>
        <w:t>对已发出的招标文件进行必要的澄清或者修改的，澄清或者修改的内容可能影响投标文件编制的，招投标</w:t>
      </w:r>
      <w:r>
        <w:rPr>
          <w:rFonts w:hint="eastAsia" w:ascii="仿宋" w:hAnsi="仿宋" w:eastAsia="仿宋" w:cs="仿宋"/>
          <w:color w:val="auto"/>
          <w:sz w:val="28"/>
          <w:szCs w:val="18"/>
          <w:highlight w:val="none"/>
        </w:rPr>
        <w:t>所</w:t>
      </w:r>
      <w:r>
        <w:rPr>
          <w:rFonts w:hint="eastAsia" w:ascii="仿宋" w:hAnsi="仿宋" w:eastAsia="仿宋" w:cs="仿宋"/>
          <w:color w:val="auto"/>
          <w:sz w:val="28"/>
          <w:szCs w:val="24"/>
          <w:highlight w:val="none"/>
        </w:rPr>
        <w:t>将在投标截止时间至少15日前，</w:t>
      </w:r>
      <w:r>
        <w:rPr>
          <w:rFonts w:hint="eastAsia" w:ascii="仿宋" w:hAnsi="仿宋" w:eastAsia="仿宋" w:cs="仿宋"/>
          <w:color w:val="auto"/>
          <w:sz w:val="28"/>
          <w:szCs w:val="18"/>
          <w:highlight w:val="none"/>
        </w:rPr>
        <w:t>以书面形式通知所有获取招标文件的潜在投标人</w:t>
      </w:r>
      <w:r>
        <w:rPr>
          <w:rFonts w:hint="eastAsia" w:ascii="仿宋" w:hAnsi="仿宋" w:eastAsia="仿宋" w:cs="仿宋"/>
          <w:color w:val="auto"/>
          <w:sz w:val="28"/>
          <w:szCs w:val="24"/>
          <w:highlight w:val="none"/>
        </w:rPr>
        <w:t>；不足15日的，</w:t>
      </w:r>
      <w:r>
        <w:rPr>
          <w:rFonts w:hint="eastAsia" w:ascii="仿宋" w:hAnsi="仿宋" w:eastAsia="仿宋" w:cs="仿宋"/>
          <w:color w:val="auto"/>
          <w:sz w:val="28"/>
          <w:highlight w:val="none"/>
        </w:rPr>
        <w:t>招投标所</w:t>
      </w:r>
      <w:r>
        <w:rPr>
          <w:rFonts w:hint="eastAsia" w:ascii="仿宋" w:hAnsi="仿宋" w:eastAsia="仿宋" w:cs="仿宋"/>
          <w:color w:val="auto"/>
          <w:sz w:val="28"/>
          <w:szCs w:val="24"/>
          <w:highlight w:val="none"/>
        </w:rPr>
        <w:t>将顺延提交投标文件的截止时间。同时在财政部门指定的政府采购信息发布媒体上发布变更公告。</w:t>
      </w:r>
    </w:p>
    <w:p>
      <w:pPr>
        <w:spacing w:line="480" w:lineRule="exact"/>
        <w:ind w:firstLine="560" w:firstLineChars="200"/>
        <w:rPr>
          <w:rFonts w:ascii="仿宋" w:hAnsi="仿宋" w:eastAsia="仿宋" w:cs="仿宋"/>
          <w:color w:val="auto"/>
          <w:sz w:val="28"/>
          <w:szCs w:val="24"/>
          <w:highlight w:val="none"/>
        </w:rPr>
      </w:pPr>
      <w:r>
        <w:rPr>
          <w:rFonts w:hint="eastAsia" w:ascii="仿宋" w:hAnsi="仿宋" w:eastAsia="仿宋" w:cs="仿宋"/>
          <w:color w:val="auto"/>
          <w:sz w:val="28"/>
          <w:szCs w:val="24"/>
          <w:highlight w:val="none"/>
        </w:rPr>
        <w:t>6.3 招标期间，供应商有义务上网查看，</w:t>
      </w:r>
      <w:r>
        <w:rPr>
          <w:rFonts w:hint="eastAsia" w:ascii="仿宋" w:hAnsi="仿宋" w:eastAsia="仿宋" w:cs="仿宋"/>
          <w:color w:val="auto"/>
          <w:sz w:val="28"/>
          <w:szCs w:val="18"/>
          <w:highlight w:val="none"/>
        </w:rPr>
        <w:t>澄清</w:t>
      </w:r>
      <w:r>
        <w:rPr>
          <w:rFonts w:hint="eastAsia" w:ascii="仿宋" w:hAnsi="仿宋" w:eastAsia="仿宋" w:cs="仿宋"/>
          <w:color w:val="auto"/>
          <w:sz w:val="28"/>
          <w:szCs w:val="24"/>
          <w:highlight w:val="none"/>
        </w:rPr>
        <w:t>公告一经上网发布，即视为送达。因供应商未及时上网查看而造成的所有后果，由供应商自行承担。</w:t>
      </w:r>
    </w:p>
    <w:bookmarkEnd w:id="198"/>
    <w:bookmarkEnd w:id="199"/>
    <w:bookmarkEnd w:id="200"/>
    <w:bookmarkEnd w:id="201"/>
    <w:bookmarkEnd w:id="202"/>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6.4 招标文件的澄清或者修改内容作为招标文件的组成部分，并对供应商具有约束力。当招标文件、招标文件的澄清或修改在同一内容的表述上不一致时，以最后发出的文件内容为准。</w:t>
      </w:r>
    </w:p>
    <w:p>
      <w:pPr>
        <w:spacing w:line="480" w:lineRule="exact"/>
        <w:ind w:firstLine="560" w:firstLineChars="200"/>
        <w:rPr>
          <w:rFonts w:ascii="仿宋" w:hAnsi="仿宋" w:eastAsia="仿宋" w:cs="仿宋"/>
          <w:color w:val="auto"/>
          <w:sz w:val="28"/>
          <w:highlight w:val="none"/>
        </w:rPr>
      </w:pPr>
    </w:p>
    <w:p>
      <w:pPr>
        <w:spacing w:line="480" w:lineRule="exact"/>
        <w:ind w:firstLine="562" w:firstLineChars="200"/>
        <w:outlineLvl w:val="1"/>
        <w:rPr>
          <w:rFonts w:ascii="仿宋" w:hAnsi="仿宋" w:eastAsia="仿宋" w:cs="仿宋"/>
          <w:color w:val="auto"/>
          <w:sz w:val="28"/>
          <w:szCs w:val="24"/>
          <w:highlight w:val="none"/>
        </w:rPr>
      </w:pPr>
      <w:bookmarkStart w:id="203" w:name="_Toc516367020"/>
      <w:bookmarkStart w:id="204" w:name="_Toc515647766"/>
      <w:bookmarkStart w:id="205" w:name="_Toc28158"/>
      <w:bookmarkStart w:id="206" w:name="_Toc3751660"/>
      <w:bookmarkStart w:id="207" w:name="_Toc30808"/>
      <w:bookmarkStart w:id="208" w:name="_Toc520356150"/>
      <w:bookmarkStart w:id="209" w:name="_Toc636"/>
      <w:bookmarkStart w:id="210" w:name="_Toc1386"/>
      <w:bookmarkStart w:id="211" w:name="_Toc527622574"/>
      <w:bookmarkStart w:id="212" w:name="_Toc779"/>
      <w:bookmarkStart w:id="213" w:name="_Toc216582807"/>
      <w:bookmarkStart w:id="214" w:name="_Toc23025"/>
      <w:bookmarkStart w:id="215" w:name="_Toc7636"/>
      <w:bookmarkStart w:id="216" w:name="_Toc6936"/>
      <w:bookmarkStart w:id="217" w:name="_Toc19492"/>
      <w:r>
        <w:rPr>
          <w:rFonts w:hint="eastAsia" w:ascii="仿宋" w:hAnsi="仿宋" w:eastAsia="仿宋" w:cs="仿宋"/>
          <w:b/>
          <w:bCs/>
          <w:color w:val="auto"/>
          <w:sz w:val="28"/>
          <w:szCs w:val="24"/>
          <w:highlight w:val="none"/>
        </w:rPr>
        <w:t xml:space="preserve">三 </w:t>
      </w:r>
      <w:r>
        <w:rPr>
          <w:rFonts w:hint="eastAsia" w:ascii="仿宋" w:hAnsi="仿宋" w:eastAsia="仿宋" w:cs="仿宋"/>
          <w:b/>
          <w:bCs/>
          <w:color w:val="auto"/>
          <w:sz w:val="28"/>
          <w:highlight w:val="none"/>
        </w:rPr>
        <w:t>、</w:t>
      </w:r>
      <w:r>
        <w:rPr>
          <w:rFonts w:hint="eastAsia" w:ascii="仿宋" w:hAnsi="仿宋" w:eastAsia="仿宋" w:cs="仿宋"/>
          <w:b/>
          <w:bCs/>
          <w:color w:val="auto"/>
          <w:sz w:val="28"/>
          <w:szCs w:val="24"/>
          <w:highlight w:val="none"/>
        </w:rPr>
        <w:t>投标文件</w:t>
      </w:r>
      <w:bookmarkEnd w:id="203"/>
      <w:r>
        <w:rPr>
          <w:rFonts w:hint="eastAsia" w:ascii="仿宋" w:hAnsi="仿宋" w:eastAsia="仿宋" w:cs="仿宋"/>
          <w:b/>
          <w:bCs/>
          <w:color w:val="auto"/>
          <w:sz w:val="28"/>
          <w:szCs w:val="24"/>
          <w:highlight w:val="none"/>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spacing w:line="480" w:lineRule="exact"/>
        <w:ind w:firstLine="562" w:firstLineChars="200"/>
        <w:outlineLvl w:val="2"/>
        <w:rPr>
          <w:rFonts w:ascii="仿宋" w:hAnsi="仿宋" w:eastAsia="仿宋" w:cs="仿宋"/>
          <w:bCs/>
          <w:color w:val="auto"/>
          <w:sz w:val="28"/>
          <w:szCs w:val="24"/>
          <w:highlight w:val="none"/>
        </w:rPr>
      </w:pPr>
      <w:bookmarkStart w:id="218" w:name="_Toc527363306"/>
      <w:bookmarkStart w:id="219" w:name="_Toc518923070"/>
      <w:bookmarkStart w:id="220" w:name="_Toc527622575"/>
      <w:bookmarkStart w:id="221" w:name="_Toc26254"/>
      <w:bookmarkStart w:id="222" w:name="_Toc3943"/>
      <w:bookmarkStart w:id="223" w:name="_Toc6782"/>
      <w:bookmarkStart w:id="224" w:name="_Toc3133"/>
      <w:bookmarkStart w:id="225" w:name="_Toc3742"/>
      <w:bookmarkStart w:id="226" w:name="_Toc3751661"/>
      <w:bookmarkStart w:id="227" w:name="_Toc11717"/>
      <w:bookmarkStart w:id="228" w:name="_Toc27088"/>
      <w:bookmarkStart w:id="229" w:name="_Toc515647768"/>
      <w:bookmarkStart w:id="230" w:name="_Toc10364"/>
      <w:bookmarkStart w:id="231" w:name="_Toc516367022"/>
      <w:bookmarkStart w:id="232" w:name="_Ref467306676"/>
      <w:bookmarkStart w:id="233" w:name="_Toc28307"/>
      <w:bookmarkStart w:id="234" w:name="_Toc520356152"/>
      <w:bookmarkStart w:id="235" w:name="_Ref467306195"/>
      <w:r>
        <w:rPr>
          <w:rFonts w:hint="eastAsia" w:ascii="仿宋" w:hAnsi="仿宋" w:eastAsia="仿宋" w:cs="仿宋"/>
          <w:b/>
          <w:bCs/>
          <w:color w:val="auto"/>
          <w:sz w:val="28"/>
          <w:szCs w:val="24"/>
          <w:highlight w:val="none"/>
        </w:rPr>
        <w:t>7.</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投标范围及投标文件中标准和计量单位的使用</w:t>
      </w:r>
      <w:bookmarkEnd w:id="218"/>
      <w:bookmarkEnd w:id="219"/>
      <w:bookmarkEnd w:id="220"/>
      <w:bookmarkEnd w:id="221"/>
      <w:bookmarkEnd w:id="222"/>
      <w:bookmarkEnd w:id="223"/>
      <w:bookmarkEnd w:id="224"/>
      <w:bookmarkEnd w:id="225"/>
      <w:bookmarkEnd w:id="226"/>
      <w:bookmarkEnd w:id="227"/>
      <w:bookmarkEnd w:id="228"/>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7.1 项目有分包的，供应商可对招标文件其中一个或几个分包进行投标，除非在</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中另有规定。</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7.2 供应商应当对所投分包招标文件中“用户需求”所列的所有货物内容进行投标，如仅响应分包中的部分内容，其投标将被认定为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7.3 无论招标文件“用户需求”中是否要求，供应商所投货物均应符合国家强制性标准。</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7.4 除招标文件中有特殊要求外，投标文件中所使用的计量单位，应采用中华人民共和国法定计量单位。</w:t>
      </w:r>
    </w:p>
    <w:p>
      <w:pPr>
        <w:spacing w:line="480" w:lineRule="exact"/>
        <w:ind w:firstLine="562" w:firstLineChars="200"/>
        <w:outlineLvl w:val="2"/>
        <w:rPr>
          <w:rFonts w:ascii="仿宋" w:hAnsi="仿宋" w:eastAsia="仿宋" w:cs="仿宋"/>
          <w:bCs/>
          <w:color w:val="auto"/>
          <w:sz w:val="28"/>
          <w:szCs w:val="24"/>
          <w:highlight w:val="none"/>
        </w:rPr>
      </w:pPr>
      <w:bookmarkStart w:id="236" w:name="_Toc518923071"/>
      <w:bookmarkStart w:id="237" w:name="_Toc6719"/>
      <w:bookmarkStart w:id="238" w:name="_Toc527622576"/>
      <w:bookmarkStart w:id="239" w:name="_Toc3751662"/>
      <w:bookmarkStart w:id="240" w:name="_Toc7828"/>
      <w:bookmarkStart w:id="241" w:name="_Toc24169"/>
      <w:bookmarkStart w:id="242" w:name="_Toc19766"/>
      <w:bookmarkStart w:id="243" w:name="_Toc527363307"/>
      <w:bookmarkStart w:id="244" w:name="_Toc645"/>
      <w:bookmarkStart w:id="245" w:name="_Toc15753"/>
      <w:bookmarkStart w:id="246" w:name="_Toc30844"/>
      <w:r>
        <w:rPr>
          <w:rFonts w:hint="eastAsia" w:ascii="仿宋" w:hAnsi="仿宋" w:eastAsia="仿宋" w:cs="仿宋"/>
          <w:b/>
          <w:bCs/>
          <w:color w:val="auto"/>
          <w:sz w:val="28"/>
          <w:szCs w:val="24"/>
          <w:highlight w:val="none"/>
        </w:rPr>
        <w:t>8.</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投标文件</w:t>
      </w:r>
      <w:bookmarkEnd w:id="236"/>
      <w:r>
        <w:rPr>
          <w:rFonts w:hint="eastAsia" w:ascii="仿宋" w:hAnsi="仿宋" w:eastAsia="仿宋" w:cs="仿宋"/>
          <w:b/>
          <w:bCs/>
          <w:color w:val="auto"/>
          <w:sz w:val="28"/>
          <w:szCs w:val="24"/>
          <w:highlight w:val="none"/>
        </w:rPr>
        <w:t>的组成</w:t>
      </w:r>
      <w:bookmarkEnd w:id="237"/>
      <w:bookmarkEnd w:id="238"/>
      <w:bookmarkEnd w:id="239"/>
      <w:bookmarkEnd w:id="240"/>
      <w:bookmarkEnd w:id="241"/>
      <w:bookmarkEnd w:id="242"/>
      <w:bookmarkEnd w:id="243"/>
      <w:bookmarkEnd w:id="244"/>
      <w:bookmarkEnd w:id="245"/>
      <w:bookmarkEnd w:id="246"/>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供应商提交的投标文件应包括价格文件、商务文件、技术文件和唱标信封。</w:t>
      </w:r>
    </w:p>
    <w:bookmarkEnd w:id="229"/>
    <w:bookmarkEnd w:id="230"/>
    <w:bookmarkEnd w:id="231"/>
    <w:bookmarkEnd w:id="232"/>
    <w:bookmarkEnd w:id="233"/>
    <w:bookmarkEnd w:id="234"/>
    <w:bookmarkEnd w:id="235"/>
    <w:p>
      <w:pPr>
        <w:spacing w:line="480" w:lineRule="exact"/>
        <w:ind w:firstLine="560" w:firstLineChars="200"/>
        <w:outlineLvl w:val="2"/>
        <w:rPr>
          <w:rFonts w:ascii="仿宋" w:hAnsi="仿宋" w:eastAsia="仿宋" w:cs="仿宋"/>
          <w:bCs/>
          <w:color w:val="auto"/>
          <w:sz w:val="28"/>
          <w:szCs w:val="24"/>
          <w:highlight w:val="none"/>
        </w:rPr>
      </w:pPr>
      <w:bookmarkStart w:id="247" w:name="_Toc527363308"/>
      <w:bookmarkStart w:id="248" w:name="_Toc13508"/>
      <w:bookmarkStart w:id="249" w:name="_Toc11054"/>
      <w:bookmarkStart w:id="250" w:name="_Toc3751663"/>
      <w:bookmarkStart w:id="251" w:name="_Toc23851"/>
      <w:bookmarkStart w:id="252" w:name="_Toc21535"/>
      <w:bookmarkStart w:id="253" w:name="_Toc25236"/>
      <w:bookmarkStart w:id="254" w:name="_Toc527622577"/>
      <w:bookmarkStart w:id="255" w:name="_Toc16128"/>
      <w:bookmarkStart w:id="256" w:name="_Toc25966"/>
      <w:bookmarkStart w:id="257" w:name="_Toc520356153"/>
      <w:bookmarkStart w:id="258" w:name="_Toc10379"/>
      <w:bookmarkStart w:id="259" w:name="_Toc515647769"/>
      <w:bookmarkStart w:id="260" w:name="_Toc516367023"/>
      <w:bookmarkStart w:id="261" w:name="_Toc4601"/>
      <w:r>
        <w:rPr>
          <w:rFonts w:hint="eastAsia" w:ascii="仿宋" w:hAnsi="仿宋" w:eastAsia="仿宋" w:cs="仿宋"/>
          <w:color w:val="auto"/>
          <w:sz w:val="28"/>
          <w:szCs w:val="24"/>
          <w:highlight w:val="none"/>
        </w:rPr>
        <w:t>9</w:t>
      </w:r>
      <w:r>
        <w:rPr>
          <w:rFonts w:hint="eastAsia" w:ascii="仿宋" w:hAnsi="仿宋" w:eastAsia="仿宋" w:cs="仿宋"/>
          <w:b/>
          <w:bCs/>
          <w:color w:val="auto"/>
          <w:sz w:val="28"/>
          <w:szCs w:val="24"/>
          <w:highlight w:val="none"/>
        </w:rPr>
        <w:t>. 投标文件的编制、盖章、签署</w:t>
      </w:r>
      <w:bookmarkEnd w:id="247"/>
      <w:r>
        <w:rPr>
          <w:rFonts w:hint="eastAsia" w:ascii="仿宋" w:hAnsi="仿宋" w:eastAsia="仿宋" w:cs="仿宋"/>
          <w:b/>
          <w:bCs/>
          <w:color w:val="auto"/>
          <w:sz w:val="28"/>
          <w:szCs w:val="24"/>
          <w:highlight w:val="none"/>
        </w:rPr>
        <w:t>、密封和标记</w:t>
      </w:r>
      <w:bookmarkEnd w:id="248"/>
      <w:bookmarkEnd w:id="249"/>
      <w:bookmarkEnd w:id="250"/>
      <w:bookmarkEnd w:id="251"/>
      <w:bookmarkEnd w:id="252"/>
      <w:bookmarkEnd w:id="253"/>
      <w:bookmarkEnd w:id="254"/>
      <w:bookmarkEnd w:id="255"/>
      <w:bookmarkEnd w:id="256"/>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9.1 供应商应按</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 xml:space="preserve">中的规定，准备和递交投标文件。  </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9.2 投标文件的正本需打印。招标文件第7章“投标文件格式”中要求盖公章、签名或盖私章的，供应商应按要求加盖公章、签字或加盖私章。投标文件的副本可采用正本的投标文件复印件，</w:t>
      </w:r>
      <w:r>
        <w:rPr>
          <w:rFonts w:hint="eastAsia" w:ascii="仿宋" w:hAnsi="仿宋" w:eastAsia="仿宋" w:cs="仿宋"/>
          <w:b/>
          <w:bCs/>
          <w:color w:val="auto"/>
          <w:sz w:val="28"/>
          <w:highlight w:val="none"/>
        </w:rPr>
        <w:t>每套投标文件应当标明“正本”、“副本”的字样。</w:t>
      </w:r>
      <w:r>
        <w:rPr>
          <w:rFonts w:hint="eastAsia" w:ascii="仿宋" w:hAnsi="仿宋" w:eastAsia="仿宋" w:cs="仿宋"/>
          <w:color w:val="auto"/>
          <w:sz w:val="28"/>
          <w:highlight w:val="none"/>
        </w:rPr>
        <w:t>副本与正本具有同等法律效力。若正本与副本不符，以正本为准。法定代表人若委托其他人员作为投标负责人的，委托代理人须持有书面的“法定代表人授权委托书”，并将其附在投标文件中。如对投标文件进行了修改，则应由供应商法定代表人或其委托代理人在每一修改处签字（或加盖私章）。</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9.3 如供应商对招标文件多个包组进行投标的，其投标文件可按每个包组的要求编制和提交；或者将所投包组的内容在同一套投标文件编制和提交，并在投标文件中明确各包组的投标内容。</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9.4 供应商必须对投标文件所提供的全部资料的真实性承担法律责任，并接受招投标所、采购人及政府采购监督管理部门等对其中任何资料进行核实的要求。</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9.5 供应商应将投标文件的正本、副本、唱标信封分开单独密封包装。在密封袋上标明“正本”、“副本”、“唱标信封”的字样，并在密封袋的封口处加盖供应商公章或法定代表人（或委托代理人）签字（或盖私章）。</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9.6 在投标文件密封袋上均应标明以下内容：</w:t>
      </w:r>
    </w:p>
    <w:p>
      <w:pPr>
        <w:spacing w:line="480" w:lineRule="exact"/>
        <w:ind w:firstLine="2520" w:firstLineChars="900"/>
        <w:rPr>
          <w:rFonts w:ascii="仿宋" w:hAnsi="仿宋" w:eastAsia="仿宋" w:cs="仿宋"/>
          <w:color w:val="auto"/>
          <w:sz w:val="28"/>
          <w:highlight w:val="none"/>
        </w:rPr>
      </w:pPr>
      <w:r>
        <w:rPr>
          <w:rFonts w:hint="eastAsia" w:ascii="仿宋" w:hAnsi="仿宋" w:eastAsia="仿宋" w:cs="仿宋"/>
          <w:color w:val="auto"/>
          <w:sz w:val="28"/>
          <w:highlight w:val="none"/>
        </w:rPr>
        <w:t>(1)  采购编号：               ；</w:t>
      </w:r>
    </w:p>
    <w:p>
      <w:pPr>
        <w:spacing w:line="480" w:lineRule="exact"/>
        <w:ind w:firstLine="2520" w:firstLineChars="900"/>
        <w:rPr>
          <w:rFonts w:ascii="仿宋" w:hAnsi="仿宋" w:eastAsia="仿宋" w:cs="仿宋"/>
          <w:color w:val="auto"/>
          <w:sz w:val="28"/>
          <w:highlight w:val="none"/>
        </w:rPr>
      </w:pPr>
      <w:r>
        <w:rPr>
          <w:rFonts w:hint="eastAsia" w:ascii="仿宋" w:hAnsi="仿宋" w:eastAsia="仿宋" w:cs="仿宋"/>
          <w:color w:val="auto"/>
          <w:sz w:val="28"/>
          <w:highlight w:val="none"/>
        </w:rPr>
        <w:t>(2)  项目名称：               ；</w:t>
      </w:r>
    </w:p>
    <w:p>
      <w:pPr>
        <w:spacing w:line="480" w:lineRule="exact"/>
        <w:ind w:firstLine="2520" w:firstLineChars="900"/>
        <w:rPr>
          <w:rFonts w:ascii="仿宋" w:hAnsi="仿宋" w:eastAsia="仿宋" w:cs="仿宋"/>
          <w:color w:val="auto"/>
          <w:sz w:val="28"/>
          <w:highlight w:val="none"/>
        </w:rPr>
      </w:pPr>
      <w:r>
        <w:rPr>
          <w:rFonts w:hint="eastAsia" w:ascii="仿宋" w:hAnsi="仿宋" w:eastAsia="仿宋" w:cs="仿宋"/>
          <w:color w:val="auto"/>
          <w:sz w:val="28"/>
          <w:highlight w:val="none"/>
        </w:rPr>
        <w:t>(3)  供应商名称:              ；</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9.7 投标文件因字迹潦草、表达不清或装订不当所引起的后果由供应商负责。</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9.8 如果供应商未按上述第9.5款、第9.6款要求密封的，将被拒绝接收。</w:t>
      </w:r>
    </w:p>
    <w:bookmarkEnd w:id="257"/>
    <w:bookmarkEnd w:id="258"/>
    <w:bookmarkEnd w:id="259"/>
    <w:bookmarkEnd w:id="260"/>
    <w:bookmarkEnd w:id="261"/>
    <w:p>
      <w:pPr>
        <w:spacing w:line="480" w:lineRule="exact"/>
        <w:ind w:firstLine="562" w:firstLineChars="200"/>
        <w:outlineLvl w:val="2"/>
        <w:rPr>
          <w:rFonts w:ascii="仿宋" w:hAnsi="仿宋" w:eastAsia="仿宋" w:cs="仿宋"/>
          <w:bCs/>
          <w:color w:val="auto"/>
          <w:sz w:val="28"/>
          <w:szCs w:val="24"/>
          <w:highlight w:val="none"/>
        </w:rPr>
      </w:pPr>
      <w:bookmarkStart w:id="262" w:name="_Toc25781"/>
      <w:bookmarkStart w:id="263" w:name="_Toc3751664"/>
      <w:bookmarkStart w:id="264" w:name="_Toc17069"/>
      <w:bookmarkStart w:id="265" w:name="_Toc21253"/>
      <w:bookmarkStart w:id="266" w:name="_Toc28832"/>
      <w:bookmarkStart w:id="267" w:name="_Toc520356155"/>
      <w:bookmarkStart w:id="268" w:name="_Toc527363309"/>
      <w:bookmarkStart w:id="269" w:name="_Toc30567"/>
      <w:bookmarkStart w:id="270" w:name="_Toc518923073"/>
      <w:bookmarkStart w:id="271" w:name="_Toc23085"/>
      <w:bookmarkStart w:id="272" w:name="_Toc527622578"/>
      <w:bookmarkStart w:id="273" w:name="_Toc22724"/>
      <w:r>
        <w:rPr>
          <w:rFonts w:hint="eastAsia" w:ascii="仿宋" w:hAnsi="仿宋" w:eastAsia="仿宋" w:cs="仿宋"/>
          <w:b/>
          <w:bCs/>
          <w:color w:val="auto"/>
          <w:sz w:val="28"/>
          <w:szCs w:val="24"/>
          <w:highlight w:val="none"/>
        </w:rPr>
        <w:t>10.</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投标报价</w:t>
      </w:r>
      <w:bookmarkEnd w:id="262"/>
      <w:bookmarkEnd w:id="263"/>
      <w:bookmarkEnd w:id="264"/>
      <w:bookmarkEnd w:id="265"/>
      <w:bookmarkEnd w:id="266"/>
      <w:bookmarkEnd w:id="267"/>
      <w:bookmarkEnd w:id="268"/>
      <w:bookmarkEnd w:id="269"/>
      <w:bookmarkEnd w:id="270"/>
      <w:bookmarkEnd w:id="271"/>
      <w:bookmarkEnd w:id="272"/>
      <w:bookmarkEnd w:id="273"/>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10.1所有投标均以人民币报价。供应商的投标报价应遵守《中华人民共和国价格法》。同时，根据《中华人民共和国政府采购法》第二条的规定，为保证公平竞争，如有主体投标标的的赠与行为，其投标将被认定为</w:t>
      </w:r>
      <w:r>
        <w:rPr>
          <w:rFonts w:hint="eastAsia" w:ascii="仿宋" w:hAnsi="仿宋" w:eastAsia="仿宋" w:cs="仿宋"/>
          <w:b/>
          <w:bCs/>
          <w:color w:val="auto"/>
          <w:sz w:val="28"/>
          <w:highlight w:val="none"/>
          <w:u w:val="single"/>
        </w:rPr>
        <w:t>投标无效。</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10.2 采购人不接受具有附加条件的报价。</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10.3 供应商所报的各分项投标报价在合同履行过程中是固定不变的，不得以任何理由予以变更。任何包含价格调整要求的投标，将被认定为</w:t>
      </w:r>
      <w:r>
        <w:rPr>
          <w:rFonts w:hint="eastAsia" w:ascii="仿宋" w:hAnsi="仿宋" w:eastAsia="仿宋" w:cs="仿宋"/>
          <w:b/>
          <w:bCs/>
          <w:color w:val="auto"/>
          <w:sz w:val="28"/>
          <w:highlight w:val="none"/>
          <w:u w:val="single"/>
        </w:rPr>
        <w:t>投标无效。</w:t>
      </w:r>
    </w:p>
    <w:p>
      <w:pPr>
        <w:spacing w:line="480" w:lineRule="exact"/>
        <w:ind w:firstLine="562" w:firstLineChars="200"/>
        <w:outlineLvl w:val="2"/>
        <w:rPr>
          <w:rFonts w:ascii="仿宋" w:hAnsi="仿宋" w:eastAsia="仿宋" w:cs="仿宋"/>
          <w:bCs/>
          <w:color w:val="auto"/>
          <w:sz w:val="28"/>
          <w:szCs w:val="24"/>
          <w:highlight w:val="none"/>
        </w:rPr>
      </w:pPr>
      <w:bookmarkStart w:id="274" w:name="_Toc16410"/>
      <w:bookmarkStart w:id="275" w:name="_Toc30833"/>
      <w:bookmarkStart w:id="276" w:name="_Toc25463"/>
      <w:bookmarkStart w:id="277" w:name="_Toc520356157"/>
      <w:bookmarkStart w:id="278" w:name="_Toc518923076"/>
      <w:bookmarkStart w:id="279" w:name="_Toc10551"/>
      <w:bookmarkStart w:id="280" w:name="_Toc3751665"/>
      <w:bookmarkStart w:id="281" w:name="_Toc8198"/>
      <w:bookmarkStart w:id="282" w:name="_Toc527363310"/>
      <w:bookmarkStart w:id="283" w:name="_Toc527622579"/>
      <w:bookmarkStart w:id="284" w:name="_Toc32094"/>
      <w:bookmarkStart w:id="285" w:name="_Toc3068"/>
      <w:r>
        <w:rPr>
          <w:rFonts w:hint="eastAsia" w:ascii="仿宋" w:hAnsi="仿宋" w:eastAsia="仿宋" w:cs="仿宋"/>
          <w:b/>
          <w:bCs/>
          <w:color w:val="auto"/>
          <w:sz w:val="28"/>
          <w:szCs w:val="24"/>
          <w:highlight w:val="none"/>
        </w:rPr>
        <w:t>11.</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投标有效期</w:t>
      </w:r>
      <w:bookmarkEnd w:id="274"/>
      <w:bookmarkEnd w:id="275"/>
      <w:bookmarkEnd w:id="276"/>
      <w:bookmarkEnd w:id="277"/>
      <w:bookmarkEnd w:id="278"/>
      <w:bookmarkEnd w:id="279"/>
      <w:bookmarkEnd w:id="280"/>
      <w:bookmarkEnd w:id="281"/>
      <w:bookmarkEnd w:id="282"/>
      <w:bookmarkEnd w:id="283"/>
      <w:bookmarkEnd w:id="284"/>
      <w:bookmarkEnd w:id="285"/>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11.1</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投标应在</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中规定时间内保持有效。投标有效期不满足要求的投标，其投标将被认定为</w:t>
      </w:r>
      <w:r>
        <w:rPr>
          <w:rFonts w:hint="eastAsia" w:ascii="仿宋" w:hAnsi="仿宋" w:eastAsia="仿宋" w:cs="仿宋"/>
          <w:b/>
          <w:bCs/>
          <w:color w:val="auto"/>
          <w:sz w:val="28"/>
          <w:highlight w:val="none"/>
        </w:rPr>
        <w:t>投标无效</w:t>
      </w:r>
      <w:r>
        <w:rPr>
          <w:rFonts w:hint="eastAsia" w:ascii="仿宋" w:hAnsi="仿宋" w:eastAsia="仿宋" w:cs="仿宋"/>
          <w:color w:val="auto"/>
          <w:sz w:val="28"/>
          <w:highlight w:val="none"/>
        </w:rPr>
        <w:t>。</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11.2</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为保证有充分时间签订合同，采购人或招投标所可根据实际情况，在原投标有效期截止之前，要求供应商延长投标文件的有效期。上述要求和答复都应以书面形式提交。</w:t>
      </w:r>
    </w:p>
    <w:p>
      <w:pPr>
        <w:spacing w:line="480" w:lineRule="exact"/>
        <w:ind w:firstLine="562" w:firstLineChars="200"/>
        <w:outlineLvl w:val="1"/>
        <w:rPr>
          <w:rFonts w:ascii="仿宋" w:hAnsi="仿宋" w:eastAsia="仿宋" w:cs="仿宋"/>
          <w:b/>
          <w:bCs/>
          <w:color w:val="auto"/>
          <w:sz w:val="28"/>
          <w:szCs w:val="24"/>
          <w:highlight w:val="none"/>
        </w:rPr>
      </w:pPr>
      <w:bookmarkStart w:id="286" w:name="_Toc3751666"/>
      <w:bookmarkStart w:id="287" w:name="_Toc11051"/>
      <w:bookmarkStart w:id="288" w:name="_Toc3208"/>
      <w:bookmarkStart w:id="289" w:name="_Toc12274"/>
      <w:bookmarkStart w:id="290" w:name="_Toc31225"/>
      <w:bookmarkStart w:id="291" w:name="_Toc25580"/>
      <w:bookmarkStart w:id="292" w:name="_Toc515647774"/>
      <w:bookmarkStart w:id="293" w:name="_Toc11179"/>
      <w:bookmarkStart w:id="294" w:name="_Toc520356159"/>
      <w:bookmarkStart w:id="295" w:name="_Toc527622580"/>
      <w:bookmarkStart w:id="296" w:name="_Toc13791"/>
      <w:bookmarkStart w:id="297" w:name="_Toc216582808"/>
      <w:bookmarkStart w:id="298" w:name="_Toc24000"/>
      <w:r>
        <w:rPr>
          <w:rFonts w:hint="eastAsia" w:ascii="仿宋" w:hAnsi="仿宋" w:eastAsia="仿宋" w:cs="仿宋"/>
          <w:b/>
          <w:bCs/>
          <w:color w:val="auto"/>
          <w:sz w:val="28"/>
          <w:szCs w:val="24"/>
          <w:highlight w:val="none"/>
        </w:rPr>
        <w:t>四</w:t>
      </w:r>
      <w:r>
        <w:rPr>
          <w:rFonts w:hint="eastAsia" w:ascii="仿宋" w:hAnsi="仿宋" w:eastAsia="仿宋" w:cs="仿宋"/>
          <w:b/>
          <w:bCs/>
          <w:color w:val="auto"/>
          <w:sz w:val="28"/>
          <w:highlight w:val="none"/>
        </w:rPr>
        <w:t>、</w:t>
      </w:r>
      <w:r>
        <w:rPr>
          <w:rFonts w:hint="eastAsia" w:ascii="仿宋" w:hAnsi="仿宋" w:eastAsia="仿宋" w:cs="仿宋"/>
          <w:b/>
          <w:bCs/>
          <w:color w:val="auto"/>
          <w:sz w:val="28"/>
          <w:szCs w:val="24"/>
          <w:highlight w:val="none"/>
        </w:rPr>
        <w:t>投标文件的递交</w:t>
      </w:r>
      <w:bookmarkEnd w:id="286"/>
      <w:bookmarkEnd w:id="287"/>
      <w:bookmarkEnd w:id="288"/>
      <w:bookmarkEnd w:id="289"/>
      <w:bookmarkEnd w:id="290"/>
      <w:bookmarkEnd w:id="291"/>
      <w:bookmarkEnd w:id="292"/>
      <w:bookmarkEnd w:id="293"/>
      <w:bookmarkEnd w:id="294"/>
      <w:bookmarkEnd w:id="295"/>
      <w:bookmarkEnd w:id="296"/>
      <w:bookmarkEnd w:id="297"/>
      <w:bookmarkEnd w:id="298"/>
    </w:p>
    <w:p>
      <w:pPr>
        <w:numPr>
          <w:ilvl w:val="0"/>
          <w:numId w:val="2"/>
        </w:numPr>
        <w:spacing w:line="480" w:lineRule="exact"/>
        <w:ind w:firstLine="562" w:firstLineChars="200"/>
        <w:outlineLvl w:val="2"/>
        <w:rPr>
          <w:rFonts w:ascii="仿宋" w:hAnsi="仿宋" w:eastAsia="仿宋" w:cs="仿宋"/>
          <w:bCs/>
          <w:color w:val="auto"/>
          <w:sz w:val="28"/>
          <w:szCs w:val="24"/>
          <w:highlight w:val="none"/>
        </w:rPr>
      </w:pPr>
      <w:bookmarkStart w:id="299" w:name="_Toc17553"/>
      <w:bookmarkStart w:id="300" w:name="_Toc27813"/>
      <w:bookmarkStart w:id="301" w:name="_Toc527622581"/>
      <w:bookmarkStart w:id="302" w:name="_Toc7011"/>
      <w:bookmarkStart w:id="303" w:name="_Toc18325"/>
      <w:bookmarkStart w:id="304" w:name="_Toc518923080"/>
      <w:bookmarkStart w:id="305" w:name="_Toc527393583"/>
      <w:bookmarkStart w:id="306" w:name="_Toc27276"/>
      <w:bookmarkStart w:id="307" w:name="_Toc3751667"/>
      <w:bookmarkStart w:id="308" w:name="_Toc520356161"/>
      <w:bookmarkStart w:id="309" w:name="_Toc18587"/>
      <w:bookmarkStart w:id="310" w:name="_Toc30513"/>
      <w:r>
        <w:rPr>
          <w:rFonts w:hint="eastAsia" w:ascii="仿宋" w:hAnsi="仿宋" w:eastAsia="仿宋" w:cs="仿宋"/>
          <w:b/>
          <w:bCs/>
          <w:color w:val="auto"/>
          <w:sz w:val="28"/>
          <w:szCs w:val="24"/>
          <w:highlight w:val="none"/>
        </w:rPr>
        <w:t>投标截止</w:t>
      </w:r>
      <w:bookmarkEnd w:id="299"/>
      <w:bookmarkEnd w:id="300"/>
      <w:bookmarkEnd w:id="301"/>
      <w:bookmarkEnd w:id="302"/>
      <w:bookmarkEnd w:id="303"/>
      <w:bookmarkEnd w:id="304"/>
      <w:bookmarkEnd w:id="305"/>
      <w:bookmarkEnd w:id="306"/>
      <w:bookmarkEnd w:id="307"/>
      <w:bookmarkEnd w:id="308"/>
      <w:bookmarkEnd w:id="309"/>
      <w:bookmarkEnd w:id="310"/>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12.1</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供应商应在投标邀请中规定的截止时间前，将投标文件递交到投标邀请书中规定的地点。</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12.2</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采购人和招投标所有权按本须知的规定，延迟投标截止时间。在此情况下，采购人、招投标所和供应商受投标截止时间制约的所有权利和义务均应延长至新的截止时间。</w:t>
      </w:r>
    </w:p>
    <w:p>
      <w:pPr>
        <w:spacing w:line="480" w:lineRule="exact"/>
        <w:ind w:firstLine="562" w:firstLineChars="200"/>
        <w:outlineLvl w:val="2"/>
        <w:rPr>
          <w:rFonts w:ascii="仿宋" w:hAnsi="仿宋" w:eastAsia="仿宋" w:cs="仿宋"/>
          <w:bCs/>
          <w:color w:val="auto"/>
          <w:sz w:val="28"/>
          <w:szCs w:val="24"/>
          <w:highlight w:val="none"/>
        </w:rPr>
      </w:pPr>
      <w:bookmarkStart w:id="311" w:name="_Toc29199"/>
      <w:bookmarkStart w:id="312" w:name="_Toc4674"/>
      <w:bookmarkStart w:id="313" w:name="_Toc520356162"/>
      <w:bookmarkStart w:id="314" w:name="_Toc527622582"/>
      <w:bookmarkStart w:id="315" w:name="_Toc9980"/>
      <w:bookmarkStart w:id="316" w:name="_Toc7623"/>
      <w:bookmarkStart w:id="317" w:name="_Toc29103"/>
      <w:bookmarkStart w:id="318" w:name="_Toc13846"/>
      <w:bookmarkStart w:id="319" w:name="_Toc518923081"/>
      <w:bookmarkStart w:id="320" w:name="_Toc3751668"/>
      <w:bookmarkStart w:id="321" w:name="_Toc22262"/>
      <w:bookmarkStart w:id="322" w:name="_Toc527393584"/>
      <w:r>
        <w:rPr>
          <w:rFonts w:hint="eastAsia" w:ascii="仿宋" w:hAnsi="仿宋" w:eastAsia="仿宋" w:cs="仿宋"/>
          <w:b/>
          <w:bCs/>
          <w:color w:val="auto"/>
          <w:sz w:val="28"/>
          <w:szCs w:val="24"/>
          <w:highlight w:val="none"/>
        </w:rPr>
        <w:t>13.</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投标文件的接收、修改与撤回</w:t>
      </w:r>
      <w:bookmarkEnd w:id="311"/>
      <w:bookmarkEnd w:id="312"/>
      <w:bookmarkEnd w:id="313"/>
      <w:bookmarkEnd w:id="314"/>
      <w:bookmarkEnd w:id="315"/>
      <w:bookmarkEnd w:id="316"/>
      <w:bookmarkEnd w:id="317"/>
      <w:bookmarkEnd w:id="318"/>
      <w:bookmarkEnd w:id="319"/>
      <w:bookmarkEnd w:id="320"/>
      <w:bookmarkEnd w:id="321"/>
      <w:bookmarkEnd w:id="322"/>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13.1 在投标截止时间后送达投标文件的或者传真、电传的投标文件，采购人和招投标所将拒绝接收。</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13.2</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采购人或者招投标所收到投标文件后，向供应商出具签收回执。</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13.3 递交投标文件以后，如果供应商要进行修改或撤回投标，须提出书面申请并在投标截止时间前送达开标地点。</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采购人和招投标所将予以接收，并视为投标文件的组成部分。</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13.4</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在投标截止时间之后，采购人和招投标所不接受供应商主动对其投标文件做任何修改。</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13.5 至投标截止时间，出现下列情形之一的投标文件，将被采购人和招投标所拒绝并原封退回给投标人：</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（1）采购人和招投标所在投标邀请书中规定的截止时间以后和投标邀请书中规定的投标文件递交地点以外收到的投标文件；</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（2）至投标截止时间，投标人不足3家的，在投标截止时间前收到的所有未被开启的投标文件；</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（3）按本须知第13.3款规定提交书面撤回申请书的投标文件；</w:t>
      </w:r>
    </w:p>
    <w:p>
      <w:pPr>
        <w:spacing w:line="480" w:lineRule="exact"/>
        <w:ind w:firstLine="560" w:firstLineChars="200"/>
        <w:rPr>
          <w:rFonts w:ascii="仿宋" w:hAnsi="仿宋" w:eastAsia="仿宋" w:cs="仿宋"/>
          <w:color w:val="auto"/>
          <w:sz w:val="24"/>
          <w:highlight w:val="none"/>
        </w:rPr>
      </w:pPr>
      <w:r>
        <w:rPr>
          <w:rFonts w:hint="eastAsia" w:ascii="仿宋" w:hAnsi="仿宋" w:eastAsia="仿宋" w:cs="仿宋"/>
          <w:color w:val="auto"/>
          <w:sz w:val="28"/>
          <w:highlight w:val="none"/>
        </w:rPr>
        <w:t>（4）未按本须知第9.5、9.6款规定密封的投标文件。</w:t>
      </w:r>
    </w:p>
    <w:p>
      <w:pPr>
        <w:spacing w:line="480" w:lineRule="exact"/>
        <w:rPr>
          <w:rFonts w:ascii="仿宋" w:hAnsi="仿宋" w:eastAsia="仿宋" w:cs="仿宋"/>
          <w:color w:val="auto"/>
          <w:sz w:val="24"/>
          <w:highlight w:val="none"/>
        </w:rPr>
      </w:pPr>
    </w:p>
    <w:p>
      <w:pPr>
        <w:spacing w:line="480" w:lineRule="exact"/>
        <w:ind w:left="1080" w:leftChars="257" w:hanging="540"/>
        <w:outlineLvl w:val="1"/>
        <w:rPr>
          <w:rFonts w:ascii="仿宋" w:hAnsi="仿宋" w:eastAsia="仿宋" w:cs="仿宋"/>
          <w:bCs/>
          <w:color w:val="auto"/>
          <w:sz w:val="28"/>
          <w:szCs w:val="24"/>
          <w:highlight w:val="none"/>
        </w:rPr>
      </w:pPr>
      <w:bookmarkStart w:id="323" w:name="_Toc527622583"/>
      <w:bookmarkStart w:id="324" w:name="_Toc520356163"/>
      <w:bookmarkStart w:id="325" w:name="_Toc216582809"/>
      <w:bookmarkStart w:id="326" w:name="_Toc28398"/>
      <w:bookmarkStart w:id="327" w:name="_Toc3751669"/>
      <w:bookmarkStart w:id="328" w:name="_Toc19777"/>
      <w:bookmarkStart w:id="329" w:name="_Toc12723"/>
      <w:bookmarkStart w:id="330" w:name="_Toc29385"/>
      <w:bookmarkStart w:id="331" w:name="_Toc16330"/>
      <w:bookmarkStart w:id="332" w:name="_Toc28375"/>
      <w:bookmarkStart w:id="333" w:name="_Toc32104"/>
      <w:bookmarkStart w:id="334" w:name="_Toc12436"/>
      <w:bookmarkStart w:id="335" w:name="_Toc10340"/>
      <w:bookmarkStart w:id="336" w:name="_Toc515647778"/>
      <w:r>
        <w:rPr>
          <w:rFonts w:hint="eastAsia" w:ascii="仿宋" w:hAnsi="仿宋" w:eastAsia="仿宋" w:cs="仿宋"/>
          <w:b/>
          <w:bCs/>
          <w:color w:val="auto"/>
          <w:sz w:val="28"/>
          <w:szCs w:val="24"/>
          <w:highlight w:val="none"/>
        </w:rPr>
        <w:t xml:space="preserve">五 </w:t>
      </w:r>
      <w:r>
        <w:rPr>
          <w:rFonts w:hint="eastAsia" w:ascii="仿宋" w:hAnsi="仿宋" w:eastAsia="仿宋" w:cs="仿宋"/>
          <w:b/>
          <w:bCs/>
          <w:color w:val="auto"/>
          <w:sz w:val="28"/>
          <w:szCs w:val="18"/>
          <w:highlight w:val="none"/>
        </w:rPr>
        <w:t>、</w:t>
      </w:r>
      <w:r>
        <w:rPr>
          <w:rFonts w:hint="eastAsia" w:ascii="仿宋" w:hAnsi="仿宋" w:eastAsia="仿宋" w:cs="仿宋"/>
          <w:b/>
          <w:bCs/>
          <w:color w:val="auto"/>
          <w:sz w:val="28"/>
          <w:szCs w:val="24"/>
          <w:highlight w:val="none"/>
        </w:rPr>
        <w:t>开标及评标</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spacing w:line="480" w:lineRule="exact"/>
        <w:ind w:firstLine="562" w:firstLineChars="200"/>
        <w:outlineLvl w:val="2"/>
        <w:rPr>
          <w:rFonts w:ascii="仿宋" w:hAnsi="仿宋" w:eastAsia="仿宋" w:cs="仿宋"/>
          <w:bCs/>
          <w:color w:val="auto"/>
          <w:sz w:val="28"/>
          <w:szCs w:val="24"/>
          <w:highlight w:val="none"/>
        </w:rPr>
      </w:pPr>
      <w:bookmarkStart w:id="337" w:name="_Toc520356164"/>
      <w:bookmarkStart w:id="338" w:name="_Toc4699"/>
      <w:bookmarkStart w:id="339" w:name="_Toc5977"/>
      <w:bookmarkStart w:id="340" w:name="_Toc27424"/>
      <w:bookmarkStart w:id="341" w:name="_Toc13163"/>
      <w:bookmarkStart w:id="342" w:name="_Toc518923083"/>
      <w:bookmarkStart w:id="343" w:name="_Toc527363315"/>
      <w:bookmarkStart w:id="344" w:name="_Toc26853"/>
      <w:bookmarkStart w:id="345" w:name="_Toc3751670"/>
      <w:bookmarkStart w:id="346" w:name="_Toc17663"/>
      <w:bookmarkStart w:id="347" w:name="_Toc29534"/>
      <w:bookmarkStart w:id="348" w:name="_Toc527622584"/>
      <w:r>
        <w:rPr>
          <w:rFonts w:hint="eastAsia" w:ascii="仿宋" w:hAnsi="仿宋" w:eastAsia="仿宋" w:cs="仿宋"/>
          <w:b/>
          <w:bCs/>
          <w:color w:val="auto"/>
          <w:sz w:val="28"/>
          <w:szCs w:val="24"/>
          <w:highlight w:val="none"/>
        </w:rPr>
        <w:t>14.</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开标</w:t>
      </w:r>
      <w:bookmarkEnd w:id="337"/>
      <w:bookmarkEnd w:id="338"/>
      <w:bookmarkEnd w:id="339"/>
      <w:bookmarkEnd w:id="340"/>
      <w:bookmarkEnd w:id="341"/>
      <w:bookmarkEnd w:id="342"/>
      <w:bookmarkEnd w:id="343"/>
      <w:bookmarkEnd w:id="344"/>
      <w:bookmarkEnd w:id="345"/>
      <w:bookmarkEnd w:id="346"/>
      <w:bookmarkEnd w:id="347"/>
      <w:bookmarkEnd w:id="348"/>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14.1 采购人和招投标所将按招标文件中规定的开标时间和地点组织公开开标并邀请所有供应商代表参加。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开标会由招投标所主持，供应商的法定代表人或经其正式授权代表务必携带有效身份证明准时参加开标会并签名报到，以证明其出席。供应商未参加开标的，视同认可开标结果。</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响应招标、参加投标竞争的供应商不足3家的，不得开标。</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14.2 开标时，应当由供应商或者其推选的代表检查投标文件的密封情况。经确认无误后，由采购人或者招投标所工作人员当众拆封，宣布供应商名称、投标价格和招标文件规定的需要宣布的其他内容。</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未宣读投标价格、价格折扣等实质内容，评标时不予承认。</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14.3 采购人或招投标所将对开标过程进行记录</w:t>
      </w:r>
      <w:bookmarkStart w:id="349" w:name="_Toc520356165"/>
      <w:r>
        <w:rPr>
          <w:rFonts w:hint="eastAsia" w:ascii="仿宋" w:hAnsi="仿宋" w:eastAsia="仿宋" w:cs="仿宋"/>
          <w:color w:val="auto"/>
          <w:sz w:val="28"/>
          <w:highlight w:val="none"/>
        </w:rPr>
        <w:t>，由参加开标的各供应商代表和相关工作人员签字确认，并存档备查。</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14.4 供应商代表对开标过程和开标记录有疑义，以及认为采购人、招投标所相关工作人员有需要回避的情形的，应当场提出询问或者回避申请。</w:t>
      </w:r>
    </w:p>
    <w:bookmarkEnd w:id="349"/>
    <w:p>
      <w:pPr>
        <w:spacing w:line="480" w:lineRule="exact"/>
        <w:ind w:firstLine="562" w:firstLineChars="200"/>
        <w:outlineLvl w:val="2"/>
        <w:rPr>
          <w:rFonts w:ascii="仿宋" w:hAnsi="仿宋" w:eastAsia="仿宋" w:cs="仿宋"/>
          <w:bCs/>
          <w:color w:val="auto"/>
          <w:sz w:val="28"/>
          <w:szCs w:val="24"/>
          <w:highlight w:val="none"/>
        </w:rPr>
      </w:pPr>
      <w:bookmarkStart w:id="350" w:name="_Toc3751671"/>
      <w:bookmarkStart w:id="351" w:name="_Toc20308"/>
      <w:bookmarkStart w:id="352" w:name="_Toc527622585"/>
      <w:bookmarkStart w:id="353" w:name="_Toc6338"/>
      <w:bookmarkStart w:id="354" w:name="_Toc24639"/>
      <w:bookmarkStart w:id="355" w:name="_Toc26342"/>
      <w:bookmarkStart w:id="356" w:name="_Toc527363316"/>
      <w:bookmarkStart w:id="357" w:name="_Toc26893"/>
      <w:bookmarkStart w:id="358" w:name="_Toc12652"/>
      <w:bookmarkStart w:id="359" w:name="_Toc518923084"/>
      <w:bookmarkStart w:id="360" w:name="_Toc21348"/>
      <w:r>
        <w:rPr>
          <w:rFonts w:hint="eastAsia" w:ascii="仿宋" w:hAnsi="仿宋" w:eastAsia="仿宋" w:cs="仿宋"/>
          <w:b/>
          <w:bCs/>
          <w:color w:val="auto"/>
          <w:sz w:val="28"/>
          <w:szCs w:val="24"/>
          <w:highlight w:val="none"/>
        </w:rPr>
        <w:t>15.</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资格审查及组建评标委员会</w:t>
      </w:r>
      <w:bookmarkEnd w:id="350"/>
      <w:bookmarkEnd w:id="351"/>
      <w:bookmarkEnd w:id="352"/>
      <w:bookmarkEnd w:id="353"/>
      <w:bookmarkEnd w:id="354"/>
      <w:bookmarkEnd w:id="355"/>
      <w:bookmarkEnd w:id="356"/>
      <w:bookmarkEnd w:id="357"/>
      <w:bookmarkEnd w:id="358"/>
      <w:bookmarkEnd w:id="359"/>
      <w:bookmarkEnd w:id="360"/>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15.1 采购人或招投标所依据法律法规和招标文件中规定的内容，对供应商的资格进行审查。未通过资格审查的供应商不进入评标；进入评标的供应商不足3家的，不得评标。</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15.2 采购人或招投标所将在开标当天查询供应商的信用记录。供应商信用记录以采购人或招投标所查询结果为准。在本招标文件规定的查询时间之后，网站信息发生的任何变更均不再作为评标依据。</w:t>
      </w:r>
    </w:p>
    <w:p>
      <w:pPr>
        <w:spacing w:line="480" w:lineRule="exact"/>
        <w:ind w:firstLine="560" w:firstLineChars="200"/>
        <w:rPr>
          <w:rFonts w:ascii="仿宋" w:hAnsi="仿宋" w:eastAsia="仿宋" w:cs="仿宋"/>
          <w:color w:val="auto"/>
          <w:sz w:val="28"/>
          <w:szCs w:val="24"/>
          <w:highlight w:val="none"/>
        </w:rPr>
      </w:pPr>
      <w:r>
        <w:rPr>
          <w:rFonts w:hint="eastAsia" w:ascii="仿宋" w:hAnsi="仿宋" w:eastAsia="仿宋" w:cs="仿宋"/>
          <w:color w:val="auto"/>
          <w:sz w:val="28"/>
          <w:szCs w:val="24"/>
          <w:highlight w:val="none"/>
        </w:rPr>
        <w:t>供应商自行提供的与网站信息不一致的其他证明材料亦不作为资格审查的依据。</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15.3 按照《中华人民共和国政府采购法》、《中华人民共和国政府采购法实施条例》及本项目本级和上级财政部门的有关规定依法组建的评标委员会，负责本项目评标工作。</w:t>
      </w:r>
      <w:bookmarkStart w:id="361" w:name="_Toc520356166"/>
    </w:p>
    <w:p>
      <w:pPr>
        <w:spacing w:line="480" w:lineRule="exact"/>
        <w:ind w:firstLine="562" w:firstLineChars="200"/>
        <w:outlineLvl w:val="2"/>
        <w:rPr>
          <w:rFonts w:ascii="仿宋" w:hAnsi="仿宋" w:eastAsia="仿宋" w:cs="仿宋"/>
          <w:b/>
          <w:bCs/>
          <w:color w:val="auto"/>
          <w:sz w:val="28"/>
          <w:szCs w:val="24"/>
          <w:highlight w:val="none"/>
        </w:rPr>
      </w:pPr>
      <w:bookmarkStart w:id="362" w:name="_Toc15357"/>
      <w:bookmarkStart w:id="363" w:name="_Toc5346"/>
      <w:bookmarkStart w:id="364" w:name="_Toc527622586"/>
      <w:bookmarkStart w:id="365" w:name="_Toc13325"/>
      <w:bookmarkStart w:id="366" w:name="_Toc21290"/>
      <w:bookmarkStart w:id="367" w:name="_Toc527363317"/>
      <w:bookmarkStart w:id="368" w:name="_Toc30439"/>
      <w:bookmarkStart w:id="369" w:name="_Toc3751672"/>
      <w:bookmarkStart w:id="370" w:name="_Toc15729"/>
      <w:bookmarkStart w:id="371" w:name="_Toc518923085"/>
      <w:bookmarkStart w:id="372" w:name="_Toc29355"/>
      <w:r>
        <w:rPr>
          <w:rFonts w:hint="eastAsia" w:ascii="仿宋" w:hAnsi="仿宋" w:eastAsia="仿宋" w:cs="仿宋"/>
          <w:b/>
          <w:bCs/>
          <w:color w:val="auto"/>
          <w:sz w:val="28"/>
          <w:szCs w:val="24"/>
          <w:highlight w:val="none"/>
        </w:rPr>
        <w:t>16.</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投标文件的</w:t>
      </w:r>
      <w:bookmarkEnd w:id="361"/>
      <w:r>
        <w:rPr>
          <w:rFonts w:hint="eastAsia" w:ascii="仿宋" w:hAnsi="仿宋" w:eastAsia="仿宋" w:cs="仿宋"/>
          <w:b/>
          <w:bCs/>
          <w:color w:val="auto"/>
          <w:sz w:val="28"/>
          <w:szCs w:val="24"/>
          <w:highlight w:val="none"/>
        </w:rPr>
        <w:t>符合性审查与澄清</w:t>
      </w:r>
      <w:bookmarkEnd w:id="362"/>
      <w:bookmarkEnd w:id="363"/>
      <w:bookmarkEnd w:id="364"/>
      <w:bookmarkEnd w:id="365"/>
      <w:bookmarkEnd w:id="366"/>
      <w:bookmarkEnd w:id="367"/>
      <w:bookmarkEnd w:id="368"/>
      <w:bookmarkEnd w:id="369"/>
      <w:bookmarkEnd w:id="370"/>
      <w:bookmarkEnd w:id="371"/>
      <w:bookmarkEnd w:id="372"/>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16.1 符合性审查是指依据招标文件的规定，从投标文件的有效性和完整性对招标文件的响应程度进行审查，以确定是否对招标文件的实质性要求做出响应。</w:t>
      </w:r>
      <w:bookmarkStart w:id="373" w:name="_Hlt522424701"/>
      <w:bookmarkEnd w:id="373"/>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16.2</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投标文件的澄清</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16.2.1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澄清、说明或补正应在评标委员会规定的时间内以书面方式进行，并不得超出投标文件范围或者改变投标文件的实质性内容。</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16.2.2 供应商的澄清、说明或补正将作为投标文件的一部分。</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16.3 投标文件报价出现前后不一致的，按照下列规定修正：</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（1）投标文件中开标一览表（报价表）内容与投标文件中相应内容不一致的，以开标一览表（报价表）为准；</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（2）大写金额和小写金额不一致的，以大写金额为准；</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（3）单价金额小数点或者百分比有明显错位的，以开标一览表的总价为准，并修改单价；</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（4）总价金额与按单价汇总金额不一致的，以单价金额计算结果为准。</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同时出现两种以上不一致的，按照前款规定的顺序修正。修正后的报价按照16.2款的规定经供应商确认后产生约束力，供应商不确认的，将被认定为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对不同文字文本投标文件的解释发生异议的，以中文文本为准。</w:t>
      </w:r>
    </w:p>
    <w:p>
      <w:pPr>
        <w:spacing w:line="480" w:lineRule="exact"/>
        <w:ind w:firstLine="560" w:firstLineChars="200"/>
        <w:rPr>
          <w:rFonts w:ascii="仿宋" w:hAnsi="仿宋" w:eastAsia="仿宋" w:cs="仿宋"/>
          <w:color w:val="auto"/>
          <w:sz w:val="28"/>
          <w:highlight w:val="none"/>
        </w:rPr>
      </w:pPr>
      <w:bookmarkStart w:id="374" w:name="_Toc527622587"/>
      <w:bookmarkStart w:id="375" w:name="_Toc518923087"/>
      <w:bookmarkStart w:id="376" w:name="_Toc527363318"/>
      <w:r>
        <w:rPr>
          <w:rFonts w:hint="eastAsia" w:ascii="仿宋" w:hAnsi="仿宋" w:eastAsia="仿宋" w:cs="仿宋"/>
          <w:color w:val="auto"/>
          <w:sz w:val="28"/>
          <w:highlight w:val="none"/>
        </w:rPr>
        <w:t xml:space="preserve">16.4 </w:t>
      </w:r>
      <w:bookmarkStart w:id="377" w:name="_Toc520356167"/>
      <w:r>
        <w:rPr>
          <w:rFonts w:hint="eastAsia" w:ascii="仿宋" w:hAnsi="仿宋" w:eastAsia="仿宋" w:cs="仿宋"/>
          <w:color w:val="auto"/>
          <w:sz w:val="28"/>
          <w:highlight w:val="none"/>
        </w:rPr>
        <w:t>如一个分包内只有一种产品，不同供应商所投产品为同一品牌的，按如下方式处理：</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16.5 如采购人所采购产品为政府强制采购的节能产品，供应商所投产品的品牌及型号必须为清单中有效期内产品并提供证明文件，否则其投标将被认定为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w:t>
      </w:r>
      <w:bookmarkEnd w:id="377"/>
    </w:p>
    <w:p>
      <w:pPr>
        <w:spacing w:line="480" w:lineRule="exact"/>
        <w:ind w:firstLine="562" w:firstLineChars="200"/>
        <w:outlineLvl w:val="2"/>
        <w:rPr>
          <w:rFonts w:ascii="仿宋" w:hAnsi="仿宋" w:eastAsia="仿宋" w:cs="仿宋"/>
          <w:bCs/>
          <w:color w:val="auto"/>
          <w:sz w:val="28"/>
          <w:szCs w:val="24"/>
          <w:highlight w:val="none"/>
        </w:rPr>
      </w:pPr>
      <w:bookmarkStart w:id="378" w:name="_Toc5209"/>
      <w:bookmarkStart w:id="379" w:name="_Toc10507"/>
      <w:bookmarkStart w:id="380" w:name="_Toc19032"/>
      <w:bookmarkStart w:id="381" w:name="_Toc26040"/>
      <w:bookmarkStart w:id="382" w:name="_Toc8267"/>
      <w:bookmarkStart w:id="383" w:name="_Toc27990"/>
      <w:bookmarkStart w:id="384" w:name="_Toc3751673"/>
      <w:bookmarkStart w:id="385" w:name="_Toc9977"/>
      <w:r>
        <w:rPr>
          <w:rFonts w:hint="eastAsia" w:ascii="仿宋" w:hAnsi="仿宋" w:eastAsia="仿宋" w:cs="仿宋"/>
          <w:b/>
          <w:bCs/>
          <w:color w:val="auto"/>
          <w:sz w:val="28"/>
          <w:szCs w:val="24"/>
          <w:highlight w:val="none"/>
        </w:rPr>
        <w:t>17.</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投标无效</w:t>
      </w:r>
      <w:bookmarkEnd w:id="374"/>
      <w:bookmarkEnd w:id="375"/>
      <w:bookmarkEnd w:id="376"/>
      <w:bookmarkEnd w:id="378"/>
      <w:bookmarkEnd w:id="379"/>
      <w:bookmarkEnd w:id="380"/>
      <w:bookmarkEnd w:id="381"/>
      <w:bookmarkEnd w:id="382"/>
      <w:bookmarkEnd w:id="383"/>
      <w:bookmarkEnd w:id="384"/>
      <w:bookmarkEnd w:id="385"/>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17.1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。供应商不得通过修正或撤销不符合要求的偏离从而使其投标成为实质上响应的投标。</w:t>
      </w:r>
    </w:p>
    <w:p>
      <w:pPr>
        <w:spacing w:line="480" w:lineRule="exact"/>
        <w:ind w:firstLine="560" w:firstLineChars="200"/>
        <w:rPr>
          <w:rFonts w:ascii="仿宋" w:hAnsi="仿宋" w:eastAsia="仿宋" w:cs="仿宋"/>
          <w:color w:val="auto"/>
          <w:highlight w:val="none"/>
        </w:rPr>
      </w:pPr>
      <w:r>
        <w:rPr>
          <w:rFonts w:hint="eastAsia" w:ascii="仿宋" w:hAnsi="仿宋" w:eastAsia="仿宋" w:cs="仿宋"/>
          <w:color w:val="auto"/>
          <w:sz w:val="28"/>
          <w:highlight w:val="none"/>
        </w:rPr>
        <w:t>评标委员会只根据招标文件要求、投标文件内容及财政主管部门指定相关信息发布媒体来决定投标的响应性。</w:t>
      </w:r>
    </w:p>
    <w:p>
      <w:pPr>
        <w:spacing w:line="480" w:lineRule="exact"/>
        <w:ind w:firstLine="562" w:firstLineChars="200"/>
        <w:rPr>
          <w:rFonts w:ascii="仿宋" w:hAnsi="仿宋" w:eastAsia="仿宋" w:cs="仿宋"/>
          <w:b/>
          <w:bCs/>
          <w:color w:val="auto"/>
          <w:sz w:val="28"/>
          <w:highlight w:val="none"/>
        </w:rPr>
      </w:pPr>
      <w:r>
        <w:rPr>
          <w:rFonts w:hint="eastAsia" w:ascii="仿宋" w:hAnsi="仿宋" w:eastAsia="仿宋" w:cs="仿宋"/>
          <w:b/>
          <w:bCs/>
          <w:color w:val="auto"/>
          <w:sz w:val="28"/>
          <w:highlight w:val="none"/>
        </w:rPr>
        <w:t>17.2</w:t>
      </w:r>
      <w:r>
        <w:rPr>
          <w:rFonts w:hint="eastAsia" w:ascii="仿宋" w:hAnsi="仿宋" w:eastAsia="仿宋" w:cs="仿宋"/>
          <w:b/>
          <w:bCs/>
          <w:color w:val="auto"/>
          <w:sz w:val="28"/>
          <w:highlight w:val="none"/>
        </w:rPr>
        <w:tab/>
      </w:r>
      <w:bookmarkStart w:id="386" w:name="_Toc518923088"/>
      <w:r>
        <w:rPr>
          <w:rFonts w:hint="eastAsia" w:ascii="仿宋" w:hAnsi="仿宋" w:eastAsia="仿宋" w:cs="仿宋"/>
          <w:b/>
          <w:bCs/>
          <w:color w:val="auto"/>
          <w:sz w:val="28"/>
          <w:highlight w:val="none"/>
        </w:rPr>
        <w:t>供应商存在下列情况之一的，投标无效:</w:t>
      </w:r>
    </w:p>
    <w:p>
      <w:pPr>
        <w:spacing w:line="480" w:lineRule="exact"/>
        <w:ind w:firstLine="562"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（1）提交投标文件数量不足的;</w:t>
      </w:r>
    </w:p>
    <w:p>
      <w:pPr>
        <w:spacing w:line="480" w:lineRule="exact"/>
        <w:ind w:firstLine="562" w:firstLineChars="200"/>
        <w:rPr>
          <w:rFonts w:ascii="仿宋" w:hAnsi="仿宋" w:eastAsia="仿宋" w:cs="仿宋"/>
          <w:b/>
          <w:bCs/>
          <w:color w:val="auto"/>
          <w:sz w:val="28"/>
          <w:highlight w:val="none"/>
        </w:rPr>
      </w:pPr>
      <w:r>
        <w:rPr>
          <w:rFonts w:hint="eastAsia" w:ascii="仿宋" w:hAnsi="仿宋" w:eastAsia="仿宋" w:cs="仿宋"/>
          <w:b/>
          <w:bCs/>
          <w:color w:val="auto"/>
          <w:sz w:val="28"/>
          <w:highlight w:val="none"/>
        </w:rPr>
        <w:t>（2）未按照招标文件规定要求编制、签署和盖章的；</w:t>
      </w:r>
    </w:p>
    <w:p>
      <w:pPr>
        <w:spacing w:line="480" w:lineRule="exact"/>
        <w:ind w:firstLine="562" w:firstLineChars="200"/>
        <w:rPr>
          <w:rFonts w:ascii="仿宋" w:hAnsi="仿宋" w:eastAsia="仿宋" w:cs="仿宋"/>
          <w:b/>
          <w:bCs/>
          <w:color w:val="auto"/>
          <w:sz w:val="28"/>
          <w:highlight w:val="none"/>
        </w:rPr>
      </w:pPr>
      <w:r>
        <w:rPr>
          <w:rFonts w:hint="eastAsia" w:ascii="仿宋" w:hAnsi="仿宋" w:eastAsia="仿宋" w:cs="仿宋"/>
          <w:b/>
          <w:bCs/>
          <w:color w:val="auto"/>
          <w:sz w:val="28"/>
          <w:highlight w:val="none"/>
        </w:rPr>
        <w:t>（3）投标有效期不足的；</w:t>
      </w:r>
    </w:p>
    <w:p>
      <w:pPr>
        <w:spacing w:line="480" w:lineRule="exact"/>
        <w:ind w:firstLine="562" w:firstLineChars="200"/>
        <w:rPr>
          <w:rFonts w:ascii="仿宋" w:hAnsi="仿宋" w:eastAsia="仿宋" w:cs="仿宋"/>
          <w:b/>
          <w:bCs/>
          <w:color w:val="auto"/>
          <w:sz w:val="28"/>
          <w:highlight w:val="none"/>
        </w:rPr>
      </w:pPr>
      <w:r>
        <w:rPr>
          <w:rFonts w:hint="eastAsia" w:ascii="仿宋" w:hAnsi="仿宋" w:eastAsia="仿宋" w:cs="仿宋"/>
          <w:b/>
          <w:bCs/>
          <w:color w:val="auto"/>
          <w:sz w:val="28"/>
          <w:highlight w:val="none"/>
        </w:rPr>
        <w:t>（4）不满足招标文件用户需求中带“★”要求的；（本条款适用于招标文件第五章用户需求有★号条款的情形）</w:t>
      </w:r>
    </w:p>
    <w:p>
      <w:pPr>
        <w:spacing w:line="480" w:lineRule="exact"/>
        <w:ind w:firstLine="562" w:firstLineChars="200"/>
        <w:rPr>
          <w:rFonts w:ascii="仿宋" w:hAnsi="仿宋" w:eastAsia="仿宋" w:cs="仿宋"/>
          <w:b/>
          <w:bCs/>
          <w:color w:val="auto"/>
          <w:sz w:val="28"/>
          <w:highlight w:val="none"/>
        </w:rPr>
      </w:pPr>
      <w:r>
        <w:rPr>
          <w:rFonts w:hint="eastAsia" w:ascii="仿宋" w:hAnsi="仿宋" w:eastAsia="仿宋" w:cs="仿宋"/>
          <w:b/>
          <w:bCs/>
          <w:color w:val="auto"/>
          <w:sz w:val="28"/>
          <w:highlight w:val="none"/>
        </w:rPr>
        <w:t>（5）报价超过招标文件中规定的预算金额或者最高限价的；</w:t>
      </w:r>
    </w:p>
    <w:p>
      <w:pPr>
        <w:spacing w:line="480" w:lineRule="exact"/>
        <w:ind w:firstLine="562" w:firstLineChars="200"/>
        <w:rPr>
          <w:rFonts w:ascii="仿宋" w:hAnsi="仿宋" w:eastAsia="仿宋" w:cs="仿宋"/>
          <w:b/>
          <w:bCs/>
          <w:color w:val="auto"/>
          <w:sz w:val="28"/>
          <w:highlight w:val="none"/>
        </w:rPr>
      </w:pPr>
      <w:r>
        <w:rPr>
          <w:rFonts w:hint="eastAsia" w:ascii="仿宋" w:hAnsi="仿宋" w:eastAsia="仿宋" w:cs="仿宋"/>
          <w:b/>
          <w:bCs/>
          <w:color w:val="auto"/>
          <w:sz w:val="28"/>
          <w:highlight w:val="none"/>
        </w:rPr>
        <w:t>（6）报价不是固定价或者投标方案是可选择的；</w:t>
      </w:r>
    </w:p>
    <w:p>
      <w:pPr>
        <w:spacing w:line="480" w:lineRule="exact"/>
        <w:ind w:firstLine="562" w:firstLineChars="200"/>
        <w:rPr>
          <w:rFonts w:ascii="仿宋" w:hAnsi="仿宋" w:eastAsia="仿宋" w:cs="仿宋"/>
          <w:b/>
          <w:bCs/>
          <w:color w:val="auto"/>
          <w:sz w:val="28"/>
          <w:highlight w:val="none"/>
        </w:rPr>
      </w:pPr>
      <w:r>
        <w:rPr>
          <w:rFonts w:hint="eastAsia" w:ascii="仿宋" w:hAnsi="仿宋" w:eastAsia="仿宋" w:cs="仿宋"/>
          <w:b/>
          <w:bCs/>
          <w:color w:val="auto"/>
          <w:sz w:val="28"/>
          <w:highlight w:val="none"/>
        </w:rPr>
        <w:t>（7）投标文件含有采购人不能接受的附加条件的;</w:t>
      </w:r>
    </w:p>
    <w:p>
      <w:pPr>
        <w:spacing w:line="480" w:lineRule="exact"/>
        <w:ind w:firstLine="562" w:firstLineChars="200"/>
        <w:rPr>
          <w:rFonts w:ascii="仿宋" w:hAnsi="仿宋" w:eastAsia="仿宋" w:cs="仿宋"/>
          <w:color w:val="auto"/>
          <w:sz w:val="28"/>
          <w:highlight w:val="none"/>
        </w:rPr>
      </w:pPr>
      <w:r>
        <w:rPr>
          <w:rFonts w:hint="eastAsia" w:ascii="仿宋" w:hAnsi="仿宋" w:eastAsia="仿宋" w:cs="仿宋"/>
          <w:b/>
          <w:bCs/>
          <w:color w:val="auto"/>
          <w:sz w:val="28"/>
          <w:highlight w:val="none"/>
        </w:rPr>
        <w:t>（8）属于法律、法规及招标文件规定的其他无效情形的</w:t>
      </w:r>
      <w:r>
        <w:rPr>
          <w:rFonts w:hint="eastAsia" w:ascii="仿宋" w:hAnsi="仿宋" w:eastAsia="仿宋" w:cs="仿宋"/>
          <w:color w:val="auto"/>
          <w:sz w:val="28"/>
          <w:highlight w:val="none"/>
        </w:rPr>
        <w:t>。</w:t>
      </w:r>
    </w:p>
    <w:p>
      <w:pPr>
        <w:spacing w:line="480" w:lineRule="exact"/>
        <w:ind w:firstLine="562" w:firstLineChars="200"/>
        <w:outlineLvl w:val="2"/>
        <w:rPr>
          <w:rFonts w:ascii="仿宋" w:hAnsi="仿宋" w:eastAsia="仿宋" w:cs="仿宋"/>
          <w:bCs/>
          <w:color w:val="auto"/>
          <w:sz w:val="28"/>
          <w:szCs w:val="24"/>
          <w:highlight w:val="none"/>
        </w:rPr>
      </w:pPr>
      <w:bookmarkStart w:id="387" w:name="_Toc527363319"/>
      <w:bookmarkStart w:id="388" w:name="_Toc27339"/>
      <w:bookmarkStart w:id="389" w:name="_Toc31948"/>
      <w:bookmarkStart w:id="390" w:name="_Toc3751674"/>
      <w:bookmarkStart w:id="391" w:name="_Toc15501"/>
      <w:bookmarkStart w:id="392" w:name="_Toc527622588"/>
      <w:bookmarkStart w:id="393" w:name="_Toc26524"/>
      <w:bookmarkStart w:id="394" w:name="_Toc9640"/>
      <w:bookmarkStart w:id="395" w:name="_Toc31979"/>
      <w:bookmarkStart w:id="396" w:name="_Toc12804"/>
      <w:r>
        <w:rPr>
          <w:rFonts w:hint="eastAsia" w:ascii="仿宋" w:hAnsi="仿宋" w:eastAsia="仿宋" w:cs="仿宋"/>
          <w:b/>
          <w:bCs/>
          <w:color w:val="auto"/>
          <w:sz w:val="28"/>
          <w:szCs w:val="24"/>
          <w:highlight w:val="none"/>
        </w:rPr>
        <w:t>18.</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比较与评价</w:t>
      </w:r>
      <w:bookmarkEnd w:id="386"/>
      <w:bookmarkEnd w:id="387"/>
      <w:bookmarkEnd w:id="388"/>
      <w:bookmarkEnd w:id="389"/>
      <w:bookmarkEnd w:id="390"/>
      <w:bookmarkEnd w:id="391"/>
      <w:bookmarkEnd w:id="392"/>
      <w:bookmarkEnd w:id="393"/>
      <w:bookmarkEnd w:id="394"/>
      <w:bookmarkEnd w:id="395"/>
      <w:bookmarkEnd w:id="396"/>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18.1 经通过符合性审查的投标文件，评标委员会将根据招标文件确定的评标方法和标准，对其投标文件内容作进一步的比较和评价。</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18.2  评标严格按照招标文件的要求和条件进行。本项目采用</w:t>
      </w:r>
      <w:r>
        <w:rPr>
          <w:rFonts w:hint="eastAsia" w:ascii="仿宋" w:hAnsi="仿宋" w:eastAsia="仿宋" w:cs="仿宋"/>
          <w:b/>
          <w:color w:val="auto"/>
          <w:sz w:val="28"/>
          <w:highlight w:val="none"/>
          <w:u w:val="single"/>
        </w:rPr>
        <w:t>综合评分法</w:t>
      </w:r>
      <w:r>
        <w:rPr>
          <w:rFonts w:hint="eastAsia" w:ascii="仿宋" w:hAnsi="仿宋" w:eastAsia="仿宋" w:cs="仿宋"/>
          <w:color w:val="auto"/>
          <w:sz w:val="28"/>
          <w:highlight w:val="none"/>
        </w:rPr>
        <w:t>进行评审。</w:t>
      </w:r>
    </w:p>
    <w:p>
      <w:pPr>
        <w:spacing w:line="480" w:lineRule="exact"/>
        <w:ind w:firstLine="560" w:firstLineChars="200"/>
        <w:rPr>
          <w:rFonts w:ascii="仿宋" w:hAnsi="仿宋" w:eastAsia="仿宋" w:cs="仿宋"/>
          <w:color w:val="auto"/>
          <w:sz w:val="28"/>
          <w:szCs w:val="24"/>
          <w:highlight w:val="none"/>
        </w:rPr>
      </w:pPr>
      <w:r>
        <w:rPr>
          <w:rFonts w:hint="eastAsia" w:ascii="仿宋" w:hAnsi="仿宋" w:eastAsia="仿宋" w:cs="仿宋"/>
          <w:color w:val="auto"/>
          <w:sz w:val="28"/>
          <w:szCs w:val="24"/>
          <w:highlight w:val="none"/>
        </w:rPr>
        <w:t>18.3 根据《政府采购促进中小企业发展管理办法》、《财政部 司法部关于政府采购支持监狱企业发展有关问题的通知》（财库〔2014〕68号）和《三部门联合发布关于促进残疾人就业政府采购政策的通知》（财库〔2017〕141号）的规定，对满足价格扣除条件且在投标文件中提交了《供应商企业类型声明函》或省级以上监狱管理局、戒毒管理局（含新疆生产建设兵团）出具的属于监狱企业的证明文件的供应商，其投标报价扣除6-10%后参与评审</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rPr>
        <w:t>具体办法详见招标文件第四章。</w:t>
      </w:r>
    </w:p>
    <w:p>
      <w:pPr>
        <w:spacing w:line="480" w:lineRule="exact"/>
        <w:ind w:firstLine="562" w:firstLineChars="200"/>
        <w:outlineLvl w:val="2"/>
        <w:rPr>
          <w:rFonts w:ascii="仿宋" w:hAnsi="仿宋" w:eastAsia="仿宋" w:cs="仿宋"/>
          <w:bCs/>
          <w:color w:val="auto"/>
          <w:sz w:val="28"/>
          <w:szCs w:val="24"/>
          <w:highlight w:val="none"/>
        </w:rPr>
      </w:pPr>
      <w:bookmarkStart w:id="397" w:name="_Toc527363320"/>
      <w:bookmarkStart w:id="398" w:name="_Toc3751675"/>
      <w:bookmarkStart w:id="399" w:name="_Toc518923089"/>
      <w:bookmarkStart w:id="400" w:name="_Toc28570"/>
      <w:bookmarkStart w:id="401" w:name="_Toc29115"/>
      <w:bookmarkStart w:id="402" w:name="_Toc18544"/>
      <w:bookmarkStart w:id="403" w:name="_Toc15679"/>
      <w:bookmarkStart w:id="404" w:name="_Toc17843"/>
      <w:bookmarkStart w:id="405" w:name="_Toc16351"/>
      <w:bookmarkStart w:id="406" w:name="_Toc527622589"/>
      <w:bookmarkStart w:id="407" w:name="_Toc32075"/>
      <w:r>
        <w:rPr>
          <w:rFonts w:hint="eastAsia" w:ascii="仿宋" w:hAnsi="仿宋" w:eastAsia="仿宋" w:cs="仿宋"/>
          <w:b/>
          <w:bCs/>
          <w:color w:val="auto"/>
          <w:sz w:val="28"/>
          <w:szCs w:val="24"/>
          <w:highlight w:val="none"/>
        </w:rPr>
        <w:t>19.</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废标</w:t>
      </w:r>
      <w:bookmarkEnd w:id="397"/>
      <w:bookmarkEnd w:id="398"/>
      <w:bookmarkEnd w:id="399"/>
      <w:bookmarkEnd w:id="400"/>
      <w:bookmarkEnd w:id="401"/>
      <w:bookmarkEnd w:id="402"/>
      <w:bookmarkEnd w:id="403"/>
      <w:bookmarkEnd w:id="404"/>
      <w:bookmarkEnd w:id="405"/>
      <w:bookmarkEnd w:id="406"/>
      <w:bookmarkEnd w:id="407"/>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出现下列情形之一，将导致项目废标：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（1）符合专业条件的供应商或者对招标文件做实质性响应的供应商不足三家；</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（2）出现影响采购公正的违法、违规行为的；</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（3）供应商的报价均超过了采购预算，采购人不能支付的；</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（4）因重大变故，采购任务取消的。   </w:t>
      </w:r>
    </w:p>
    <w:p>
      <w:pPr>
        <w:spacing w:line="480" w:lineRule="exact"/>
        <w:ind w:firstLine="562" w:firstLineChars="200"/>
        <w:outlineLvl w:val="2"/>
        <w:rPr>
          <w:rFonts w:ascii="仿宋" w:hAnsi="仿宋" w:eastAsia="仿宋" w:cs="仿宋"/>
          <w:bCs/>
          <w:color w:val="auto"/>
          <w:sz w:val="28"/>
          <w:szCs w:val="24"/>
          <w:highlight w:val="none"/>
        </w:rPr>
      </w:pPr>
      <w:bookmarkStart w:id="408" w:name="_Toc30000"/>
      <w:bookmarkStart w:id="409" w:name="_Toc25647"/>
      <w:bookmarkStart w:id="410" w:name="_Toc31859"/>
      <w:bookmarkStart w:id="411" w:name="_Toc11287"/>
      <w:bookmarkStart w:id="412" w:name="_Toc10108"/>
      <w:bookmarkStart w:id="413" w:name="_Toc527622590"/>
      <w:bookmarkStart w:id="414" w:name="_Toc527363321"/>
      <w:bookmarkStart w:id="415" w:name="_Toc3751676"/>
      <w:bookmarkStart w:id="416" w:name="_Toc5999"/>
      <w:bookmarkStart w:id="417" w:name="_Toc518923090"/>
      <w:bookmarkStart w:id="418" w:name="_Toc20947"/>
      <w:r>
        <w:rPr>
          <w:rFonts w:hint="eastAsia" w:ascii="仿宋" w:hAnsi="仿宋" w:eastAsia="仿宋" w:cs="仿宋"/>
          <w:b/>
          <w:bCs/>
          <w:color w:val="auto"/>
          <w:sz w:val="28"/>
          <w:szCs w:val="24"/>
          <w:highlight w:val="none"/>
        </w:rPr>
        <w:t>20.</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保密原则</w:t>
      </w:r>
      <w:bookmarkEnd w:id="408"/>
      <w:bookmarkEnd w:id="409"/>
      <w:bookmarkEnd w:id="410"/>
      <w:bookmarkEnd w:id="411"/>
      <w:bookmarkEnd w:id="412"/>
      <w:bookmarkEnd w:id="413"/>
      <w:bookmarkEnd w:id="414"/>
      <w:bookmarkEnd w:id="415"/>
      <w:bookmarkEnd w:id="416"/>
      <w:bookmarkEnd w:id="417"/>
      <w:bookmarkEnd w:id="418"/>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20.1</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评标将在严格保密的情况下进行。</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20.2</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政府采购评审专家应当遵守评审工作纪律，不得泄露评审文件、评审情况和评审中获悉的商业秘密、国家秘密。</w:t>
      </w:r>
      <w:bookmarkStart w:id="419" w:name="_Toc520356169"/>
    </w:p>
    <w:p>
      <w:pPr>
        <w:spacing w:line="480" w:lineRule="exact"/>
        <w:ind w:firstLine="560" w:firstLineChars="200"/>
        <w:rPr>
          <w:rFonts w:ascii="仿宋" w:hAnsi="仿宋" w:eastAsia="仿宋" w:cs="仿宋"/>
          <w:color w:val="auto"/>
          <w:sz w:val="28"/>
          <w:highlight w:val="none"/>
        </w:rPr>
      </w:pPr>
    </w:p>
    <w:p>
      <w:pPr>
        <w:spacing w:line="480" w:lineRule="exact"/>
        <w:ind w:firstLine="562" w:firstLineChars="200"/>
        <w:outlineLvl w:val="1"/>
        <w:rPr>
          <w:rFonts w:ascii="仿宋" w:hAnsi="仿宋" w:eastAsia="仿宋" w:cs="仿宋"/>
          <w:color w:val="auto"/>
          <w:sz w:val="28"/>
          <w:szCs w:val="24"/>
          <w:highlight w:val="none"/>
        </w:rPr>
      </w:pPr>
      <w:bookmarkStart w:id="420" w:name="_Toc20100"/>
      <w:bookmarkStart w:id="421" w:name="_Toc26316"/>
      <w:bookmarkStart w:id="422" w:name="_Toc216582810"/>
      <w:bookmarkStart w:id="423" w:name="_Toc5357"/>
      <w:bookmarkStart w:id="424" w:name="_Toc2537"/>
      <w:bookmarkStart w:id="425" w:name="_Toc515647787"/>
      <w:bookmarkStart w:id="426" w:name="_Toc12111"/>
      <w:bookmarkStart w:id="427" w:name="_Toc28586"/>
      <w:bookmarkStart w:id="428" w:name="_Toc3751677"/>
      <w:bookmarkStart w:id="429" w:name="_Toc527622591"/>
      <w:bookmarkStart w:id="430" w:name="_Toc23904"/>
      <w:bookmarkStart w:id="431" w:name="_Toc23890"/>
      <w:bookmarkStart w:id="432" w:name="_Toc12143"/>
      <w:r>
        <w:rPr>
          <w:rFonts w:hint="eastAsia" w:ascii="仿宋" w:hAnsi="仿宋" w:eastAsia="仿宋" w:cs="仿宋"/>
          <w:b/>
          <w:bCs/>
          <w:color w:val="auto"/>
          <w:sz w:val="28"/>
          <w:szCs w:val="24"/>
          <w:highlight w:val="none"/>
        </w:rPr>
        <w:t xml:space="preserve">六 </w:t>
      </w:r>
      <w:bookmarkEnd w:id="419"/>
      <w:r>
        <w:rPr>
          <w:rFonts w:hint="eastAsia" w:ascii="仿宋" w:hAnsi="仿宋" w:eastAsia="仿宋" w:cs="仿宋"/>
          <w:b/>
          <w:bCs/>
          <w:color w:val="auto"/>
          <w:sz w:val="28"/>
          <w:szCs w:val="18"/>
          <w:highlight w:val="none"/>
        </w:rPr>
        <w:t>、</w:t>
      </w:r>
      <w:r>
        <w:rPr>
          <w:rFonts w:hint="eastAsia" w:ascii="仿宋" w:hAnsi="仿宋" w:eastAsia="仿宋" w:cs="仿宋"/>
          <w:b/>
          <w:bCs/>
          <w:color w:val="auto"/>
          <w:sz w:val="28"/>
          <w:szCs w:val="24"/>
          <w:highlight w:val="none"/>
        </w:rPr>
        <w:t>确定中标</w:t>
      </w:r>
      <w:bookmarkEnd w:id="420"/>
      <w:bookmarkEnd w:id="421"/>
      <w:bookmarkEnd w:id="422"/>
      <w:bookmarkEnd w:id="423"/>
      <w:bookmarkEnd w:id="424"/>
      <w:bookmarkEnd w:id="425"/>
      <w:bookmarkEnd w:id="426"/>
      <w:bookmarkEnd w:id="427"/>
      <w:bookmarkEnd w:id="428"/>
      <w:bookmarkEnd w:id="429"/>
      <w:bookmarkEnd w:id="430"/>
      <w:bookmarkEnd w:id="431"/>
      <w:bookmarkEnd w:id="432"/>
    </w:p>
    <w:p>
      <w:pPr>
        <w:numPr>
          <w:ilvl w:val="0"/>
          <w:numId w:val="3"/>
        </w:numPr>
        <w:spacing w:line="480" w:lineRule="exact"/>
        <w:ind w:firstLine="562" w:firstLineChars="200"/>
        <w:outlineLvl w:val="2"/>
        <w:rPr>
          <w:rFonts w:ascii="仿宋" w:hAnsi="仿宋" w:eastAsia="仿宋" w:cs="仿宋"/>
          <w:bCs/>
          <w:color w:val="auto"/>
          <w:sz w:val="28"/>
          <w:szCs w:val="24"/>
          <w:highlight w:val="none"/>
        </w:rPr>
      </w:pPr>
      <w:bookmarkStart w:id="433" w:name="_Toc28001"/>
      <w:bookmarkStart w:id="434" w:name="_Toc11378"/>
      <w:bookmarkStart w:id="435" w:name="_Toc944"/>
      <w:bookmarkStart w:id="436" w:name="_Toc18872"/>
      <w:bookmarkStart w:id="437" w:name="_Toc29582"/>
      <w:bookmarkStart w:id="438" w:name="_Toc518923093"/>
      <w:bookmarkStart w:id="439" w:name="_Toc3751678"/>
      <w:bookmarkStart w:id="440" w:name="_Toc527363324"/>
      <w:bookmarkStart w:id="441" w:name="_Toc18604"/>
      <w:bookmarkStart w:id="442" w:name="_Toc527622592"/>
      <w:bookmarkStart w:id="443" w:name="_Toc29266"/>
      <w:r>
        <w:rPr>
          <w:rFonts w:hint="eastAsia" w:ascii="仿宋" w:hAnsi="仿宋" w:eastAsia="仿宋" w:cs="仿宋"/>
          <w:b/>
          <w:bCs/>
          <w:color w:val="auto"/>
          <w:sz w:val="28"/>
          <w:szCs w:val="24"/>
          <w:highlight w:val="none"/>
        </w:rPr>
        <w:t>确定中标候选人</w:t>
      </w:r>
      <w:bookmarkEnd w:id="433"/>
      <w:bookmarkEnd w:id="434"/>
      <w:bookmarkEnd w:id="435"/>
      <w:bookmarkEnd w:id="436"/>
      <w:bookmarkEnd w:id="437"/>
      <w:bookmarkEnd w:id="438"/>
      <w:bookmarkEnd w:id="439"/>
      <w:bookmarkEnd w:id="440"/>
      <w:bookmarkEnd w:id="441"/>
      <w:bookmarkEnd w:id="442"/>
      <w:bookmarkEnd w:id="443"/>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评标委员会按评审后的综合得分由高到低顺序排列，并向采购人推荐中标候选人（中标候选人数量见</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并编写评审报告。综合得分相同的，按投标报价由低到高顺序排列。得分且投标报价相同并列的，由采购人或者采购人委托评标委员会采取随机抽取方式确定中标候选人。对评审报告有异议的，应当在评审报告上签署不同意见，并说明理由，否则视为同意评审报告。</w:t>
      </w:r>
    </w:p>
    <w:p>
      <w:pPr>
        <w:numPr>
          <w:ilvl w:val="0"/>
          <w:numId w:val="3"/>
        </w:numPr>
        <w:spacing w:line="480" w:lineRule="exact"/>
        <w:ind w:firstLine="562" w:firstLineChars="200"/>
        <w:outlineLvl w:val="2"/>
        <w:rPr>
          <w:rFonts w:ascii="仿宋" w:hAnsi="仿宋" w:eastAsia="仿宋" w:cs="仿宋"/>
          <w:bCs/>
          <w:color w:val="auto"/>
          <w:sz w:val="28"/>
          <w:szCs w:val="24"/>
          <w:highlight w:val="none"/>
        </w:rPr>
      </w:pPr>
      <w:bookmarkStart w:id="444" w:name="_Toc24217"/>
      <w:bookmarkStart w:id="445" w:name="_Toc28060"/>
      <w:bookmarkStart w:id="446" w:name="_Toc18239"/>
      <w:bookmarkStart w:id="447" w:name="_Toc518923094"/>
      <w:bookmarkStart w:id="448" w:name="_Toc527622593"/>
      <w:bookmarkStart w:id="449" w:name="_Toc527363325"/>
      <w:bookmarkStart w:id="450" w:name="_Toc3751679"/>
      <w:bookmarkStart w:id="451" w:name="_Toc7134"/>
      <w:bookmarkStart w:id="452" w:name="_Toc6190"/>
      <w:bookmarkStart w:id="453" w:name="_Toc20291"/>
      <w:bookmarkStart w:id="454" w:name="_Toc32180"/>
      <w:r>
        <w:rPr>
          <w:rFonts w:hint="eastAsia" w:ascii="仿宋" w:hAnsi="仿宋" w:eastAsia="仿宋" w:cs="仿宋"/>
          <w:b/>
          <w:bCs/>
          <w:color w:val="auto"/>
          <w:sz w:val="28"/>
          <w:szCs w:val="24"/>
          <w:highlight w:val="none"/>
        </w:rPr>
        <w:t>采购任务取消</w:t>
      </w:r>
      <w:bookmarkEnd w:id="444"/>
      <w:bookmarkEnd w:id="445"/>
      <w:bookmarkEnd w:id="446"/>
      <w:bookmarkEnd w:id="447"/>
      <w:bookmarkEnd w:id="448"/>
      <w:bookmarkEnd w:id="449"/>
      <w:bookmarkEnd w:id="450"/>
      <w:bookmarkEnd w:id="451"/>
      <w:bookmarkEnd w:id="452"/>
      <w:bookmarkEnd w:id="453"/>
      <w:bookmarkEnd w:id="454"/>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因重大变故采购任务取消时，采购人有权拒绝任何供应商中标，且对受影响的供应商不承担任何责任。</w:t>
      </w:r>
      <w:bookmarkStart w:id="455" w:name="_Toc520356174"/>
    </w:p>
    <w:p>
      <w:pPr>
        <w:numPr>
          <w:ilvl w:val="0"/>
          <w:numId w:val="3"/>
        </w:numPr>
        <w:spacing w:line="480" w:lineRule="exact"/>
        <w:ind w:firstLine="562" w:firstLineChars="200"/>
        <w:outlineLvl w:val="2"/>
        <w:rPr>
          <w:rFonts w:ascii="仿宋" w:hAnsi="仿宋" w:eastAsia="仿宋" w:cs="仿宋"/>
          <w:bCs/>
          <w:color w:val="auto"/>
          <w:sz w:val="28"/>
          <w:szCs w:val="24"/>
          <w:highlight w:val="none"/>
        </w:rPr>
      </w:pPr>
      <w:bookmarkStart w:id="456" w:name="_Toc518923095"/>
      <w:bookmarkStart w:id="457" w:name="_Toc19275"/>
      <w:bookmarkStart w:id="458" w:name="_Toc16371"/>
      <w:bookmarkStart w:id="459" w:name="_Toc17436"/>
      <w:bookmarkStart w:id="460" w:name="_Toc3751680"/>
      <w:bookmarkStart w:id="461" w:name="_Toc30681"/>
      <w:bookmarkStart w:id="462" w:name="_Toc4017"/>
      <w:bookmarkStart w:id="463" w:name="_Toc28409"/>
      <w:bookmarkStart w:id="464" w:name="_Toc527363326"/>
      <w:bookmarkStart w:id="465" w:name="_Toc17922"/>
      <w:bookmarkStart w:id="466" w:name="_Toc527622594"/>
      <w:r>
        <w:rPr>
          <w:rFonts w:hint="eastAsia" w:ascii="仿宋" w:hAnsi="仿宋" w:eastAsia="仿宋" w:cs="仿宋"/>
          <w:b/>
          <w:bCs/>
          <w:color w:val="auto"/>
          <w:sz w:val="28"/>
          <w:szCs w:val="24"/>
          <w:highlight w:val="none"/>
        </w:rPr>
        <w:t>中标</w:t>
      </w:r>
      <w:bookmarkEnd w:id="455"/>
      <w:r>
        <w:rPr>
          <w:rFonts w:hint="eastAsia" w:ascii="仿宋" w:hAnsi="仿宋" w:eastAsia="仿宋" w:cs="仿宋"/>
          <w:b/>
          <w:bCs/>
          <w:color w:val="auto"/>
          <w:sz w:val="28"/>
          <w:szCs w:val="24"/>
          <w:highlight w:val="none"/>
        </w:rPr>
        <w:t>结果</w:t>
      </w:r>
      <w:bookmarkEnd w:id="456"/>
      <w:r>
        <w:rPr>
          <w:rFonts w:hint="eastAsia" w:ascii="仿宋" w:hAnsi="仿宋" w:eastAsia="仿宋" w:cs="仿宋"/>
          <w:b/>
          <w:bCs/>
          <w:color w:val="auto"/>
          <w:sz w:val="28"/>
          <w:szCs w:val="24"/>
          <w:highlight w:val="none"/>
        </w:rPr>
        <w:t>发布</w:t>
      </w:r>
      <w:bookmarkEnd w:id="457"/>
      <w:bookmarkEnd w:id="458"/>
      <w:bookmarkEnd w:id="459"/>
      <w:bookmarkEnd w:id="460"/>
      <w:bookmarkEnd w:id="461"/>
      <w:bookmarkEnd w:id="462"/>
      <w:bookmarkEnd w:id="463"/>
      <w:bookmarkEnd w:id="464"/>
      <w:bookmarkEnd w:id="465"/>
      <w:bookmarkEnd w:id="466"/>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23.1 招投标所自中标人确定之日起2个工作日内，发出中标通知书，并在财政部门指定的政府采购信息媒体上公告中标结果及招标文件。</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23.2 《中标通知书》是合同的一个组成部分，《中标通知书》对采购人和中标人均具有同等法律效力；《中标通知书》发出后，采购人改变中标结果，或者中标人放弃中标，应当承担相应的法律责任。</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23.3 中标人为残疾人福利性单位的，采购人或者其委托的招投标所应当随中标、成交结果同时公告其《残疾人福利性单位声明函》，接受社会监督。</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23.4中标人为小型或微型企业的，采购人或者其委托的招投标所应当随中标、成交结果同时公告其《小型或微型企业声明函》，接受社会监督。</w:t>
      </w:r>
    </w:p>
    <w:p>
      <w:pPr>
        <w:spacing w:line="480" w:lineRule="exact"/>
        <w:ind w:firstLine="562" w:firstLineChars="200"/>
        <w:outlineLvl w:val="2"/>
        <w:rPr>
          <w:rFonts w:ascii="仿宋" w:hAnsi="仿宋" w:eastAsia="仿宋" w:cs="仿宋"/>
          <w:bCs/>
          <w:color w:val="auto"/>
          <w:sz w:val="28"/>
          <w:szCs w:val="24"/>
          <w:highlight w:val="none"/>
        </w:rPr>
      </w:pPr>
      <w:bookmarkStart w:id="467" w:name="_Toc527363327"/>
      <w:bookmarkStart w:id="468" w:name="_Ref467307062"/>
      <w:bookmarkStart w:id="469" w:name="_Toc4814"/>
      <w:bookmarkStart w:id="470" w:name="_Toc520356175"/>
      <w:bookmarkStart w:id="471" w:name="_Toc17011"/>
      <w:bookmarkStart w:id="472" w:name="_Toc527622595"/>
      <w:bookmarkStart w:id="473" w:name="_Ref467307204"/>
      <w:bookmarkStart w:id="474" w:name="_Ref467306377"/>
      <w:bookmarkStart w:id="475" w:name="_Toc16847"/>
      <w:bookmarkStart w:id="476" w:name="_Ref467306978"/>
      <w:bookmarkStart w:id="477" w:name="_Toc22927"/>
      <w:bookmarkStart w:id="478" w:name="_Toc3751681"/>
      <w:bookmarkStart w:id="479" w:name="_Toc30375"/>
      <w:bookmarkStart w:id="480" w:name="_Toc5744"/>
      <w:bookmarkStart w:id="481" w:name="_Toc28379"/>
      <w:bookmarkStart w:id="482" w:name="_Toc518923096"/>
      <w:r>
        <w:rPr>
          <w:rFonts w:hint="eastAsia" w:ascii="仿宋" w:hAnsi="仿宋" w:eastAsia="仿宋" w:cs="仿宋"/>
          <w:b/>
          <w:bCs/>
          <w:color w:val="auto"/>
          <w:sz w:val="28"/>
          <w:szCs w:val="24"/>
          <w:highlight w:val="none"/>
        </w:rPr>
        <w:t>24.</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签订合同</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24.1</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采购人应当自中标通知书发出之日起30日内，按照招标文件和中标人投标文件的规定，与中标人签订书面合同。所签订的合同不得对招标文件确定的事项和中标人投标文件作实质性修改。</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采购人不得向中标人提出任何不合理的要求作为签订合同的条件。</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24.2 采购人与中标人应当根据合同的约定依法履行合同义务。</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政府采购合同的履行、违约责任和解决争议的方法等适用《中华人民共和国合同法》。</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24.3 采购人应当自政府采购合同签订之日起2个工作日内，将政府采购合同在广东省网上办事大厅政府采购系统（以下简称省政府采购网）进行公开；自政府采购合同签订之日起7个工作日内，将政府采购合同通过省政府采购网进行备案。</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24.4 供应商根据招标文件的规定和采购项目的实际情况，拟在中标后将中标项目的非主体、非关键性工作分包的，应当在投标文件中载明分包承担主体，分包承担主体应当具备相应资质条件且不得再次分包。</w:t>
      </w:r>
    </w:p>
    <w:p>
      <w:pPr>
        <w:spacing w:line="480" w:lineRule="exact"/>
        <w:ind w:firstLine="562" w:firstLineChars="200"/>
        <w:outlineLvl w:val="2"/>
        <w:rPr>
          <w:rFonts w:ascii="仿宋" w:hAnsi="仿宋" w:eastAsia="仿宋" w:cs="仿宋"/>
          <w:bCs/>
          <w:color w:val="auto"/>
          <w:sz w:val="28"/>
          <w:szCs w:val="24"/>
          <w:highlight w:val="none"/>
        </w:rPr>
      </w:pPr>
      <w:bookmarkStart w:id="483" w:name="_Toc14005"/>
      <w:bookmarkStart w:id="484" w:name="_Toc28993"/>
      <w:bookmarkStart w:id="485" w:name="_Toc518923097"/>
      <w:bookmarkStart w:id="486" w:name="_Toc520356176"/>
      <w:bookmarkStart w:id="487" w:name="_Toc27231"/>
      <w:bookmarkStart w:id="488" w:name="_Ref467306425"/>
      <w:bookmarkStart w:id="489" w:name="_Toc527363328"/>
      <w:bookmarkStart w:id="490" w:name="_Toc6032"/>
      <w:bookmarkStart w:id="491" w:name="_Toc3612"/>
      <w:bookmarkStart w:id="492" w:name="_Ref467307090"/>
      <w:bookmarkStart w:id="493" w:name="_Toc3751682"/>
      <w:bookmarkStart w:id="494" w:name="_Toc527622596"/>
      <w:bookmarkStart w:id="495" w:name="_Toc2646"/>
      <w:bookmarkStart w:id="496" w:name="_Toc3966"/>
      <w:r>
        <w:rPr>
          <w:rFonts w:hint="eastAsia" w:ascii="仿宋" w:hAnsi="仿宋" w:eastAsia="仿宋" w:cs="仿宋"/>
          <w:b/>
          <w:bCs/>
          <w:color w:val="auto"/>
          <w:sz w:val="28"/>
          <w:szCs w:val="24"/>
          <w:highlight w:val="none"/>
        </w:rPr>
        <w:t>25.</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履约保证金</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25.1 中标人应按</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要求向采购人缴纳履约保证金（如采用保函形式，格式见本章附件1）。履约保证金可以采用银行转账或者以专业担保机构、金融机构出具的担保函的形式缴交。履约保函应是合法经营的金融机构或担保机构出具的保函，非东莞市范围内担保机构出具的履约保函必须附上当地公证部门出具的公证文件。履约保函的内容，应符合招标文件、投标响应文件和采购合同的要求。履约保函应在采购合同有效期满后28天内继续有效。</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25.2 如果中标人没有按照上述履约保证金的规定执行，采购人将有充分的理由解除合同，给采购人造成的损失，还应当予以赔偿。</w:t>
      </w:r>
    </w:p>
    <w:p>
      <w:pPr>
        <w:spacing w:line="480" w:lineRule="exact"/>
        <w:ind w:firstLine="562" w:firstLineChars="200"/>
        <w:outlineLvl w:val="2"/>
        <w:rPr>
          <w:rFonts w:ascii="仿宋" w:hAnsi="仿宋" w:eastAsia="仿宋" w:cs="仿宋"/>
          <w:bCs/>
          <w:color w:val="auto"/>
          <w:sz w:val="28"/>
          <w:szCs w:val="24"/>
          <w:highlight w:val="none"/>
        </w:rPr>
      </w:pPr>
      <w:bookmarkStart w:id="497" w:name="_Toc518923098"/>
      <w:bookmarkStart w:id="498" w:name="_Toc29295"/>
      <w:bookmarkStart w:id="499" w:name="_Toc27905"/>
      <w:bookmarkStart w:id="500" w:name="_Toc527363329"/>
      <w:bookmarkStart w:id="501" w:name="_Toc17552"/>
      <w:bookmarkStart w:id="502" w:name="_Toc7236"/>
      <w:bookmarkStart w:id="503" w:name="_Toc3751683"/>
      <w:bookmarkStart w:id="504" w:name="_Toc1266"/>
      <w:bookmarkStart w:id="505" w:name="_Toc527622597"/>
      <w:bookmarkStart w:id="506" w:name="_Toc25586"/>
      <w:bookmarkStart w:id="507" w:name="_Toc3751"/>
      <w:r>
        <w:rPr>
          <w:rFonts w:hint="eastAsia" w:ascii="仿宋" w:hAnsi="仿宋" w:eastAsia="仿宋" w:cs="仿宋"/>
          <w:b/>
          <w:bCs/>
          <w:color w:val="auto"/>
          <w:sz w:val="28"/>
          <w:szCs w:val="24"/>
          <w:highlight w:val="none"/>
        </w:rPr>
        <w:t>26.</w:t>
      </w:r>
      <w:bookmarkEnd w:id="497"/>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中标服务费</w:t>
      </w:r>
      <w:bookmarkEnd w:id="498"/>
      <w:bookmarkEnd w:id="499"/>
      <w:bookmarkEnd w:id="500"/>
      <w:bookmarkEnd w:id="501"/>
      <w:bookmarkEnd w:id="502"/>
      <w:bookmarkEnd w:id="503"/>
      <w:bookmarkEnd w:id="504"/>
      <w:bookmarkEnd w:id="505"/>
      <w:bookmarkEnd w:id="506"/>
      <w:bookmarkEnd w:id="507"/>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 招投标所不收取中标服务费。</w:t>
      </w:r>
    </w:p>
    <w:p>
      <w:pPr>
        <w:numPr>
          <w:ilvl w:val="0"/>
          <w:numId w:val="4"/>
        </w:numPr>
        <w:spacing w:line="480" w:lineRule="exact"/>
        <w:ind w:firstLine="562" w:firstLineChars="200"/>
        <w:outlineLvl w:val="2"/>
        <w:rPr>
          <w:rFonts w:ascii="仿宋" w:hAnsi="仿宋" w:eastAsia="仿宋" w:cs="仿宋"/>
          <w:bCs/>
          <w:color w:val="auto"/>
          <w:sz w:val="28"/>
          <w:szCs w:val="24"/>
          <w:highlight w:val="none"/>
        </w:rPr>
      </w:pPr>
      <w:bookmarkStart w:id="508" w:name="_Toc527363330"/>
      <w:bookmarkStart w:id="509" w:name="_Toc6295"/>
      <w:bookmarkStart w:id="510" w:name="_Toc527622598"/>
      <w:bookmarkStart w:id="511" w:name="_Toc784"/>
      <w:bookmarkStart w:id="512" w:name="_Toc6820"/>
      <w:bookmarkStart w:id="513" w:name="_Toc3751684"/>
      <w:bookmarkStart w:id="514" w:name="_Toc6571"/>
      <w:bookmarkStart w:id="515" w:name="_Toc9599"/>
      <w:bookmarkStart w:id="516" w:name="_Toc13153"/>
      <w:bookmarkStart w:id="517" w:name="_Toc22604"/>
      <w:r>
        <w:rPr>
          <w:rFonts w:hint="eastAsia" w:ascii="仿宋" w:hAnsi="仿宋" w:eastAsia="仿宋" w:cs="仿宋"/>
          <w:b/>
          <w:bCs/>
          <w:color w:val="auto"/>
          <w:sz w:val="28"/>
          <w:szCs w:val="24"/>
          <w:highlight w:val="none"/>
        </w:rPr>
        <w:t>融资</w:t>
      </w:r>
      <w:bookmarkEnd w:id="508"/>
      <w:r>
        <w:rPr>
          <w:rFonts w:hint="eastAsia" w:ascii="仿宋" w:hAnsi="仿宋" w:eastAsia="仿宋" w:cs="仿宋"/>
          <w:b/>
          <w:bCs/>
          <w:color w:val="auto"/>
          <w:sz w:val="28"/>
          <w:szCs w:val="24"/>
          <w:highlight w:val="none"/>
        </w:rPr>
        <w:t>担保</w:t>
      </w:r>
      <w:bookmarkEnd w:id="509"/>
      <w:bookmarkEnd w:id="510"/>
      <w:bookmarkEnd w:id="511"/>
      <w:bookmarkEnd w:id="512"/>
      <w:bookmarkEnd w:id="513"/>
      <w:bookmarkEnd w:id="514"/>
      <w:bookmarkEnd w:id="515"/>
      <w:bookmarkEnd w:id="516"/>
      <w:bookmarkEnd w:id="517"/>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根据东莞市财政局《关于进一步推进政府采购信用担保工作的通知》（东财[2018]189号）规定，中标人可以选择是否采取信用担保融资的形式为政府采购项目履约进行融资。各供应商可自主决定是否使用信用担保方式，并选择担保机构提供的任何一种信用担保品种，财政部门、招投标所、采购人不得进行干预。</w:t>
      </w:r>
    </w:p>
    <w:p>
      <w:pPr>
        <w:numPr>
          <w:ilvl w:val="0"/>
          <w:numId w:val="4"/>
        </w:numPr>
        <w:spacing w:line="480" w:lineRule="exact"/>
        <w:ind w:firstLine="562" w:firstLineChars="200"/>
        <w:outlineLvl w:val="2"/>
        <w:rPr>
          <w:rFonts w:ascii="仿宋" w:hAnsi="仿宋" w:eastAsia="仿宋" w:cs="仿宋"/>
          <w:bCs/>
          <w:color w:val="auto"/>
          <w:sz w:val="28"/>
          <w:szCs w:val="24"/>
          <w:highlight w:val="none"/>
        </w:rPr>
      </w:pPr>
      <w:bookmarkStart w:id="518" w:name="_Toc518923100"/>
      <w:bookmarkStart w:id="519" w:name="_Toc24241"/>
      <w:bookmarkStart w:id="520" w:name="_Toc11529"/>
      <w:bookmarkStart w:id="521" w:name="_Toc527363331"/>
      <w:bookmarkStart w:id="522" w:name="_Toc20515"/>
      <w:bookmarkStart w:id="523" w:name="_Toc527622599"/>
      <w:bookmarkStart w:id="524" w:name="_Toc2577"/>
      <w:bookmarkStart w:id="525" w:name="_Toc22403"/>
      <w:bookmarkStart w:id="526" w:name="_Toc19707"/>
      <w:bookmarkStart w:id="527" w:name="_Toc28294"/>
      <w:bookmarkStart w:id="528" w:name="_Toc3751685"/>
      <w:r>
        <w:rPr>
          <w:rFonts w:hint="eastAsia" w:ascii="仿宋" w:hAnsi="仿宋" w:eastAsia="仿宋" w:cs="仿宋"/>
          <w:b/>
          <w:bCs/>
          <w:color w:val="auto"/>
          <w:sz w:val="28"/>
          <w:szCs w:val="24"/>
          <w:highlight w:val="none"/>
        </w:rPr>
        <w:t>廉洁自律规定</w:t>
      </w:r>
      <w:bookmarkEnd w:id="518"/>
      <w:bookmarkEnd w:id="519"/>
      <w:bookmarkEnd w:id="520"/>
      <w:bookmarkEnd w:id="521"/>
      <w:bookmarkEnd w:id="522"/>
      <w:bookmarkEnd w:id="523"/>
      <w:bookmarkEnd w:id="524"/>
      <w:bookmarkEnd w:id="525"/>
      <w:bookmarkEnd w:id="526"/>
      <w:bookmarkEnd w:id="527"/>
      <w:bookmarkEnd w:id="528"/>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28.1 招投标所工作人员不得以不正当手段获取政府采购代理业务，不得与采购人、供应商恶意串通操纵政府采购活动。</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28.2 招投标所工作人员不得接受采购人或者供应商组织的宴请、旅游、娱乐，不得收受礼品、现金、有价证券等，不得向采购人或者供应商报销应当由个人承担的费用。</w:t>
      </w:r>
    </w:p>
    <w:p>
      <w:pPr>
        <w:spacing w:line="480" w:lineRule="exact"/>
        <w:ind w:firstLine="562" w:firstLineChars="200"/>
        <w:outlineLvl w:val="2"/>
        <w:rPr>
          <w:rFonts w:ascii="仿宋" w:hAnsi="仿宋" w:eastAsia="仿宋" w:cs="仿宋"/>
          <w:bCs/>
          <w:color w:val="auto"/>
          <w:sz w:val="28"/>
          <w:szCs w:val="24"/>
          <w:highlight w:val="none"/>
        </w:rPr>
      </w:pPr>
      <w:bookmarkStart w:id="529" w:name="_Toc22280"/>
      <w:bookmarkStart w:id="530" w:name="_Toc518923102"/>
      <w:bookmarkStart w:id="531" w:name="_Toc527622600"/>
      <w:bookmarkStart w:id="532" w:name="_Toc1215"/>
      <w:bookmarkStart w:id="533" w:name="_Toc20188"/>
      <w:bookmarkStart w:id="534" w:name="_Toc3751686"/>
      <w:bookmarkStart w:id="535" w:name="_Toc20670"/>
      <w:bookmarkStart w:id="536" w:name="_Toc1783"/>
      <w:bookmarkStart w:id="537" w:name="_Toc6796"/>
      <w:bookmarkStart w:id="538" w:name="_Toc527363333"/>
      <w:bookmarkStart w:id="539" w:name="_Toc17141"/>
      <w:r>
        <w:rPr>
          <w:rFonts w:hint="eastAsia" w:ascii="仿宋" w:hAnsi="仿宋" w:eastAsia="仿宋" w:cs="仿宋"/>
          <w:b/>
          <w:bCs/>
          <w:color w:val="auto"/>
          <w:sz w:val="28"/>
          <w:szCs w:val="24"/>
          <w:highlight w:val="none"/>
        </w:rPr>
        <w:t>29.</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质疑与接收</w:t>
      </w:r>
      <w:bookmarkEnd w:id="529"/>
      <w:bookmarkEnd w:id="530"/>
      <w:bookmarkEnd w:id="531"/>
      <w:bookmarkEnd w:id="532"/>
      <w:bookmarkEnd w:id="533"/>
      <w:bookmarkEnd w:id="534"/>
      <w:bookmarkEnd w:id="535"/>
      <w:bookmarkEnd w:id="536"/>
      <w:bookmarkEnd w:id="537"/>
      <w:bookmarkEnd w:id="538"/>
      <w:bookmarkEnd w:id="539"/>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29.1 招标文件在指定的政府采购信息发布媒体上公示5个工作日，已依法获取招标文件的供应商认为招标文件的内容损害其权益的，可以在招标文件公告期限届满之日起7个工作日内提交书面的质疑函。供应商对招标文件中技术指标、参数、资质要求、评分办法等内容提出的质疑，应向采购人提出；对除上述招标文件中的其他内容、采购过程及中标结果提出质疑的，可向采购人或招投标所提出。</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29.2 供应商认为采购过程中或中标结果使自己的权益受到损害的，可以在各采购程序环节结束之日或中标结果公告期限届满之日起7个工作日内提交书面的质疑函。</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29.3 以联合体形式参加政府采购活动的，其质疑应当由组成联合体的所有供应商共同提出。</w:t>
      </w:r>
    </w:p>
    <w:p>
      <w:pPr>
        <w:spacing w:line="48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29.4 供应商在法定质疑期内应一次性提出对同一采购程序的质疑。超出法定质疑期的、重复提出的、分次提出的或内容、形式不符合《政府采购质疑和投诉办法》的，质疑供应商将依法承担不利后果。</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29.5 采购人、招投标所质疑函接收部门、联系电话和通讯地址, 见</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w:t>
      </w:r>
      <w:r>
        <w:rPr>
          <w:rFonts w:hint="eastAsia" w:ascii="仿宋" w:hAnsi="仿宋" w:eastAsia="仿宋" w:cs="仿宋"/>
          <w:color w:val="auto"/>
          <w:sz w:val="28"/>
          <w:highlight w:val="none"/>
        </w:rPr>
        <w:br w:type="page"/>
      </w:r>
      <w:r>
        <w:rPr>
          <w:rFonts w:hint="eastAsia" w:ascii="仿宋" w:hAnsi="仿宋" w:eastAsia="仿宋" w:cs="仿宋"/>
          <w:b/>
          <w:bCs/>
          <w:color w:val="auto"/>
          <w:sz w:val="28"/>
          <w:highlight w:val="none"/>
        </w:rPr>
        <w:t>附1：政府采购履约担保函(如需)</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 </w:t>
      </w:r>
    </w:p>
    <w:p>
      <w:pPr>
        <w:spacing w:line="480" w:lineRule="exact"/>
        <w:ind w:firstLine="560" w:firstLineChars="200"/>
        <w:jc w:val="center"/>
        <w:rPr>
          <w:rFonts w:ascii="仿宋" w:hAnsi="仿宋" w:eastAsia="仿宋" w:cs="仿宋"/>
          <w:color w:val="auto"/>
          <w:sz w:val="28"/>
          <w:highlight w:val="none"/>
        </w:rPr>
      </w:pPr>
      <w:r>
        <w:rPr>
          <w:rFonts w:hint="eastAsia" w:ascii="仿宋" w:hAnsi="仿宋" w:eastAsia="仿宋" w:cs="仿宋"/>
          <w:color w:val="auto"/>
          <w:sz w:val="28"/>
          <w:highlight w:val="none"/>
        </w:rPr>
        <w:t>政府采购履约担保函(项目用)</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编号：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_____________________(采购人)：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鉴于你方与_____________________(以下简称供应商)于＿＿年＿月＿日签定编号为 的《_______________政府采购合同》(以下简称主合同)，且依据该合同的约定，供应商应在＿＿年＿＿月＿＿日前向你方交纳履约保证金， 且可以履约担保函的形式交纳履约保证金。应供应商的申请，我方以保证的方式向你方提供如下履约保证金担保：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一、保证责任的情形及保证金额</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(一)在供应商出现下列情形之一时，我方承担保证责任：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1．将中标项目转让给他人，或者在投标文件中未说明，且未经采购招标机构人同意，将中标项目分包给他人的；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2．主合同约定的应当缴纳履约保证金的情形：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(1)未按主合同约定的质量、数量和期限供应货物/提供服务/完成工程的；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(2)_______________________________________________________。</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(二)我方的保证范围是主合同约定的合同价款总额的_______％数额为_______元(大写______)，币种为_____。(即主合同履约保证金金额)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二、保证的方式及保证期间</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我方保证的方式为：连带责任保证。</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我方保证的期间为：自本合同生效之日起至供应商按照主合同约定的供货/完工期限届满后 _____日内。</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如果供应商未按主合同约定向贵方供应货物/提供服务/完成工程的，由我方在保证金额内向你方支付上述款项。</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三、承担保证责任的程序</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如果你方与供应商因货物质量问题产生争议，你方还需同时提供_________部门出具的质量检测报告，或经诉讼(仲裁)程序裁决后的裁决书、调解书，本保证人即按照检测结果或裁决书、调解书决定是否承担保证责任。</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2．我方收到你方的书面索赔通知及相应证明材料，在_______工作日内进行核定后按照本保函的承诺承担保证责任。</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四、保证责任的终止</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2．我方按照本保函向你方履行了保证责任后，自我方向你方支付款项(支付款项从我方账户划出)之日起，保证责任即终止。</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3．按照法律法规的规定或出现应终止我方保证责任的其它情形的，我方在本保函项下的保证责任亦终止。</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五、免责条款</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1．因你方违反主合同约定致使供应商不能履行义务的，我方不承担保证责任。</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2．依照法律法规的规定或你方与供应商的另行约定，全部或者部分免除供应商应缴纳的保证金义务的，我方亦免除相应的保证责任。</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3．因不可抗力造成供应商不能履行供货义务的，我方不承担保证责任。</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六、争议的解决</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因本保函发生的纠纷，由你我双方协商解决，协商不成的，通过诉讼程序解决，诉讼管辖地法院为___________法院。</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七、保函的生效</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本保函自我方加盖公章之日起生效。 </w:t>
      </w:r>
    </w:p>
    <w:p>
      <w:pPr>
        <w:spacing w:line="480" w:lineRule="exact"/>
        <w:ind w:firstLine="560" w:firstLineChars="200"/>
        <w:rPr>
          <w:rFonts w:ascii="仿宋" w:hAnsi="仿宋" w:eastAsia="仿宋" w:cs="仿宋"/>
          <w:color w:val="auto"/>
          <w:sz w:val="28"/>
          <w:highlight w:val="none"/>
        </w:rPr>
      </w:pPr>
    </w:p>
    <w:p>
      <w:pPr>
        <w:spacing w:line="480" w:lineRule="exact"/>
        <w:ind w:firstLine="560" w:firstLineChars="200"/>
        <w:rPr>
          <w:rFonts w:ascii="仿宋" w:hAnsi="仿宋" w:eastAsia="仿宋" w:cs="仿宋"/>
          <w:color w:val="auto"/>
          <w:sz w:val="28"/>
          <w:highlight w:val="none"/>
        </w:rPr>
      </w:pPr>
    </w:p>
    <w:p>
      <w:pPr>
        <w:spacing w:line="480" w:lineRule="exact"/>
        <w:ind w:firstLine="560" w:firstLineChars="200"/>
        <w:rPr>
          <w:rFonts w:ascii="仿宋" w:hAnsi="仿宋" w:eastAsia="仿宋" w:cs="仿宋"/>
          <w:color w:val="auto"/>
          <w:sz w:val="28"/>
          <w:highlight w:val="none"/>
        </w:rPr>
      </w:pPr>
    </w:p>
    <w:p>
      <w:pPr>
        <w:spacing w:line="480" w:lineRule="exact"/>
        <w:ind w:firstLine="560" w:firstLineChars="200"/>
        <w:rPr>
          <w:rFonts w:ascii="仿宋" w:hAnsi="仿宋" w:eastAsia="仿宋" w:cs="仿宋"/>
          <w:color w:val="auto"/>
          <w:sz w:val="28"/>
          <w:highlight w:val="none"/>
        </w:rPr>
      </w:pPr>
    </w:p>
    <w:p>
      <w:pPr>
        <w:spacing w:line="480" w:lineRule="exact"/>
        <w:ind w:firstLine="560" w:firstLineChars="200"/>
        <w:rPr>
          <w:rFonts w:ascii="仿宋" w:hAnsi="仿宋" w:eastAsia="仿宋" w:cs="仿宋"/>
          <w:color w:val="auto"/>
          <w:sz w:val="28"/>
          <w:highlight w:val="none"/>
        </w:rPr>
      </w:pPr>
    </w:p>
    <w:p>
      <w:pPr>
        <w:spacing w:line="480" w:lineRule="exact"/>
        <w:ind w:firstLine="560" w:firstLineChars="200"/>
        <w:jc w:val="right"/>
        <w:rPr>
          <w:rFonts w:ascii="仿宋" w:hAnsi="仿宋" w:eastAsia="仿宋" w:cs="仿宋"/>
          <w:color w:val="auto"/>
          <w:sz w:val="28"/>
          <w:highlight w:val="none"/>
        </w:rPr>
      </w:pPr>
      <w:r>
        <w:rPr>
          <w:rFonts w:hint="eastAsia" w:ascii="仿宋" w:hAnsi="仿宋" w:eastAsia="仿宋" w:cs="仿宋"/>
          <w:color w:val="auto"/>
          <w:sz w:val="28"/>
          <w:highlight w:val="none"/>
        </w:rPr>
        <w:t>保证人：(公章)</w:t>
      </w:r>
    </w:p>
    <w:p>
      <w:pPr>
        <w:spacing w:line="480" w:lineRule="exact"/>
        <w:ind w:firstLine="560" w:firstLineChars="200"/>
        <w:jc w:val="right"/>
        <w:rPr>
          <w:rFonts w:ascii="仿宋" w:hAnsi="仿宋" w:eastAsia="仿宋" w:cs="仿宋"/>
          <w:color w:val="auto"/>
          <w:sz w:val="28"/>
          <w:highlight w:val="none"/>
        </w:rPr>
      </w:pPr>
      <w:r>
        <w:rPr>
          <w:rFonts w:hint="eastAsia" w:ascii="仿宋" w:hAnsi="仿宋" w:eastAsia="仿宋" w:cs="仿宋"/>
          <w:color w:val="auto"/>
          <w:sz w:val="28"/>
          <w:highlight w:val="none"/>
        </w:rPr>
        <w:t>年  月   日</w:t>
      </w:r>
    </w:p>
    <w:p>
      <w:pPr>
        <w:spacing w:line="500" w:lineRule="exact"/>
        <w:ind w:firstLine="560" w:firstLineChars="200"/>
        <w:jc w:val="center"/>
        <w:rPr>
          <w:rFonts w:ascii="仿宋" w:hAnsi="仿宋" w:eastAsia="仿宋" w:cs="仿宋"/>
          <w:color w:val="auto"/>
          <w:sz w:val="28"/>
          <w:highlight w:val="none"/>
        </w:rPr>
      </w:pPr>
      <w:bookmarkStart w:id="540" w:name="_Toc527622601"/>
      <w:bookmarkStart w:id="541" w:name="_Toc518923127"/>
      <w:bookmarkStart w:id="542" w:name="_Toc527363341"/>
      <w:r>
        <w:rPr>
          <w:rFonts w:hint="eastAsia" w:ascii="仿宋" w:hAnsi="仿宋" w:eastAsia="仿宋" w:cs="仿宋"/>
          <w:color w:val="auto"/>
          <w:sz w:val="28"/>
          <w:szCs w:val="18"/>
          <w:highlight w:val="none"/>
        </w:rPr>
        <w:br w:type="page"/>
      </w:r>
    </w:p>
    <w:p>
      <w:pPr>
        <w:spacing w:line="500" w:lineRule="exact"/>
        <w:ind w:firstLine="560" w:firstLineChars="200"/>
        <w:jc w:val="center"/>
        <w:rPr>
          <w:rFonts w:ascii="仿宋" w:hAnsi="仿宋" w:eastAsia="仿宋" w:cs="仿宋"/>
          <w:color w:val="auto"/>
          <w:sz w:val="28"/>
          <w:highlight w:val="none"/>
        </w:rPr>
      </w:pPr>
    </w:p>
    <w:p>
      <w:pPr>
        <w:spacing w:line="500" w:lineRule="exact"/>
        <w:ind w:firstLine="560" w:firstLineChars="200"/>
        <w:jc w:val="center"/>
        <w:rPr>
          <w:rFonts w:ascii="仿宋" w:hAnsi="仿宋" w:eastAsia="仿宋" w:cs="仿宋"/>
          <w:color w:val="auto"/>
          <w:sz w:val="28"/>
          <w:highlight w:val="none"/>
        </w:rPr>
      </w:pPr>
    </w:p>
    <w:p>
      <w:pPr>
        <w:spacing w:line="500" w:lineRule="exact"/>
        <w:ind w:firstLine="560" w:firstLineChars="200"/>
        <w:jc w:val="center"/>
        <w:rPr>
          <w:rFonts w:ascii="仿宋" w:hAnsi="仿宋" w:eastAsia="仿宋" w:cs="仿宋"/>
          <w:color w:val="auto"/>
          <w:sz w:val="28"/>
          <w:highlight w:val="none"/>
        </w:rPr>
      </w:pPr>
    </w:p>
    <w:p>
      <w:pPr>
        <w:spacing w:line="500" w:lineRule="exact"/>
        <w:ind w:firstLine="560" w:firstLineChars="200"/>
        <w:jc w:val="center"/>
        <w:rPr>
          <w:rFonts w:ascii="仿宋" w:hAnsi="仿宋" w:eastAsia="仿宋" w:cs="仿宋"/>
          <w:color w:val="auto"/>
          <w:sz w:val="28"/>
          <w:highlight w:val="none"/>
        </w:rPr>
      </w:pPr>
    </w:p>
    <w:p>
      <w:pPr>
        <w:spacing w:line="500" w:lineRule="exact"/>
        <w:ind w:firstLine="560" w:firstLineChars="200"/>
        <w:jc w:val="center"/>
        <w:rPr>
          <w:rFonts w:ascii="仿宋" w:hAnsi="仿宋" w:eastAsia="仿宋" w:cs="仿宋"/>
          <w:color w:val="auto"/>
          <w:sz w:val="28"/>
          <w:highlight w:val="none"/>
        </w:rPr>
      </w:pPr>
    </w:p>
    <w:p>
      <w:pPr>
        <w:pStyle w:val="2"/>
        <w:rPr>
          <w:rFonts w:ascii="仿宋" w:hAnsi="仿宋" w:eastAsia="仿宋" w:cs="仿宋"/>
          <w:color w:val="auto"/>
          <w:sz w:val="28"/>
          <w:highlight w:val="none"/>
        </w:rPr>
      </w:pPr>
    </w:p>
    <w:p>
      <w:pPr>
        <w:pStyle w:val="2"/>
        <w:rPr>
          <w:rFonts w:ascii="仿宋" w:hAnsi="仿宋" w:eastAsia="仿宋" w:cs="仿宋"/>
          <w:color w:val="auto"/>
          <w:sz w:val="28"/>
          <w:highlight w:val="none"/>
        </w:rPr>
      </w:pPr>
    </w:p>
    <w:p>
      <w:pPr>
        <w:spacing w:line="500" w:lineRule="exact"/>
        <w:ind w:left="239" w:leftChars="114"/>
        <w:jc w:val="center"/>
        <w:outlineLvl w:val="0"/>
        <w:rPr>
          <w:rFonts w:ascii="仿宋" w:hAnsi="仿宋" w:eastAsia="仿宋" w:cs="仿宋"/>
          <w:bCs/>
          <w:color w:val="auto"/>
          <w:sz w:val="28"/>
          <w:highlight w:val="none"/>
        </w:rPr>
      </w:pPr>
      <w:bookmarkStart w:id="543" w:name="_Toc3751687"/>
      <w:bookmarkStart w:id="544" w:name="_Toc26345"/>
      <w:bookmarkStart w:id="545" w:name="_Toc11775"/>
      <w:bookmarkStart w:id="546" w:name="_Toc273"/>
      <w:bookmarkStart w:id="547" w:name="_Toc9622"/>
      <w:bookmarkStart w:id="548" w:name="_Toc25256"/>
      <w:bookmarkStart w:id="549" w:name="_Toc23283"/>
      <w:bookmarkStart w:id="550" w:name="_Toc28312"/>
      <w:r>
        <w:rPr>
          <w:rFonts w:hint="eastAsia" w:ascii="仿宋" w:hAnsi="仿宋" w:eastAsia="仿宋" w:cs="仿宋"/>
          <w:b/>
          <w:bCs/>
          <w:color w:val="auto"/>
          <w:sz w:val="28"/>
          <w:szCs w:val="18"/>
          <w:highlight w:val="none"/>
        </w:rPr>
        <w:t>第四章   评标方法和标准</w:t>
      </w:r>
      <w:bookmarkEnd w:id="540"/>
      <w:bookmarkEnd w:id="541"/>
      <w:bookmarkEnd w:id="542"/>
      <w:bookmarkEnd w:id="543"/>
      <w:bookmarkEnd w:id="544"/>
      <w:bookmarkEnd w:id="545"/>
      <w:bookmarkEnd w:id="546"/>
      <w:bookmarkEnd w:id="547"/>
      <w:bookmarkEnd w:id="548"/>
      <w:bookmarkEnd w:id="549"/>
      <w:bookmarkEnd w:id="550"/>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pStyle w:val="2"/>
        <w:rPr>
          <w:rFonts w:ascii="仿宋" w:hAnsi="仿宋" w:eastAsia="仿宋" w:cs="仿宋"/>
          <w:color w:val="auto"/>
          <w:highlight w:val="none"/>
        </w:rPr>
      </w:pPr>
    </w:p>
    <w:p>
      <w:pPr>
        <w:spacing w:line="480" w:lineRule="exact"/>
        <w:ind w:left="843" w:hanging="843"/>
        <w:outlineLvl w:val="1"/>
        <w:rPr>
          <w:rFonts w:ascii="仿宋" w:hAnsi="仿宋" w:eastAsia="仿宋" w:cs="仿宋"/>
          <w:b/>
          <w:bCs/>
          <w:color w:val="auto"/>
          <w:sz w:val="28"/>
          <w:highlight w:val="none"/>
        </w:rPr>
      </w:pPr>
      <w:bookmarkStart w:id="551" w:name="_Toc19542"/>
      <w:bookmarkStart w:id="552" w:name="_Toc164"/>
      <w:bookmarkStart w:id="553" w:name="_Toc15108"/>
      <w:bookmarkStart w:id="554" w:name="_Toc19800"/>
      <w:bookmarkStart w:id="555" w:name="_Toc19211"/>
      <w:bookmarkStart w:id="556" w:name="_Toc29446"/>
      <w:bookmarkStart w:id="557" w:name="_Toc3751690"/>
      <w:bookmarkStart w:id="558" w:name="_Toc29064"/>
      <w:bookmarkStart w:id="559" w:name="_Toc4195"/>
      <w:r>
        <w:rPr>
          <w:rFonts w:hint="eastAsia" w:ascii="仿宋" w:hAnsi="仿宋" w:eastAsia="仿宋" w:cs="仿宋"/>
          <w:b/>
          <w:bCs/>
          <w:color w:val="auto"/>
          <w:sz w:val="28"/>
          <w:highlight w:val="none"/>
        </w:rPr>
        <w:t>1. 对小型或微型企业、监狱企业、残疾人福利性单位投标的扶持</w:t>
      </w:r>
      <w:bookmarkEnd w:id="551"/>
      <w:bookmarkEnd w:id="552"/>
      <w:bookmarkEnd w:id="553"/>
      <w:bookmarkEnd w:id="554"/>
      <w:bookmarkEnd w:id="555"/>
      <w:bookmarkEnd w:id="556"/>
      <w:bookmarkEnd w:id="557"/>
      <w:bookmarkEnd w:id="558"/>
      <w:bookmarkEnd w:id="559"/>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根据财政部、工业和信息化部制定了《政府采购促进中小企业发展暂行办法》的规定，对小型或微型企业产品的价格给予一定比例扣除，用扣除后的价格参与评审。</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1.1 根据《财政部、司法部关于政府采购支持监狱企业发展有关问题的通知》（财库[2014]68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1.2 根据《关于促进残疾人就业政府采购政策的通知》（财库[2017]141号），满足条件的残疾人福利性单位享受政府采购支持政策，参加政府采购活动时，视同为小型、微型企业，可享受小型、微型企业相等的政府扶持政策及待遇（注：参加政府采购活动的残疾人福利性单位应按照招标文件中第七章“投标文件格式”提供《残疾人福利性单位声明函》）。</w:t>
      </w:r>
    </w:p>
    <w:p>
      <w:pPr>
        <w:spacing w:line="480" w:lineRule="exact"/>
        <w:ind w:firstLine="560" w:firstLineChars="20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1.3 供应商提供的货物、工程或服务符合下列情形的，享受中小企业扶持政策</w:t>
      </w:r>
      <w:r>
        <w:rPr>
          <w:rFonts w:hint="eastAsia" w:ascii="仿宋" w:hAnsi="仿宋" w:eastAsia="仿宋" w:cs="仿宋"/>
          <w:color w:val="auto"/>
          <w:sz w:val="28"/>
          <w:highlight w:val="none"/>
          <w:lang w:eastAsia="zh-CN"/>
        </w:rPr>
        <w:t>：</w:t>
      </w:r>
    </w:p>
    <w:p>
      <w:pPr>
        <w:pStyle w:val="2"/>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1.3.1 货物采购项目中，货物由中小企业制造，即货物由中小企业生产且使用该中小企业商号或者注册商标。</w:t>
      </w:r>
    </w:p>
    <w:p>
      <w:pPr>
        <w:pStyle w:val="2"/>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1.3.2供应商提供的货物既有中小企业制造货物，也有大型企业制造货物的，不享受本办法规定的中小企业扶持政策。</w:t>
      </w:r>
    </w:p>
    <w:p>
      <w:pPr>
        <w:pStyle w:val="2"/>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1.3.3 服务采购项目中，服务由中小企业承接，即提供服务的人员为中小企业依照《中华人民共和国劳动合同法》 订立劳动合同的从业人员。。</w:t>
      </w:r>
    </w:p>
    <w:p>
      <w:pPr>
        <w:pStyle w:val="2"/>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1.4 小型、微型企业与大中型企业组成联合体共同参加非专门面向中小企业的政府采购活动时，小型、微型企业的协议合同金额须占到联合体协议合同总额30%或以上，且须在联合体协议和中小企业声明函中书面约定，其价格将给予3%的扣除，即：评标价=联合体投标报价-联合体投标报价×3%。联合体各方均为小型、微型企业的按照上述1.6规定给予其价格扣除。</w:t>
      </w:r>
    </w:p>
    <w:p>
      <w:pPr>
        <w:pStyle w:val="2"/>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1.5参加非专门面向中小企业的政府采购活动，大中型企业向一家或者多家小型、微型企业分包时，小型、微型企业的合同份额须占到合同总金额30%或以上，且须在分包意向协议和中小企业声明函中书面约定，其价格将给予3%的扣除，即：评标价=供应商投标报价-供应商投标报价×3%。（分包意向协议格式自拟）</w:t>
      </w:r>
    </w:p>
    <w:p>
      <w:pPr>
        <w:pStyle w:val="2"/>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1.6根据财政部、工业和信息化部印发的《政府采购促进中小企业发展管理办法》规定，对符合下列情形的供应商予以价格扣除：</w:t>
      </w:r>
    </w:p>
    <w:p>
      <w:pPr>
        <w:pStyle w:val="2"/>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1.6.1供应商为小微企业，且提供的货物全部由中小企业生产且使用该中小企业商号或者注册商标，给予6%的价格扣除，即评标价=投标报价-供应商投标报价×6%。</w:t>
      </w:r>
    </w:p>
    <w:p>
      <w:pPr>
        <w:pStyle w:val="2"/>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1.6.2 供应商为小微企业，服务由中小企业承接，即提供服务的人员为中小企业依照《中华人民共和国劳动合同法》 订立劳动合同的从业人员，给予6%的价格扣除，即评标价=投标报价-供应商投标报价×6%。</w:t>
      </w:r>
    </w:p>
    <w:p>
      <w:pPr>
        <w:pStyle w:val="2"/>
        <w:spacing w:line="480" w:lineRule="exact"/>
        <w:ind w:firstLine="560" w:firstLineChars="200"/>
        <w:jc w:val="left"/>
        <w:rPr>
          <w:rFonts w:ascii="仿宋" w:hAnsi="仿宋" w:eastAsia="仿宋" w:cs="仿宋"/>
          <w:color w:val="auto"/>
          <w:sz w:val="24"/>
          <w:highlight w:val="none"/>
        </w:rPr>
      </w:pPr>
      <w:r>
        <w:rPr>
          <w:rFonts w:hint="eastAsia" w:ascii="仿宋" w:hAnsi="仿宋" w:eastAsia="仿宋" w:cs="仿宋"/>
          <w:color w:val="auto"/>
          <w:sz w:val="28"/>
          <w:highlight w:val="none"/>
        </w:rPr>
        <w:t xml:space="preserve"> 1.7 专门面向中小企业的项目不再执行价格评审优惠的扶持政策。</w:t>
      </w:r>
    </w:p>
    <w:p>
      <w:pPr>
        <w:spacing w:line="480" w:lineRule="exact"/>
        <w:ind w:left="843" w:hanging="843"/>
        <w:outlineLvl w:val="1"/>
        <w:rPr>
          <w:rFonts w:ascii="仿宋" w:hAnsi="仿宋" w:eastAsia="仿宋" w:cs="仿宋"/>
          <w:b/>
          <w:color w:val="auto"/>
          <w:sz w:val="28"/>
          <w:highlight w:val="none"/>
        </w:rPr>
      </w:pPr>
      <w:bookmarkStart w:id="560" w:name="_Toc3751691"/>
      <w:bookmarkStart w:id="561" w:name="_Toc16734"/>
      <w:bookmarkStart w:id="562" w:name="_Toc18698"/>
      <w:bookmarkStart w:id="563" w:name="_Toc21556"/>
      <w:bookmarkStart w:id="564" w:name="_Toc4877"/>
      <w:bookmarkStart w:id="565" w:name="_Toc2824"/>
      <w:bookmarkStart w:id="566" w:name="_Toc29749"/>
      <w:bookmarkStart w:id="567" w:name="_Toc23112"/>
      <w:bookmarkStart w:id="568" w:name="_Toc16129"/>
      <w:r>
        <w:rPr>
          <w:rFonts w:hint="eastAsia" w:ascii="仿宋" w:hAnsi="仿宋" w:eastAsia="仿宋" w:cs="仿宋"/>
          <w:b/>
          <w:color w:val="auto"/>
          <w:sz w:val="28"/>
          <w:highlight w:val="none"/>
        </w:rPr>
        <w:t>2. 评标原则和评标方法</w:t>
      </w:r>
      <w:bookmarkEnd w:id="560"/>
      <w:bookmarkEnd w:id="561"/>
      <w:bookmarkEnd w:id="562"/>
      <w:bookmarkEnd w:id="563"/>
      <w:bookmarkEnd w:id="564"/>
      <w:bookmarkEnd w:id="565"/>
      <w:bookmarkEnd w:id="566"/>
      <w:bookmarkEnd w:id="567"/>
      <w:bookmarkEnd w:id="568"/>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2.1 评标原则:评标工作应依据《中华人民共和国政府采购法》及其实施条例、《政府采购货物和服务招标投标管理办法》等相关法律、法规的规定，遵循“公开、公平、公正、择优、信用”的原则进行。评标委员会应当对符合资格的供应商的投标文件进行符合性审查，以确定其是否满足招标文件的实质性要求。</w:t>
      </w:r>
    </w:p>
    <w:p>
      <w:pPr>
        <w:pStyle w:val="2"/>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szCs w:val="18"/>
          <w:highlight w:val="none"/>
        </w:rPr>
        <w:t>评标委员会将按照招标文件确定的评标方法进行评审。对招标文件中描述有歧义或前后不一致的地方，评标委员会有权按法律、法规的规定进行评判，但对同一条款的评判应适用于各供应商。</w:t>
      </w:r>
    </w:p>
    <w:p>
      <w:pPr>
        <w:pStyle w:val="2"/>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2.2 评标方法：采用综合评分法的。各评委的评分的算术平均值即为该供应商的商务得分和技术得分。然后，评出价格得分。将商务得分、技术得分和价格得分相加得出综合得分（评标总得分分值按四舍五入原则精确到小数点后两位）。评标结果按评审后得分由高到低顺序排列。得分相同的，按投标报价由低到高顺序排列。得分且投标报价相同并列的，由采购人或者采购人委托评标委员会采取随机抽取方式确定中标候选人。</w:t>
      </w:r>
    </w:p>
    <w:p>
      <w:pPr>
        <w:pStyle w:val="2"/>
        <w:spacing w:line="480" w:lineRule="exact"/>
        <w:ind w:firstLine="560" w:firstLineChars="200"/>
        <w:rPr>
          <w:rFonts w:ascii="仿宋" w:hAnsi="仿宋" w:eastAsia="仿宋" w:cs="仿宋"/>
          <w:color w:val="auto"/>
          <w:sz w:val="24"/>
          <w:highlight w:val="none"/>
        </w:rPr>
      </w:pPr>
      <w:r>
        <w:rPr>
          <w:rFonts w:hint="eastAsia" w:ascii="仿宋" w:hAnsi="仿宋" w:eastAsia="仿宋" w:cs="仿宋"/>
          <w:color w:val="auto"/>
          <w:sz w:val="28"/>
          <w:highlight w:val="none"/>
        </w:rPr>
        <w:t>2.3 评标步骤：先进行初步评审，再进行商务、技术及价格评审。</w:t>
      </w:r>
    </w:p>
    <w:p>
      <w:pPr>
        <w:spacing w:line="480" w:lineRule="exact"/>
        <w:ind w:left="843" w:hanging="843"/>
        <w:outlineLvl w:val="1"/>
        <w:rPr>
          <w:rFonts w:ascii="仿宋" w:hAnsi="仿宋" w:eastAsia="仿宋" w:cs="仿宋"/>
          <w:b/>
          <w:color w:val="auto"/>
          <w:sz w:val="28"/>
          <w:highlight w:val="none"/>
        </w:rPr>
      </w:pPr>
      <w:bookmarkStart w:id="569" w:name="_Toc11862"/>
      <w:bookmarkStart w:id="570" w:name="_Toc31604"/>
      <w:bookmarkStart w:id="571" w:name="_Toc3751693"/>
      <w:bookmarkStart w:id="572" w:name="_Toc16567"/>
      <w:bookmarkStart w:id="573" w:name="_Toc3999"/>
      <w:bookmarkStart w:id="574" w:name="_Toc26465"/>
      <w:bookmarkStart w:id="575" w:name="_Toc522540419"/>
      <w:bookmarkStart w:id="576" w:name="_Toc6445"/>
      <w:bookmarkStart w:id="577" w:name="_Toc25186"/>
      <w:bookmarkStart w:id="578" w:name="_Toc2561"/>
      <w:r>
        <w:rPr>
          <w:rFonts w:hint="eastAsia" w:ascii="仿宋" w:hAnsi="仿宋" w:eastAsia="仿宋" w:cs="仿宋"/>
          <w:b/>
          <w:color w:val="auto"/>
          <w:sz w:val="28"/>
          <w:highlight w:val="none"/>
        </w:rPr>
        <w:t>3. 投标文件的评审</w:t>
      </w:r>
      <w:bookmarkEnd w:id="569"/>
      <w:bookmarkEnd w:id="570"/>
      <w:bookmarkEnd w:id="571"/>
      <w:bookmarkEnd w:id="572"/>
      <w:bookmarkEnd w:id="573"/>
      <w:bookmarkEnd w:id="574"/>
      <w:bookmarkEnd w:id="575"/>
      <w:bookmarkEnd w:id="576"/>
      <w:bookmarkEnd w:id="577"/>
      <w:bookmarkEnd w:id="578"/>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3.1 资格性审查。开标结束后，采购人或者招投标所应当依法对供应商的资格进行审查；合格供应商不足3家的，不得评标。</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3.2 符合性审查。评标委员会应当对符合资格的供应商的投标文件进行符合性审查，以确定其是否满足招标文件的实质性要求。</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3.3 当通过符合性检查的供应商数量不足3家时，根据《中华人民共和国政府采购法》第三十六条规定，符合专业条件或者对招标文件作实质响应的供应商不足3家的应予废标，本项目采购失败。</w:t>
      </w:r>
    </w:p>
    <w:p>
      <w:pPr>
        <w:spacing w:line="480" w:lineRule="exact"/>
        <w:ind w:firstLine="560" w:firstLineChars="200"/>
        <w:outlineLvl w:val="0"/>
        <w:rPr>
          <w:rFonts w:ascii="仿宋" w:hAnsi="仿宋" w:eastAsia="仿宋" w:cs="仿宋"/>
          <w:color w:val="auto"/>
          <w:sz w:val="28"/>
          <w:highlight w:val="none"/>
        </w:rPr>
      </w:pPr>
      <w:bookmarkStart w:id="579" w:name="_Toc3751694"/>
      <w:bookmarkStart w:id="580" w:name="_Toc4932"/>
      <w:bookmarkStart w:id="581" w:name="_Toc19670"/>
      <w:bookmarkStart w:id="582" w:name="_Toc4377"/>
      <w:bookmarkStart w:id="583" w:name="_Toc15229"/>
      <w:bookmarkStart w:id="584" w:name="_Toc4600"/>
      <w:bookmarkStart w:id="585" w:name="_Toc9060"/>
      <w:bookmarkStart w:id="586" w:name="_Toc16800"/>
      <w:bookmarkStart w:id="587" w:name="_Toc9559"/>
      <w:r>
        <w:rPr>
          <w:rFonts w:hint="eastAsia" w:ascii="仿宋" w:hAnsi="仿宋" w:eastAsia="仿宋" w:cs="仿宋"/>
          <w:color w:val="auto"/>
          <w:sz w:val="28"/>
          <w:highlight w:val="none"/>
        </w:rPr>
        <w:t>3.4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bookmarkEnd w:id="579"/>
      <w:bookmarkEnd w:id="580"/>
      <w:bookmarkEnd w:id="581"/>
      <w:bookmarkEnd w:id="582"/>
      <w:bookmarkEnd w:id="583"/>
      <w:bookmarkEnd w:id="584"/>
      <w:bookmarkEnd w:id="585"/>
      <w:bookmarkEnd w:id="586"/>
      <w:bookmarkEnd w:id="587"/>
    </w:p>
    <w:p>
      <w:pPr>
        <w:spacing w:line="480" w:lineRule="exact"/>
        <w:ind w:firstLine="562" w:firstLineChars="200"/>
        <w:jc w:val="left"/>
        <w:outlineLvl w:val="1"/>
        <w:rPr>
          <w:rFonts w:ascii="仿宋" w:hAnsi="仿宋" w:eastAsia="仿宋" w:cs="仿宋"/>
          <w:b/>
          <w:bCs/>
          <w:color w:val="auto"/>
          <w:sz w:val="28"/>
          <w:highlight w:val="none"/>
        </w:rPr>
      </w:pPr>
      <w:bookmarkStart w:id="588" w:name="_Toc4164"/>
      <w:bookmarkStart w:id="589" w:name="_Toc5244"/>
      <w:bookmarkStart w:id="590" w:name="_Toc12824"/>
      <w:bookmarkStart w:id="591" w:name="_Toc18813"/>
      <w:bookmarkStart w:id="592" w:name="_Toc4114"/>
      <w:bookmarkStart w:id="593" w:name="_Toc31850"/>
      <w:bookmarkStart w:id="594" w:name="_Toc30846"/>
      <w:bookmarkStart w:id="595" w:name="_Toc8241"/>
      <w:bookmarkStart w:id="596" w:name="_Toc3751695"/>
      <w:r>
        <w:rPr>
          <w:rFonts w:hint="eastAsia" w:ascii="仿宋" w:hAnsi="仿宋" w:eastAsia="仿宋" w:cs="仿宋"/>
          <w:b/>
          <w:bCs/>
          <w:color w:val="auto"/>
          <w:sz w:val="28"/>
          <w:highlight w:val="none"/>
        </w:rPr>
        <w:t>4. 投标文件的比较与评价</w:t>
      </w:r>
      <w:bookmarkEnd w:id="588"/>
      <w:bookmarkEnd w:id="589"/>
      <w:bookmarkEnd w:id="590"/>
      <w:bookmarkEnd w:id="591"/>
      <w:bookmarkEnd w:id="592"/>
      <w:bookmarkEnd w:id="593"/>
      <w:bookmarkEnd w:id="594"/>
      <w:bookmarkEnd w:id="595"/>
      <w:bookmarkEnd w:id="596"/>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4.1 评标委员会应当按照招标文件中规定的评标方法和标准，对符合性审查合格的投标文件进行商务和技术评估，综合比较与评价。</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4.2 商务评价:评标委员会对供应商的商务状况及响应程度进行评议和比较,并依据评分标准,评出其商务评分。</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4.3 技术评价:评标委员会对供应商的技术状况及响应程度进行评议和比较,并依据评分标准,评出其技术评分。</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4.4 价格评价:</w:t>
      </w:r>
      <w:r>
        <w:rPr>
          <w:rFonts w:hint="default" w:ascii="Times New Roman" w:hAnsi="Times New Roman" w:eastAsia="仿宋_GB2312" w:cs="Times New Roman"/>
          <w:color w:val="auto"/>
          <w:sz w:val="28"/>
          <w:highlight w:val="none"/>
        </w:rPr>
        <w:t>综合评分法中的价格分统一采用低价优先法计算。</w:t>
      </w:r>
    </w:p>
    <w:p>
      <w:pPr>
        <w:spacing w:line="480" w:lineRule="exact"/>
        <w:ind w:firstLine="562" w:firstLineChars="200"/>
        <w:jc w:val="left"/>
        <w:outlineLvl w:val="1"/>
        <w:rPr>
          <w:rFonts w:hint="eastAsia" w:ascii="仿宋" w:hAnsi="仿宋" w:eastAsia="仿宋" w:cs="仿宋"/>
          <w:b/>
          <w:bCs/>
          <w:color w:val="auto"/>
          <w:sz w:val="28"/>
          <w:szCs w:val="18"/>
          <w:highlight w:val="none"/>
        </w:rPr>
      </w:pPr>
      <w:bookmarkStart w:id="597" w:name="_Toc4673"/>
      <w:bookmarkStart w:id="598" w:name="_Toc5635"/>
      <w:bookmarkStart w:id="599" w:name="_Toc26609"/>
      <w:bookmarkStart w:id="600" w:name="_Toc3751696"/>
      <w:bookmarkStart w:id="601" w:name="_Toc25922"/>
      <w:bookmarkStart w:id="602" w:name="_Toc23234"/>
      <w:bookmarkStart w:id="603" w:name="_Toc30987"/>
      <w:bookmarkStart w:id="604" w:name="_Toc21676"/>
      <w:bookmarkStart w:id="605" w:name="_Toc7545"/>
      <w:r>
        <w:rPr>
          <w:rFonts w:hint="eastAsia" w:ascii="仿宋" w:hAnsi="仿宋" w:eastAsia="仿宋" w:cs="仿宋"/>
          <w:b/>
          <w:bCs/>
          <w:color w:val="auto"/>
          <w:sz w:val="28"/>
          <w:szCs w:val="18"/>
          <w:highlight w:val="none"/>
        </w:rPr>
        <w:t>5. 评分标准</w:t>
      </w:r>
      <w:bookmarkEnd w:id="597"/>
      <w:bookmarkEnd w:id="598"/>
      <w:bookmarkEnd w:id="599"/>
      <w:bookmarkEnd w:id="600"/>
      <w:bookmarkEnd w:id="601"/>
      <w:bookmarkEnd w:id="602"/>
      <w:bookmarkEnd w:id="603"/>
      <w:bookmarkEnd w:id="604"/>
      <w:bookmarkEnd w:id="605"/>
      <w:r>
        <w:rPr>
          <w:rFonts w:hint="eastAsia" w:ascii="仿宋" w:hAnsi="仿宋" w:eastAsia="仿宋" w:cs="仿宋"/>
          <w:b/>
          <w:bCs/>
          <w:color w:val="auto"/>
          <w:sz w:val="28"/>
          <w:szCs w:val="18"/>
          <w:highlight w:val="none"/>
        </w:rPr>
        <w:t xml:space="preserve">  </w:t>
      </w:r>
      <w:bookmarkEnd w:id="94"/>
      <w:bookmarkEnd w:id="95"/>
      <w:bookmarkEnd w:id="96"/>
      <w:bookmarkEnd w:id="97"/>
      <w:bookmarkEnd w:id="98"/>
      <w:bookmarkEnd w:id="99"/>
      <w:bookmarkEnd w:id="100"/>
      <w:bookmarkEnd w:id="101"/>
      <w:bookmarkEnd w:id="102"/>
      <w:bookmarkEnd w:id="103"/>
      <w:bookmarkEnd w:id="104"/>
      <w:bookmarkEnd w:id="105"/>
      <w:bookmarkEnd w:id="106"/>
      <w:bookmarkStart w:id="606" w:name="_Toc27614"/>
      <w:bookmarkStart w:id="607" w:name="_Toc21861"/>
      <w:bookmarkStart w:id="608" w:name="_Toc5465"/>
      <w:bookmarkStart w:id="609" w:name="_Toc21984"/>
      <w:bookmarkStart w:id="610" w:name="_Toc32513"/>
      <w:bookmarkStart w:id="611" w:name="_Toc27256"/>
      <w:bookmarkStart w:id="612" w:name="_Toc10740"/>
      <w:bookmarkStart w:id="613" w:name="_Toc499543063"/>
      <w:bookmarkStart w:id="614" w:name="_Toc15872"/>
      <w:bookmarkStart w:id="615" w:name="_Toc26267"/>
      <w:bookmarkStart w:id="616" w:name="_Toc27341"/>
      <w:bookmarkStart w:id="617" w:name="_Toc512289654"/>
    </w:p>
    <w:p>
      <w:pPr>
        <w:spacing w:line="480" w:lineRule="exact"/>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价格评分标准：（总分：</w:t>
      </w:r>
      <w:r>
        <w:rPr>
          <w:rFonts w:hint="eastAsia" w:ascii="Times New Roman" w:hAnsi="Times New Roman" w:eastAsia="仿宋_GB2312" w:cs="Times New Roman"/>
          <w:b/>
          <w:bCs/>
          <w:color w:val="auto"/>
          <w:sz w:val="28"/>
          <w:szCs w:val="28"/>
          <w:highlight w:val="none"/>
          <w:lang w:val="en-US" w:eastAsia="zh-CN"/>
        </w:rPr>
        <w:t>30</w:t>
      </w:r>
      <w:r>
        <w:rPr>
          <w:rFonts w:hint="default" w:ascii="Times New Roman" w:hAnsi="Times New Roman" w:eastAsia="仿宋_GB2312" w:cs="Times New Roman"/>
          <w:b/>
          <w:bCs/>
          <w:color w:val="auto"/>
          <w:sz w:val="28"/>
          <w:szCs w:val="28"/>
          <w:highlight w:val="none"/>
        </w:rPr>
        <w:t>分）</w:t>
      </w:r>
    </w:p>
    <w:p>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hint="default" w:ascii="仿宋_GB2312" w:hAnsi="仿宋_GB2312" w:eastAsia="仿宋_GB2312" w:cs="仿宋_GB2312"/>
          <w:b/>
          <w:bCs/>
          <w:color w:val="auto"/>
          <w:sz w:val="28"/>
          <w:szCs w:val="28"/>
          <w:highlight w:val="none"/>
          <w:lang w:val="en-US"/>
        </w:rPr>
      </w:pPr>
      <w:r>
        <w:rPr>
          <w:rFonts w:hint="default" w:ascii="Times New Roman" w:hAnsi="Times New Roman" w:eastAsia="仿宋_GB2312" w:cs="Times New Roman"/>
          <w:color w:val="auto"/>
          <w:sz w:val="28"/>
          <w:highlight w:val="none"/>
        </w:rPr>
        <w:t>对招标文件做出实质性响应的所有合格投标人价格评估得分采用</w:t>
      </w:r>
      <w:r>
        <w:rPr>
          <w:rFonts w:hint="default" w:ascii="Times New Roman" w:hAnsi="Times New Roman" w:eastAsia="仿宋_GB2312" w:cs="Times New Roman"/>
          <w:color w:val="auto"/>
          <w:sz w:val="28"/>
          <w:szCs w:val="28"/>
          <w:highlight w:val="none"/>
        </w:rPr>
        <w:t>低价优先法</w:t>
      </w:r>
      <w:r>
        <w:rPr>
          <w:rFonts w:hint="eastAsia" w:ascii="仿宋_GB2312" w:hAnsi="仿宋_GB2312" w:eastAsia="仿宋_GB2312" w:cs="仿宋_GB2312"/>
          <w:color w:val="auto"/>
          <w:sz w:val="28"/>
          <w:szCs w:val="28"/>
          <w:highlight w:val="none"/>
        </w:rPr>
        <w:t>计算，即通过初审且投标价格最低的投标报价为评标基准价，其投标报价得分为满分；其他投标人的投标报价得分按如下公式计算：</w:t>
      </w:r>
      <w:r>
        <w:rPr>
          <w:rFonts w:ascii="Times New Roman" w:hAnsi="Times New Roman" w:eastAsia="仿宋_GB2312" w:cs="Times New Roman"/>
          <w:b/>
          <w:bCs/>
          <w:color w:val="auto"/>
          <w:sz w:val="28"/>
          <w:highlight w:val="none"/>
        </w:rPr>
        <w:t>投标报价得分</w:t>
      </w:r>
      <w:r>
        <w:rPr>
          <w:rFonts w:hint="default" w:ascii="Times New Roman" w:hAnsi="Times New Roman" w:eastAsia="仿宋_GB2312" w:cs="Times New Roman"/>
          <w:b/>
          <w:bCs/>
          <w:color w:val="auto"/>
          <w:sz w:val="28"/>
          <w:highlight w:val="none"/>
          <w:lang w:val="en-US" w:eastAsia="zh-CN"/>
        </w:rPr>
        <w:t>=</w:t>
      </w:r>
      <w:r>
        <w:rPr>
          <w:rFonts w:hint="eastAsia" w:ascii="Times New Roman" w:hAnsi="Times New Roman" w:eastAsia="仿宋_GB2312" w:cs="Times New Roman"/>
          <w:b/>
          <w:bCs/>
          <w:color w:val="auto"/>
          <w:sz w:val="28"/>
          <w:highlight w:val="none"/>
          <w:lang w:val="en-US" w:eastAsia="zh-CN"/>
        </w:rPr>
        <w:t>（评标基准价/投标报价）×30×100%</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商务和技术评分标准：（总分：</w:t>
      </w:r>
      <w:r>
        <w:rPr>
          <w:rFonts w:hint="eastAsia" w:ascii="仿宋_GB2312" w:hAnsi="仿宋_GB2312" w:eastAsia="仿宋_GB2312" w:cs="仿宋_GB2312"/>
          <w:b/>
          <w:bCs/>
          <w:color w:val="auto"/>
          <w:sz w:val="28"/>
          <w:szCs w:val="28"/>
          <w:highlight w:val="none"/>
          <w:lang w:val="en-US" w:eastAsia="zh-CN"/>
        </w:rPr>
        <w:t>70</w:t>
      </w:r>
      <w:r>
        <w:rPr>
          <w:rFonts w:hint="eastAsia" w:ascii="仿宋_GB2312" w:hAnsi="仿宋_GB2312" w:eastAsia="仿宋_GB2312" w:cs="仿宋_GB2312"/>
          <w:b/>
          <w:bCs/>
          <w:color w:val="auto"/>
          <w:sz w:val="28"/>
          <w:szCs w:val="28"/>
          <w:highlight w:val="none"/>
        </w:rPr>
        <w:t>分）</w:t>
      </w:r>
    </w:p>
    <w:bookmarkEnd w:id="606"/>
    <w:bookmarkEnd w:id="607"/>
    <w:bookmarkEnd w:id="608"/>
    <w:bookmarkEnd w:id="609"/>
    <w:bookmarkEnd w:id="610"/>
    <w:bookmarkEnd w:id="611"/>
    <w:bookmarkEnd w:id="612"/>
    <w:bookmarkEnd w:id="613"/>
    <w:bookmarkEnd w:id="614"/>
    <w:bookmarkEnd w:id="615"/>
    <w:bookmarkEnd w:id="616"/>
    <w:bookmarkEnd w:id="617"/>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326"/>
        <w:gridCol w:w="714"/>
        <w:gridCol w:w="6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5" w:type="pct"/>
            <w:vAlign w:val="center"/>
          </w:tcPr>
          <w:p>
            <w:pPr>
              <w:pStyle w:val="58"/>
              <w:keepNext w:val="0"/>
              <w:keepLines w:val="0"/>
              <w:pageBreakBefore w:val="0"/>
              <w:widowControl w:val="0"/>
              <w:kinsoku/>
              <w:wordWrap/>
              <w:overflowPunct/>
              <w:topLinePunct w:val="0"/>
              <w:autoSpaceDE/>
              <w:autoSpaceDN/>
              <w:bidi w:val="0"/>
              <w:adjustRightInd/>
              <w:spacing w:afterLines="20" w:line="400" w:lineRule="exact"/>
              <w:ind w:firstLine="0" w:firstLineChars="0"/>
              <w:jc w:val="center"/>
              <w:textAlignment w:val="auto"/>
              <w:rPr>
                <w:rFonts w:hint="eastAsia" w:ascii="仿宋_GB2312" w:hAnsi="仿宋_GB2312" w:eastAsia="仿宋_GB2312" w:cs="仿宋_GB2312"/>
                <w:color w:val="auto"/>
                <w:sz w:val="28"/>
                <w:szCs w:val="28"/>
                <w:highlight w:val="none"/>
              </w:rPr>
            </w:pPr>
            <w:bookmarkStart w:id="618" w:name="_Toc1680"/>
            <w:bookmarkStart w:id="619" w:name="_Toc1709"/>
            <w:bookmarkStart w:id="620" w:name="_Toc3751698"/>
            <w:bookmarkStart w:id="621" w:name="_Toc32558"/>
            <w:bookmarkStart w:id="622" w:name="_Toc24034"/>
            <w:bookmarkStart w:id="623" w:name="_Toc16398"/>
            <w:bookmarkStart w:id="624" w:name="_Toc32015"/>
            <w:bookmarkStart w:id="625" w:name="_Toc499543115"/>
            <w:bookmarkStart w:id="626" w:name="_Toc9265"/>
            <w:bookmarkStart w:id="627" w:name="_Toc28138"/>
            <w:bookmarkStart w:id="628" w:name="_Toc18363"/>
            <w:bookmarkStart w:id="629" w:name="_Toc1693"/>
            <w:bookmarkStart w:id="630" w:name="_Toc417050357"/>
            <w:bookmarkStart w:id="631" w:name="_Toc4848"/>
            <w:bookmarkStart w:id="632" w:name="_Toc8944"/>
            <w:bookmarkStart w:id="633" w:name="_Toc16777"/>
            <w:bookmarkStart w:id="634" w:name="_Toc20912"/>
            <w:bookmarkStart w:id="635" w:name="_Toc18539"/>
            <w:bookmarkStart w:id="636" w:name="_Toc512289695"/>
            <w:bookmarkStart w:id="637" w:name="_Toc20285"/>
            <w:bookmarkStart w:id="638" w:name="_Toc14597"/>
            <w:r>
              <w:rPr>
                <w:rFonts w:hint="eastAsia" w:ascii="仿宋_GB2312" w:hAnsi="仿宋_GB2312" w:eastAsia="仿宋_GB2312" w:cs="仿宋_GB2312"/>
                <w:color w:val="auto"/>
                <w:sz w:val="28"/>
                <w:szCs w:val="28"/>
                <w:highlight w:val="none"/>
              </w:rPr>
              <w:t>序号</w:t>
            </w:r>
          </w:p>
        </w:tc>
        <w:tc>
          <w:tcPr>
            <w:tcW w:w="732" w:type="pct"/>
            <w:vAlign w:val="center"/>
          </w:tcPr>
          <w:p>
            <w:pPr>
              <w:pStyle w:val="58"/>
              <w:keepNext w:val="0"/>
              <w:keepLines w:val="0"/>
              <w:pageBreakBefore w:val="0"/>
              <w:widowControl w:val="0"/>
              <w:kinsoku/>
              <w:wordWrap/>
              <w:overflowPunct/>
              <w:topLinePunct w:val="0"/>
              <w:autoSpaceDE/>
              <w:autoSpaceDN/>
              <w:bidi w:val="0"/>
              <w:adjustRightInd/>
              <w:spacing w:afterLines="20" w:line="400" w:lineRule="exact"/>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评分内容</w:t>
            </w:r>
          </w:p>
        </w:tc>
        <w:tc>
          <w:tcPr>
            <w:tcW w:w="394" w:type="pct"/>
            <w:vAlign w:val="center"/>
          </w:tcPr>
          <w:p>
            <w:pPr>
              <w:pStyle w:val="58"/>
              <w:keepNext w:val="0"/>
              <w:keepLines w:val="0"/>
              <w:pageBreakBefore w:val="0"/>
              <w:widowControl w:val="0"/>
              <w:kinsoku/>
              <w:wordWrap/>
              <w:overflowPunct/>
              <w:topLinePunct w:val="0"/>
              <w:autoSpaceDE/>
              <w:autoSpaceDN/>
              <w:bidi w:val="0"/>
              <w:adjustRightInd/>
              <w:spacing w:afterLines="20" w:line="400" w:lineRule="exact"/>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分值</w:t>
            </w:r>
          </w:p>
        </w:tc>
        <w:tc>
          <w:tcPr>
            <w:tcW w:w="3507" w:type="pct"/>
            <w:vAlign w:val="center"/>
          </w:tcPr>
          <w:p>
            <w:pPr>
              <w:pStyle w:val="58"/>
              <w:keepNext w:val="0"/>
              <w:keepLines w:val="0"/>
              <w:pageBreakBefore w:val="0"/>
              <w:widowControl w:val="0"/>
              <w:kinsoku/>
              <w:wordWrap/>
              <w:overflowPunct/>
              <w:topLinePunct w:val="0"/>
              <w:autoSpaceDE/>
              <w:autoSpaceDN/>
              <w:bidi w:val="0"/>
              <w:adjustRightInd/>
              <w:spacing w:afterLines="20" w:line="400" w:lineRule="exact"/>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pacing w:line="40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商务评分（</w:t>
            </w:r>
            <w:r>
              <w:rPr>
                <w:rFonts w:hint="eastAsia" w:ascii="仿宋" w:hAnsi="仿宋" w:eastAsia="仿宋"/>
                <w:b/>
                <w:bCs/>
                <w:color w:val="000000"/>
                <w:sz w:val="24"/>
                <w:highlight w:val="none"/>
              </w:rPr>
              <w:t>16</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365" w:type="pc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1</w:t>
            </w:r>
          </w:p>
        </w:tc>
        <w:tc>
          <w:tcPr>
            <w:tcW w:w="732" w:type="pc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公司实力及信誉度</w:t>
            </w:r>
          </w:p>
        </w:tc>
        <w:tc>
          <w:tcPr>
            <w:tcW w:w="394" w:type="pc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分</w:t>
            </w:r>
          </w:p>
        </w:tc>
        <w:tc>
          <w:tcPr>
            <w:tcW w:w="3507" w:type="pct"/>
            <w:vAlign w:val="center"/>
          </w:tcPr>
          <w:p>
            <w:pPr>
              <w:pStyle w:val="34"/>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1、投标人具有国家认证认可监督管理部门批准设立的认证机构颁发的售后服务认证证书，商品售后服务评价体系五星级得3分，四星级得2分，三星级得1分，其他不得分。</w:t>
            </w:r>
          </w:p>
          <w:p>
            <w:pPr>
              <w:pStyle w:val="34"/>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2、投标人具有国家认证认可监督管理部门批准设立的认证机构颁发的质量管理体系认证证书、环境管理体系认证证书、职业健康安全管理体系认证证书，每提供一项得1分，最高得3分，其他不得分。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732" w:type="pc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同类项目</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业绩</w:t>
            </w:r>
          </w:p>
        </w:tc>
        <w:tc>
          <w:tcPr>
            <w:tcW w:w="394" w:type="pc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w:t>
            </w:r>
          </w:p>
        </w:tc>
        <w:tc>
          <w:tcPr>
            <w:tcW w:w="3507" w:type="pct"/>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投标人2017年以来具有消防设备、器材业绩的</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每个</w:t>
            </w:r>
            <w:r>
              <w:rPr>
                <w:rFonts w:hint="eastAsia" w:ascii="仿宋_GB2312" w:hAnsi="仿宋_GB2312" w:eastAsia="仿宋_GB2312" w:cs="仿宋_GB2312"/>
                <w:color w:val="auto"/>
                <w:sz w:val="24"/>
                <w:szCs w:val="24"/>
                <w:highlight w:val="none"/>
                <w:lang w:eastAsia="zh-CN"/>
              </w:rPr>
              <w:t>合同业绩</w:t>
            </w:r>
            <w:bookmarkStart w:id="706" w:name="_GoBack"/>
            <w:bookmarkEnd w:id="706"/>
            <w:r>
              <w:rPr>
                <w:rFonts w:hint="eastAsia" w:ascii="仿宋_GB2312" w:hAnsi="仿宋_GB2312" w:eastAsia="仿宋_GB2312" w:cs="仿宋_GB2312"/>
                <w:color w:val="auto"/>
                <w:sz w:val="24"/>
                <w:szCs w:val="24"/>
                <w:highlight w:val="none"/>
              </w:rPr>
              <w:t>得1分，最高得4分。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（以合同签订时间为准，须提供合同和中标通知书复印件加盖投标人公章）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365"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32"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sz w:val="24"/>
                <w:szCs w:val="24"/>
                <w:highlight w:val="none"/>
              </w:rPr>
              <w:t>售后服务团队</w:t>
            </w:r>
          </w:p>
        </w:tc>
        <w:tc>
          <w:tcPr>
            <w:tcW w:w="394" w:type="pc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6分</w:t>
            </w:r>
          </w:p>
        </w:tc>
        <w:tc>
          <w:tcPr>
            <w:tcW w:w="3507" w:type="pct"/>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投标人拟投入本项目的售后服务人员具有售后服务管理师资格培训合格证书的每人得2分，最高得6分。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【提供上述售后服务人员有效期内的培训合格证书复印件和投标人为售后服务人员开标前三个月（不含开标当月）缴纳的社保证明复印件加盖投标人公章】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技术评分（</w:t>
            </w:r>
            <w:r>
              <w:rPr>
                <w:rFonts w:hint="eastAsia" w:ascii="仿宋_GB2312" w:hAnsi="仿宋_GB2312" w:eastAsia="仿宋_GB2312" w:cs="仿宋_GB2312"/>
                <w:color w:val="auto"/>
                <w:sz w:val="28"/>
                <w:szCs w:val="28"/>
                <w:highlight w:val="none"/>
                <w:lang w:val="en-US" w:eastAsia="zh-CN"/>
              </w:rPr>
              <w:t>54</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5"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32"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投标设备参数响应情况</w:t>
            </w:r>
          </w:p>
        </w:tc>
        <w:tc>
          <w:tcPr>
            <w:tcW w:w="394"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15分</w:t>
            </w:r>
          </w:p>
        </w:tc>
        <w:tc>
          <w:tcPr>
            <w:tcW w:w="3507"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根据投标人所投产品对《用户需求书》中加注“▲”号的条款响应情况进行评分：全部满足或优于的得15分；出现负偏离或未响应的每项扣1分，扣完为止。</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注：1）对用户需求书带“▲”号条款，用户需求书要求提供证明资料的，则投标文件中须提供对应产品参数的证明资料。</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（2）对用户需求书带“▲”号条款，用户需求书未要求提供证明资料的，则投标文件中须提供所投产品彩页或原厂商的官方技术白皮书或原厂商所作的技术参数说明等详细技术资料。</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（3）无提供证明资料或证明材料不符合要求的均视为负偏离。</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（4）投标人须在投标文件中对“▲”条款的响应参数或内容作出明显标注，标注格式自定，如因标注不清晰造成的负偏离，由投标人自负。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65"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32"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人员培训和技术支持</w:t>
            </w:r>
          </w:p>
        </w:tc>
        <w:tc>
          <w:tcPr>
            <w:tcW w:w="394"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3507"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根据投标人提供的人员培训和技术支持方案进行评分：</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优：方案具体完整、科学合理，完全满足或优于用户需求的，得15分；</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良：方案完整、基本合理，基本符合用户需求的，得7分；</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差：方案基本完整，勉强满足用户需求的，但存在明显漏洞的得2分；</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注：未提供的不得分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jc w:val="center"/>
        </w:trPr>
        <w:tc>
          <w:tcPr>
            <w:tcW w:w="365"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32"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服务方案</w:t>
            </w:r>
          </w:p>
        </w:tc>
        <w:tc>
          <w:tcPr>
            <w:tcW w:w="394"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15分</w:t>
            </w:r>
          </w:p>
        </w:tc>
        <w:tc>
          <w:tcPr>
            <w:tcW w:w="3507"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根据投标人提供的服务方案，包括但不限于服务计划安排、服务保障措施、应急方案、备品备件等进行评分</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优：服务方案具体完整、科学合理，完全满足或优于用户需求的，得15分； </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良：服务方案完整、基本合理，基本符合用户需求的，得7分； </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差：服务方案不完整、不合理，勉强符合用户需求的，得2分； </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注：未提供的不得分。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65"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32"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供货组织安排及零配件供应计划</w:t>
            </w:r>
          </w:p>
        </w:tc>
        <w:tc>
          <w:tcPr>
            <w:tcW w:w="394"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9分</w:t>
            </w:r>
          </w:p>
        </w:tc>
        <w:tc>
          <w:tcPr>
            <w:tcW w:w="3507" w:type="pct"/>
            <w:vAlign w:val="center"/>
          </w:tcPr>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根据对投标人供货组织安排及零配件供应计划进行评分：</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优：供货组织安排健全合理、零配件供应能力强，完全满足或优于用户需求的，得9分；</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良：供货组织安排基本合理、零配件供应能力一般，基本符合用户需求的，得5分；</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差：供货组织安排不合理、零配件供应能力弱，勉强符合用户需求的，得2分；</w:t>
            </w:r>
          </w:p>
          <w:p>
            <w:pPr>
              <w:keepNext w:val="0"/>
              <w:keepLines w:val="0"/>
              <w:pageBreakBefore w:val="0"/>
              <w:widowControl w:val="0"/>
              <w:kinsoku/>
              <w:wordWrap/>
              <w:overflowPunct/>
              <w:topLinePunct w:val="0"/>
              <w:autoSpaceDE/>
              <w:autoSpaceDN/>
              <w:bidi w:val="0"/>
              <w:adjustRightInd/>
              <w:spacing w:beforeLines="10" w:afterLines="30"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注：未提供的不得分。 </w:t>
            </w:r>
          </w:p>
        </w:tc>
      </w:tr>
    </w:tbl>
    <w:p>
      <w:pPr>
        <w:keepNext w:val="0"/>
        <w:keepLines w:val="0"/>
        <w:pageBreakBefore w:val="0"/>
        <w:kinsoku/>
        <w:wordWrap/>
        <w:overflowPunct/>
        <w:topLinePunct w:val="0"/>
        <w:autoSpaceDE/>
        <w:autoSpaceDN/>
        <w:bidi w:val="0"/>
        <w:adjustRightInd/>
        <w:spacing w:beforeLines="10" w:afterLines="30" w:line="480" w:lineRule="exact"/>
        <w:jc w:val="left"/>
        <w:rPr>
          <w:rFonts w:hint="eastAsia" w:ascii="仿宋_GB2312" w:hAnsi="仿宋_GB2312" w:eastAsia="仿宋_GB2312" w:cs="仿宋_GB2312"/>
          <w:color w:val="auto"/>
          <w:sz w:val="24"/>
          <w:szCs w:val="24"/>
          <w:highlight w:val="none"/>
          <w:lang w:val="en-US" w:eastAsia="zh-CN"/>
        </w:rPr>
      </w:pPr>
    </w:p>
    <w:p>
      <w:pPr>
        <w:rPr>
          <w:rFonts w:hint="eastAsia" w:ascii="仿宋" w:hAnsi="仿宋" w:eastAsia="仿宋" w:cs="仿宋"/>
          <w:color w:val="auto"/>
          <w:spacing w:val="20"/>
          <w:sz w:val="28"/>
          <w:szCs w:val="28"/>
          <w:highlight w:val="none"/>
        </w:rPr>
      </w:pPr>
      <w:bookmarkStart w:id="639" w:name="_Toc5271"/>
      <w:bookmarkStart w:id="640" w:name="_Toc29836"/>
      <w:bookmarkStart w:id="641" w:name="_Toc417050355"/>
      <w:bookmarkStart w:id="642" w:name="_Toc30965"/>
      <w:bookmarkStart w:id="643" w:name="_Toc12603"/>
      <w:bookmarkStart w:id="644" w:name="_Toc512289694"/>
      <w:bookmarkStart w:id="645" w:name="_Toc3751697"/>
      <w:bookmarkStart w:id="646" w:name="_Toc18195"/>
      <w:bookmarkStart w:id="647" w:name="_Toc29802"/>
      <w:bookmarkStart w:id="648" w:name="_Toc17493"/>
      <w:bookmarkStart w:id="649" w:name="_Toc24494"/>
      <w:bookmarkStart w:id="650" w:name="_Toc18726"/>
      <w:bookmarkStart w:id="651" w:name="_Toc14033"/>
      <w:bookmarkStart w:id="652" w:name="_Toc10487"/>
      <w:bookmarkStart w:id="653" w:name="_Toc1998"/>
      <w:bookmarkStart w:id="654" w:name="_Toc499543103"/>
      <w:bookmarkStart w:id="655" w:name="_Toc31790"/>
      <w:bookmarkStart w:id="656" w:name="_Toc5924"/>
      <w:bookmarkStart w:id="657" w:name="_Toc821"/>
      <w:bookmarkStart w:id="658" w:name="_Toc3965"/>
      <w:bookmarkStart w:id="659" w:name="_Toc19291"/>
      <w:bookmarkStart w:id="660" w:name="_Toc16419"/>
      <w:r>
        <w:rPr>
          <w:rFonts w:hint="eastAsia" w:ascii="仿宋" w:hAnsi="仿宋" w:eastAsia="仿宋" w:cs="仿宋"/>
          <w:color w:val="auto"/>
          <w:spacing w:val="20"/>
          <w:sz w:val="28"/>
          <w:szCs w:val="28"/>
          <w:highlight w:val="none"/>
        </w:rPr>
        <w:br w:type="page"/>
      </w: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pageBreakBefore w:val="0"/>
        <w:widowControl w:val="0"/>
        <w:kinsoku/>
        <w:wordWrap/>
        <w:overflowPunct/>
        <w:topLinePunct w:val="0"/>
        <w:bidi w:val="0"/>
        <w:snapToGrid/>
        <w:spacing w:before="0" w:after="0" w:line="440" w:lineRule="exact"/>
        <w:ind w:left="239" w:leftChars="114"/>
        <w:textAlignment w:val="auto"/>
        <w:rPr>
          <w:rFonts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第五章  用户需求书</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pageBreakBefore w:val="0"/>
        <w:widowControl w:val="0"/>
        <w:tabs>
          <w:tab w:val="left" w:pos="0"/>
        </w:tabs>
        <w:kinsoku/>
        <w:wordWrap/>
        <w:overflowPunct/>
        <w:topLinePunct w:val="0"/>
        <w:bidi w:val="0"/>
        <w:snapToGrid/>
        <w:spacing w:line="440" w:lineRule="exact"/>
        <w:ind w:firstLine="320" w:firstLineChars="100"/>
        <w:textAlignment w:val="auto"/>
        <w:rPr>
          <w:rFonts w:hint="eastAsia" w:ascii="仿宋_GB2312" w:hAnsi="宋体" w:eastAsia="仿宋_GB2312" w:cs="宋体"/>
          <w:bCs/>
          <w:color w:val="auto"/>
          <w:sz w:val="24"/>
          <w:szCs w:val="30"/>
          <w:highlight w:val="none"/>
          <w:lang w:eastAsia="zh-CN"/>
        </w:rPr>
      </w:pPr>
      <w:r>
        <w:rPr>
          <w:rFonts w:hint="eastAsia" w:ascii="仿宋" w:hAnsi="仿宋" w:eastAsia="仿宋" w:cs="仿宋"/>
          <w:color w:val="auto"/>
          <w:spacing w:val="20"/>
          <w:sz w:val="28"/>
          <w:szCs w:val="28"/>
          <w:highlight w:val="none"/>
        </w:rPr>
        <w:br w:type="page"/>
      </w:r>
      <w:bookmarkStart w:id="661" w:name="_Toc27198"/>
    </w:p>
    <w:p>
      <w:pPr>
        <w:keepNext w:val="0"/>
        <w:keepLines w:val="0"/>
        <w:pageBreakBefore w:val="0"/>
        <w:widowControl w:val="0"/>
        <w:kinsoku/>
        <w:wordWrap/>
        <w:overflowPunct/>
        <w:topLinePunct w:val="0"/>
        <w:bidi w:val="0"/>
        <w:snapToGrid/>
        <w:spacing w:line="400" w:lineRule="exact"/>
        <w:jc w:val="center"/>
        <w:textAlignment w:val="auto"/>
        <w:rPr>
          <w:rFonts w:ascii="Times New Roman" w:hAnsi="Times New Roman" w:eastAsia="仿宋_GB2312"/>
          <w:b/>
          <w:color w:val="000000"/>
          <w:spacing w:val="20"/>
          <w:kern w:val="44"/>
          <w:sz w:val="28"/>
          <w:szCs w:val="28"/>
          <w:highlight w:val="none"/>
        </w:rPr>
      </w:pPr>
      <w:r>
        <w:rPr>
          <w:rFonts w:hint="eastAsia" w:ascii="Times New Roman" w:hAnsi="Times New Roman" w:eastAsia="仿宋_GB2312"/>
          <w:b/>
          <w:color w:val="000000"/>
          <w:spacing w:val="20"/>
          <w:kern w:val="44"/>
          <w:sz w:val="28"/>
          <w:szCs w:val="28"/>
          <w:highlight w:val="none"/>
        </w:rPr>
        <w:t>第一部分商务需求书</w:t>
      </w:r>
    </w:p>
    <w:tbl>
      <w:tblPr>
        <w:tblStyle w:val="24"/>
        <w:tblW w:w="914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496"/>
        <w:gridCol w:w="681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80" w:hRule="atLeast"/>
          <w:jc w:val="center"/>
        </w:trPr>
        <w:tc>
          <w:tcPr>
            <w:tcW w:w="836"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olor w:val="000000"/>
                <w:sz w:val="24"/>
                <w:highlight w:val="none"/>
              </w:rPr>
            </w:pPr>
            <w:r>
              <w:rPr>
                <w:rFonts w:hint="eastAsia" w:ascii="仿宋" w:hAnsi="仿宋" w:eastAsia="仿宋"/>
                <w:color w:val="000000"/>
                <w:sz w:val="24"/>
                <w:highlight w:val="none"/>
              </w:rPr>
              <w:t>序号</w:t>
            </w:r>
          </w:p>
        </w:tc>
        <w:tc>
          <w:tcPr>
            <w:tcW w:w="1496"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olor w:val="000000"/>
                <w:sz w:val="24"/>
                <w:highlight w:val="none"/>
              </w:rPr>
            </w:pPr>
            <w:r>
              <w:rPr>
                <w:rFonts w:hint="eastAsia" w:ascii="仿宋" w:hAnsi="仿宋" w:eastAsia="仿宋"/>
                <w:color w:val="000000"/>
                <w:sz w:val="24"/>
                <w:highlight w:val="none"/>
              </w:rPr>
              <w:t>条款名称</w:t>
            </w:r>
          </w:p>
        </w:tc>
        <w:tc>
          <w:tcPr>
            <w:tcW w:w="6812"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olor w:val="000000"/>
                <w:sz w:val="24"/>
                <w:highlight w:val="none"/>
              </w:rPr>
            </w:pPr>
            <w:r>
              <w:rPr>
                <w:rFonts w:hint="eastAsia" w:ascii="仿宋" w:hAnsi="仿宋" w:eastAsia="仿宋"/>
                <w:color w:val="000000"/>
                <w:sz w:val="24"/>
                <w:highlight w:val="none"/>
              </w:rPr>
              <w:t>说  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36"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olor w:val="000000"/>
                <w:sz w:val="24"/>
                <w:highlight w:val="none"/>
              </w:rPr>
            </w:pPr>
            <w:r>
              <w:rPr>
                <w:rFonts w:hint="eastAsia" w:ascii="仿宋" w:hAnsi="仿宋" w:eastAsia="仿宋"/>
                <w:color w:val="000000"/>
                <w:sz w:val="24"/>
                <w:highlight w:val="none"/>
              </w:rPr>
              <w:t>1</w:t>
            </w:r>
          </w:p>
        </w:tc>
        <w:tc>
          <w:tcPr>
            <w:tcW w:w="1496"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olor w:val="000000"/>
                <w:sz w:val="24"/>
                <w:highlight w:val="none"/>
              </w:rPr>
            </w:pPr>
            <w:r>
              <w:rPr>
                <w:rFonts w:hint="eastAsia" w:ascii="仿宋" w:hAnsi="仿宋" w:eastAsia="仿宋"/>
                <w:color w:val="000000"/>
                <w:sz w:val="24"/>
                <w:highlight w:val="none"/>
              </w:rPr>
              <w:t>交货期</w:t>
            </w:r>
          </w:p>
        </w:tc>
        <w:tc>
          <w:tcPr>
            <w:tcW w:w="6812" w:type="dxa"/>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olor w:val="000000"/>
                <w:sz w:val="24"/>
                <w:highlight w:val="none"/>
              </w:rPr>
            </w:pPr>
            <w:r>
              <w:rPr>
                <w:rFonts w:hint="eastAsia" w:ascii="仿宋" w:hAnsi="仿宋" w:eastAsia="仿宋"/>
                <w:color w:val="000000"/>
                <w:sz w:val="24"/>
                <w:highlight w:val="none"/>
              </w:rPr>
              <w:t>合同签订后10天内完成交货及验收合格。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836"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olor w:val="000000"/>
                <w:sz w:val="24"/>
                <w:highlight w:val="none"/>
              </w:rPr>
            </w:pPr>
            <w:r>
              <w:rPr>
                <w:rFonts w:hint="eastAsia" w:ascii="仿宋" w:hAnsi="仿宋" w:eastAsia="仿宋"/>
                <w:color w:val="000000"/>
                <w:sz w:val="24"/>
                <w:highlight w:val="none"/>
              </w:rPr>
              <w:t>2</w:t>
            </w:r>
          </w:p>
        </w:tc>
        <w:tc>
          <w:tcPr>
            <w:tcW w:w="1496"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olor w:val="000000"/>
                <w:sz w:val="24"/>
                <w:highlight w:val="none"/>
              </w:rPr>
            </w:pPr>
            <w:r>
              <w:rPr>
                <w:rFonts w:hint="eastAsia" w:ascii="仿宋" w:hAnsi="仿宋" w:eastAsia="仿宋"/>
                <w:color w:val="000000"/>
                <w:sz w:val="24"/>
                <w:highlight w:val="none"/>
              </w:rPr>
              <w:t>质保期</w:t>
            </w:r>
          </w:p>
        </w:tc>
        <w:tc>
          <w:tcPr>
            <w:tcW w:w="6812" w:type="dxa"/>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olor w:val="000000"/>
                <w:sz w:val="24"/>
                <w:highlight w:val="none"/>
              </w:rPr>
            </w:pPr>
            <w:r>
              <w:rPr>
                <w:rFonts w:hint="eastAsia" w:ascii="仿宋" w:hAnsi="仿宋" w:eastAsia="仿宋"/>
                <w:color w:val="000000"/>
                <w:sz w:val="24"/>
                <w:highlight w:val="none"/>
              </w:rPr>
              <w:t>自验收交付之日起提供不少于2年的免费质保期。（采购需求清单中有单独要求的按清单要求执行</w:t>
            </w:r>
            <w:r>
              <w:rPr>
                <w:rFonts w:hint="eastAsia" w:ascii="仿宋" w:hAnsi="仿宋" w:eastAsia="仿宋"/>
                <w:color w:val="000000"/>
                <w:sz w:val="24"/>
                <w:highlight w:val="none"/>
                <w:lang w:val="en-US" w:eastAsia="zh-CN"/>
              </w:rPr>
              <w:t>,</w:t>
            </w:r>
            <w:r>
              <w:rPr>
                <w:rFonts w:hint="eastAsia" w:ascii="仿宋" w:hAnsi="仿宋" w:eastAsia="仿宋"/>
                <w:color w:val="000000"/>
                <w:sz w:val="24"/>
                <w:highlight w:val="none"/>
              </w:rPr>
              <w:t>若国家或制造商对本项目所涉及货物的质量保证期的规定高于本项目的要求，应按国家或制造商的规定执行）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72" w:hRule="atLeast"/>
          <w:jc w:val="center"/>
        </w:trPr>
        <w:tc>
          <w:tcPr>
            <w:tcW w:w="836"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olor w:val="000000"/>
                <w:sz w:val="24"/>
                <w:highlight w:val="none"/>
              </w:rPr>
            </w:pPr>
            <w:r>
              <w:rPr>
                <w:rFonts w:hint="eastAsia" w:ascii="仿宋" w:hAnsi="仿宋" w:eastAsia="仿宋"/>
                <w:color w:val="000000"/>
                <w:sz w:val="24"/>
                <w:highlight w:val="none"/>
              </w:rPr>
              <w:t>3</w:t>
            </w:r>
          </w:p>
        </w:tc>
        <w:tc>
          <w:tcPr>
            <w:tcW w:w="1496"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olor w:val="000000"/>
                <w:sz w:val="24"/>
                <w:highlight w:val="none"/>
              </w:rPr>
            </w:pPr>
            <w:r>
              <w:rPr>
                <w:rFonts w:hint="eastAsia" w:ascii="仿宋" w:hAnsi="仿宋" w:eastAsia="仿宋"/>
                <w:color w:val="000000"/>
                <w:sz w:val="24"/>
                <w:highlight w:val="none"/>
              </w:rPr>
              <w:t>付款</w:t>
            </w:r>
          </w:p>
        </w:tc>
        <w:tc>
          <w:tcPr>
            <w:tcW w:w="6812" w:type="dxa"/>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olor w:val="000000"/>
                <w:sz w:val="24"/>
                <w:highlight w:val="none"/>
              </w:rPr>
            </w:pPr>
            <w:r>
              <w:rPr>
                <w:rFonts w:hint="eastAsia" w:ascii="仿宋" w:hAnsi="仿宋" w:eastAsia="仿宋"/>
                <w:color w:val="000000"/>
                <w:sz w:val="24"/>
                <w:highlight w:val="none"/>
              </w:rPr>
              <w:t>完成项目实施及验收合格、货物使用无质量问题后支付合同总价的95%，质保期满后支付合同总价的5%。</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olor w:val="000000"/>
                <w:sz w:val="24"/>
                <w:highlight w:val="none"/>
              </w:rPr>
            </w:pPr>
            <w:r>
              <w:rPr>
                <w:rFonts w:hint="eastAsia" w:ascii="仿宋" w:hAnsi="仿宋" w:eastAsia="仿宋"/>
                <w:color w:val="000000"/>
                <w:sz w:val="24"/>
                <w:highlight w:val="none"/>
              </w:rPr>
              <w:t>注：本项目资金来源为财政资金，相关付款程序严格遵守东莞市（或项目所在镇街）政府财政资金支付程序规定。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836"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olor w:val="000000"/>
                <w:sz w:val="24"/>
                <w:highlight w:val="none"/>
              </w:rPr>
            </w:pPr>
            <w:r>
              <w:rPr>
                <w:rFonts w:hint="eastAsia" w:ascii="仿宋" w:hAnsi="仿宋" w:eastAsia="仿宋"/>
                <w:color w:val="000000"/>
                <w:sz w:val="24"/>
                <w:highlight w:val="none"/>
              </w:rPr>
              <w:t>4</w:t>
            </w:r>
          </w:p>
        </w:tc>
        <w:tc>
          <w:tcPr>
            <w:tcW w:w="1496"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olor w:val="000000"/>
                <w:sz w:val="24"/>
                <w:highlight w:val="none"/>
              </w:rPr>
            </w:pPr>
            <w:r>
              <w:rPr>
                <w:rFonts w:hint="eastAsia" w:ascii="仿宋" w:hAnsi="仿宋" w:eastAsia="仿宋"/>
                <w:color w:val="000000"/>
                <w:sz w:val="24"/>
                <w:highlight w:val="none"/>
              </w:rPr>
              <w:t>服务地点</w:t>
            </w:r>
          </w:p>
        </w:tc>
        <w:tc>
          <w:tcPr>
            <w:tcW w:w="6812"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olor w:val="000000"/>
                <w:sz w:val="24"/>
                <w:highlight w:val="none"/>
              </w:rPr>
            </w:pPr>
            <w:r>
              <w:rPr>
                <w:rFonts w:hint="eastAsia" w:ascii="仿宋" w:hAnsi="仿宋" w:eastAsia="仿宋"/>
                <w:color w:val="000000"/>
                <w:sz w:val="24"/>
                <w:highlight w:val="none"/>
              </w:rPr>
              <w:t>采购人指定地点。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0" w:hRule="atLeast"/>
          <w:jc w:val="center"/>
        </w:trPr>
        <w:tc>
          <w:tcPr>
            <w:tcW w:w="836"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olor w:val="000000"/>
                <w:sz w:val="24"/>
                <w:highlight w:val="none"/>
              </w:rPr>
            </w:pPr>
            <w:r>
              <w:rPr>
                <w:rFonts w:hint="eastAsia" w:ascii="仿宋" w:hAnsi="仿宋" w:eastAsia="仿宋"/>
                <w:color w:val="000000"/>
                <w:sz w:val="24"/>
                <w:highlight w:val="none"/>
              </w:rPr>
              <w:t>5</w:t>
            </w:r>
          </w:p>
        </w:tc>
        <w:tc>
          <w:tcPr>
            <w:tcW w:w="1496"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olor w:val="000000"/>
                <w:sz w:val="24"/>
                <w:highlight w:val="none"/>
              </w:rPr>
            </w:pPr>
            <w:r>
              <w:rPr>
                <w:rFonts w:hint="eastAsia" w:ascii="仿宋" w:hAnsi="仿宋" w:eastAsia="仿宋"/>
                <w:color w:val="000000"/>
                <w:sz w:val="24"/>
                <w:highlight w:val="none"/>
              </w:rPr>
              <w:t>报价要求</w:t>
            </w:r>
          </w:p>
        </w:tc>
        <w:tc>
          <w:tcPr>
            <w:tcW w:w="6812"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olor w:val="000000"/>
                <w:sz w:val="24"/>
                <w:highlight w:val="none"/>
              </w:rPr>
            </w:pPr>
            <w:r>
              <w:rPr>
                <w:rFonts w:hint="eastAsia" w:ascii="仿宋" w:hAnsi="仿宋" w:eastAsia="仿宋"/>
                <w:color w:val="000000"/>
                <w:sz w:val="24"/>
                <w:highlight w:val="none"/>
              </w:rPr>
              <w:t>1、投标价应包括所有应支付的对专利权和版权、设计或其他知识产权而需要向其他方支付的版税。</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olor w:val="000000"/>
                <w:sz w:val="24"/>
                <w:highlight w:val="none"/>
              </w:rPr>
            </w:pPr>
            <w:r>
              <w:rPr>
                <w:rFonts w:hint="eastAsia" w:ascii="仿宋" w:hAnsi="仿宋" w:eastAsia="仿宋"/>
                <w:color w:val="000000"/>
                <w:sz w:val="24"/>
                <w:highlight w:val="none"/>
              </w:rPr>
              <w:t>2、报价中必须包含货物及零配件的购置和安装（含一切必须的辅材）、运输保险、装卸、质保期售后服务、税金、全额含税发票、雇员费用、合同实施过程中应预见和不可预见等费用。</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olor w:val="000000"/>
                <w:sz w:val="24"/>
                <w:highlight w:val="none"/>
              </w:rPr>
            </w:pPr>
            <w:r>
              <w:rPr>
                <w:rFonts w:hint="eastAsia" w:ascii="仿宋" w:hAnsi="仿宋" w:eastAsia="仿宋"/>
                <w:color w:val="000000"/>
                <w:sz w:val="24"/>
                <w:highlight w:val="none"/>
              </w:rPr>
              <w:t>3、确定中标供应商后，中标供应商不得以任何理由追加设备费用、辅材费用或其他费用。</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olor w:val="000000"/>
                <w:sz w:val="24"/>
                <w:highlight w:val="none"/>
              </w:rPr>
            </w:pPr>
            <w:r>
              <w:rPr>
                <w:rFonts w:hint="eastAsia" w:ascii="仿宋" w:hAnsi="仿宋" w:eastAsia="仿宋"/>
                <w:color w:val="000000"/>
                <w:sz w:val="24"/>
                <w:highlight w:val="none"/>
              </w:rPr>
              <w:t>4、报价中包含项目现场的运输、搬运、安装等项目费用，技术安装人员费用等由中标方负责。</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836"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olor w:val="000000"/>
                <w:sz w:val="24"/>
                <w:highlight w:val="none"/>
              </w:rPr>
            </w:pPr>
            <w:r>
              <w:rPr>
                <w:rFonts w:hint="eastAsia" w:ascii="仿宋" w:hAnsi="仿宋" w:eastAsia="仿宋"/>
                <w:color w:val="000000"/>
                <w:sz w:val="24"/>
                <w:highlight w:val="none"/>
              </w:rPr>
              <w:t>6</w:t>
            </w:r>
          </w:p>
        </w:tc>
        <w:tc>
          <w:tcPr>
            <w:tcW w:w="1496"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olor w:val="000000"/>
                <w:sz w:val="24"/>
                <w:highlight w:val="none"/>
                <w:lang w:eastAsia="zh-CN"/>
              </w:rPr>
            </w:pPr>
            <w:r>
              <w:rPr>
                <w:rFonts w:hint="eastAsia" w:ascii="仿宋" w:hAnsi="仿宋" w:eastAsia="仿宋"/>
                <w:color w:val="000000"/>
                <w:sz w:val="24"/>
                <w:highlight w:val="none"/>
                <w:lang w:eastAsia="zh-CN"/>
              </w:rPr>
              <w:t>合同条款</w:t>
            </w:r>
          </w:p>
        </w:tc>
        <w:tc>
          <w:tcPr>
            <w:tcW w:w="6812"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olor w:val="000000"/>
                <w:sz w:val="24"/>
                <w:highlight w:val="none"/>
                <w:lang w:eastAsia="zh-CN"/>
              </w:rPr>
            </w:pPr>
            <w:r>
              <w:rPr>
                <w:rFonts w:hint="eastAsia" w:ascii="仿宋" w:hAnsi="仿宋" w:eastAsia="仿宋"/>
                <w:color w:val="000000"/>
                <w:sz w:val="24"/>
                <w:highlight w:val="none"/>
                <w:lang w:eastAsia="zh-CN"/>
              </w:rPr>
              <w:t>实质响应合同条款</w:t>
            </w:r>
          </w:p>
        </w:tc>
      </w:tr>
    </w:tbl>
    <w:p>
      <w:pPr>
        <w:autoSpaceDE w:val="0"/>
        <w:autoSpaceDN w:val="0"/>
        <w:adjustRightInd w:val="0"/>
        <w:spacing w:line="420" w:lineRule="exact"/>
        <w:jc w:val="center"/>
        <w:rPr>
          <w:rFonts w:ascii="仿宋" w:hAnsi="仿宋" w:eastAsia="仿宋"/>
          <w:color w:val="000000"/>
          <w:sz w:val="24"/>
          <w:highlight w:val="none"/>
        </w:rPr>
      </w:pPr>
    </w:p>
    <w:p>
      <w:pPr>
        <w:rPr>
          <w:rFonts w:hint="eastAsia" w:ascii="仿宋" w:hAnsi="仿宋" w:eastAsia="仿宋"/>
          <w:color w:val="000000"/>
          <w:sz w:val="24"/>
          <w:highlight w:val="none"/>
        </w:rPr>
      </w:pPr>
      <w:r>
        <w:rPr>
          <w:rFonts w:hint="eastAsia" w:ascii="仿宋" w:hAnsi="仿宋" w:eastAsia="仿宋"/>
          <w:color w:val="000000"/>
          <w:sz w:val="24"/>
          <w:highlight w:val="none"/>
        </w:rPr>
        <w:br w:type="page"/>
      </w:r>
    </w:p>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仿宋" w:hAnsi="仿宋" w:eastAsia="仿宋"/>
          <w:color w:val="000000"/>
          <w:sz w:val="24"/>
          <w:highlight w:val="none"/>
        </w:rPr>
      </w:pPr>
      <w:r>
        <w:rPr>
          <w:rFonts w:hint="eastAsia" w:ascii="仿宋" w:hAnsi="仿宋" w:eastAsia="仿宋"/>
          <w:color w:val="000000"/>
          <w:sz w:val="24"/>
          <w:highlight w:val="none"/>
        </w:rPr>
        <w:t>第二部分 技术需求书</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注：1.用户需求书中标注“■”号的内容为采购的主要标的（核心产品）。</w:t>
      </w:r>
    </w:p>
    <w:p>
      <w:pPr>
        <w:keepNext w:val="0"/>
        <w:keepLines w:val="0"/>
        <w:pageBreakBefore w:val="0"/>
        <w:widowControl w:val="0"/>
        <w:kinsoku/>
        <w:wordWrap/>
        <w:overflowPunct/>
        <w:topLinePunct w:val="0"/>
        <w:bidi w:val="0"/>
        <w:snapToGrid/>
        <w:spacing w:line="480" w:lineRule="exact"/>
        <w:textAlignment w:val="auto"/>
        <w:rPr>
          <w:rFonts w:ascii="仿宋" w:hAnsi="仿宋" w:eastAsia="仿宋"/>
          <w:color w:val="FF0000"/>
          <w:sz w:val="24"/>
          <w:highlight w:val="none"/>
        </w:rPr>
      </w:pPr>
      <w:r>
        <w:rPr>
          <w:rFonts w:hint="eastAsia" w:ascii="仿宋" w:hAnsi="仿宋" w:eastAsia="仿宋"/>
          <w:color w:val="000000"/>
          <w:sz w:val="24"/>
          <w:highlight w:val="none"/>
        </w:rPr>
        <w:t>（消防员灭火防护服（指挥款）</w:t>
      </w:r>
      <w:r>
        <w:rPr>
          <w:rFonts w:hint="eastAsia" w:ascii="仿宋" w:hAnsi="仿宋" w:eastAsia="仿宋"/>
          <w:color w:val="000000"/>
          <w:sz w:val="24"/>
          <w:highlight w:val="none"/>
          <w:lang w:eastAsia="zh-CN"/>
        </w:rPr>
        <w:t>、</w:t>
      </w:r>
      <w:r>
        <w:rPr>
          <w:rFonts w:hint="eastAsia" w:ascii="仿宋" w:hAnsi="仿宋" w:eastAsia="仿宋"/>
          <w:color w:val="000000"/>
          <w:sz w:val="24"/>
          <w:highlight w:val="none"/>
        </w:rPr>
        <w:t>消防员灭火防护靴</w:t>
      </w:r>
      <w:r>
        <w:rPr>
          <w:rFonts w:hint="eastAsia" w:ascii="仿宋" w:hAnsi="仿宋" w:eastAsia="仿宋"/>
          <w:color w:val="000000"/>
          <w:sz w:val="24"/>
          <w:highlight w:val="none"/>
          <w:lang w:eastAsia="zh-CN"/>
        </w:rPr>
        <w:t>、</w:t>
      </w:r>
      <w:r>
        <w:rPr>
          <w:rFonts w:hint="eastAsia" w:ascii="仿宋" w:hAnsi="仿宋" w:eastAsia="仿宋"/>
          <w:color w:val="000000"/>
          <w:sz w:val="24"/>
          <w:highlight w:val="none"/>
        </w:rPr>
        <w:t>正压式消防空气呼吸器、手持电台）</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ascii="仿宋" w:hAnsi="仿宋" w:eastAsia="仿宋"/>
          <w:color w:val="000000"/>
          <w:sz w:val="24"/>
          <w:highlight w:val="none"/>
        </w:rPr>
      </w:pPr>
      <w:r>
        <w:rPr>
          <w:rFonts w:hint="eastAsia" w:ascii="仿宋" w:hAnsi="仿宋" w:eastAsia="仿宋"/>
          <w:color w:val="000000"/>
          <w:sz w:val="24"/>
          <w:highlight w:val="none"/>
          <w:lang w:val="en-US" w:eastAsia="zh-CN"/>
        </w:rPr>
        <w:t>2</w:t>
      </w:r>
      <w:r>
        <w:rPr>
          <w:rFonts w:hint="eastAsia" w:ascii="仿宋" w:hAnsi="仿宋" w:eastAsia="仿宋"/>
          <w:color w:val="000000"/>
          <w:sz w:val="24"/>
          <w:highlight w:val="none"/>
        </w:rPr>
        <w:t>.在《用户需求书》中所提供的货物参数要求，其目的仅仅是为了使投标人更加准确地了解招标要求，不构成对投标单位所报品牌的任何约束；投标人所投货物参数应不低于《用户需求书》中的要求。</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ascii="仿宋" w:hAnsi="仿宋" w:eastAsia="仿宋"/>
          <w:color w:val="000000"/>
          <w:sz w:val="24"/>
          <w:highlight w:val="none"/>
        </w:rPr>
      </w:pPr>
      <w:bookmarkStart w:id="662" w:name="_Toc28309"/>
      <w:bookmarkStart w:id="663" w:name="_Toc3889"/>
      <w:bookmarkStart w:id="664" w:name="_Toc31587"/>
      <w:bookmarkStart w:id="665" w:name="_Toc24860"/>
      <w:bookmarkStart w:id="666" w:name="_Toc29260"/>
      <w:bookmarkStart w:id="667" w:name="_Toc12605"/>
      <w:bookmarkStart w:id="668" w:name="_Toc502156711"/>
      <w:r>
        <w:rPr>
          <w:rFonts w:hint="eastAsia" w:ascii="仿宋" w:hAnsi="仿宋" w:eastAsia="仿宋"/>
          <w:color w:val="000000"/>
          <w:sz w:val="24"/>
          <w:highlight w:val="none"/>
        </w:rPr>
        <w:t>一、项目清单</w:t>
      </w:r>
      <w:bookmarkEnd w:id="662"/>
      <w:bookmarkEnd w:id="663"/>
      <w:bookmarkEnd w:id="664"/>
      <w:bookmarkEnd w:id="665"/>
      <w:bookmarkEnd w:id="666"/>
      <w:bookmarkEnd w:id="667"/>
      <w:bookmarkEnd w:id="668"/>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4791"/>
        <w:gridCol w:w="1256"/>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b/>
                <w:szCs w:val="21"/>
                <w:highlight w:val="none"/>
              </w:rPr>
            </w:pPr>
            <w:r>
              <w:rPr>
                <w:rFonts w:hint="eastAsia" w:ascii="仿宋_GB2312" w:hAnsi="宋体" w:eastAsia="仿宋_GB2312"/>
                <w:b/>
                <w:szCs w:val="21"/>
                <w:highlight w:val="none"/>
              </w:rPr>
              <w:t>序号</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b/>
                <w:szCs w:val="21"/>
                <w:highlight w:val="none"/>
              </w:rPr>
            </w:pPr>
            <w:r>
              <w:rPr>
                <w:rFonts w:hint="eastAsia" w:ascii="仿宋_GB2312" w:hAnsi="宋体" w:eastAsia="仿宋_GB2312"/>
                <w:b/>
                <w:szCs w:val="21"/>
                <w:highlight w:val="none"/>
              </w:rPr>
              <w:t>器材名称</w:t>
            </w:r>
          </w:p>
        </w:tc>
        <w:tc>
          <w:tcPr>
            <w:tcW w:w="693"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b/>
                <w:szCs w:val="21"/>
                <w:highlight w:val="none"/>
              </w:rPr>
            </w:pPr>
            <w:r>
              <w:rPr>
                <w:rFonts w:hint="eastAsia" w:ascii="仿宋_GB2312" w:hAnsi="宋体" w:eastAsia="仿宋_GB2312"/>
                <w:b/>
                <w:szCs w:val="21"/>
                <w:highlight w:val="none"/>
              </w:rPr>
              <w:t>单位</w:t>
            </w:r>
          </w:p>
        </w:tc>
        <w:tc>
          <w:tcPr>
            <w:tcW w:w="1052"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b/>
                <w:szCs w:val="21"/>
                <w:highlight w:val="none"/>
              </w:rPr>
            </w:pPr>
            <w:r>
              <w:rPr>
                <w:rFonts w:hint="eastAsia" w:ascii="仿宋_GB2312" w:hAnsi="宋体" w:eastAsia="仿宋_GB2312"/>
                <w:b/>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消防头盔</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顶</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 w:hAnsi="仿宋" w:eastAsia="仿宋"/>
                <w:color w:val="000000"/>
                <w:sz w:val="24"/>
                <w:highlight w:val="none"/>
              </w:rPr>
              <w:t>■</w:t>
            </w:r>
            <w:r>
              <w:rPr>
                <w:rFonts w:hint="eastAsia" w:ascii="仿宋_GB2312" w:hAnsi="宋体" w:eastAsia="仿宋_GB2312"/>
                <w:szCs w:val="21"/>
                <w:highlight w:val="none"/>
              </w:rPr>
              <w:t>消防员灭火防护服（指挥款）</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套</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3</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消防员灭火防护服（作战款）</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套</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4</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消防手套</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双</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5</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消防安全腰带</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根</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6</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 w:hAnsi="仿宋" w:eastAsia="仿宋"/>
                <w:color w:val="000000"/>
                <w:sz w:val="24"/>
                <w:highlight w:val="none"/>
              </w:rPr>
              <w:t>■</w:t>
            </w:r>
            <w:r>
              <w:rPr>
                <w:rFonts w:hint="eastAsia" w:ascii="仿宋_GB2312" w:hAnsi="宋体" w:eastAsia="仿宋_GB2312"/>
                <w:szCs w:val="21"/>
                <w:highlight w:val="none"/>
              </w:rPr>
              <w:t>消防员灭火防护靴</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双</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7</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 w:hAnsi="仿宋" w:eastAsia="仿宋"/>
                <w:color w:val="000000"/>
                <w:sz w:val="24"/>
                <w:highlight w:val="none"/>
              </w:rPr>
              <w:t>■</w:t>
            </w:r>
            <w:r>
              <w:rPr>
                <w:rFonts w:hint="eastAsia" w:ascii="仿宋_GB2312" w:hAnsi="宋体" w:eastAsia="仿宋_GB2312"/>
                <w:szCs w:val="21"/>
                <w:highlight w:val="none"/>
              </w:rPr>
              <w:t>正压式消防空气呼吸器</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套</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8</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佩戴式防爆照明灯</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盏</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9</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消防员呼救器</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个</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10</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应急逃生自救安全绳</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根</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11</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消防腰斧</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把</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12</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消防员灭火防护头套</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个</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13</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防静电内衣</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件</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14</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消防护目镜</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副</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15</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消防员抢险救援头盔（指挥款）</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顶</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16</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消防员抢险救援头盔（作战款）</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顶</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17</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消防员抢险救援手套</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双</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18</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消防员抢险救援防护服</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套</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19</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消防员抢险救援靴</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双</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20</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骨传导通话装置</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个</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21</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 w:hAnsi="仿宋" w:eastAsia="仿宋"/>
                <w:color w:val="000000"/>
                <w:sz w:val="24"/>
                <w:highlight w:val="none"/>
              </w:rPr>
              <w:t>■</w:t>
            </w:r>
            <w:r>
              <w:rPr>
                <w:rFonts w:hint="eastAsia" w:ascii="仿宋_GB2312" w:hAnsi="宋体" w:eastAsia="仿宋_GB2312"/>
                <w:szCs w:val="21"/>
                <w:highlight w:val="none"/>
              </w:rPr>
              <w:t>手持电台</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部</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22</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二级化学防护服</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套</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23</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一级化学防护服</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套</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24</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消防员防蜂服</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套</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25</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二节拉梯</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架</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26</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三节拉梯</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架</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27</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消防水带（20-65-20）</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盘</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28</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消防水带（20-80-20）</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盘</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29</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止水器</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个</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30</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异型卡口接口</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个</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31</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有毒气体探测仪</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套</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32</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测温仪</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套</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33</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各类警示牌</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套</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34</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手动破拆工具组</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套</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35</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多功能刀具</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个</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36</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多功能挠钩</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套</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37</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折叠式担架</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套</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38</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多功能担架</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套</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39</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多功能消防水枪</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支</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40</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直流水枪</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支</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41</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中压分水器（三分）</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件</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42</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异型异径接口</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个</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43</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D型安全钩</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个</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44</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O型安全钩</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个</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45</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异型卡式快速80公转80公接口</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个</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46</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异型卡式快速80母转80母接口</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个</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9"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47</w:t>
            </w:r>
          </w:p>
        </w:tc>
        <w:tc>
          <w:tcPr>
            <w:tcW w:w="2644" w:type="pct"/>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异型卡式快速80母转65公接口</w:t>
            </w:r>
          </w:p>
        </w:tc>
        <w:tc>
          <w:tcPr>
            <w:tcW w:w="693"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个</w:t>
            </w:r>
          </w:p>
        </w:tc>
        <w:tc>
          <w:tcPr>
            <w:tcW w:w="1052" w:type="pct"/>
            <w:noWrap/>
            <w:vAlign w:val="center"/>
          </w:tcPr>
          <w:p>
            <w:pPr>
              <w:keepNext w:val="0"/>
              <w:keepLines w:val="0"/>
              <w:pageBreakBefore w:val="0"/>
              <w:shd w:val="clear" w:color="auto" w:fill="FFFFFF"/>
              <w:kinsoku/>
              <w:wordWrap/>
              <w:overflowPunct/>
              <w:topLinePunct w:val="0"/>
              <w:bidi w:val="0"/>
              <w:snapToGrid/>
              <w:spacing w:line="400" w:lineRule="exact"/>
              <w:jc w:val="center"/>
              <w:rPr>
                <w:rFonts w:ascii="仿宋_GB2312" w:hAnsi="宋体" w:eastAsia="仿宋_GB2312"/>
                <w:szCs w:val="21"/>
                <w:highlight w:val="none"/>
              </w:rPr>
            </w:pPr>
            <w:r>
              <w:rPr>
                <w:rFonts w:hint="eastAsia" w:ascii="仿宋_GB2312" w:hAnsi="宋体" w:eastAsia="仿宋_GB2312"/>
                <w:szCs w:val="21"/>
                <w:highlight w:val="none"/>
              </w:rPr>
              <w:t>12</w:t>
            </w:r>
          </w:p>
        </w:tc>
      </w:tr>
    </w:tbl>
    <w:p>
      <w:pPr>
        <w:keepNext w:val="0"/>
        <w:keepLines w:val="0"/>
        <w:pageBreakBefore w:val="0"/>
        <w:kinsoku/>
        <w:wordWrap/>
        <w:overflowPunct/>
        <w:topLinePunct w:val="0"/>
        <w:autoSpaceDE w:val="0"/>
        <w:autoSpaceDN w:val="0"/>
        <w:bidi w:val="0"/>
        <w:adjustRightInd w:val="0"/>
        <w:snapToGrid/>
        <w:spacing w:line="400" w:lineRule="exact"/>
        <w:rPr>
          <w:rFonts w:ascii="仿宋" w:hAnsi="仿宋" w:eastAsia="仿宋"/>
          <w:color w:val="000000"/>
          <w:sz w:val="24"/>
          <w:highlight w:val="none"/>
        </w:rPr>
      </w:pPr>
    </w:p>
    <w:p>
      <w:pPr>
        <w:keepNext w:val="0"/>
        <w:keepLines w:val="0"/>
        <w:pageBreakBefore w:val="0"/>
        <w:kinsoku/>
        <w:wordWrap/>
        <w:overflowPunct/>
        <w:topLinePunct w:val="0"/>
        <w:autoSpaceDE w:val="0"/>
        <w:autoSpaceDN w:val="0"/>
        <w:bidi w:val="0"/>
        <w:adjustRightInd w:val="0"/>
        <w:snapToGrid/>
        <w:spacing w:line="360" w:lineRule="exact"/>
        <w:rPr>
          <w:rFonts w:ascii="仿宋" w:hAnsi="仿宋" w:eastAsia="仿宋"/>
          <w:color w:val="000000"/>
          <w:sz w:val="24"/>
          <w:highlight w:val="none"/>
        </w:rPr>
      </w:pPr>
      <w:r>
        <w:rPr>
          <w:rFonts w:hint="eastAsia" w:ascii="仿宋" w:hAnsi="仿宋" w:eastAsia="仿宋"/>
          <w:color w:val="000000"/>
          <w:sz w:val="24"/>
          <w:highlight w:val="none"/>
        </w:rPr>
        <w:t>二、主要技术参数</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476"/>
        <w:gridCol w:w="555"/>
        <w:gridCol w:w="452"/>
        <w:gridCol w:w="5204"/>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b/>
                <w:color w:val="auto"/>
                <w:szCs w:val="21"/>
                <w:highlight w:val="none"/>
              </w:rPr>
            </w:pPr>
            <w:r>
              <w:rPr>
                <w:rFonts w:hint="eastAsia" w:ascii="仿宋_GB2312" w:hAnsi="宋体" w:eastAsia="仿宋_GB2312"/>
                <w:b/>
                <w:color w:val="auto"/>
                <w:szCs w:val="21"/>
                <w:highlight w:val="none"/>
              </w:rPr>
              <w:t>序号</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b/>
                <w:color w:val="auto"/>
                <w:szCs w:val="21"/>
                <w:highlight w:val="none"/>
              </w:rPr>
            </w:pPr>
            <w:r>
              <w:rPr>
                <w:rFonts w:hint="eastAsia" w:ascii="仿宋_GB2312" w:hAnsi="宋体" w:eastAsia="仿宋_GB2312"/>
                <w:b/>
                <w:color w:val="auto"/>
                <w:szCs w:val="21"/>
                <w:highlight w:val="none"/>
              </w:rPr>
              <w:t>器材名称</w:t>
            </w:r>
          </w:p>
        </w:tc>
        <w:tc>
          <w:tcPr>
            <w:tcW w:w="344"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b/>
                <w:color w:val="auto"/>
                <w:szCs w:val="21"/>
                <w:highlight w:val="none"/>
              </w:rPr>
            </w:pPr>
            <w:r>
              <w:rPr>
                <w:rFonts w:hint="eastAsia" w:ascii="仿宋_GB2312" w:hAnsi="宋体" w:eastAsia="仿宋_GB2312"/>
                <w:b/>
                <w:color w:val="auto"/>
                <w:szCs w:val="21"/>
                <w:highlight w:val="none"/>
              </w:rPr>
              <w:t>单位</w:t>
            </w:r>
          </w:p>
        </w:tc>
        <w:tc>
          <w:tcPr>
            <w:tcW w:w="287"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b/>
                <w:color w:val="auto"/>
                <w:szCs w:val="21"/>
                <w:highlight w:val="none"/>
              </w:rPr>
            </w:pPr>
            <w:r>
              <w:rPr>
                <w:rFonts w:hint="eastAsia" w:ascii="仿宋_GB2312" w:hAnsi="宋体" w:eastAsia="仿宋_GB2312"/>
                <w:b/>
                <w:color w:val="auto"/>
                <w:szCs w:val="21"/>
                <w:highlight w:val="none"/>
              </w:rPr>
              <w:t>数量</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b/>
                <w:color w:val="auto"/>
                <w:szCs w:val="21"/>
                <w:highlight w:val="none"/>
              </w:rPr>
            </w:pPr>
            <w:r>
              <w:rPr>
                <w:rFonts w:hint="eastAsia" w:ascii="仿宋_GB2312" w:hAnsi="宋体" w:eastAsia="仿宋_GB2312"/>
                <w:b/>
                <w:color w:val="auto"/>
                <w:szCs w:val="21"/>
                <w:highlight w:val="none"/>
              </w:rPr>
              <w:t>技术需求</w:t>
            </w:r>
          </w:p>
        </w:tc>
        <w:tc>
          <w:tcPr>
            <w:tcW w:w="453"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b/>
                <w:color w:val="auto"/>
                <w:szCs w:val="21"/>
                <w:highlight w:val="none"/>
              </w:rPr>
            </w:pPr>
            <w:r>
              <w:rPr>
                <w:rFonts w:hint="eastAsia" w:ascii="仿宋_GB2312" w:hAnsi="宋体" w:eastAsia="仿宋_GB2312"/>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消防头盔</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顶</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35</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1.17式消防头盔采取多功能模块化滑轨设计，总体性能符合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的标准。</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2.盔壳：黄色潘通色号PANTONE012C，红色潘通色号为PANTONE 186C，色差≥3级，红黄数量与用户最终确定。</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3.披肩：藏蓝色，表面防水处理，可快速拆卸、安装。</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4.反光标识条：荧光黄色潘通色号为PANTONE 809C，荧光橙色为PANTONE 805C，色差≥3级。</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5.结构组成：由盔壳、滑轨、缓冲层、舒适衬垫、佩戴装置、面罩、披肩等组成。</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6.滑轨：盔体两侧设黑色多功能模块化滑轨，为改性阻燃尼龙66材质。</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7.缓冲层：聚苯乙烯发泡树脂材质，颜色为黑色。</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8.舒适衬垫：顶部为芳纶网状衬垫，四周为革质舒适层（与帽箍一体）可调节戴帽高度。</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9.佩戴装置：包括帽箍和系带，为改性阻燃尼龙66材质。在盔体后沿下侧设头围调节旋钮，调节范围为540mm～620mm；系带可调节佩戴松紧，加装可拆洗阻燃舒适软垫；插扣为快脱插扣。</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10.面罩：聚醚酰亚胺材质，为外翻直板式。</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11.提供检测报告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 w:hAnsi="仿宋" w:eastAsia="仿宋"/>
                <w:color w:val="auto"/>
                <w:sz w:val="24"/>
                <w:highlight w:val="none"/>
              </w:rPr>
              <w:t>■</w:t>
            </w:r>
            <w:r>
              <w:rPr>
                <w:rFonts w:hint="eastAsia" w:ascii="仿宋_GB2312" w:hAnsi="宋体" w:eastAsia="仿宋_GB2312"/>
                <w:color w:val="auto"/>
                <w:szCs w:val="21"/>
                <w:highlight w:val="none"/>
              </w:rPr>
              <w:t>消防员灭火防护服（指挥款）</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套</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5</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1.总体性能符合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标准和总体符合《20式消防员灭火防护服款式标识统型要求》要求。</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2.</w:t>
            </w:r>
            <w:r>
              <w:rPr>
                <w:rFonts w:hint="eastAsia" w:ascii="仿宋_GB2312" w:hAnsi="宋体" w:eastAsia="仿宋_GB2312"/>
                <w:color w:val="auto"/>
                <w:szCs w:val="21"/>
                <w:highlight w:val="none"/>
                <w:lang w:val="zh-CN"/>
              </w:rPr>
              <w:t>由外层、防水透气层、舒适层共三层面料组成</w:t>
            </w:r>
            <w:r>
              <w:rPr>
                <w:rFonts w:hint="eastAsia" w:ascii="仿宋_GB2312" w:hAnsi="宋体" w:eastAsia="仿宋_GB2312"/>
                <w:color w:val="auto"/>
                <w:szCs w:val="21"/>
                <w:highlight w:val="none"/>
              </w:rPr>
              <w:t>。</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3.材料：外层采用芳纶面料等组成；防水透气层采用芳纶无纺布覆阻燃材料组成；舒适层采用芳纶、阻燃粘胶纤维混纺组成。</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lang w:val="zh-CN"/>
              </w:rPr>
            </w:pPr>
            <w:r>
              <w:rPr>
                <w:rFonts w:hint="eastAsia" w:ascii="仿宋_GB2312" w:hAnsi="宋体" w:eastAsia="仿宋_GB2312"/>
                <w:color w:val="auto"/>
                <w:szCs w:val="21"/>
                <w:highlight w:val="none"/>
              </w:rPr>
              <w:t>4.外观标识：符合部局最新标识统型要求</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lang w:val="en-US" w:eastAsia="zh-CN"/>
              </w:rPr>
              <w:t>5.</w:t>
            </w:r>
            <w:r>
              <w:rPr>
                <w:rFonts w:hint="eastAsia" w:ascii="仿宋_GB2312" w:hAnsi="宋体" w:eastAsia="仿宋_GB2312"/>
                <w:color w:val="auto"/>
                <w:szCs w:val="21"/>
                <w:highlight w:val="none"/>
                <w:lang w:val="zh-CN"/>
              </w:rPr>
              <w:t>外层面料：芳纶阻燃面料，克重：≤（235±11.75）g/㎡。防水透气层：阻燃PTFE防水透湿层、克重：≤（130±6.5）g/㎡。舒适层：芳纶粘胶阻燃面料克重：≤（120±6）g/㎡。</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反光标志带：打孔。</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lang w:val="zh-CN"/>
              </w:rPr>
            </w:pPr>
            <w:r>
              <w:rPr>
                <w:rFonts w:hint="eastAsia" w:ascii="仿宋_GB2312" w:hAnsi="宋体" w:eastAsia="仿宋_GB2312"/>
                <w:color w:val="auto"/>
                <w:szCs w:val="21"/>
                <w:highlight w:val="none"/>
                <w:lang w:val="en-US" w:eastAsia="zh-CN"/>
              </w:rPr>
              <w:t>5.</w:t>
            </w:r>
            <w:r>
              <w:rPr>
                <w:rFonts w:hint="eastAsia" w:ascii="仿宋_GB2312" w:hAnsi="宋体" w:eastAsia="仿宋_GB2312"/>
                <w:color w:val="auto"/>
                <w:szCs w:val="21"/>
                <w:highlight w:val="none"/>
                <w:lang w:val="zh-CN"/>
              </w:rPr>
              <w:t>.阻燃性能（损毁长度）：</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外层经向：≤25mm、纬向：≤20mm； 防水透气（隔热层）经向：≤30mm、纬向：≤36mm；舒适层经向：≤35mm、纬向：≤35mm；反光标志带经向：≤27mm、纬向：≤27mm；外层加强材料经向：≤25mm、纬向：≤20mm；所有试验续燃时间0s，且无熔融滴落现象。</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lang w:val="zh-CN"/>
              </w:rPr>
            </w:pPr>
            <w:r>
              <w:rPr>
                <w:rFonts w:hint="eastAsia" w:ascii="仿宋_GB2312" w:hAnsi="宋体" w:eastAsia="仿宋_GB2312"/>
                <w:color w:val="auto"/>
                <w:szCs w:val="21"/>
                <w:highlight w:val="none"/>
                <w:lang w:val="en-US" w:eastAsia="zh-CN"/>
              </w:rPr>
              <w:t>6</w:t>
            </w:r>
            <w:r>
              <w:rPr>
                <w:rFonts w:hint="eastAsia" w:ascii="仿宋_GB2312" w:hAnsi="宋体" w:eastAsia="仿宋_GB2312"/>
                <w:color w:val="auto"/>
                <w:szCs w:val="21"/>
                <w:highlight w:val="none"/>
                <w:lang w:val="zh-CN"/>
              </w:rPr>
              <w:t>.热稳定性能（变化率）：</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外层：≤1.0%；防水透气层：≤2.0%；外层加强材料：≤1.0%；舒适层：≤3.0%；试样表面无明显变化。</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lang w:val="zh-CN"/>
              </w:rPr>
            </w:pPr>
            <w:r>
              <w:rPr>
                <w:rFonts w:hint="eastAsia" w:ascii="仿宋_GB2312" w:hAnsi="宋体" w:eastAsia="仿宋_GB2312"/>
                <w:color w:val="auto"/>
                <w:szCs w:val="21"/>
                <w:highlight w:val="none"/>
                <w:lang w:val="en-US" w:eastAsia="zh-CN"/>
              </w:rPr>
              <w:t>7</w:t>
            </w:r>
            <w:r>
              <w:rPr>
                <w:rFonts w:hint="eastAsia" w:ascii="仿宋_GB2312" w:hAnsi="宋体" w:eastAsia="仿宋_GB2312"/>
                <w:color w:val="auto"/>
                <w:szCs w:val="21"/>
                <w:highlight w:val="none"/>
                <w:lang w:val="zh-CN"/>
              </w:rPr>
              <w:t>.缩水率：</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外层经纬向：≤0.8%、≤0.8%；防水透气层经纬向：≤2.0%、≤1.6%；舒适层经纬向：≤1.6%、≤2.0%。</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lang w:val="zh-CN"/>
              </w:rPr>
            </w:pPr>
            <w:r>
              <w:rPr>
                <w:rFonts w:hint="eastAsia" w:ascii="仿宋_GB2312" w:hAnsi="宋体" w:eastAsia="仿宋_GB2312"/>
                <w:color w:val="auto"/>
                <w:szCs w:val="21"/>
                <w:highlight w:val="none"/>
                <w:lang w:val="en-US" w:eastAsia="zh-CN"/>
              </w:rPr>
              <w:t>8</w:t>
            </w:r>
            <w:r>
              <w:rPr>
                <w:rFonts w:hint="eastAsia" w:ascii="仿宋_GB2312" w:hAnsi="宋体" w:eastAsia="仿宋_GB2312"/>
                <w:color w:val="auto"/>
                <w:szCs w:val="21"/>
                <w:highlight w:val="none"/>
                <w:lang w:val="zh-CN"/>
              </w:rPr>
              <w:t>.</w:t>
            </w:r>
            <w:r>
              <w:rPr>
                <w:rFonts w:hint="eastAsia" w:ascii="仿宋_GB2312" w:hAnsi="宋体" w:eastAsia="仿宋_GB2312"/>
                <w:color w:val="auto"/>
                <w:szCs w:val="21"/>
                <w:highlight w:val="none"/>
              </w:rPr>
              <w:t>▲</w:t>
            </w:r>
            <w:r>
              <w:rPr>
                <w:rFonts w:hint="eastAsia" w:ascii="仿宋_GB2312" w:hAnsi="宋体" w:eastAsia="仿宋_GB2312"/>
                <w:color w:val="auto"/>
                <w:szCs w:val="21"/>
                <w:highlight w:val="none"/>
                <w:lang w:val="zh-CN"/>
              </w:rPr>
              <w:t>断裂强力：外层：经向≥1560N、纬向≥1410N；舒适层：经向≥410N、纬向≥385N</w:t>
            </w:r>
            <w:r>
              <w:rPr>
                <w:rFonts w:hint="eastAsia" w:ascii="仿宋_GB2312" w:hAnsi="宋体" w:eastAsia="仿宋_GB2312"/>
                <w:color w:val="auto"/>
                <w:szCs w:val="21"/>
                <w:highlight w:val="none"/>
                <w:lang w:eastAsia="zh-CN"/>
              </w:rPr>
              <w:t>（</w:t>
            </w:r>
            <w:r>
              <w:rPr>
                <w:rFonts w:hint="eastAsia" w:ascii="仿宋_GB2312" w:hAnsi="宋体" w:eastAsia="仿宋_GB2312"/>
                <w:color w:val="auto"/>
                <w:szCs w:val="21"/>
                <w:highlight w:val="none"/>
                <w:lang w:val="en-US" w:eastAsia="zh-CN"/>
              </w:rPr>
              <w:t>提供第三方机构出具的检测报告，</w:t>
            </w:r>
            <w:r>
              <w:rPr>
                <w:rFonts w:hint="eastAsia" w:ascii="仿宋_GB2312" w:hAnsi="宋体" w:eastAsia="仿宋_GB2312"/>
                <w:color w:val="auto"/>
                <w:szCs w:val="21"/>
                <w:highlight w:val="none"/>
                <w:lang w:eastAsia="zh-CN"/>
              </w:rPr>
              <w:t>参数需在检测报告上体现）</w:t>
            </w:r>
            <w:r>
              <w:rPr>
                <w:rFonts w:hint="eastAsia" w:ascii="仿宋_GB2312" w:hAnsi="宋体" w:eastAsia="仿宋_GB2312"/>
                <w:color w:val="auto"/>
                <w:szCs w:val="21"/>
                <w:highlight w:val="none"/>
                <w:lang w:val="zh-CN"/>
              </w:rPr>
              <w:t>；</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lang w:val="zh-CN"/>
              </w:rPr>
            </w:pPr>
            <w:r>
              <w:rPr>
                <w:rFonts w:hint="eastAsia" w:ascii="仿宋_GB2312" w:hAnsi="宋体" w:eastAsia="仿宋_GB2312"/>
                <w:color w:val="auto"/>
                <w:szCs w:val="21"/>
                <w:highlight w:val="none"/>
                <w:lang w:val="en-US" w:eastAsia="zh-CN"/>
              </w:rPr>
              <w:t>9</w:t>
            </w:r>
            <w:r>
              <w:rPr>
                <w:rFonts w:hint="eastAsia" w:ascii="仿宋_GB2312" w:hAnsi="宋体" w:eastAsia="仿宋_GB2312"/>
                <w:color w:val="auto"/>
                <w:szCs w:val="21"/>
                <w:highlight w:val="none"/>
                <w:lang w:val="zh-CN"/>
              </w:rPr>
              <w:t>.</w:t>
            </w:r>
            <w:r>
              <w:rPr>
                <w:rFonts w:hint="eastAsia" w:ascii="仿宋_GB2312" w:hAnsi="宋体" w:eastAsia="仿宋_GB2312"/>
                <w:color w:val="auto"/>
                <w:szCs w:val="21"/>
                <w:highlight w:val="none"/>
              </w:rPr>
              <w:t>▲</w:t>
            </w:r>
            <w:r>
              <w:rPr>
                <w:rFonts w:hint="eastAsia" w:ascii="仿宋_GB2312" w:hAnsi="宋体" w:eastAsia="仿宋_GB2312"/>
                <w:color w:val="auto"/>
                <w:szCs w:val="21"/>
                <w:highlight w:val="none"/>
                <w:lang w:val="zh-CN"/>
              </w:rPr>
              <w:t>外层撕破强力：经向≥290N、纬向≥270N；接缝断裂强力：经向≥1000N、纬向≥910N</w:t>
            </w:r>
            <w:r>
              <w:rPr>
                <w:rFonts w:hint="eastAsia" w:ascii="仿宋_GB2312" w:hAnsi="宋体" w:eastAsia="仿宋_GB2312"/>
                <w:color w:val="auto"/>
                <w:szCs w:val="21"/>
                <w:highlight w:val="none"/>
                <w:lang w:eastAsia="zh-CN"/>
              </w:rPr>
              <w:t>（</w:t>
            </w:r>
            <w:r>
              <w:rPr>
                <w:rFonts w:hint="eastAsia" w:ascii="仿宋_GB2312" w:hAnsi="宋体" w:eastAsia="仿宋_GB2312"/>
                <w:color w:val="auto"/>
                <w:szCs w:val="21"/>
                <w:highlight w:val="none"/>
                <w:lang w:val="en-US" w:eastAsia="zh-CN"/>
              </w:rPr>
              <w:t>提供第三方机构出具的检测报告，</w:t>
            </w:r>
            <w:r>
              <w:rPr>
                <w:rFonts w:hint="eastAsia" w:ascii="仿宋_GB2312" w:hAnsi="宋体" w:eastAsia="仿宋_GB2312"/>
                <w:color w:val="auto"/>
                <w:szCs w:val="21"/>
                <w:highlight w:val="none"/>
                <w:lang w:eastAsia="zh-CN"/>
              </w:rPr>
              <w:t>参数须在检测报告上体现）</w:t>
            </w:r>
            <w:r>
              <w:rPr>
                <w:rFonts w:hint="eastAsia" w:ascii="仿宋_GB2312" w:hAnsi="宋体" w:eastAsia="仿宋_GB2312"/>
                <w:color w:val="auto"/>
                <w:szCs w:val="21"/>
                <w:highlight w:val="none"/>
                <w:lang w:val="zh-CN"/>
              </w:rPr>
              <w:t>。</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lang w:val="zh-CN"/>
              </w:rPr>
            </w:pPr>
            <w:r>
              <w:rPr>
                <w:rFonts w:hint="eastAsia" w:ascii="仿宋_GB2312" w:hAnsi="宋体" w:eastAsia="仿宋_GB2312"/>
                <w:color w:val="auto"/>
                <w:szCs w:val="21"/>
                <w:highlight w:val="none"/>
                <w:lang w:val="en-US" w:eastAsia="zh-CN"/>
              </w:rPr>
              <w:t>10</w:t>
            </w:r>
            <w:r>
              <w:rPr>
                <w:rFonts w:hint="eastAsia" w:ascii="仿宋_GB2312" w:hAnsi="宋体" w:eastAsia="仿宋_GB2312"/>
                <w:color w:val="auto"/>
                <w:szCs w:val="21"/>
                <w:highlight w:val="none"/>
                <w:lang w:val="zh-CN"/>
              </w:rPr>
              <w:t>.防水透气层耐静水压＞50kpa、透湿率≥6100（g/(㎡·24h)）、拒油性能3级。</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lang w:val="zh-CN"/>
              </w:rPr>
            </w:pPr>
            <w:r>
              <w:rPr>
                <w:rFonts w:hint="eastAsia" w:ascii="仿宋_GB2312" w:hAnsi="宋体" w:eastAsia="仿宋_GB2312"/>
                <w:color w:val="auto"/>
                <w:szCs w:val="21"/>
                <w:highlight w:val="none"/>
                <w:lang w:val="en-US" w:eastAsia="zh-CN"/>
              </w:rPr>
              <w:t>11</w:t>
            </w:r>
            <w:r>
              <w:rPr>
                <w:rFonts w:hint="eastAsia" w:ascii="仿宋_GB2312" w:hAnsi="宋体" w:eastAsia="仿宋_GB2312"/>
                <w:color w:val="auto"/>
                <w:szCs w:val="21"/>
                <w:highlight w:val="none"/>
                <w:lang w:val="zh-CN"/>
              </w:rPr>
              <w:t>.整体防护性能（TPP（cal/c㎡））：≥28.0。质量：≤2.85kg。</w:t>
            </w:r>
          </w:p>
          <w:p>
            <w:pPr>
              <w:pStyle w:val="2"/>
              <w:keepNext w:val="0"/>
              <w:keepLines w:val="0"/>
              <w:pageBreakBefore w:val="0"/>
              <w:kinsoku/>
              <w:wordWrap/>
              <w:overflowPunct/>
              <w:topLinePunct w:val="0"/>
              <w:bidi w:val="0"/>
              <w:snapToGrid/>
              <w:spacing w:line="360" w:lineRule="exact"/>
              <w:rPr>
                <w:rFonts w:hint="eastAsia" w:ascii="仿宋_GB2312" w:hAnsi="宋体" w:eastAsia="仿宋_GB2312"/>
                <w:color w:val="auto"/>
                <w:szCs w:val="21"/>
                <w:highlight w:val="none"/>
                <w:lang w:eastAsia="zh-CN"/>
              </w:rPr>
            </w:pPr>
            <w:r>
              <w:rPr>
                <w:rFonts w:hint="eastAsia" w:ascii="仿宋_GB2312" w:hAnsi="宋体" w:eastAsia="仿宋_GB2312"/>
                <w:color w:val="auto"/>
                <w:szCs w:val="21"/>
                <w:highlight w:val="none"/>
                <w:lang w:val="en-US" w:eastAsia="zh-CN"/>
              </w:rPr>
              <w:t>12.</w:t>
            </w:r>
            <w:r>
              <w:rPr>
                <w:rFonts w:hint="eastAsia" w:ascii="仿宋_GB2312" w:hAnsi="宋体" w:eastAsia="仿宋_GB2312"/>
                <w:color w:val="auto"/>
                <w:szCs w:val="21"/>
                <w:highlight w:val="none"/>
              </w:rPr>
              <w:t>提供检测报告</w:t>
            </w:r>
            <w:r>
              <w:rPr>
                <w:rFonts w:hint="eastAsia" w:ascii="仿宋_GB2312" w:hAnsi="宋体" w:eastAsia="仿宋_GB2312"/>
                <w:color w:val="auto"/>
                <w:szCs w:val="21"/>
                <w:highlight w:val="none"/>
                <w:lang w:eastAsia="zh-CN"/>
              </w:rPr>
              <w:t>。</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消防员灭火防护服（作战款）</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套</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40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1.总体性能符合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标准和《20式消防员灭火防护服款式标识统型要求》。</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2.结构款式：具备阻燃、防水透气、隔热、防静电和标识性强等性能，由外层、防水透气层、隔热层及舒适层构成。</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3.阻燃性能：经向续燃时间 0s ,损耗长度≤40 mm,纬向续燃时间0s，损耗长度≤ 35mm。</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4. 抗湿性能：3级以上</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5.▲外层断裂强力例：经向≥1100N, 纬向≥850N、撕破强力例：经向 ≥260N ,纬向 ≥190N</w:t>
            </w:r>
            <w:r>
              <w:rPr>
                <w:rFonts w:hint="eastAsia" w:ascii="仿宋_GB2312" w:hAnsi="宋体" w:eastAsia="仿宋_GB2312"/>
                <w:color w:val="auto"/>
                <w:szCs w:val="21"/>
                <w:highlight w:val="none"/>
                <w:lang w:eastAsia="zh-CN"/>
              </w:rPr>
              <w:t>（</w:t>
            </w:r>
            <w:r>
              <w:rPr>
                <w:rFonts w:hint="eastAsia" w:ascii="仿宋_GB2312" w:hAnsi="宋体" w:eastAsia="仿宋_GB2312"/>
                <w:color w:val="auto"/>
                <w:szCs w:val="21"/>
                <w:highlight w:val="none"/>
                <w:lang w:val="en-US" w:eastAsia="zh-CN"/>
              </w:rPr>
              <w:t>提供第三方机构出具的检测报告，</w:t>
            </w:r>
            <w:r>
              <w:rPr>
                <w:rFonts w:hint="eastAsia" w:ascii="仿宋_GB2312" w:hAnsi="宋体" w:eastAsia="仿宋_GB2312"/>
                <w:color w:val="auto"/>
                <w:szCs w:val="21"/>
                <w:highlight w:val="none"/>
                <w:lang w:eastAsia="zh-CN"/>
              </w:rPr>
              <w:t>参数须在检测报告上体现）</w:t>
            </w:r>
            <w:r>
              <w:rPr>
                <w:rFonts w:hint="eastAsia" w:ascii="仿宋_GB2312" w:hAnsi="宋体" w:eastAsia="仿宋_GB2312"/>
                <w:color w:val="auto"/>
                <w:szCs w:val="21"/>
                <w:highlight w:val="none"/>
              </w:rPr>
              <w:t>。</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6.总重量：≤3kg</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7. 单位面积质量：（108±5.4）g/㎡</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8.提供检验报告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4</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消防手套</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双</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40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1.总体性能符合国家</w:t>
            </w:r>
            <w:r>
              <w:rPr>
                <w:rFonts w:hint="eastAsia" w:ascii="仿宋_GB2312" w:hAnsi="宋体" w:eastAsia="仿宋_GB2312"/>
                <w:color w:val="auto"/>
                <w:szCs w:val="21"/>
                <w:highlight w:val="none"/>
                <w:lang w:val="en-US" w:eastAsia="zh-CN"/>
              </w:rPr>
              <w:t>消防行业</w:t>
            </w:r>
            <w:r>
              <w:rPr>
                <w:rFonts w:hint="eastAsia" w:ascii="仿宋_GB2312" w:hAnsi="宋体" w:eastAsia="仿宋_GB2312"/>
                <w:color w:val="auto"/>
                <w:szCs w:val="21"/>
                <w:highlight w:val="none"/>
              </w:rPr>
              <w:t>标准要求，并符合17式消防手套款式标识统型要求。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阻燃性能：外层经向续燃时间0s，阴燃时间0s，损毁长度≤67mm；纬向续燃时间0s，阴燃时间0s，损毁长度≤62mm，无熔融、滴落现象；隔热层经向续燃时间0s，阴燃时间0s，损毁长度≤35mm；纬向续燃时间0s，阴燃时间0s，损毁长度≤42mm，无熔融、滴落现象；衬里无熔融、滴落现象</w:t>
            </w:r>
            <w:r>
              <w:rPr>
                <w:rFonts w:hint="eastAsia" w:ascii="仿宋_GB2312" w:hAnsi="宋体" w:eastAsia="仿宋_GB2312"/>
                <w:color w:val="auto"/>
                <w:szCs w:val="21"/>
                <w:highlight w:val="none"/>
                <w:lang w:eastAsia="zh-CN"/>
              </w:rPr>
              <w:t>（</w:t>
            </w:r>
            <w:r>
              <w:rPr>
                <w:rFonts w:hint="eastAsia" w:ascii="仿宋_GB2312" w:hAnsi="宋体" w:eastAsia="仿宋_GB2312"/>
                <w:color w:val="auto"/>
                <w:szCs w:val="21"/>
                <w:highlight w:val="none"/>
                <w:lang w:val="en-US" w:eastAsia="zh-CN"/>
              </w:rPr>
              <w:t>提供第三方机构出具的检测报告，</w:t>
            </w:r>
            <w:r>
              <w:rPr>
                <w:rFonts w:hint="eastAsia" w:ascii="仿宋_GB2312" w:hAnsi="宋体" w:eastAsia="仿宋_GB2312"/>
                <w:color w:val="auto"/>
                <w:szCs w:val="21"/>
                <w:highlight w:val="none"/>
                <w:lang w:eastAsia="zh-CN"/>
              </w:rPr>
              <w:t>参数须在检测报告上体现）</w:t>
            </w:r>
            <w:r>
              <w:rPr>
                <w:rFonts w:hint="eastAsia" w:ascii="仿宋_GB2312" w:hAnsi="宋体" w:eastAsia="仿宋_GB2312"/>
                <w:color w:val="auto"/>
                <w:szCs w:val="21"/>
                <w:highlight w:val="none"/>
              </w:rPr>
              <w:t>。</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3.整体热防护性能≥29cal/cm2</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 xml:space="preserve">4.耐热性能：手套收缩率1.5%，衬里收缩率1%，表面无明显变化，无熔融、脱离和燃烧现象；                                          </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5.颜色要求：手掌有皮质加强层，颜色：黑色；手套背面关节处具有反光标志带，反光带宽度≥50mm，反光带颜色为黄银黄。</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6.提供检测报告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5</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消防安全腰带</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根</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1.技术性能符合</w:t>
            </w:r>
            <w:r>
              <w:rPr>
                <w:rFonts w:hint="eastAsia" w:ascii="仿宋_GB2312" w:hAnsi="宋体" w:eastAsia="仿宋_GB2312"/>
                <w:color w:val="auto"/>
                <w:szCs w:val="21"/>
                <w:highlight w:val="none"/>
                <w:lang w:val="en-US" w:eastAsia="zh-CN"/>
              </w:rPr>
              <w:t>国家消防行业标准</w:t>
            </w:r>
            <w:r>
              <w:rPr>
                <w:rFonts w:hint="eastAsia" w:ascii="仿宋_GB2312" w:hAnsi="宋体" w:eastAsia="仿宋_GB2312"/>
                <w:color w:val="auto"/>
                <w:szCs w:val="21"/>
                <w:highlight w:val="none"/>
              </w:rPr>
              <w:t>的要求。</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2.材质：采用聚酰胺纤维或聚酯纤维和高强度金属件制成</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3. 整根结构：由织带、针扣、环扣和两个拉环等。</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4. 设计负荷：≥13kN</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5. 质量：≤0.8kg</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6.提供检验报告。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6</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 w:hAnsi="仿宋" w:eastAsia="仿宋"/>
                <w:color w:val="auto"/>
                <w:sz w:val="24"/>
                <w:highlight w:val="none"/>
              </w:rPr>
              <w:t>■</w:t>
            </w:r>
            <w:r>
              <w:rPr>
                <w:rFonts w:hint="eastAsia" w:ascii="仿宋_GB2312" w:hAnsi="宋体" w:eastAsia="仿宋_GB2312"/>
                <w:color w:val="auto"/>
                <w:szCs w:val="21"/>
                <w:highlight w:val="none"/>
              </w:rPr>
              <w:t>消防员灭火防护靴</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双</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35</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1.消防员灭火防护胶靴用于保护消防员脚和下肢的安全，具有防水性、防刺、防砸、防化学药品及电绝缘等性能，符合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标准。</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2.帮面、鞋底材料为天然橡胶，靴头内衬垫采用航空铝材质，厚度为2.8±0.2mm。靴内底带有防穿刺中底衬垫，厚度为4.0±0.5mm，脚裸骨部位微微隆起，减小摩擦。</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3.防砸性能：靴头分别经10.78KN静压力试验和冲击锤质量为23kg，落下高度为300mm的冲击试验后，其间隙高度≥19mm，抗穿刺性能≥1850N，靴面经切割试验后不会被割穿；电绝缘性能：击穿电压≥5000V，泄露电流＜1mA；隔热性能≤8℃；抗辐射热渗透性能≤6℃；防滑性能≥15度。</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4.▲重量：≤2.</w:t>
            </w:r>
            <w:r>
              <w:rPr>
                <w:rFonts w:hint="eastAsia" w:ascii="仿宋_GB2312" w:hAnsi="宋体" w:eastAsia="仿宋_GB2312"/>
                <w:color w:val="auto"/>
                <w:szCs w:val="21"/>
                <w:highlight w:val="none"/>
                <w:lang w:val="en-US" w:eastAsia="zh-CN"/>
              </w:rPr>
              <w:t>2</w:t>
            </w:r>
            <w:r>
              <w:rPr>
                <w:rFonts w:hint="eastAsia" w:ascii="仿宋_GB2312" w:hAnsi="宋体" w:eastAsia="仿宋_GB2312"/>
                <w:color w:val="auto"/>
                <w:szCs w:val="21"/>
                <w:highlight w:val="none"/>
              </w:rPr>
              <w:t>kg</w:t>
            </w:r>
            <w:r>
              <w:rPr>
                <w:rFonts w:hint="eastAsia" w:ascii="仿宋_GB2312" w:hAnsi="宋体" w:eastAsia="仿宋_GB2312"/>
                <w:color w:val="auto"/>
                <w:szCs w:val="21"/>
                <w:highlight w:val="none"/>
                <w:lang w:eastAsia="zh-CN"/>
              </w:rPr>
              <w:t>（</w:t>
            </w:r>
            <w:r>
              <w:rPr>
                <w:rFonts w:hint="eastAsia" w:ascii="仿宋_GB2312" w:hAnsi="宋体" w:eastAsia="仿宋_GB2312"/>
                <w:color w:val="auto"/>
                <w:szCs w:val="21"/>
                <w:highlight w:val="none"/>
                <w:lang w:val="en-US" w:eastAsia="zh-CN"/>
              </w:rPr>
              <w:t>提供第三方机构出具的检测报告，</w:t>
            </w:r>
            <w:r>
              <w:rPr>
                <w:rFonts w:hint="eastAsia" w:ascii="仿宋_GB2312" w:hAnsi="宋体" w:eastAsia="仿宋_GB2312"/>
                <w:color w:val="auto"/>
                <w:szCs w:val="21"/>
                <w:highlight w:val="none"/>
                <w:lang w:eastAsia="zh-CN"/>
              </w:rPr>
              <w:t>参数须在检测报告上体现）</w:t>
            </w:r>
            <w:r>
              <w:rPr>
                <w:rFonts w:hint="eastAsia" w:ascii="仿宋_GB2312" w:hAnsi="宋体" w:eastAsia="仿宋_GB2312"/>
                <w:color w:val="auto"/>
                <w:szCs w:val="21"/>
                <w:highlight w:val="none"/>
              </w:rPr>
              <w:t>.</w:t>
            </w:r>
          </w:p>
          <w:p>
            <w:pPr>
              <w:keepNext w:val="0"/>
              <w:keepLines w:val="0"/>
              <w:pageBreakBefore w:val="0"/>
              <w:shd w:val="clear" w:color="auto" w:fill="FFFFFF"/>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5.靴后跟和靴头带有反光标识，靴后跟为三角形反光标识，采用在耐高温阻燃耐酸碱橡胶块上复合银色阻燃反光标志带。</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▲提供国家消防装备质量监督检验中心的检验报告和消防产品认证证书；</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7</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 w:hAnsi="仿宋" w:eastAsia="仿宋"/>
                <w:color w:val="auto"/>
                <w:sz w:val="24"/>
                <w:highlight w:val="none"/>
              </w:rPr>
              <w:t>■</w:t>
            </w:r>
            <w:r>
              <w:rPr>
                <w:rFonts w:hint="eastAsia" w:ascii="仿宋_GB2312" w:hAnsi="宋体" w:eastAsia="仿宋_GB2312"/>
                <w:color w:val="auto"/>
                <w:szCs w:val="21"/>
                <w:highlight w:val="none"/>
              </w:rPr>
              <w:t>正压式消防空气呼吸器</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套</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12</w:t>
            </w:r>
          </w:p>
        </w:tc>
        <w:tc>
          <w:tcPr>
            <w:tcW w:w="2909" w:type="pct"/>
            <w:vAlign w:val="center"/>
          </w:tcPr>
          <w:p>
            <w:pPr>
              <w:keepNext w:val="0"/>
              <w:keepLines w:val="0"/>
              <w:pageBreakBefore w:val="0"/>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1.技术性能符合</w:t>
            </w:r>
            <w:r>
              <w:rPr>
                <w:rFonts w:hint="eastAsia" w:ascii="仿宋_GB2312" w:hAnsi="宋体" w:eastAsia="仿宋_GB2312"/>
                <w:color w:val="auto"/>
                <w:szCs w:val="21"/>
                <w:highlight w:val="none"/>
                <w:lang w:val="en-US" w:eastAsia="zh-CN"/>
              </w:rPr>
              <w:t>国家消防行业标准</w:t>
            </w:r>
            <w:r>
              <w:rPr>
                <w:rFonts w:hint="eastAsia" w:ascii="仿宋_GB2312" w:hAnsi="宋体" w:eastAsia="仿宋_GB2312"/>
                <w:color w:val="auto"/>
                <w:szCs w:val="21"/>
                <w:highlight w:val="none"/>
              </w:rPr>
              <w:t>要求</w:t>
            </w:r>
          </w:p>
          <w:p>
            <w:pPr>
              <w:keepNext w:val="0"/>
              <w:keepLines w:val="0"/>
              <w:pageBreakBefore w:val="0"/>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2.空气呼吸器由楔形面罩、一体式扩音装置、带有满气提示功能的压力平视显示装置、供气阀、减压阀、报警器、背板和气瓶组成，具有耐高温、阻燃、绝缘、防腐、防水等性能。</w:t>
            </w:r>
          </w:p>
          <w:p>
            <w:pPr>
              <w:keepNext w:val="0"/>
              <w:keepLines w:val="0"/>
              <w:pageBreakBefore w:val="0"/>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3.气瓶工作压力为30Mpa，气瓶容积6.8L，气瓶阀带有简易压力计，无需开启气瓶即可观测气瓶压力。具有气瓶快换功能。</w:t>
            </w:r>
          </w:p>
          <w:p>
            <w:pPr>
              <w:keepNext w:val="0"/>
              <w:keepLines w:val="0"/>
              <w:pageBreakBefore w:val="0"/>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4.肩带及腰带采用阻燃材料制成，肩带需带有大面积反光条，腰带宽厚，带有可旋转式设计。</w:t>
            </w:r>
          </w:p>
          <w:p>
            <w:pPr>
              <w:keepNext w:val="0"/>
              <w:keepLines w:val="0"/>
              <w:pageBreakBefore w:val="0"/>
              <w:kinsoku/>
              <w:wordWrap/>
              <w:overflowPunct/>
              <w:topLinePunct w:val="0"/>
              <w:bidi w:val="0"/>
              <w:snapToGrid/>
              <w:spacing w:line="360" w:lineRule="exact"/>
              <w:jc w:val="left"/>
              <w:rPr>
                <w:rFonts w:hint="eastAsia" w:ascii="仿宋_GB2312" w:hAnsi="宋体" w:eastAsia="仿宋_GB2312"/>
                <w:color w:val="auto"/>
                <w:szCs w:val="21"/>
                <w:highlight w:val="none"/>
                <w:lang w:eastAsia="zh-CN"/>
              </w:rPr>
            </w:pPr>
            <w:r>
              <w:rPr>
                <w:rFonts w:hint="eastAsia" w:ascii="仿宋_GB2312" w:hAnsi="宋体" w:eastAsia="仿宋_GB2312"/>
                <w:color w:val="auto"/>
                <w:szCs w:val="21"/>
                <w:highlight w:val="none"/>
              </w:rPr>
              <w:t>5.▲动态呼吸阻力：气瓶压力</w:t>
            </w:r>
            <w:r>
              <w:rPr>
                <w:rFonts w:hint="default" w:ascii="Arial" w:hAnsi="Arial" w:eastAsia="仿宋_GB2312" w:cs="Arial"/>
                <w:color w:val="auto"/>
                <w:szCs w:val="21"/>
                <w:highlight w:val="none"/>
              </w:rPr>
              <w:t>≥</w:t>
            </w:r>
            <w:r>
              <w:rPr>
                <w:rFonts w:hint="eastAsia" w:ascii="仿宋_GB2312" w:hAnsi="宋体" w:eastAsia="仿宋_GB2312"/>
                <w:color w:val="auto"/>
                <w:szCs w:val="21"/>
                <w:highlight w:val="none"/>
              </w:rPr>
              <w:t>30MPa~2MPa，呼吸量</w:t>
            </w:r>
            <w:r>
              <w:rPr>
                <w:rFonts w:hint="default" w:ascii="Arial" w:hAnsi="Arial" w:eastAsia="仿宋_GB2312" w:cs="Arial"/>
                <w:color w:val="auto"/>
                <w:szCs w:val="21"/>
                <w:highlight w:val="none"/>
              </w:rPr>
              <w:t>≥</w:t>
            </w:r>
            <w:r>
              <w:rPr>
                <w:rFonts w:hint="eastAsia" w:ascii="仿宋_GB2312" w:hAnsi="宋体" w:eastAsia="仿宋_GB2312"/>
                <w:color w:val="auto"/>
                <w:szCs w:val="21"/>
                <w:highlight w:val="none"/>
              </w:rPr>
              <w:t>40x2.5L/min，全面罩内应始终保持正压，吸气阻力≤330Pa，呼气阻力≤630Pa；气瓶压力</w:t>
            </w:r>
            <w:r>
              <w:rPr>
                <w:rFonts w:hint="default" w:ascii="Arial" w:hAnsi="Arial" w:eastAsia="仿宋_GB2312" w:cs="Arial"/>
                <w:color w:val="auto"/>
                <w:szCs w:val="21"/>
                <w:highlight w:val="none"/>
              </w:rPr>
              <w:t>≥</w:t>
            </w:r>
            <w:r>
              <w:rPr>
                <w:rFonts w:hint="eastAsia" w:ascii="仿宋_GB2312" w:hAnsi="宋体" w:eastAsia="仿宋_GB2312"/>
                <w:color w:val="auto"/>
                <w:szCs w:val="21"/>
                <w:highlight w:val="none"/>
              </w:rPr>
              <w:t>2MPa~1MPa，呼吸量</w:t>
            </w:r>
            <w:r>
              <w:rPr>
                <w:rFonts w:hint="default" w:ascii="Arial" w:hAnsi="Arial" w:eastAsia="仿宋_GB2312" w:cs="Arial"/>
                <w:color w:val="auto"/>
                <w:szCs w:val="21"/>
                <w:highlight w:val="none"/>
              </w:rPr>
              <w:t>≥</w:t>
            </w:r>
            <w:r>
              <w:rPr>
                <w:rFonts w:hint="eastAsia" w:ascii="仿宋_GB2312" w:hAnsi="宋体" w:eastAsia="仿宋_GB2312"/>
                <w:color w:val="auto"/>
                <w:szCs w:val="21"/>
                <w:highlight w:val="none"/>
              </w:rPr>
              <w:t>25x2L/min，吸气阻力≤260Pa，呼气阻力≤470MPa。耐高温性能：呼气阻力≤630Pa；耐低温性能：呼气阻力≤490Pa；耐辐射热性能：气瓶压力</w:t>
            </w:r>
            <w:r>
              <w:rPr>
                <w:rFonts w:hint="default" w:ascii="Arial" w:hAnsi="Arial" w:eastAsia="仿宋_GB2312" w:cs="Arial"/>
                <w:color w:val="auto"/>
                <w:szCs w:val="21"/>
                <w:highlight w:val="none"/>
              </w:rPr>
              <w:t>≥</w:t>
            </w:r>
            <w:r>
              <w:rPr>
                <w:rFonts w:hint="eastAsia" w:ascii="仿宋_GB2312" w:hAnsi="宋体" w:eastAsia="仿宋_GB2312"/>
                <w:color w:val="auto"/>
                <w:szCs w:val="21"/>
                <w:highlight w:val="none"/>
              </w:rPr>
              <w:t>30MPa-2MPa呼吸量</w:t>
            </w:r>
            <w:r>
              <w:rPr>
                <w:rFonts w:hint="default" w:ascii="Arial" w:hAnsi="Arial" w:eastAsia="仿宋_GB2312" w:cs="Arial"/>
                <w:color w:val="auto"/>
                <w:szCs w:val="21"/>
                <w:highlight w:val="none"/>
              </w:rPr>
              <w:t>≥</w:t>
            </w:r>
            <w:r>
              <w:rPr>
                <w:rFonts w:hint="eastAsia" w:ascii="仿宋_GB2312" w:hAnsi="宋体" w:eastAsia="仿宋_GB2312"/>
                <w:color w:val="auto"/>
                <w:szCs w:val="21"/>
                <w:highlight w:val="none"/>
              </w:rPr>
              <w:t>40x2.5L/min时吸气阻力≤25Pa，呼气阻力≤900Pa</w:t>
            </w:r>
            <w:r>
              <w:rPr>
                <w:rFonts w:hint="eastAsia" w:ascii="仿宋_GB2312" w:hAnsi="宋体" w:eastAsia="仿宋_GB2312"/>
                <w:color w:val="auto"/>
                <w:szCs w:val="21"/>
                <w:highlight w:val="none"/>
                <w:lang w:eastAsia="zh-CN"/>
              </w:rPr>
              <w:t>（</w:t>
            </w:r>
            <w:r>
              <w:rPr>
                <w:rFonts w:hint="eastAsia" w:ascii="仿宋_GB2312" w:hAnsi="宋体" w:eastAsia="仿宋_GB2312"/>
                <w:color w:val="auto"/>
                <w:szCs w:val="21"/>
                <w:highlight w:val="none"/>
                <w:lang w:val="en-US" w:eastAsia="zh-CN"/>
              </w:rPr>
              <w:t>提供第三方机构出具的检测报告，</w:t>
            </w:r>
            <w:r>
              <w:rPr>
                <w:rFonts w:hint="eastAsia" w:ascii="仿宋_GB2312" w:hAnsi="宋体" w:eastAsia="仿宋_GB2312"/>
                <w:color w:val="auto"/>
                <w:szCs w:val="21"/>
                <w:highlight w:val="none"/>
                <w:lang w:eastAsia="zh-CN"/>
              </w:rPr>
              <w:t>参数须在检测报告上体现）</w:t>
            </w:r>
            <w:r>
              <w:rPr>
                <w:rFonts w:hint="eastAsia" w:ascii="仿宋_GB2312" w:hAnsi="宋体" w:eastAsia="仿宋_GB2312"/>
                <w:color w:val="auto"/>
                <w:szCs w:val="21"/>
                <w:highlight w:val="none"/>
              </w:rPr>
              <w:t>。</w:t>
            </w:r>
          </w:p>
          <w:p>
            <w:pPr>
              <w:keepNext w:val="0"/>
              <w:keepLines w:val="0"/>
              <w:pageBreakBefore w:val="0"/>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6.每台呼吸器的背具上有“制造商名称、产品名称及型号、生产日期和批号、认证标志”等标志内容。气瓶上标有“压缩空气、气瓶唯一编号、水压试验压力、公称工作压力、公称容积、重量、生产日期、检验周期、使用年限、产品执行标准号”等标识。配阻燃气瓶保护套，保护套主体为红色、橙色等警示性强的颜色。</w:t>
            </w:r>
          </w:p>
          <w:p>
            <w:pPr>
              <w:keepNext w:val="0"/>
              <w:keepLines w:val="0"/>
              <w:pageBreakBefore w:val="0"/>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7.大视野全面罩楔形面屏，口鼻罩小，须适合中国人的口鼻特征，佩戴贴合、密封、舒适。面罩总视野保留率不低于75%，双目视野保留率不低于60%，镜片透光率不低于90%。</w:t>
            </w:r>
          </w:p>
          <w:p>
            <w:pPr>
              <w:keepNext w:val="0"/>
              <w:keepLines w:val="0"/>
              <w:pageBreakBefore w:val="0"/>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8.面罩前双侧配扬声器，具有扩音功能，面罩电子部件可轻松拆卸，便于面屏清洗，采用锂电池供电。面罩头网采用网状KEVLAR阻燃材料制成，薄型网状结构，受力均匀，透气舒适，五点式收紧，方便佩戴。</w:t>
            </w:r>
          </w:p>
          <w:p>
            <w:pPr>
              <w:keepNext w:val="0"/>
              <w:keepLines w:val="0"/>
              <w:pageBreakBefore w:val="0"/>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9.带有他救接口，可同时连接两个供气阀及面罩。减压器上配置的安全阀，当输出压力超过设定安全压力时，中压安全阀会自动泄压；他救中压导气管采用人性化减压器输出端输出设计。中压导气管上的快插接头尺寸规格应符合 GA124-2013标准要求，并可自行密封。</w:t>
            </w:r>
          </w:p>
          <w:p>
            <w:pPr>
              <w:keepNext w:val="0"/>
              <w:keepLines w:val="0"/>
              <w:pageBreakBefore w:val="0"/>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10.报警哨与压力表一体化设计，报警哨在肩部的前方，报警声≥90分贝。</w:t>
            </w:r>
          </w:p>
          <w:p>
            <w:pPr>
              <w:keepNext w:val="0"/>
              <w:keepLines w:val="0"/>
              <w:pageBreakBefore w:val="0"/>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11.HUD压力平视显示装置使用 LED 指示灯显示气瓶内气压状况。实时精密侦测气瓶内气压变化并提示消防员，消防员可用余光观察，LED灯光带有光敏电阻，光线强度随环境明暗进行调节。气瓶阀打开后侦测模块开始工作，气瓶阀关闭，侦测模组进入休眠状态。压力平视显示器上至少包括5 个指示灯，依次为绿、黄、红、黄、蓝布置；分别显示气瓶剩余气压值、对码功能、电源电量，系统开机时首先自检，确认指示灯工作正常；3 个显示气瓶剩余气压值指示灯，当气瓶压力在30MPa～25MPa时，双绿灯常亮，带有气源充足提示灯功能；当气瓶压力在25MPa～10MPa时单绿灯常亮；当气瓶压力在 10MPa～6MPa时黄灯常亮；当气瓶压力在 6MPa 以下时，红灯一直闪亮；当压力平视显示装置电源远处于低电压时，黄灯一直闪亮，当发射装置与显示装置配对时，蓝灯一直闪亮；当配对成功后，蓝灯熄灭。光线亮度可随环境光线强度变化。</w:t>
            </w:r>
          </w:p>
          <w:p>
            <w:pPr>
              <w:keepNext w:val="0"/>
              <w:keepLines w:val="0"/>
              <w:pageBreakBefore w:val="0"/>
              <w:kinsoku/>
              <w:wordWrap/>
              <w:overflowPunct/>
              <w:topLinePunct w:val="0"/>
              <w:bidi w:val="0"/>
              <w:snapToGrid/>
              <w:spacing w:line="3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12.▲空气呼吸器及配套的提供应急管理部消防产品合格评定中心出具的消防认证证书、国家消防装备质量监督检验中心检测报告及通讯电部件防爆合格证。</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8</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佩戴式防爆照明灯</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盏</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50</w:t>
            </w:r>
          </w:p>
        </w:tc>
        <w:tc>
          <w:tcPr>
            <w:tcW w:w="2909" w:type="pct"/>
            <w:vAlign w:val="center"/>
          </w:tcPr>
          <w:p>
            <w:pPr>
              <w:keepNext w:val="0"/>
              <w:keepLines w:val="0"/>
              <w:pageBreakBefore w:val="0"/>
              <w:numPr>
                <w:ilvl w:val="0"/>
                <w:numId w:val="5"/>
              </w:numPr>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主要执行</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 xml:space="preserve">标准 </w:t>
            </w:r>
            <w:r>
              <w:rPr>
                <w:rFonts w:hint="eastAsia" w:ascii="仿宋_GB2312" w:hAnsi="宋体" w:eastAsia="仿宋_GB2312"/>
                <w:color w:val="auto"/>
                <w:szCs w:val="21"/>
                <w:highlight w:val="none"/>
                <w:lang w:val="en-US" w:eastAsia="zh-CN"/>
              </w:rPr>
              <w:t>.</w:t>
            </w:r>
            <w:r>
              <w:rPr>
                <w:rFonts w:hint="eastAsia" w:ascii="仿宋_GB2312" w:hAnsi="宋体" w:eastAsia="仿宋_GB2312"/>
                <w:color w:val="auto"/>
                <w:szCs w:val="21"/>
                <w:highlight w:val="none"/>
              </w:rPr>
              <w:t xml:space="preserve">     </w:t>
            </w:r>
          </w:p>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2.具有优良的防爆、防静电性能，可在易燃易爆场所安全使用。</w:t>
            </w:r>
          </w:p>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3.光源采用第四代绿色环保大功率、高亮度白光LED，寿命可达10万小时，反射器采用高科技表面处理工艺，反光效率高。</w:t>
            </w:r>
          </w:p>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4.具有照明、频闪和远距离信号指示功能，灯具照射距离可达100米以上，可视距离达500米以上。</w:t>
            </w:r>
          </w:p>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5.高能无记忆电池，容量大，寿命长，自放电率低，经济环保。</w:t>
            </w:r>
          </w:p>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6.高硬度合金外壳，确保其能经受强烈冲击；防水并耐高低温、高湿性能好，可在各种恶劣环境条件下正常使用。</w:t>
            </w:r>
          </w:p>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7.灯具内部电路设计具有防止过充、过放、短路保护装置及开关防误操作功能。</w:t>
            </w:r>
          </w:p>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8.外形美观，体积小，重量轻，携带方便，操作简单。</w:t>
            </w:r>
          </w:p>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9.四格电量指示功能，随时查看灯具电量；尾灯警示功能，便于后方观测前方人员距离。主要技术参数：防爆标志：Ed ⅡCT6Gb；额定电压：3.7V；光源类型：LED；防护等级≥IP66；标称重量≤0.1</w:t>
            </w:r>
            <w:r>
              <w:rPr>
                <w:rFonts w:hint="eastAsia" w:ascii="仿宋_GB2312" w:hAnsi="宋体" w:eastAsia="仿宋_GB2312"/>
                <w:color w:val="auto"/>
                <w:szCs w:val="21"/>
                <w:highlight w:val="none"/>
                <w:lang w:val="en-US" w:eastAsia="zh-CN"/>
              </w:rPr>
              <w:t>3</w:t>
            </w:r>
            <w:r>
              <w:rPr>
                <w:rFonts w:hint="eastAsia" w:ascii="仿宋_GB2312" w:hAnsi="宋体" w:eastAsia="仿宋_GB2312"/>
                <w:color w:val="auto"/>
                <w:szCs w:val="21"/>
                <w:highlight w:val="none"/>
              </w:rPr>
              <w:t xml:space="preserve">Kg；外形尺寸≤φ24×126mm；工作时间：强光≥4h，弱光≥8h光。  </w:t>
            </w:r>
          </w:p>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10.▲需</w:t>
            </w:r>
            <w:r>
              <w:rPr>
                <w:rFonts w:hint="eastAsia" w:ascii="仿宋_GB2312" w:hAnsi="宋体" w:eastAsia="仿宋_GB2312"/>
                <w:color w:val="auto"/>
                <w:szCs w:val="21"/>
                <w:highlight w:val="none"/>
                <w:lang w:val="en-US" w:eastAsia="zh-CN"/>
              </w:rPr>
              <w:t>提供第三方机构出具的检测报告</w:t>
            </w:r>
            <w:r>
              <w:rPr>
                <w:rFonts w:hint="eastAsia" w:ascii="仿宋_GB2312" w:hAnsi="宋体" w:eastAsia="仿宋_GB2312"/>
                <w:color w:val="auto"/>
                <w:szCs w:val="21"/>
                <w:highlight w:val="none"/>
              </w:rPr>
              <w:t>防爆合格证复印件。</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p>
            <w:pPr>
              <w:keepNext w:val="0"/>
              <w:keepLines w:val="0"/>
              <w:pageBreakBefore w:val="0"/>
              <w:kinsoku/>
              <w:wordWrap/>
              <w:overflowPunct/>
              <w:topLinePunct w:val="0"/>
              <w:bidi w:val="0"/>
              <w:snapToGrid/>
              <w:spacing w:line="360" w:lineRule="exact"/>
              <w:rPr>
                <w:rFonts w:ascii="仿宋_GB2312" w:hAnsi="宋体" w:eastAsia="仿宋_GB2312"/>
                <w:color w:val="auto"/>
                <w:szCs w:val="21"/>
                <w:highlight w:val="none"/>
              </w:rPr>
            </w:pPr>
          </w:p>
          <w:p>
            <w:pPr>
              <w:keepNext w:val="0"/>
              <w:keepLines w:val="0"/>
              <w:pageBreakBefore w:val="0"/>
              <w:kinsoku/>
              <w:wordWrap/>
              <w:overflowPunct/>
              <w:topLinePunct w:val="0"/>
              <w:bidi w:val="0"/>
              <w:snapToGrid/>
              <w:spacing w:line="360" w:lineRule="exact"/>
              <w:rPr>
                <w:rFonts w:ascii="仿宋_GB2312" w:hAnsi="宋体" w:eastAsia="仿宋_GB2312"/>
                <w:color w:val="auto"/>
                <w:szCs w:val="21"/>
                <w:highlight w:val="none"/>
              </w:rPr>
            </w:pPr>
          </w:p>
          <w:p>
            <w:pPr>
              <w:keepNext w:val="0"/>
              <w:keepLines w:val="0"/>
              <w:pageBreakBefore w:val="0"/>
              <w:kinsoku/>
              <w:wordWrap/>
              <w:overflowPunct/>
              <w:topLinePunct w:val="0"/>
              <w:bidi w:val="0"/>
              <w:snapToGrid/>
              <w:spacing w:line="360" w:lineRule="exact"/>
              <w:rPr>
                <w:rFonts w:ascii="仿宋_GB2312" w:hAnsi="宋体" w:eastAsia="仿宋_GB2312"/>
                <w:color w:val="auto"/>
                <w:szCs w:val="21"/>
                <w:highlight w:val="none"/>
              </w:rPr>
            </w:pPr>
          </w:p>
          <w:p>
            <w:pPr>
              <w:keepNext w:val="0"/>
              <w:keepLines w:val="0"/>
              <w:pageBreakBefore w:val="0"/>
              <w:kinsoku/>
              <w:wordWrap/>
              <w:overflowPunct/>
              <w:topLinePunct w:val="0"/>
              <w:bidi w:val="0"/>
              <w:snapToGrid/>
              <w:spacing w:line="360" w:lineRule="exact"/>
              <w:rPr>
                <w:rFonts w:ascii="仿宋_GB2312" w:hAnsi="宋体" w:eastAsia="仿宋_GB2312"/>
                <w:color w:val="auto"/>
                <w:szCs w:val="21"/>
                <w:highlight w:val="none"/>
              </w:rPr>
            </w:pPr>
          </w:p>
          <w:p>
            <w:pPr>
              <w:keepNext w:val="0"/>
              <w:keepLines w:val="0"/>
              <w:pageBreakBefore w:val="0"/>
              <w:kinsoku/>
              <w:wordWrap/>
              <w:overflowPunct/>
              <w:topLinePunct w:val="0"/>
              <w:bidi w:val="0"/>
              <w:snapToGrid/>
              <w:spacing w:line="360" w:lineRule="exac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9</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消防员呼救器</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个</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50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1、技术性能符合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标准要求。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2、外观结构应完整，表面无明显的斑点，气泡，裂纹和伤痕，壳体包裹防弹胶。</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3、防爆等级：不低于Ex ib IIB T4 Gb。</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4、防水性能：呼救器置于水深为1.5米的容器中2小时，应无水渗入。</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5、耐气候环境性能和耐机械环境性能应符合标准要求。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6、预报警功能、自动报警功能、手动报警功能、低电压告警功能应满足标准要求。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7、绝缘性能：正常情况≥550MΩ，湿热试验后≥550MΩ。</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8、允许静止时间：30±1s。</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9、预报警时间：15±1s。</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10、预报警声级强度：≥97dB。</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11、报警声级强度：≥105dB。</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12、连续报警时间：≥420min。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13、连续开机时间：≥26h。</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14、发光亮度：＞300cd/m²。</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15、质量≤180g</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16、提供国家消防装备质量监督检验中心检验报告复印件。</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10</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应急逃生自救安全绳</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根</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1.整体要求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▲1.1 符合《8毫米自救安全绳套装试验大纲》标准要求并提供相应检验报告复印件。轻型安全钩和下降器需提供国家消防装备质量监督检验中心出具的检测报告</w:t>
            </w:r>
            <w:r>
              <w:rPr>
                <w:rFonts w:hint="eastAsia" w:ascii="仿宋_GB2312" w:hAnsi="宋体" w:eastAsia="仿宋_GB2312"/>
                <w:color w:val="auto"/>
                <w:szCs w:val="21"/>
                <w:highlight w:val="none"/>
              </w:rPr>
              <w:t>和应急管理部消防产品合格评定中心的认证证书。</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1.2 专门为消防员所研制的个人自救逃生用安全绳套组。</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1.3 组成：多功能绳包、8毫米安全绳、轻型安全钩、可调节下降器、中空连接扁绳、排绳器等。</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1.4整套套装质量≤1.5Kg。</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2.技术要求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2.1 自救安全绳</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2.1.1直径8mm，长度16m；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2.1.2破断强度≥22.5KN；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2.1.3延伸率≤6.5%（承重达到最小破断强度的10%时）；</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2.1.4经204（±5）℃的耐高温性能试验后，未出现融熔、焦化现象；</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2.1.5在600（±5）℃、1.33kN负荷环境下的承载45s，在400（±5）℃、1.33kN负荷环境下承载300s，未出现断裂现象；</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2.1.6线密度≤50g/m。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2.2 轻型安全钩</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2.2.1开口距离21±1mm；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2.2.2长轴破断强度≥27KN；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2.2.3短轴破断强度≥7KN；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2.2.4自动保护三锁装置（即提起、转动和开锁）；</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2.2.5尺寸145mm×67（±2）mm；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2.2.6净重≤110g；</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2.2.7有永久性标识；</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2.3 下降器</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2.3.1为防慌乱设计，四孔设计孔径≯12.6mm；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2.3.2破断强度＞13KN；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2.3.3尺寸145mm×47（±2）mm；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2.3.4净重≤200g；</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2.3.5适用绳索直径范围为7.5-9.5 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2.4 中空连接扁绳</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2.4.1扁绳规格6.8mm×长1000mm；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2.4.2破断强度≥30KN；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2.4.3整根重量≤80g/根</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2.5 绳包</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2.5.1绳包为阻燃面料，经260℃高温试验后无明显变化；</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2.5.2方便快捷佩戴和拆卸功能；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2.5.3绳包两端设计放置安全钩，取出便捷；</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2.5.4绳包盖内设计绳夹，方便在绳索上快速定位和拆收。</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2.6 排绳器</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lang w:val="zh-CN"/>
              </w:rPr>
            </w:pPr>
            <w:r>
              <w:rPr>
                <w:rFonts w:hint="eastAsia" w:ascii="仿宋_GB2312" w:hAnsi="宋体" w:eastAsia="仿宋_GB2312"/>
                <w:color w:val="auto"/>
                <w:szCs w:val="21"/>
                <w:highlight w:val="none"/>
                <w:lang w:val="zh-CN"/>
              </w:rPr>
              <w:t>2.6.1单人操作，可方便快捷将使用过安全绳环绕排列放入绳包；</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lang w:val="zh-CN"/>
              </w:rPr>
              <w:t>2.6.2排绳器的尺寸满足绳子捆绑2-3层，不易脱落且美观。</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11</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消防腰斧</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把</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1.整体性能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1.1符合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标准要求。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1.2本产品适用于消防员随身佩戴，在灭火救援时用于手动破拆非带电障碍物。是集砍、斧、锤、撬、锯等功能为一体的便携式手动工具。本产品可在火场、灾场等各种特殊场合进行救援工作，具有携带方便、多功能、绝缘等特点。</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1.3斧体采用3CR13不锈钢材料，斧柄套为高强度工程橡胶。</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2.技术性能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2.1腰斧全长：285±2.5mm；斧头长：160±2.5mm；斧头厚：10±1mm；平刃宽：56±1.5mm；刃部硬度为48-56HRC，</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2.2</w:t>
            </w:r>
            <w:r>
              <w:rPr>
                <w:rFonts w:hint="eastAsia" w:ascii="仿宋_GB2312" w:hAnsi="宋体" w:eastAsia="仿宋_GB2312"/>
                <w:color w:val="auto"/>
                <w:szCs w:val="21"/>
                <w:highlight w:val="none"/>
                <w:lang w:val="zh-CN"/>
              </w:rPr>
              <w:t>▲</w:t>
            </w:r>
            <w:r>
              <w:rPr>
                <w:rFonts w:hint="eastAsia" w:ascii="仿宋_GB2312" w:hAnsi="宋体" w:eastAsia="仿宋_GB2312"/>
                <w:color w:val="auto"/>
                <w:szCs w:val="21"/>
                <w:highlight w:val="none"/>
              </w:rPr>
              <w:t>质量：</w:t>
            </w:r>
            <w:r>
              <w:rPr>
                <w:rFonts w:hint="default" w:ascii="Arial" w:hAnsi="Arial" w:eastAsia="仿宋_GB2312" w:cs="Arial"/>
                <w:color w:val="auto"/>
                <w:szCs w:val="21"/>
                <w:highlight w:val="none"/>
              </w:rPr>
              <w:t>≤</w:t>
            </w:r>
            <w:r>
              <w:rPr>
                <w:rFonts w:hint="eastAsia" w:ascii="仿宋_GB2312" w:hAnsi="宋体" w:eastAsia="仿宋_GB2312"/>
                <w:color w:val="auto"/>
                <w:szCs w:val="21"/>
                <w:highlight w:val="none"/>
              </w:rPr>
              <w:t>0.</w:t>
            </w:r>
            <w:r>
              <w:rPr>
                <w:rFonts w:hint="eastAsia" w:ascii="仿宋_GB2312" w:hAnsi="宋体" w:eastAsia="仿宋_GB2312"/>
                <w:color w:val="auto"/>
                <w:szCs w:val="21"/>
                <w:highlight w:val="none"/>
                <w:lang w:val="en-US" w:eastAsia="zh-CN"/>
              </w:rPr>
              <w:t>8</w:t>
            </w:r>
            <w:r>
              <w:rPr>
                <w:rFonts w:hint="eastAsia" w:ascii="仿宋_GB2312" w:hAnsi="宋体" w:eastAsia="仿宋_GB2312"/>
                <w:color w:val="auto"/>
                <w:szCs w:val="21"/>
                <w:highlight w:val="none"/>
              </w:rPr>
              <w:t>Kg</w:t>
            </w:r>
            <w:r>
              <w:rPr>
                <w:rFonts w:hint="eastAsia" w:ascii="仿宋_GB2312" w:hAnsi="宋体" w:eastAsia="仿宋_GB2312"/>
                <w:color w:val="auto"/>
                <w:szCs w:val="21"/>
                <w:highlight w:val="none"/>
                <w:lang w:eastAsia="zh-CN"/>
              </w:rPr>
              <w:t>（</w:t>
            </w:r>
            <w:r>
              <w:rPr>
                <w:rFonts w:hint="eastAsia" w:ascii="仿宋_GB2312" w:hAnsi="宋体" w:eastAsia="仿宋_GB2312"/>
                <w:color w:val="auto"/>
                <w:szCs w:val="21"/>
                <w:highlight w:val="none"/>
                <w:lang w:val="en-US" w:eastAsia="zh-CN"/>
              </w:rPr>
              <w:t>提供第三方机构出具的检测报告，</w:t>
            </w:r>
            <w:r>
              <w:rPr>
                <w:rFonts w:hint="eastAsia" w:ascii="仿宋_GB2312" w:hAnsi="宋体" w:eastAsia="仿宋_GB2312"/>
                <w:color w:val="auto"/>
                <w:szCs w:val="21"/>
                <w:highlight w:val="none"/>
                <w:lang w:eastAsia="zh-CN"/>
              </w:rPr>
              <w:t>参数须在检测报告上体现）</w:t>
            </w:r>
            <w:r>
              <w:rPr>
                <w:rFonts w:hint="eastAsia" w:ascii="仿宋_GB2312" w:hAnsi="宋体" w:eastAsia="仿宋_GB2312"/>
                <w:color w:val="auto"/>
                <w:szCs w:val="21"/>
                <w:highlight w:val="none"/>
              </w:rPr>
              <w:t>。</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2.3抗冲击性能：各刃部经5Kg的重锤冲击后，无裂纹、变形等损伤。</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2.4平刃砍断性能：能砍断直径6.5mm的Q235A圆钢，无明显缺刃、卷边和裂缝等损伤。</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2.5尖刃和柄刃凿击性能：能凿击Q235A钢平板，无明显缺刃、卷边和裂缝等损伤。</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2.6耐腐蚀性能：经48h中性盐雾实验后，外观符合GB/T6461-2002外观等级评定轻微级的要求。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3.其他</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3.1斧刃上标刻由永久性的标签，标签内容包括：规格型号、执行标准、生产厂家、生产日期等。</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3.2每把腰斧有配套的腰斧套可以挂载在腰带上，牢固、易取但不易脱落。</w:t>
            </w:r>
          </w:p>
          <w:p>
            <w:pPr>
              <w:pStyle w:val="20"/>
              <w:keepNext w:val="0"/>
              <w:keepLines w:val="0"/>
              <w:pageBreakBefore w:val="0"/>
              <w:kinsoku/>
              <w:wordWrap/>
              <w:overflowPunct/>
              <w:topLinePunct w:val="0"/>
              <w:bidi w:val="0"/>
              <w:snapToGrid/>
              <w:spacing w:line="360" w:lineRule="exact"/>
              <w:ind w:left="0" w:leftChars="0"/>
              <w:rPr>
                <w:color w:val="auto"/>
                <w:highlight w:val="none"/>
              </w:rPr>
            </w:pPr>
            <w:r>
              <w:rPr>
                <w:rFonts w:hint="eastAsia" w:ascii="仿宋_GB2312" w:hAnsi="宋体" w:eastAsia="仿宋_GB2312"/>
                <w:color w:val="auto"/>
                <w:szCs w:val="21"/>
                <w:highlight w:val="none"/>
              </w:rPr>
              <w:t>提供检测报告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12</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消防员灭火防护头套</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个</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50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1.整体性能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1.1符合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标准要求。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1.2消防员在灭火救援现场套在头部，与消防头盔和消防员呼吸防护装具配合使用，用于保护头部、侧面部以及颈部免受火焰烧伤或高温烫伤的防护装具。</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2.材料及结构</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2.1面料为针织面料，采用X-FIPER芳纶纤维与抗静电纤维混纺制造，克重（225±18）g/m2。</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2.2本产品为双层结构，柔软舒适，耐水洗，长时间使用并多次清洗后，阻燃隔热效果不受影响。</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2.3头套前部、后部与防护服领口内重叠的长度≥200mm，头套侧部与防护服领口内重叠的长度≥130mm，保证在剧烈运动时，头套仍然能够固定并塞在衣服内。</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2.4颜色为白色。</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3.技术性能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3.1阻燃性能：经向损毁长度20mm、纬向损毁长度18mm，续燃时间0s，无熔融、滴落现象；</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3.2热稳定性能：尺寸变化率2.0%，无变色、熔融和滴落现象；</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3.3水洗尺寸变化率：直向1.3%、横向1.4%；</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3.4抗起球性能：4级；</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3.5甲醛含量：无；</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3.6PH值：6.92</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3.7缝纫线耐高温性能：无熔融、炭化现象；</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宋体" w:hAnsi="宋体" w:cs="宋体"/>
                <w:color w:val="auto"/>
                <w:szCs w:val="21"/>
                <w:highlight w:val="none"/>
              </w:rPr>
              <w:t>▲</w:t>
            </w:r>
            <w:r>
              <w:rPr>
                <w:rFonts w:hint="eastAsia" w:ascii="仿宋_GB2312" w:hAnsi="宋体" w:eastAsia="仿宋_GB2312"/>
                <w:color w:val="auto"/>
                <w:szCs w:val="21"/>
                <w:highlight w:val="none"/>
              </w:rPr>
              <w:t>3.8整体性能：接缝强力:≥ 610N；面部开口尺寸稳定性≥1.0%；针距密度：缝制明暗线≥14针/3cm；质量：≤122g.（提供第三方机构出具的检测报告，参数须在检测报告上体现）</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4.其他</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每只头套有永久性的标签，标签内容包括：规格型号、执行标准、产品识别编号、材料、生产厂家、地址、生产日期、洗涤和干燥说明、禁止使用场合。</w:t>
            </w:r>
          </w:p>
          <w:p>
            <w:pPr>
              <w:pStyle w:val="20"/>
              <w:keepNext w:val="0"/>
              <w:keepLines w:val="0"/>
              <w:pageBreakBefore w:val="0"/>
              <w:kinsoku/>
              <w:wordWrap/>
              <w:overflowPunct/>
              <w:topLinePunct w:val="0"/>
              <w:bidi w:val="0"/>
              <w:snapToGrid/>
              <w:spacing w:line="360" w:lineRule="exact"/>
              <w:ind w:left="0" w:leftChars="0"/>
              <w:rPr>
                <w:color w:val="auto"/>
                <w:highlight w:val="none"/>
              </w:rPr>
            </w:pPr>
            <w:r>
              <w:rPr>
                <w:rFonts w:hint="eastAsia" w:ascii="仿宋_GB2312" w:hAnsi="宋体" w:eastAsia="仿宋_GB2312"/>
                <w:color w:val="auto"/>
                <w:szCs w:val="21"/>
                <w:highlight w:val="none"/>
              </w:rPr>
              <w:t>5.提供检测报告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13</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防静电内衣</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件</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40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1.整体性能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1.1符合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标准要求。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2.外观要求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2.1缝纫永久性标签位置正确，生产厂家、生产时间、制作材料、号型标志准确清晰。</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2.2各部位整烫平服、整洁。</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2.3由纯棉织物并经过防静电处理而成，外观为分体式，分上衣和裤子具备柔软、防静电等性能。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3.技术要求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3.1洗涤25次不退色。</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3.2带点电荷量：0.46μC/件</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3.3涨破强度：476kPa</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3.4耐洗色牢度：变色4-5级，沾色4-5级</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3.5甲醛含量：为0</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3.6PH值：6.9</w:t>
            </w:r>
          </w:p>
          <w:p>
            <w:pPr>
              <w:pStyle w:val="20"/>
              <w:keepNext w:val="0"/>
              <w:keepLines w:val="0"/>
              <w:pageBreakBefore w:val="0"/>
              <w:kinsoku/>
              <w:wordWrap/>
              <w:overflowPunct/>
              <w:topLinePunct w:val="0"/>
              <w:bidi w:val="0"/>
              <w:snapToGrid/>
              <w:spacing w:line="360" w:lineRule="exact"/>
              <w:ind w:left="0" w:leftChars="0"/>
              <w:rPr>
                <w:color w:val="auto"/>
                <w:highlight w:val="none"/>
              </w:rPr>
            </w:pPr>
            <w:r>
              <w:rPr>
                <w:rFonts w:hint="eastAsia" w:ascii="仿宋_GB2312" w:hAnsi="宋体" w:eastAsia="仿宋_GB2312"/>
                <w:color w:val="auto"/>
                <w:szCs w:val="21"/>
                <w:highlight w:val="none"/>
              </w:rPr>
              <w:t>4.提供检测报告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14</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消防护目镜</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副</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具备防冲击和化学品飞溅性能，镜片抗冲击力≥120m/s，框架采用防火PVC材料，镜片内侧防雾气，外侧防刮擦。</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15</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消防员抢险救援头盔（指挥款）</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顶</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5</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1.参照部消防局统型要求，主要技术性能符合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标准要求。由盔壳、滑轨、缓冲层、舒适衬垫、佩戴装置等组成。</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2.用于在抢险救援活动中对头部、面部及颈部的安全防护，具有抗冲击、耐穿透、防腐蚀、绝缘等性能。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3.盔壳：耐高温阻燃材质，指挥员头盔为红色，战斗员头盔为橘红色。</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头模所受最大冲击力不大于3330N。重量≤800g，有明显的反光标志，可安装头灯。</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4.耐穿透性能：低温（-28℃ 4h）钢锥未与头模建立电接触。</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5.阻燃性能：火源离开帽壳后，其离火自熄时间：前方：0s、后方：1.0s、左侧：0s、右侧：0s。</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6.热稳定性能：试样在180±5℃条件下，保持5min后，救援头盔边沿无变形；硬质附件仍保持功能完好。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7.电绝缘性能：帽壳的泄漏电流≤0.5mA。</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8.侧向刚性：帽壳的最大变形≤40mm，卸载后变形≤5mm。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9.下颏带抗拉强度：下颏带未发生断裂、滑脱，其延伸长度≤15mm。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帽壳表面色泽鲜明、光洁，无污渍、气泡、缺损及其他有损外观的缺陷；头盔各部件的安装到位、牢固、端正，无松脱、滑落现象。</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10.产品提供检验报告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16</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消防员抢险救援头盔（作战款）</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顶</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25</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1.参照部消防局统型要求，主要技术性能符合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标准要求。由盔壳、滑轨、缓冲层、舒适衬垫、佩戴装置等组成。</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2.用于在抢险救援活动中对头部、面部及颈部的安全防护，具有抗冲击、耐穿透、防腐蚀、绝缘等性能。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3.盔壳：耐高温阻燃材质，指挥员头盔为红色，战斗员头盔为橘红色。</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头模所受最大冲击力不大于3330N。重量≤800g，有明显的反光标志，可安装头灯。</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4.耐穿透性能：低温（-28℃ 4h）钢锥未与头模建立电接触。</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5.阻燃性能：火源离开帽壳后，其离火自熄时间：前方：0s、后方：1.0s、左侧：0s、右侧：0s。</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6.热稳定性能：试样在180±5℃条件下，保持5min后，救援头盔边沿无变形；硬质附件仍保持功能完好。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7.电绝缘性能：帽壳的泄漏电流≤0.5mA。</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宋体" w:hAnsi="宋体" w:cs="宋体"/>
                <w:color w:val="auto"/>
                <w:szCs w:val="21"/>
                <w:highlight w:val="none"/>
              </w:rPr>
              <w:t>▲</w:t>
            </w:r>
            <w:r>
              <w:rPr>
                <w:rFonts w:hint="eastAsia" w:ascii="仿宋_GB2312" w:hAnsi="宋体" w:eastAsia="仿宋_GB2312"/>
                <w:color w:val="auto"/>
                <w:szCs w:val="21"/>
                <w:highlight w:val="none"/>
              </w:rPr>
              <w:t>8.侧向刚性：帽壳的最大变形≤40mm，卸载后变形≤5mm。</w:t>
            </w:r>
            <w:r>
              <w:rPr>
                <w:rFonts w:hint="eastAsia" w:ascii="仿宋_GB2312" w:hAnsi="宋体" w:eastAsia="仿宋_GB2312"/>
                <w:color w:val="auto"/>
                <w:szCs w:val="21"/>
                <w:highlight w:val="none"/>
                <w:lang w:eastAsia="zh-CN"/>
              </w:rPr>
              <w:t>（</w:t>
            </w:r>
            <w:r>
              <w:rPr>
                <w:rFonts w:hint="eastAsia" w:ascii="仿宋_GB2312" w:hAnsi="宋体" w:eastAsia="仿宋_GB2312"/>
                <w:color w:val="auto"/>
                <w:szCs w:val="21"/>
                <w:highlight w:val="none"/>
                <w:lang w:val="en-US" w:eastAsia="zh-CN"/>
              </w:rPr>
              <w:t>提供第三方机构出具的检测报告，</w:t>
            </w:r>
            <w:r>
              <w:rPr>
                <w:rFonts w:hint="eastAsia" w:ascii="仿宋_GB2312" w:hAnsi="宋体" w:eastAsia="仿宋_GB2312"/>
                <w:color w:val="auto"/>
                <w:szCs w:val="21"/>
                <w:highlight w:val="none"/>
                <w:lang w:eastAsia="zh-CN"/>
              </w:rPr>
              <w:t>参数须在检测报告上体现）</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9.下颏带抗拉强度：下颏带未发生断裂、滑脱，其延伸长度≤15mm。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帽壳表面色泽鲜明、光洁，无污渍、气泡、缺损及其他有损外观的缺陷；头盔各部件的安装到位、牢固、端正，无松脱、滑落现象。</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10.产品提供检验报告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17</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消防员抢险救援手套</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双</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1.整体性能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1.1总体性能符合17式统型要求。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1.2采用3D立体设计，符合人体手型自然弯曲，手掌指尖一片式翻转手指背，主体颜色为橘红色和黄色,主要材质为牛皮和芳纶双面针织布。</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1.3颜色要求：手掌牛皮为黄色, 潘通色号为PANTONE 16-0954 TCX Arrowwood，色差≥3级；手背橘红色，潘通色号为PANTONE 17-1456 TCX Tigerlily，色差≥3级（按《纺织品色牢度试验 评定变色用灰色样卡》GB/T250-2008 标准评判）。</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1.4款式要求：采用3D立体设计，符合人体手型自然弯曲，手掌指尖一片式翻转手指背。袖口采用内扣收缩式，有效防止碎屑瓦砾等小颗粒物进入。</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2.主体结构要求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2.1手掌结构：内层为100%对位芳纶针织布，克重为250克±20克，颜色为黄色。外层用牛皮头层反绒加强，牛皮厚度为1.0mm（±0.2mm），颜色为黄色。</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2.2手背结构：50%对位芳纶和50%间对位芳纶双面针织布，克重为380克±20克。朝外的一面为间位芳纶，颜色为橘红色，对位芳纶为黄色。</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2.3袖口结构：手掌、手背整片与插入的圆形内置䄂口，外加一条与手背完全一致的材料包边，缝线到袖口距离10mm±5mm。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3.附属结构要求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3.1 手掌内衬3mm阻燃海绵，掌面对位芳纶缝线加强。</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3.2 手背关节部位，为6mm厚的EVA发泡防撞胶(在5J的外力撞击下，测试撞击力≤6kN),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下端为黄色荧光嵌条，嵌条宽5mm。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3.3 缝线：100%对位芳纶线，规格为30支3股，颜色为黄色，具有阻燃防火性能。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3.4 连接环：小指延长线上采用金属连接环，距袖口30-40mm (±5mm)。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3.5 袖口采用内扣收缩式，即在正常原形袖口内再加入另一只带松紧的圆形䄂口，紧扣</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使用者手腕，有效防止碎屑瓦砾等小颗粒物进入。</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4.技术性能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4.1阻燃性能：掌心面料续燃时间0S，经向损毁长度14.3mm，纬向16.4mm ；背面面料续燃时间0S，经向损坏长度16.5mm，纬向15.8mm。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4.2热稳定性能：收缩率1.0%，无熔融、融滴和剥离现象。</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4.3抗切割性能：割破力20.8N。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4.4耐撕破性能：经向184.6N，纬向190.5N。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4.5抗机械刺穿性能：抗刺穿力188.6N。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4.6灵巧性能：徒手控制百分比为108.7%。</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4.7抓握性能：拉重力比为99.2%。</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4.8穿戴性能：穿戴时间2.6秒。</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5.标志要求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5.1每只手套有永久性的布标标志。标志上的文字大小应不小于2mm。文字和图形采用白底黑字的形式。</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5.2布标尺寸为25×70mm（内布标误差长±5mm，宽±3mm），对折后居中缝于手背内扣收缩袖口处。</w:t>
            </w:r>
          </w:p>
          <w:p>
            <w:pPr>
              <w:pStyle w:val="20"/>
              <w:keepNext w:val="0"/>
              <w:keepLines w:val="0"/>
              <w:pageBreakBefore w:val="0"/>
              <w:kinsoku/>
              <w:wordWrap/>
              <w:overflowPunct/>
              <w:topLinePunct w:val="0"/>
              <w:bidi w:val="0"/>
              <w:snapToGrid/>
              <w:spacing w:line="360" w:lineRule="exact"/>
              <w:ind w:left="0" w:leftChars="0"/>
              <w:rPr>
                <w:color w:val="auto"/>
                <w:highlight w:val="none"/>
              </w:rPr>
            </w:pPr>
            <w:r>
              <w:rPr>
                <w:rFonts w:hint="eastAsia" w:ascii="仿宋_GB2312" w:hAnsi="宋体" w:eastAsia="仿宋_GB2312"/>
                <w:color w:val="auto"/>
                <w:szCs w:val="21"/>
                <w:highlight w:val="none"/>
              </w:rPr>
              <w:t>6.提供检测报告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18</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消防员抢险救援防护服</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套</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25</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1.整体性能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1.1符合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标准要求。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1.2消防员在进行抢险救援作业时穿着的专用防护服，用来对其躯干、颈部、手臂、手腕和腿部提供保护。</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 款式</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2.1服装款式符合应急管理部消防局20式消防员抢险救援防护服款式标识统型要求。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2.2颜色：橘红色，潘通色号为PANTONE 17-1456 TCX Tigerlily，色差≥3级（按《纺织品  色牢度试验 评定变色用灰色样卡》GB/T250-2008 标准评判）。</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2.3衬衫式上衣配长裤设计，上衣和裤子的重叠部分不小于150mm，上衣采用收腰设计，衬衫式圆弧形下摆，前下摆能够束入裤腰，且弯腰时后下摆不得滑出裤腰，前后衣长差量30-50mm。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2.4反光标志带：采用宽度为50.8mm的“黄银黄”组合色打孔反光标志带。</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2.5行军帽为棒球帽款式，正前方绣19式消防徽，后部采用卡扣调节袢，头部围度520-640 mm，消防徽尺寸：长度×高度为53.5×55mm。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2.6腰带为为插扣式腰带，规格长度*宽度*厚度为1300*50*2.8 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3.结构</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3.1结构：采用单层织物，为原液染色芳纶、阻燃粘胶纤维等交织而成的双重组织。具有防静电、阻燃、轻便、抗拉力强，外层防水拒油里层吸湿排汗、且具有弹性等性能。克重：（200±10）g/m2（93%间位芳纶、5%对位芳纶和2%导电丝）</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4.技术性能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4.1阻燃性能: 经向损毁长度24.2mm；纬向损毁长度23.4mm，续燃时间为0s，且无熔融、滴落现象；</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4.2断裂强力:经向断裂强力1300N；纬向断裂强力1200N；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4.3撕破强力：经向撕破强力210N、面料纬向撕破强力230N；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4.4接缝强力性能：1040N；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4.5热稳定性能：≤1.0%；</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4.6色牢度：面料的耐摩擦色牢度、耐洗色牢度、耐光色牢度不小于4级；</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4.7针距密度：明暗线≥12针/3cm，包缝线≥12针/3cm；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5.其他</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5.1拉链：上衣前门襟所选用的拉链不小于8号，颜色与外层面料相匹配；拉链使用芳纶基布的阻燃拉链。</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5.2魔术贴：外观平整，钩面排列整齐，钩形完好，毛面均匀，厚薄一致，无明显凹凸不平，无明显污渍，色泽统一均匀，无明显色差、色花。</w:t>
            </w:r>
          </w:p>
          <w:p>
            <w:pPr>
              <w:pStyle w:val="20"/>
              <w:keepNext w:val="0"/>
              <w:keepLines w:val="0"/>
              <w:pageBreakBefore w:val="0"/>
              <w:kinsoku/>
              <w:wordWrap/>
              <w:overflowPunct/>
              <w:topLinePunct w:val="0"/>
              <w:bidi w:val="0"/>
              <w:snapToGrid/>
              <w:spacing w:line="360" w:lineRule="exact"/>
              <w:ind w:left="0" w:leftChars="0"/>
              <w:rPr>
                <w:color w:val="auto"/>
                <w:highlight w:val="none"/>
              </w:rPr>
            </w:pPr>
            <w:r>
              <w:rPr>
                <w:rFonts w:hint="eastAsia" w:ascii="仿宋_GB2312" w:hAnsi="宋体" w:eastAsia="仿宋_GB2312"/>
                <w:color w:val="auto"/>
                <w:szCs w:val="21"/>
                <w:highlight w:val="none"/>
              </w:rPr>
              <w:t>6.提供检测报告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19</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消防员抢险救援靴</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双</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1.整体性能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1.1符合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标准。</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1.2符合17式消防员抢险救援靴款式标识统型要求。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2.结构及颜色</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2.1由靴外底、靴跟、带舒适层的靴帮、带防穿刺层的靴内底、鞋垫和靴头等组成。</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2.2主体为黑色；反光标志为荧光黄色；鞋带和“消防救援”标志为橘红色。</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3.技术性能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3.1内怀设有快速穿脱功能拉链，靴面主体材料为黑色防水阻燃头层黄牛鞋面革和防水阻燃帆布，靴底为双密度氯丁合成橡胶，一体成型。</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3.2由外底、带舒适层的靴帮、带防刺穿层的内底和保护靴头等部分组成的系带式中筒靴。</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3.3从靴内后跟中央起至靴口最低处的高度≥200mm。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3.4靴内底防刺穿层应覆盖整个靴内底，不应位于保护包头卷边上方，不应与之接触，在不损坏整靴的情况下应不能被移动。</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3.5靴头保护包头深度从靴尖量起≥50mm。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3.6靴鼻处应能限制杂物进入靴内。</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3.7靴帮抗穿刺性能：≥120N，内脚踝处设有护踝片。</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3.8后靴筒荧光黄色反光标志。</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3.9具备防刺、防滑、耐热、防砸等性能，穿着应舒适，不磨脚。</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3.10靴帮拉链具有自动锁止功能，周边为皮质材料，鞋帮两侧印制“消防救援”标识。</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3.11靴底抗穿刺性能：掌心1702.9N，前掌1739.5 N和1872N，后跟1945.2N。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3.12重量1.78kg。</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4.其他</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4.1靴身配有的橘红色鞋带，鞋带长 1800 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4.2靴身内怀配有两颗单向防水透气眼。</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4.3靴舌上端配有用于隐藏多余鞋带的饰片袋。</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4.4靴筒后部设带反光标志带的提手。</w:t>
            </w:r>
          </w:p>
          <w:p>
            <w:pPr>
              <w:pStyle w:val="20"/>
              <w:keepNext w:val="0"/>
              <w:keepLines w:val="0"/>
              <w:pageBreakBefore w:val="0"/>
              <w:kinsoku/>
              <w:wordWrap/>
              <w:overflowPunct/>
              <w:topLinePunct w:val="0"/>
              <w:bidi w:val="0"/>
              <w:snapToGrid/>
              <w:spacing w:line="360" w:lineRule="exact"/>
              <w:ind w:left="0" w:leftChars="0"/>
              <w:rPr>
                <w:color w:val="auto"/>
                <w:highlight w:val="none"/>
              </w:rPr>
            </w:pPr>
            <w:r>
              <w:rPr>
                <w:rFonts w:hint="eastAsia" w:ascii="仿宋_GB2312" w:hAnsi="宋体" w:eastAsia="仿宋_GB2312"/>
                <w:color w:val="auto"/>
                <w:szCs w:val="21"/>
                <w:highlight w:val="none"/>
              </w:rPr>
              <w:t>5.提供检测报告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20</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骨传导通话装置</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个</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24</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 硬件指标</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1.1. 扬声器灵敏度应不低于：93±4dB at 1000Hz (0dB=20µPa，输入电压180mV)。</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1.2. 麦克风灵敏度应不低于：-50±4dB at 1000Hz (0dB=1V/Pa))。</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1.3.</w:t>
            </w:r>
            <w:r>
              <w:rPr>
                <w:rFonts w:hint="eastAsia" w:ascii="仿宋_GB2312" w:hAnsi="宋体" w:eastAsia="仿宋_GB2312"/>
                <w:color w:val="auto"/>
                <w:szCs w:val="21"/>
                <w:highlight w:val="none"/>
                <w:lang w:val="en-US" w:eastAsia="zh-CN"/>
              </w:rPr>
              <w:t xml:space="preserve">  </w:t>
            </w:r>
            <w:r>
              <w:rPr>
                <w:rFonts w:hint="eastAsia" w:ascii="仿宋_GB2312" w:hAnsi="宋体" w:eastAsia="仿宋_GB2312"/>
                <w:color w:val="auto"/>
                <w:szCs w:val="21"/>
                <w:highlight w:val="none"/>
              </w:rPr>
              <w:t>产品配备无线PTT使用，采用抗干扰能力强的数字跳频技术，并采用双向通讯机制，从程序上杜绝长发现象的出现。</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1.4. 调制方式：4FSK/FFSK/FM，4FSK调制频偏误差≤10.0%，4FSK发射误码率0.01%，发射杂散≤-36dBm (9kHz~1GHz)，≤-30dBm (1GHz~12.75GHz)。</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1.5. PTT尺寸不大于32*25*16mm（不含附件）。</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1.6. 无阻隔操作距离小于5m。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1.7. 采用内含防弹材料的环保PU线材。</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1.8. 动圈式麦克风设计，声音清晰可靠，抵抗环境噪音性能强。</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1.9. 防护等级不低于IP67</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21</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 w:hAnsi="仿宋" w:eastAsia="仿宋"/>
                <w:color w:val="auto"/>
                <w:sz w:val="24"/>
                <w:highlight w:val="none"/>
              </w:rPr>
              <w:t>■</w:t>
            </w:r>
            <w:r>
              <w:rPr>
                <w:rFonts w:hint="eastAsia" w:ascii="仿宋_GB2312" w:hAnsi="宋体" w:eastAsia="仿宋_GB2312"/>
                <w:color w:val="auto"/>
                <w:szCs w:val="21"/>
                <w:highlight w:val="none"/>
              </w:rPr>
              <w:t>手持电台</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部</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16</w:t>
            </w:r>
          </w:p>
        </w:tc>
        <w:tc>
          <w:tcPr>
            <w:tcW w:w="2909" w:type="pct"/>
            <w:vAlign w:val="center"/>
          </w:tcPr>
          <w:p>
            <w:pPr>
              <w:pStyle w:val="68"/>
              <w:keepNext w:val="0"/>
              <w:keepLines w:val="0"/>
              <w:pageBreakBefore w:val="0"/>
              <w:widowControl/>
              <w:numPr>
                <w:ilvl w:val="0"/>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硬件指标</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工作频段：350MHz～400MHz；信道容量：1024；频率间隔：12.5kHz/25kHz。</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工作温度：-30℃ ～ +60℃。</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输出功率≤5W，静态灵敏度≤-122dBm。</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防护等级不低于IP6</w:t>
            </w:r>
            <w:r>
              <w:rPr>
                <w:rFonts w:hint="eastAsia" w:ascii="仿宋_GB2312" w:hAnsi="宋体" w:eastAsia="仿宋_GB2312"/>
                <w:color w:val="auto"/>
                <w:szCs w:val="21"/>
                <w:highlight w:val="none"/>
                <w:lang w:val="en-US" w:eastAsia="zh-CN"/>
              </w:rPr>
              <w:t>5</w:t>
            </w:r>
            <w:r>
              <w:rPr>
                <w:rFonts w:hint="eastAsia" w:ascii="仿宋_GB2312" w:hAnsi="宋体" w:eastAsia="仿宋_GB2312"/>
                <w:color w:val="auto"/>
                <w:szCs w:val="21"/>
                <w:highlight w:val="none"/>
              </w:rPr>
              <w:t>。</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支持公安部第一研究所加密卡，支持NVOC/AMBE声码器。</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支持GPS/北斗卫星双模，能够实现卫星定位功能；待机和通话时均可上传卫星定位位置信息。</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投标人所投350兆数字集群终端设备要求配置防爆智能锂电池。</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电池容量不得小于2900mAh。</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音频外接配件：类型AMBE+2ΤΜ或NVOC，音频响应TIA603D，额定音频0.5W，音频失真≤3%，交流声及噪音-40dB（12.5kHz），传导杂散发射-57dBm。配备原装耳机一副。</w:t>
            </w:r>
          </w:p>
          <w:p>
            <w:pPr>
              <w:pStyle w:val="68"/>
              <w:keepNext w:val="0"/>
              <w:keepLines w:val="0"/>
              <w:pageBreakBefore w:val="0"/>
              <w:widowControl/>
              <w:numPr>
                <w:ilvl w:val="0"/>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功能指标</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终端投标人须承诺无条件免费开放私有协议，在市局平台上实现实时定位、短信、监听、插话、强拆、点击呼叫、动态重组、目标锁定、轨迹回放等功能。</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要求与东莞市公安局PDT数字集群系统保持统一技术，须能顺利入网进行语音数据对接，实现真正的互通、互联、互控、无缝联通。</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宋体" w:hAnsi="宋体" w:cs="宋体"/>
                <w:color w:val="auto"/>
                <w:szCs w:val="21"/>
                <w:highlight w:val="none"/>
              </w:rPr>
              <w:t>▲</w:t>
            </w:r>
            <w:r>
              <w:rPr>
                <w:rFonts w:hint="eastAsia" w:ascii="仿宋_GB2312" w:hAnsi="宋体" w:eastAsia="仿宋_GB2312"/>
                <w:color w:val="auto"/>
                <w:szCs w:val="21"/>
                <w:highlight w:val="none"/>
              </w:rPr>
              <w:t>能与东莞消防既有单频自组网（应急网）实现无线互联互通，可通过配备便携中继设备，组建消防应急快速部署网络，延伸室内覆盖，在交货时提供现场演示。（须</w:t>
            </w:r>
            <w:r>
              <w:rPr>
                <w:rFonts w:hint="eastAsia" w:ascii="仿宋_GB2312" w:hAnsi="宋体" w:eastAsia="仿宋_GB2312"/>
                <w:color w:val="auto"/>
                <w:szCs w:val="21"/>
                <w:highlight w:val="none"/>
                <w:lang w:eastAsia="zh-CN"/>
              </w:rPr>
              <w:t>在投标文件中</w:t>
            </w:r>
            <w:r>
              <w:rPr>
                <w:rFonts w:hint="eastAsia" w:ascii="仿宋_GB2312" w:hAnsi="宋体" w:eastAsia="仿宋_GB2312"/>
                <w:color w:val="auto"/>
                <w:szCs w:val="21"/>
                <w:highlight w:val="none"/>
              </w:rPr>
              <w:t>提供单独承诺函并加盖投标人公章）</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宋体" w:hAnsi="宋体" w:cs="宋体"/>
                <w:color w:val="auto"/>
                <w:szCs w:val="21"/>
                <w:highlight w:val="none"/>
              </w:rPr>
              <w:t>▲</w:t>
            </w:r>
            <w:r>
              <w:rPr>
                <w:rFonts w:hint="eastAsia" w:ascii="仿宋_GB2312" w:hAnsi="宋体" w:eastAsia="仿宋_GB2312"/>
                <w:color w:val="auto"/>
                <w:szCs w:val="21"/>
                <w:highlight w:val="none"/>
              </w:rPr>
              <w:t>为达到符合公安部PDT数字集群标准，且能顺利入网PDT标准系统进行匹配应用</w:t>
            </w:r>
            <w:r>
              <w:rPr>
                <w:rFonts w:hint="eastAsia" w:ascii="仿宋_GB2312" w:hAnsi="宋体" w:eastAsia="仿宋_GB2312"/>
                <w:color w:val="auto"/>
                <w:szCs w:val="21"/>
                <w:highlight w:val="none"/>
                <w:lang w:val="en-US" w:eastAsia="zh-CN"/>
              </w:rPr>
              <w:t>.</w:t>
            </w:r>
            <w:r>
              <w:rPr>
                <w:rFonts w:hint="eastAsia" w:ascii="仿宋_GB2312" w:hAnsi="宋体" w:eastAsia="仿宋_GB2312"/>
                <w:color w:val="auto"/>
                <w:szCs w:val="21"/>
                <w:highlight w:val="none"/>
              </w:rPr>
              <w:t>（须须</w:t>
            </w:r>
            <w:r>
              <w:rPr>
                <w:rFonts w:hint="eastAsia" w:ascii="仿宋_GB2312" w:hAnsi="宋体" w:eastAsia="仿宋_GB2312"/>
                <w:color w:val="auto"/>
                <w:szCs w:val="21"/>
                <w:highlight w:val="none"/>
                <w:lang w:eastAsia="zh-CN"/>
              </w:rPr>
              <w:t>在投标文件中</w:t>
            </w:r>
            <w:r>
              <w:rPr>
                <w:rFonts w:hint="eastAsia" w:ascii="仿宋_GB2312" w:hAnsi="宋体" w:eastAsia="仿宋_GB2312"/>
                <w:color w:val="auto"/>
                <w:szCs w:val="21"/>
                <w:highlight w:val="none"/>
              </w:rPr>
              <w:t>提供单独承诺函并加盖投标人公章）</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需获得公安相关部门和消防相关部门的入网许可。</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智能音频可以自动调节对讲机音量，避免在嘈杂的环境中漏掉呼叫或在安静区域时打扰他人。</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投标人所投350兆数字集群终端设备支持数模双制式，满足模拟MPT-1327和数字PDT系统对技术指标要求，支持数字集群、数字常规、模拟常规等多种工作模式。</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终端写频支持把各频道（组）的名称编辑为中文，可按需编辑。</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终端能通过顶端旋钮键在群组列表中选择具体的频道（组）作为当前守候的频道（组）。</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上下键为模式切换键，左右键为频道切换键。</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切换到数字集群模式时，默认频道为“消防应急-1（调度组）”；显屏第一行“数字集群”，第二行显示所在频道，如：“消防应急-*”。</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切换到数字常规模式时，默认频道为“频道3（指挥频）”；显屏第一行“数字常规”，第二行显示所在频道，如：“频道**”。</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切换到模拟常规模式时，默认频道为“频道3（指挥频）”；显屏第一行“模拟常规”，第二行显示所在频道，如：“频道**”。</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分别为三个默认频道添加明显标注：集群模式下是“（调度组）”；常规模式下是“（指挥频）”。</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数字集群组群排序：全勤指挥部顺序第1，支队机关顺序第2。</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不显示模拟集群模式。</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具有低电量和低信号提示音和指示灯警示功能。</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不按键盘12秒后自动锁键，按OK键和 * 号键解锁</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各大队有两个模式切换快捷键，如：南城大队长按数字1键可切换到数字集群模式“南城集群-1”，长按数字2键可切换到数字常规模式“频道123”（南城大队中心站频道）。</w:t>
            </w:r>
          </w:p>
          <w:p>
            <w:pPr>
              <w:pStyle w:val="68"/>
              <w:keepNext w:val="0"/>
              <w:keepLines w:val="0"/>
              <w:pageBreakBefore w:val="0"/>
              <w:widowControl/>
              <w:numPr>
                <w:ilvl w:val="0"/>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外观指标</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外形尺寸不大于56*131*42mm（不含天线及配件）。</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机身硬件有Ex ib II BT3防爆标志。</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终端外观须统一为“东莞消防”标识，可按需定制。</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开机图标为消防徽。</w:t>
            </w:r>
          </w:p>
          <w:p>
            <w:pPr>
              <w:pStyle w:val="68"/>
              <w:keepNext w:val="0"/>
              <w:keepLines w:val="0"/>
              <w:pageBreakBefore w:val="0"/>
              <w:widowControl/>
              <w:numPr>
                <w:ilvl w:val="0"/>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售后服务</w:t>
            </w:r>
          </w:p>
          <w:p>
            <w:pPr>
              <w:pStyle w:val="68"/>
              <w:keepNext w:val="0"/>
              <w:keepLines w:val="0"/>
              <w:pageBreakBefore w:val="0"/>
              <w:widowControl/>
              <w:numPr>
                <w:ilvl w:val="1"/>
                <w:numId w:val="6"/>
              </w:numPr>
              <w:kinsoku/>
              <w:wordWrap/>
              <w:overflowPunct/>
              <w:topLinePunct w:val="0"/>
              <w:bidi w:val="0"/>
              <w:snapToGrid/>
              <w:spacing w:line="360" w:lineRule="exact"/>
              <w:ind w:firstLineChars="0"/>
              <w:jc w:val="left"/>
              <w:textAlignment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终端写频及软件功能严格遵照《东莞消防无线通信组网规则》进行设置，可定期按采购人需求进行调整升级。</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提供不少于2年的硬件维护保养服务，提供不少于3年的软件升级及维护服务。</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22</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二级化学防护服</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套</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1.整体性能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1.1符合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标准要求。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1.2为半封闭式消防防化服，是消防员进入化学危险品或腐蚀性物品火灾或事故现场，进行灭火及抢险救援时穿着的防护服装。</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2.材料</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2.1采用PVC双面涂覆织物面料制作，不但具有防酸、碱性能，而且具备了较好的阻燃性能及强力性能。可在汽油、丙酮、醋酸乙酯等有机介质以及硫酸、盐酸、硝酸、磷酸、氢氧化钠等腐蚀性液体场合进行抢险救援作业。</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 xml:space="preserve">3.结构 </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3.1连体式半封闭结构，除面部裸露，其余部位采用密封形式。</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3.2缝纫接缝全部采用内外密封条密封，确保服装的密封性能。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3.3整套防化服是由衣服、防化手套、防化胶靴组成。</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4.技术性能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4.1整体抗水渗透性能：20min后，无渗透现象。</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4.2拉伸强度经向19KN/m，纬向20 KN/m。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4.3阻燃性能：损毁长度80mm，有焰燃烧时间6.3s，无焰燃烧时间1.0s。</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4.4耐热老化性能：125℃×2h不粘、不脆。</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4.5耐寒性能：-25℃×5min，无裂纹。</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4.6撕裂强力经向63N，纬向60N。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4.7接缝强力880N。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4.8耐刺穿力23N。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4.9质量3.774kg。</w:t>
            </w:r>
          </w:p>
          <w:p>
            <w:pPr>
              <w:pStyle w:val="20"/>
              <w:keepNext w:val="0"/>
              <w:keepLines w:val="0"/>
              <w:pageBreakBefore w:val="0"/>
              <w:kinsoku/>
              <w:wordWrap/>
              <w:overflowPunct/>
              <w:topLinePunct w:val="0"/>
              <w:bidi w:val="0"/>
              <w:snapToGrid/>
              <w:spacing w:line="360" w:lineRule="exact"/>
              <w:ind w:left="0" w:leftChars="0"/>
              <w:rPr>
                <w:color w:val="auto"/>
                <w:highlight w:val="none"/>
              </w:rPr>
            </w:pPr>
            <w:r>
              <w:rPr>
                <w:rFonts w:hint="eastAsia" w:ascii="仿宋_GB2312" w:hAnsi="宋体" w:eastAsia="仿宋_GB2312"/>
                <w:color w:val="auto"/>
                <w:szCs w:val="21"/>
                <w:highlight w:val="none"/>
              </w:rPr>
              <w:t>提供检测报告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23</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一级化学防护服</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套</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1.整体性能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1.1符合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标准要求。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1.2本产品为全封闭式消防防化服，主要用于消防员在化学危险品、酸碱性物质的事故现场抢险救援时穿戴。</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2.材料</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2.1采用PVC双面涂覆织物面料上下衣整体制作，由大视野连体头罩、呼吸器背囊、防化手套、防化胶靴、密封拉链、超压排气系统等组成，与头盔、空气呼吸器配套使用。</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3.整体技术性能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3.1整体气密性能：229pa。</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3.2拉伸强度经向19KN/m，纬向20 KN/m。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4.3阻燃性能：损毁长度80mm，有焰燃烧时间6.3s，无焰燃烧时间1.0s。</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4.4耐热老化性能：125℃×24h不粘、不脆。</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4.5耐寒性能：-25℃×5min，无裂纹。</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4.6撕裂强力经向51N，纬向50N。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4.7接缝强力594N。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4.8耐刺穿力23N。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4.9质量6.003kg。</w:t>
            </w:r>
          </w:p>
          <w:p>
            <w:pPr>
              <w:pStyle w:val="20"/>
              <w:keepNext w:val="0"/>
              <w:keepLines w:val="0"/>
              <w:pageBreakBefore w:val="0"/>
              <w:kinsoku/>
              <w:wordWrap/>
              <w:overflowPunct/>
              <w:topLinePunct w:val="0"/>
              <w:bidi w:val="0"/>
              <w:snapToGrid/>
              <w:spacing w:line="360" w:lineRule="exact"/>
              <w:ind w:left="0" w:leftChars="0"/>
              <w:rPr>
                <w:color w:val="auto"/>
                <w:highlight w:val="none"/>
              </w:rPr>
            </w:pPr>
            <w:r>
              <w:rPr>
                <w:rFonts w:hint="eastAsia" w:ascii="仿宋_GB2312" w:hAnsi="宋体" w:eastAsia="仿宋_GB2312"/>
                <w:color w:val="auto"/>
                <w:szCs w:val="21"/>
                <w:highlight w:val="none"/>
              </w:rPr>
              <w:t>提供检测报告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24</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消防员防蜂服</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套</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1.整体性能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1.1本产品是施救人员在有蜂群的场合进行救援、除险时为保护自身安全而穿着的防护服装，其防护性能是根据实际需要而设计的，符合国家公安部消防局最新标准要求。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1.2该服装由多层高压耐刺穿面料组成，具有密封、耐磨、轻便、高强力等特性。</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2.结构</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2.1衣服整体为白色，可有效形成保护色，不易引起蜂群攻击。</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2.2连体式：由网状外凸头罩，衣、裤、手套、靴等组成；</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2.3面罩由加密不锈钢网制作，具有透气性好，视野清晰、耐折、耐压、回弹性好等特点；</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2.4透气孔三层防护，中间有真空管隔开，气孔和人体的距离有3公分，蜂尾针根部接触不到；</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2.5手套灵巧，防蛰刺效果好；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2.6运动式防蜂靴，轻便合脚舒适。</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2.7为提高工作人员的舒适性，降低温度，在服装背部增加两个风扇，适用于普通充电宝作为电源。</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3.技术性能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3.1整体抗刺穿性能16.8N；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3.2外层面料撕破强力经向70N，纬向65N；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3.3外层面料断裂强力经向720N，纬向653N；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3.4外层面料耐磨性能：在9kPa的压力下，2000次不被磨穿；</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3.5甲醛含量：符合GB18401-2010  B类标准，未检出；</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3.6手套耐切割性能19.7N；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3.7靴子防滑性能：始滑角≥15°；</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3.8整套防蜂服重量3.5kg。</w:t>
            </w:r>
          </w:p>
          <w:p>
            <w:pPr>
              <w:pStyle w:val="20"/>
              <w:keepNext w:val="0"/>
              <w:keepLines w:val="0"/>
              <w:pageBreakBefore w:val="0"/>
              <w:kinsoku/>
              <w:wordWrap/>
              <w:overflowPunct/>
              <w:topLinePunct w:val="0"/>
              <w:bidi w:val="0"/>
              <w:snapToGrid/>
              <w:spacing w:line="360" w:lineRule="exact"/>
              <w:ind w:left="0" w:leftChars="0"/>
              <w:rPr>
                <w:color w:val="auto"/>
                <w:highlight w:val="none"/>
              </w:rPr>
            </w:pPr>
            <w:r>
              <w:rPr>
                <w:rFonts w:hint="eastAsia" w:ascii="仿宋_GB2312" w:hAnsi="宋体" w:eastAsia="仿宋_GB2312"/>
                <w:color w:val="auto"/>
                <w:szCs w:val="21"/>
                <w:highlight w:val="none"/>
              </w:rPr>
              <w:t>提供检测报告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25</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二节拉梯</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架</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竹制材料，特殊工艺防腐、防蛀、脱脂、高温处理、多层粘合成材制成，金属配件采用优质钢材模具精制而成，合并高度3.85米，使用轻便、灵活，是消防部队训练、扑救火灾的最佳器材。1、工作高度：6±0.2m。2、最小梯宽：300±3mm。3、梯蹬间距：280±2mm。4、整梯质量：≤32.4kg。5、梯节扭转角：≤14°。6、水平弯曲残余变形比值：≤0.11％。7、梯蹬弯曲残余变形比值：≤0.14％。8、侧板摇摆残余变形比值≤0.19％。9、梯蹬剪切强度：梯蹬与侧板的连接处和梯蹬本身无任何断裂现象。10、拉梯进行单撑脚载荷试验后，撑脚及联接件没有松动、损伤及变形。11、梯蹬与侧板紧密吻合，无松动和加楔。金属零件和竹质零件紧密粘合，无补塞。紧固件垂直旋紧，没有突出的钉头锋口和毛刺等缺陷。铆钉紧固并呈平整半圆头。消防梯外表面光滑无毛刺，表面涂有不导电的涂料保护，竹表面呈桔黄色，金属零件镀锌并涂有黑色磁漆。涂料表面光亮，色泽均匀，无漏涂、流痕和影响外表面质量的缺陷。拉梯的撑脚采用优质金属制造，工作时能可靠支撑在梯蹬上。拉梯在展开和缩合的过程中，其限位装置牢固可靠。该产品符合GA137-2007《消防梯》标准要求，已通过国家消防质量监督检验中心检测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26</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三节拉梯</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架</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铝合金材质，由上、中、下三节组成，中节梯的侧板上有滑槽，上节梯的侧板下端装有导板，便于梯子升降，防止偏斜。三节拉梯和升降装置由滑轮、拉绳和停止轴组成。工作高度：约15m，其性能符合GA137-2007《消防梯》标准要求，提供检验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27</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消防水带</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（20-65-20）</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盘</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1.口径：65mm；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2.长度：20m；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3.单位长度质量：≤480g/m；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4.工作压力：≥2.0Mpa；</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5.爆破压力：≥6.0Mpa；</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6.延伸率：≤8%；</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7.膨胀率：≤8%；</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8.附着强度织物层与衬里：≥75%；</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9.外观质量：编织层应编织均匀，表面要整洁，无跳双经、段双经、跳维及划伤；</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10.材质：编织层须是涤纶长丝，要较软较好,内衬须是白色聚氨酯；</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11.接扣：须耐高压，牙扣不易断裂、不易爆破；</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12.密封圈：要耐磨、吻合性要好、带弹力，不易漏水，含安装接口；</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13.铁丝捆扎：须采用先进的捆绑方式，不易脱落、不漏水、不割手；</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14.水带外层要加润滑涂料，增加水带的抗磨能力。</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提供国家消防装备质量监督检验中心出具的检验报告复印件。</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28</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消防水带</w:t>
            </w:r>
            <w:r>
              <w:rPr>
                <w:rFonts w:hint="eastAsia" w:ascii="仿宋_GB2312" w:hAnsi="宋体" w:eastAsia="仿宋_GB2312"/>
                <w:color w:val="auto"/>
                <w:szCs w:val="21"/>
                <w:highlight w:val="none"/>
              </w:rPr>
              <w:br w:type="textWrapping"/>
            </w:r>
            <w:r>
              <w:rPr>
                <w:rFonts w:hint="eastAsia" w:ascii="仿宋_GB2312" w:hAnsi="宋体" w:eastAsia="仿宋_GB2312"/>
                <w:color w:val="auto"/>
                <w:szCs w:val="21"/>
                <w:highlight w:val="none"/>
              </w:rPr>
              <w:t>（20-80-20）</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盘</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1.口径：80mm；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2.长度：20m；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3.单位长度质量：≤480g/m；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4.工作压力：≥2.0Mpa；</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5.爆破压力：≥6.0Mpa；</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6.延伸率：≤8%；</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7.膨胀率：≤8%；</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8.附着强度织物层与衬里：≥75%；</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9.外观质量：编织层应编织均匀，表面要整洁，无跳双经、段双经、跳维及划伤；</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10.材质：编织层须是涤纶长丝，要较软较好,内衬须是白色聚氨酯；</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11.接扣：须耐高压，牙扣不易断裂、不易爆破；</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12.密封圈：要耐磨、吻合性要好、带弹力，不易漏水，含安装接口；</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13.铁丝捆扎：须采用先进的捆绑方式，不易脱落、不漏水、不割手；</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14.水带外层要加润滑涂料，增加水带的抗磨能力。</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提供国家消防装备质量监督检验中心出具的检验报告复印件。</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29</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止水器</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个</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接口型式 ：卡式 阀门型式 ：球阀式</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规 格 ：．65．80</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公称压力(MPa)：2.5</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测试压力(MPa)：4.0</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适用介质：水、水和泡沫混合液</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30</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异型卡口接口</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个</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1、产品表面无结疤、裂痕、砂眼。</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2、在2.4Mpa水压下,不出现裂纹或断裂，用于各类水带接口的转换</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31</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有毒气体探测仪</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套</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泵吸式，CO(电化学)、H2S(电化学)、O2(电化学)、EX(催化燃烧)检测原理，测量气体：CO、H2S、O2、EX，测量范围：CO:0-1000PPM、H2S: 0-100PPM、O2:0-30%VOL、EX:0-100%LEL；分辩率：CO:0.1PPM、 H2S:0.01PPM、 O2:0.01%VOL、EX:0.1%LEL,精度:≤±3%，数据可存储，防护等级：</w:t>
            </w:r>
            <w:r>
              <w:rPr>
                <w:rFonts w:ascii="Arial" w:hAnsi="Arial" w:eastAsia="仿宋_GB2312" w:cs="Arial"/>
                <w:color w:val="auto"/>
                <w:szCs w:val="21"/>
                <w:highlight w:val="none"/>
              </w:rPr>
              <w:t>≥</w:t>
            </w:r>
            <w:r>
              <w:rPr>
                <w:rFonts w:hint="eastAsia" w:ascii="仿宋_GB2312" w:hAnsi="宋体" w:eastAsia="仿宋_GB2312"/>
                <w:color w:val="auto"/>
                <w:szCs w:val="21"/>
                <w:highlight w:val="none"/>
              </w:rPr>
              <w:t>IP65，外形尺寸：</w:t>
            </w:r>
            <w:r>
              <w:rPr>
                <w:rFonts w:ascii="Arial" w:hAnsi="Arial" w:eastAsia="仿宋_GB2312" w:cs="Arial"/>
                <w:color w:val="auto"/>
                <w:szCs w:val="21"/>
                <w:highlight w:val="none"/>
              </w:rPr>
              <w:t>≤</w:t>
            </w:r>
            <w:r>
              <w:rPr>
                <w:rFonts w:hint="eastAsia" w:ascii="仿宋_GB2312" w:hAnsi="宋体" w:eastAsia="仿宋_GB2312"/>
                <w:color w:val="auto"/>
                <w:szCs w:val="21"/>
                <w:highlight w:val="none"/>
              </w:rPr>
              <w:t>130*67*30mm。</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32</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测温仪</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套</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测温范围：-25℃1380℃</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标准外箱毛重14.5KG</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测量物距比：12:1</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发射率：0.10~1.00可调</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测量精确度：±1.5%or±1.5℃</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标准外箱尺寸：62.5*45*28.5cm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光谱响应和反应时间：(8-14)um&amp;500ms</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重复性;±1%or±1℃</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电源：9V DC电池</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标准外箱容量：20PCS</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分辨率：0.1℃0.1℉（＜1000℃</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33</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各类警示牌</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套</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用于灾害事故现场警戒警示。一组分为有毒、易燃、泄漏、爆炸、危险等五种标志，图案为反光材料。边长≥400mm，厚度≥1.5mm。</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34</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手动破拆工具组</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套</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可进行撬、拧、凿、切割、劈砍等操作，能穿透砖石水泥建筑、金属片及众多复合材料，适合在狭窄空间使用。防滑手柄，可伸缩，工具头可拆卸更换。整套包含：PRT杆、撬斧和拔钉锤、尖嘴凿、标准型1寸阔凿、破锁拔钉锤、金属切割工具、携带箱。</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35</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多功能刀具</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个</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材质：420不锈钢 功能：1.尖嘴钳，2.工具钳，3.剪线钳，4.主刀，5，开瓶器，6，开罐器，7，十字起子8.半刃小刀，9.锯刀，10锉刀，11一字起子，12小号一字锥， 尺寸：打开：16.6*6*1.5CM，闭合：10.5*5*1.5CM</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36</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多功能挠钩</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套</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1.1本产品是从消防实战需求出发而开发的一种新型消防挠钩，该产品设计科学、结构牢固、使用方便、易于操作，同时针对消防车上配套破拆器材多而杂乱的特点，在挠钩通用的基础上以一杆多头的形式派生出十余类破拆救援工具，真正从实战需求的角度，实现了消防挠钩的多功能化。</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1.2挠杆柄采用高强度的绝缘材料，防高压，可多节组合。杆头可更换，简便快捷。</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1.3 12件套：包括长挠杆1根、短挠杆2根（其中1根有水平仪），挠钩、双头挠钩、消防锯、无火花消防锤、撑顶器、消防剪、消防斧、登高钩、爪耙、工兵铲等。</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37</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折叠式担架</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套</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优质高强度合金骨架，可折叠存放，担架主体采用耐割、防穿刺面料。承重≥120kg，跌落承重≥300kg，带滑轮，配4个绳索固定点。</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38</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多功能担架</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套</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特殊复合塑料材质，可水平吊运，上下吊运，可水平抬运，可在光滑的地面拖拉。承重≥120kg，使用温度：-20℃～45℃，尺寸约：2440mm×920mm。</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39</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多功能消防水枪</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支</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5</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产品生产技术符合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标准，产品认证实施细则符合CCCF-XSRK-006:2011《消防类产品型式认可实施规则 消防水枪产品》标准，提供检验报告。</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1、采用高强度航空铝合金材料制成T5热处理，阳极氧化防腐蚀处理，耐压强度高，寿命长。</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2、通过旋转枪头防护套来达到直流水柱，开花水流，雾状水流及枪膛高压冲洗多种喷射方式。喷射水柱是达到强化水的力度，有利于灭火。</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3、重    量 ≤2.0kg、进水口径 65mm</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4、额定压力</w:t>
            </w:r>
            <w:r>
              <w:rPr>
                <w:rFonts w:ascii="Arial" w:hAnsi="Arial" w:eastAsia="仿宋_GB2312" w:cs="Arial"/>
                <w:color w:val="auto"/>
                <w:szCs w:val="21"/>
                <w:highlight w:val="none"/>
              </w:rPr>
              <w:t>≥</w:t>
            </w:r>
            <w:r>
              <w:rPr>
                <w:rFonts w:hint="eastAsia" w:ascii="仿宋_GB2312" w:hAnsi="宋体" w:eastAsia="仿宋_GB2312"/>
                <w:color w:val="auto"/>
                <w:szCs w:val="21"/>
                <w:highlight w:val="none"/>
              </w:rPr>
              <w:t xml:space="preserve"> 0.6Mpa、额定流量 </w:t>
            </w:r>
            <w:r>
              <w:rPr>
                <w:rFonts w:ascii="Arial" w:hAnsi="Arial" w:eastAsia="仿宋_GB2312" w:cs="Arial"/>
                <w:color w:val="auto"/>
                <w:szCs w:val="21"/>
                <w:highlight w:val="none"/>
              </w:rPr>
              <w:t>≥</w:t>
            </w:r>
            <w:r>
              <w:rPr>
                <w:rFonts w:hint="eastAsia" w:ascii="仿宋_GB2312" w:hAnsi="宋体" w:eastAsia="仿宋_GB2312"/>
                <w:color w:val="auto"/>
                <w:szCs w:val="21"/>
                <w:highlight w:val="none"/>
              </w:rPr>
              <w:t xml:space="preserve">480L/min、承压范围 3.5--16 bar </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调节范围 2.5—4—5—6.5—8L/S；最大流量550 L/min</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连接方式： 快速公插头与水枪一体化式。</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40</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直流水枪</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支</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1、65mm快速接口，喷嘴直径19mm，射程≥28米，</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额定压力：0.35MPa具有开关功能；</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2、符合</w:t>
            </w:r>
            <w:r>
              <w:rPr>
                <w:rFonts w:hint="eastAsia" w:ascii="仿宋_GB2312" w:hAnsi="宋体" w:eastAsia="仿宋_GB2312"/>
                <w:color w:val="auto"/>
                <w:szCs w:val="21"/>
                <w:highlight w:val="none"/>
                <w:lang w:val="en-US" w:eastAsia="zh-CN"/>
              </w:rPr>
              <w:t>国家消防行业</w:t>
            </w:r>
            <w:r>
              <w:rPr>
                <w:rFonts w:hint="eastAsia" w:ascii="仿宋_GB2312" w:hAnsi="宋体" w:eastAsia="仿宋_GB2312"/>
                <w:color w:val="auto"/>
                <w:szCs w:val="21"/>
                <w:highlight w:val="none"/>
              </w:rPr>
              <w:t>标准要求.提供检验报告。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41</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中压分水器（三分）</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件</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铝硅合金材料，金属模浇铸。进水口为1个80mm快速接口，出水口为3个65mm快速接口，开启力≤200N。符合GA868-2010《分水器和集水器》要求，提供检验报告。</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42</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异型异径接口</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个</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1、产品表面无结疤、裂痕、砂眼。</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2、在2.4Mpa水压下,不出现裂纹或断裂，用于各类水带接口的转换</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43</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D型安全钩</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个</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20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25KN，D型号锁，航空铝合金材质</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44</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O型安全钩</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个</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80</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尺 寸：长11cm，宽5.9cm                                         用 途：登山攀岩 户外拓展 高空作业 救援逃生等                     材 质：不锈钢                                                  颜 色：银、红                                                  拉 力：25KN</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45</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异型卡式快速80公转80公接口</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个</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12</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1、产品表面无结疤、裂痕、砂眼。</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2、在2.4Mpa水压下,不出现裂纹或断裂，用于各类水带接口的转换</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46</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异型卡式快速80母转80母接口</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个</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12</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1、产品表面无结疤、裂痕、砂眼。</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2、在2.4Mpa水压下,不出现裂纹或断裂，用于各类水带接口的转换</w:t>
            </w:r>
          </w:p>
        </w:tc>
        <w:tc>
          <w:tcPr>
            <w:tcW w:w="453" w:type="pct"/>
            <w:vAlign w:val="center"/>
          </w:tcPr>
          <w:p>
            <w:pPr>
              <w:keepNext w:val="0"/>
              <w:keepLines w:val="0"/>
              <w:pageBreakBefore w:val="0"/>
              <w:kinsoku/>
              <w:wordWrap/>
              <w:overflowPunct/>
              <w:topLinePunct w:val="0"/>
              <w:bidi w:val="0"/>
              <w:snapToGrid/>
              <w:spacing w:line="360" w:lineRule="exact"/>
              <w:jc w:val="lef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47</w:t>
            </w:r>
          </w:p>
        </w:tc>
        <w:tc>
          <w:tcPr>
            <w:tcW w:w="626" w:type="pct"/>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异型卡式快速80母转65公接口</w:t>
            </w:r>
          </w:p>
        </w:tc>
        <w:tc>
          <w:tcPr>
            <w:tcW w:w="344"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个</w:t>
            </w:r>
          </w:p>
        </w:tc>
        <w:tc>
          <w:tcPr>
            <w:tcW w:w="287" w:type="pct"/>
            <w:noWrap/>
            <w:vAlign w:val="center"/>
          </w:tcPr>
          <w:p>
            <w:pPr>
              <w:keepNext w:val="0"/>
              <w:keepLines w:val="0"/>
              <w:pageBreakBefore w:val="0"/>
              <w:shd w:val="clear" w:color="auto" w:fill="FFFFFF"/>
              <w:kinsoku/>
              <w:wordWrap/>
              <w:overflowPunct/>
              <w:topLinePunct w:val="0"/>
              <w:bidi w:val="0"/>
              <w:snapToGrid/>
              <w:spacing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12</w:t>
            </w:r>
          </w:p>
        </w:tc>
        <w:tc>
          <w:tcPr>
            <w:tcW w:w="2909" w:type="pct"/>
            <w:vAlign w:val="center"/>
          </w:tcPr>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1、产品表面无结疤、裂痕、砂眼。</w:t>
            </w:r>
          </w:p>
          <w:p>
            <w:pPr>
              <w:keepNext w:val="0"/>
              <w:keepLines w:val="0"/>
              <w:pageBreakBefore w:val="0"/>
              <w:shd w:val="clear" w:color="auto" w:fill="FFFFFF"/>
              <w:kinsoku/>
              <w:wordWrap/>
              <w:overflowPunct/>
              <w:topLinePunct w:val="0"/>
              <w:bidi w:val="0"/>
              <w:snapToGrid/>
              <w:spacing w:line="360" w:lineRule="exact"/>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2、在2.4Mpa水压下,不出现裂纹或断裂，用于各类水带接口的转换</w:t>
            </w:r>
          </w:p>
        </w:tc>
        <w:tc>
          <w:tcPr>
            <w:tcW w:w="453" w:type="pct"/>
            <w:vAlign w:val="center"/>
          </w:tcPr>
          <w:p>
            <w:pPr>
              <w:keepNext w:val="0"/>
              <w:keepLines w:val="0"/>
              <w:pageBreakBefore w:val="0"/>
              <w:kinsoku/>
              <w:wordWrap/>
              <w:overflowPunct/>
              <w:topLinePunct w:val="0"/>
              <w:bidi w:val="0"/>
              <w:snapToGrid/>
              <w:spacing w:line="360" w:lineRule="exact"/>
              <w:rPr>
                <w:rFonts w:ascii="仿宋_GB2312" w:hAnsi="宋体" w:eastAsia="仿宋_GB2312"/>
                <w:color w:val="auto"/>
                <w:szCs w:val="21"/>
                <w:highlight w:val="none"/>
              </w:rPr>
            </w:pPr>
          </w:p>
        </w:tc>
      </w:tr>
    </w:tbl>
    <w:p>
      <w:pPr>
        <w:keepNext w:val="0"/>
        <w:keepLines w:val="0"/>
        <w:pageBreakBefore w:val="0"/>
        <w:kinsoku/>
        <w:wordWrap/>
        <w:overflowPunct/>
        <w:topLinePunct w:val="0"/>
        <w:autoSpaceDE w:val="0"/>
        <w:autoSpaceDN w:val="0"/>
        <w:bidi w:val="0"/>
        <w:adjustRightInd w:val="0"/>
        <w:snapToGrid/>
        <w:spacing w:line="400" w:lineRule="exact"/>
        <w:rPr>
          <w:rFonts w:ascii="仿宋" w:hAnsi="仿宋" w:eastAsia="仿宋"/>
          <w:b/>
          <w:bCs/>
          <w:color w:val="000000"/>
          <w:sz w:val="24"/>
          <w:highlight w:val="none"/>
        </w:rPr>
      </w:pP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b/>
          <w:bCs/>
          <w:color w:val="000000"/>
          <w:sz w:val="24"/>
          <w:highlight w:val="none"/>
          <w:lang w:eastAsia="zh-CN"/>
        </w:rPr>
      </w:pPr>
      <w:r>
        <w:rPr>
          <w:rFonts w:hint="eastAsia" w:ascii="仿宋" w:hAnsi="仿宋" w:eastAsia="仿宋"/>
          <w:b/>
          <w:bCs/>
          <w:color w:val="000000"/>
          <w:sz w:val="24"/>
          <w:highlight w:val="none"/>
        </w:rPr>
        <w:t>三、安装</w:t>
      </w:r>
      <w:r>
        <w:rPr>
          <w:rFonts w:hint="eastAsia" w:ascii="仿宋" w:hAnsi="仿宋" w:eastAsia="仿宋"/>
          <w:b/>
          <w:bCs/>
          <w:color w:val="000000"/>
          <w:sz w:val="24"/>
          <w:highlight w:val="none"/>
          <w:lang w:eastAsia="zh-CN"/>
        </w:rPr>
        <w:t>、调试要求</w:t>
      </w:r>
    </w:p>
    <w:p>
      <w:pPr>
        <w:pStyle w:val="64"/>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Times New Roman"/>
          <w:color w:val="000000"/>
          <w:kern w:val="2"/>
          <w:sz w:val="24"/>
          <w:szCs w:val="22"/>
          <w:highlight w:val="none"/>
          <w:lang w:val="en-US" w:eastAsia="zh-CN" w:bidi="ar-SA"/>
        </w:rPr>
      </w:pPr>
      <w:bookmarkStart w:id="669" w:name="_Toc502156724"/>
      <w:r>
        <w:rPr>
          <w:rFonts w:hint="eastAsia" w:ascii="仿宋" w:hAnsi="仿宋" w:eastAsia="仿宋" w:cs="Times New Roman"/>
          <w:color w:val="000000"/>
          <w:kern w:val="2"/>
          <w:sz w:val="24"/>
          <w:szCs w:val="22"/>
          <w:highlight w:val="none"/>
          <w:lang w:val="en-US" w:eastAsia="zh-CN" w:bidi="ar-SA"/>
        </w:rPr>
        <w:t>1、中标人负责将设备按签订合同要求运送到现场，并负责安装调试、运行。经最终验收合格后，交付采购人使用。设备安装、调试所需的工具、仪表及安装材料等均由中标人负责提供。</w:t>
      </w:r>
    </w:p>
    <w:p>
      <w:pPr>
        <w:pStyle w:val="64"/>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2、中标人负责组织专业技术人员进行设备调试，采购人应提供必须的基本条件（场地、水电等）和专人配合，保证各项安装工作顺利进行。</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ascii="仿宋" w:hAnsi="仿宋" w:eastAsia="仿宋"/>
          <w:b/>
          <w:bCs/>
          <w:color w:val="000000"/>
          <w:sz w:val="24"/>
          <w:highlight w:val="none"/>
        </w:rPr>
      </w:pPr>
      <w:r>
        <w:rPr>
          <w:rFonts w:hint="eastAsia" w:ascii="仿宋" w:hAnsi="仿宋" w:eastAsia="仿宋"/>
          <w:b/>
          <w:bCs/>
          <w:color w:val="000000"/>
          <w:sz w:val="24"/>
          <w:highlight w:val="none"/>
        </w:rPr>
        <w:t>四、质保期及售后服务要求</w:t>
      </w:r>
      <w:bookmarkEnd w:id="669"/>
    </w:p>
    <w:p>
      <w:pPr>
        <w:pStyle w:val="64"/>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1、质保期内发生的非人为因素造成的质量问题，由中标人负责解决（因采购人使用不当或其他人为因素造成的故障除外）。</w:t>
      </w:r>
    </w:p>
    <w:p>
      <w:pPr>
        <w:pStyle w:val="64"/>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2、任何时候，中标人均不能免除因货本身的缺陷所应付的责任，中标人有义务对所提供的设备实行终生维护和对设备进行定期的检测和维修。</w:t>
      </w:r>
    </w:p>
    <w:p>
      <w:pPr>
        <w:pStyle w:val="64"/>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3、质保期满后，需提供免费技术咨询及终身(有偿)维修保养服务，如需更换故障零部件，则只收取优惠的零件费。</w:t>
      </w:r>
    </w:p>
    <w:p>
      <w:pPr>
        <w:pStyle w:val="64"/>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4、中标人提供终身完善的设备售后服务，确保对采购人的工作不造成影响。质保期内若发生故障，中标人在2小时内给予答复，6小时内派出工程技术人员到现场。</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b/>
          <w:bCs/>
          <w:color w:val="000000"/>
          <w:sz w:val="24"/>
          <w:highlight w:val="none"/>
        </w:rPr>
      </w:pPr>
      <w:r>
        <w:rPr>
          <w:rFonts w:hint="eastAsia" w:ascii="仿宋" w:hAnsi="仿宋" w:eastAsia="仿宋"/>
          <w:b/>
          <w:bCs/>
          <w:color w:val="000000"/>
          <w:sz w:val="24"/>
          <w:highlight w:val="none"/>
        </w:rPr>
        <w:t>五、合同货物交货及验收要求</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5.1.交货期</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5.1.1.交货时间：交货时间指采购人签收货物时间，合同签订生效后 10天内交货。</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5.1.2.交货地点：采购人指定地点。</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 xml:space="preserve">5.2.货物验收 </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5.2.1.交货前，投标人向采购人递交验收申请书；货物到达采购人指定地点，投标人应自行完成安装调试工作，货物安装调试完成后 15 个工作日内，双方共同进行验收，验收合格后双方签订验收调试合格报告书一式5份。</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5.2.2.货物验收时，投标人必须向采购人验收小组提供货物发票、合格证及相关检测证明资料，并同时向采购人设立的维修中心提供1套完整的操作、维修技术资料，包括整套操作使用说明书及光盘（中文）、使用说明书及光盘（中文）、设备操作维修手册（中文）、操作维修手册（中文）等。</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5.2.3.验收按国家有关的规定、规范进行。验收时如发现所交付的货物有短装、次品、损坏或其它不符合本合同规定之情形者，采购人应做出详尽的现场记录，或由双方签署备忘录。此现场记录或备忘录可用作补充、缺失和更换损坏部件的有效证据。由此产生的有关费用由投标人承担，验收期限不予顺延。</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5.2.4.货物在运输和安装调试过程中发生短缺、损坏，投标人应及时安排换装，所需费用由投标人承担。</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5.2.5投标人交货时应将货物的配置清单、用户手册、保修手册、原厂保修卡、产品合格证、资料及配件、随带工具、进口货物的商检证明、合法进口渠道证明等资料交付给甲方；投标人为执行本合同而提供的技术资料（具体内容见本合同6.2条）、软件的使用权归采购人所有。投标人不能完整交付货物及本款规定的资料和工具的，视为未按合同约定交货，投标人必须负责补齐，因此导致逾期交付的，由投标人承担相关的违约责任。</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5.2.6.货物运至指定地点后，投标人应采取相应的保管、保护措施。未经采购人验收通过，货物风险均由投标人承担。如在约定的验收期内（即5.2.1.条），非因甲方原因货物无法通过验收的，投标人应承担相应的场地租赁等费用。</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5.3.双方签订验收调试合格报告书之前的所有保险费用和派往采购人进行服务人员的人身险和其他有关险种，以及有关费用由投标人负责。</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5.4甲方有正当理由，包括但不限于交付货物与合同约定不一致、货物质量验收不合格等情况，导致采购人拒收货物或者解除合同的，货物毁损、丢失的风险由投标人承担。</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5.5采购人组织对中标人交付的所有货物进行验收，如第一次验收不合格时，采购人有权按照合同金额5%的处罚金对中标人进行处罚；如第二次验收不合格时，采购人有权按照合同金额10%的处罚金对中标人进行处罚；如第三次验收依然不合格时，采购人有权拒收货物并解除合同，由此产生的一切费用由中标人承担。（投标人须在投标文件中附上单独书面承诺函并加盖公章）</w:t>
      </w:r>
    </w:p>
    <w:p>
      <w:pPr>
        <w:pStyle w:val="2"/>
        <w:keepNext w:val="0"/>
        <w:keepLines w:val="0"/>
        <w:pageBreakBefore w:val="0"/>
        <w:widowControl w:val="0"/>
        <w:numPr>
          <w:ilvl w:val="0"/>
          <w:numId w:val="7"/>
        </w:numPr>
        <w:kinsoku/>
        <w:wordWrap/>
        <w:overflowPunct/>
        <w:topLinePunct w:val="0"/>
        <w:bidi w:val="0"/>
        <w:snapToGrid/>
        <w:spacing w:line="480" w:lineRule="exact"/>
        <w:textAlignment w:val="auto"/>
        <w:rPr>
          <w:rFonts w:hint="eastAsia" w:ascii="仿宋" w:hAnsi="仿宋" w:eastAsia="仿宋" w:cs="Times New Roman"/>
          <w:b/>
          <w:bCs/>
          <w:color w:val="000000"/>
          <w:kern w:val="2"/>
          <w:sz w:val="24"/>
          <w:szCs w:val="22"/>
          <w:highlight w:val="none"/>
          <w:lang w:val="en-US" w:eastAsia="zh-CN" w:bidi="ar-SA"/>
        </w:rPr>
      </w:pPr>
      <w:r>
        <w:rPr>
          <w:rFonts w:hint="eastAsia" w:ascii="仿宋" w:hAnsi="仿宋" w:eastAsia="仿宋" w:cs="Times New Roman"/>
          <w:b/>
          <w:bCs/>
          <w:color w:val="000000"/>
          <w:kern w:val="2"/>
          <w:sz w:val="24"/>
          <w:szCs w:val="22"/>
          <w:highlight w:val="none"/>
          <w:lang w:val="en-US" w:eastAsia="zh-CN" w:bidi="ar-SA"/>
        </w:rPr>
        <w:t>项目方案</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1.投标人需针对本项目制定项目的人员培训和技术支持，内容包括但不限于：对项目的理解，运营方案、实施人员安排、项目进度安排、技术方案等。</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2.投标人需针对本项目制定项目服务方案，内容包括但不限于服务计划安排、服务保障措施、应急方案、备品备件等进行评分。</w:t>
      </w:r>
    </w:p>
    <w:p>
      <w:pPr>
        <w:pStyle w:val="2"/>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3.投标人需针对本项目制定项目的供货组织安排及零配件供应计划。</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ascii="仿宋" w:hAnsi="仿宋" w:eastAsia="仿宋"/>
          <w:b/>
          <w:bCs/>
          <w:color w:val="000000"/>
          <w:sz w:val="24"/>
          <w:highlight w:val="none"/>
        </w:rPr>
      </w:pPr>
      <w:r>
        <w:rPr>
          <w:rFonts w:hint="eastAsia" w:ascii="仿宋" w:hAnsi="仿宋" w:eastAsia="仿宋"/>
          <w:b/>
          <w:bCs/>
          <w:color w:val="000000"/>
          <w:sz w:val="24"/>
          <w:highlight w:val="none"/>
          <w:lang w:eastAsia="zh-CN"/>
        </w:rPr>
        <w:t>七</w:t>
      </w:r>
      <w:r>
        <w:rPr>
          <w:rFonts w:hint="eastAsia" w:ascii="仿宋" w:hAnsi="仿宋" w:eastAsia="仿宋"/>
          <w:b/>
          <w:bCs/>
          <w:color w:val="000000"/>
          <w:sz w:val="24"/>
          <w:highlight w:val="none"/>
        </w:rPr>
        <w:t>、其他事项</w:t>
      </w:r>
    </w:p>
    <w:p>
      <w:pPr>
        <w:pStyle w:val="64"/>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1、中标人为采购人提供相关的培训课程，让采购人可以熟练操作所购买的设备。安装时提供现场培训（培训人数不少于2人，培训时间不少于48小时）。使采购人代表基本掌握仪器操作，免费提供操作人员的技术培训及解答应用技术问题。</w:t>
      </w:r>
    </w:p>
    <w:p>
      <w:pPr>
        <w:pStyle w:val="64"/>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2、所有设备都必须全新、原装，符合国家质量检测标准。</w:t>
      </w:r>
    </w:p>
    <w:p>
      <w:pPr>
        <w:pStyle w:val="64"/>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Times New Roman"/>
          <w:color w:val="000000"/>
          <w:kern w:val="2"/>
          <w:sz w:val="24"/>
          <w:szCs w:val="22"/>
          <w:highlight w:val="none"/>
          <w:lang w:val="en-US" w:eastAsia="zh-CN" w:bidi="ar-SA"/>
        </w:rPr>
      </w:pPr>
      <w:r>
        <w:rPr>
          <w:rFonts w:hint="eastAsia" w:ascii="仿宋" w:hAnsi="仿宋" w:eastAsia="仿宋" w:cs="Times New Roman"/>
          <w:color w:val="000000"/>
          <w:kern w:val="2"/>
          <w:sz w:val="24"/>
          <w:szCs w:val="22"/>
          <w:highlight w:val="none"/>
          <w:lang w:val="en-US" w:eastAsia="zh-CN" w:bidi="ar-SA"/>
        </w:rPr>
        <w:t>3、采购人有权在合同签订前核实中标人所投产品参数与功能情况（投标人需提供相应证明由采购人进行核实），如投标文件中的描述与实际产品参数、功能不一致，视为提供虚假材料谋取中标、成交资格。届时，采购人有权上报政府采购监督部门进行处理，由此引发的一切损失均由中标人负责。</w:t>
      </w:r>
    </w:p>
    <w:p>
      <w:pPr>
        <w:autoSpaceDE w:val="0"/>
        <w:autoSpaceDN w:val="0"/>
        <w:adjustRightInd w:val="0"/>
        <w:spacing w:line="420" w:lineRule="exact"/>
        <w:jc w:val="both"/>
        <w:rPr>
          <w:rFonts w:hint="eastAsia" w:asciiTheme="minorEastAsia" w:hAnsiTheme="minorEastAsia" w:eastAsiaTheme="minorEastAsia" w:cstheme="minorEastAsia"/>
          <w:color w:val="auto"/>
          <w:sz w:val="24"/>
          <w:highlight w:val="none"/>
        </w:rPr>
      </w:pPr>
    </w:p>
    <w:p>
      <w:pPr>
        <w:rPr>
          <w:rFonts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br w:type="page"/>
      </w: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第六章  合同书格式</w:t>
      </w:r>
      <w:bookmarkEnd w:id="618"/>
      <w:bookmarkEnd w:id="619"/>
      <w:bookmarkEnd w:id="620"/>
      <w:bookmarkEnd w:id="621"/>
      <w:bookmarkEnd w:id="622"/>
      <w:bookmarkEnd w:id="623"/>
      <w:bookmarkEnd w:id="624"/>
      <w:bookmarkEnd w:id="661"/>
    </w:p>
    <w:p>
      <w:pPr>
        <w:jc w:val="center"/>
        <w:rPr>
          <w:rFonts w:ascii="仿宋" w:hAnsi="仿宋" w:eastAsia="仿宋" w:cs="仿宋"/>
          <w:color w:val="auto"/>
          <w:sz w:val="22"/>
          <w:highlight w:val="none"/>
        </w:rPr>
      </w:pPr>
      <w:r>
        <w:rPr>
          <w:rFonts w:hint="eastAsia" w:ascii="仿宋" w:hAnsi="仿宋" w:eastAsia="仿宋" w:cs="仿宋"/>
          <w:color w:val="auto"/>
          <w:highlight w:val="none"/>
        </w:rPr>
        <w:br w:type="page"/>
      </w:r>
    </w:p>
    <w:p>
      <w:pPr>
        <w:spacing w:beforeLines="350" w:afterLines="150" w:line="360" w:lineRule="auto"/>
        <w:jc w:val="center"/>
        <w:rPr>
          <w:rFonts w:ascii="Times New Roman" w:hAnsi="Times New Roman" w:eastAsia="黑体"/>
          <w:b/>
          <w:bCs/>
          <w:spacing w:val="60"/>
          <w:sz w:val="52"/>
          <w:szCs w:val="52"/>
          <w:highlight w:val="none"/>
        </w:rPr>
      </w:pPr>
      <w:r>
        <w:rPr>
          <w:rFonts w:ascii="Times New Roman" w:hAnsi="Times New Roman" w:eastAsia="黑体"/>
          <w:b/>
          <w:bCs/>
          <w:spacing w:val="60"/>
          <w:sz w:val="52"/>
          <w:szCs w:val="52"/>
          <w:highlight w:val="none"/>
        </w:rPr>
        <w:t>合同文件</w:t>
      </w:r>
      <w:r>
        <w:rPr>
          <w:rFonts w:hint="eastAsia" w:ascii="Times New Roman" w:hAnsi="Times New Roman" w:eastAsia="黑体"/>
          <w:b/>
          <w:bCs/>
          <w:spacing w:val="60"/>
          <w:sz w:val="52"/>
          <w:szCs w:val="52"/>
          <w:highlight w:val="none"/>
        </w:rPr>
        <w:t>格式</w:t>
      </w:r>
    </w:p>
    <w:p>
      <w:pPr>
        <w:spacing w:line="360" w:lineRule="auto"/>
        <w:rPr>
          <w:rFonts w:ascii="Times New Roman" w:hAnsi="Times New Roman" w:eastAsia="黑体"/>
          <w:b/>
          <w:bCs/>
          <w:szCs w:val="21"/>
          <w:highlight w:val="none"/>
        </w:rPr>
      </w:pPr>
    </w:p>
    <w:p>
      <w:pPr>
        <w:spacing w:line="360" w:lineRule="auto"/>
        <w:rPr>
          <w:rFonts w:ascii="Times New Roman" w:hAnsi="Times New Roman" w:eastAsia="黑体"/>
          <w:b/>
          <w:bCs/>
          <w:szCs w:val="21"/>
          <w:highlight w:val="none"/>
        </w:rPr>
      </w:pPr>
    </w:p>
    <w:p>
      <w:pPr>
        <w:spacing w:line="360" w:lineRule="auto"/>
        <w:rPr>
          <w:rFonts w:ascii="Times New Roman" w:hAnsi="Times New Roman" w:eastAsia="黑体"/>
          <w:b/>
          <w:bCs/>
          <w:szCs w:val="21"/>
          <w:highlight w:val="none"/>
        </w:rPr>
      </w:pPr>
    </w:p>
    <w:p>
      <w:pPr>
        <w:adjustRightInd w:val="0"/>
        <w:snapToGrid w:val="0"/>
        <w:spacing w:line="480" w:lineRule="auto"/>
        <w:ind w:left="1575" w:leftChars="638" w:hanging="235" w:hangingChars="73"/>
        <w:rPr>
          <w:rFonts w:ascii="Times New Roman" w:hAnsi="Times New Roman"/>
          <w:b/>
          <w:sz w:val="32"/>
          <w:highlight w:val="none"/>
        </w:rPr>
      </w:pPr>
    </w:p>
    <w:p>
      <w:pPr>
        <w:adjustRightInd w:val="0"/>
        <w:snapToGrid w:val="0"/>
        <w:spacing w:line="480" w:lineRule="auto"/>
        <w:ind w:left="1545" w:leftChars="270" w:hanging="978" w:hangingChars="348"/>
        <w:rPr>
          <w:rFonts w:ascii="Times New Roman" w:hAnsi="Times New Roman" w:eastAsia="黑体"/>
          <w:b/>
          <w:sz w:val="28"/>
          <w:highlight w:val="none"/>
        </w:rPr>
      </w:pPr>
      <w:r>
        <w:rPr>
          <w:rFonts w:ascii="Times New Roman" w:hAnsi="Times New Roman" w:eastAsia="黑体"/>
          <w:b/>
          <w:sz w:val="28"/>
          <w:highlight w:val="none"/>
        </w:rPr>
        <w:t>项目名称：</w:t>
      </w:r>
    </w:p>
    <w:p>
      <w:pPr>
        <w:adjustRightInd w:val="0"/>
        <w:snapToGrid w:val="0"/>
        <w:spacing w:line="480" w:lineRule="auto"/>
        <w:ind w:left="1545" w:leftChars="270" w:hanging="978" w:hangingChars="348"/>
        <w:rPr>
          <w:rFonts w:ascii="Times New Roman" w:hAnsi="Times New Roman" w:eastAsia="黑体"/>
          <w:b/>
          <w:sz w:val="28"/>
          <w:highlight w:val="none"/>
        </w:rPr>
      </w:pPr>
      <w:r>
        <w:rPr>
          <w:rFonts w:ascii="Times New Roman" w:hAnsi="Times New Roman" w:eastAsia="黑体"/>
          <w:b/>
          <w:sz w:val="28"/>
          <w:highlight w:val="none"/>
        </w:rPr>
        <w:t>合同编号：</w:t>
      </w:r>
    </w:p>
    <w:p>
      <w:pPr>
        <w:adjustRightInd w:val="0"/>
        <w:snapToGrid w:val="0"/>
        <w:spacing w:line="480" w:lineRule="auto"/>
        <w:ind w:left="1545" w:leftChars="270" w:hanging="978" w:hangingChars="348"/>
        <w:rPr>
          <w:rFonts w:ascii="Times New Roman" w:hAnsi="Times New Roman" w:eastAsia="黑体"/>
          <w:b/>
          <w:sz w:val="28"/>
          <w:highlight w:val="none"/>
        </w:rPr>
      </w:pPr>
      <w:r>
        <w:rPr>
          <w:rFonts w:ascii="Times New Roman" w:hAnsi="Times New Roman" w:eastAsia="黑体"/>
          <w:b/>
          <w:sz w:val="28"/>
          <w:highlight w:val="none"/>
        </w:rPr>
        <w:t>签约地点：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eastAsia="黑体"/>
          <w:b/>
          <w:sz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eastAsia="黑体"/>
          <w:b/>
          <w:sz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eastAsia="黑体"/>
          <w:b/>
          <w:sz w:val="24"/>
          <w:highlight w:val="none"/>
        </w:rPr>
      </w:pPr>
      <w:r>
        <w:rPr>
          <w:rFonts w:ascii="Times New Roman" w:hAnsi="Times New Roman" w:eastAsia="黑体"/>
          <w:b/>
          <w:sz w:val="28"/>
          <w:highlight w:val="none"/>
        </w:rPr>
        <w:t>签订日期：年月日</w:t>
      </w:r>
    </w:p>
    <w:p>
      <w:pPr>
        <w:spacing w:line="360" w:lineRule="auto"/>
        <w:rPr>
          <w:rFonts w:ascii="Times New Roman" w:hAnsi="Times New Roman" w:eastAsia="黑体"/>
          <w:b/>
          <w:bCs/>
          <w:szCs w:val="21"/>
          <w:highlight w:val="none"/>
        </w:rPr>
      </w:pPr>
    </w:p>
    <w:p>
      <w:pPr>
        <w:spacing w:line="360" w:lineRule="auto"/>
        <w:rPr>
          <w:rFonts w:ascii="Times New Roman" w:hAnsi="Times New Roman" w:eastAsia="黑体"/>
          <w:b/>
          <w:bCs/>
          <w:szCs w:val="21"/>
          <w:highlight w:val="none"/>
        </w:rPr>
      </w:pPr>
    </w:p>
    <w:p>
      <w:pPr>
        <w:spacing w:line="360" w:lineRule="auto"/>
        <w:rPr>
          <w:rFonts w:ascii="Times New Roman" w:hAnsi="Times New Roman" w:eastAsia="黑体"/>
          <w:b/>
          <w:bCs/>
          <w:szCs w:val="21"/>
          <w:highlight w:val="none"/>
        </w:rPr>
      </w:pPr>
    </w:p>
    <w:p>
      <w:pPr>
        <w:spacing w:line="360" w:lineRule="auto"/>
        <w:rPr>
          <w:rFonts w:ascii="Times New Roman" w:hAnsi="Times New Roman" w:eastAsia="黑体"/>
          <w:b/>
          <w:bCs/>
          <w:szCs w:val="21"/>
          <w:highlight w:val="none"/>
        </w:rPr>
      </w:pPr>
    </w:p>
    <w:p>
      <w:pPr>
        <w:spacing w:line="360" w:lineRule="auto"/>
        <w:rPr>
          <w:rFonts w:ascii="Times New Roman" w:hAnsi="Times New Roman" w:eastAsia="黑体"/>
          <w:b/>
          <w:bCs/>
          <w:szCs w:val="21"/>
          <w:highlight w:val="none"/>
        </w:rPr>
      </w:pPr>
    </w:p>
    <w:p>
      <w:pPr>
        <w:tabs>
          <w:tab w:val="left" w:pos="720"/>
        </w:tabs>
        <w:spacing w:line="360" w:lineRule="auto"/>
        <w:rPr>
          <w:rFonts w:ascii="Times New Roman" w:hAnsi="Times New Roman"/>
          <w:b/>
          <w:szCs w:val="21"/>
          <w:highlight w:val="none"/>
        </w:rPr>
      </w:pPr>
      <w:r>
        <w:rPr>
          <w:rFonts w:ascii="Times New Roman" w:hAnsi="Times New Roman"/>
          <w:b/>
          <w:szCs w:val="21"/>
          <w:highlight w:val="none"/>
        </w:rPr>
        <w:t>甲方：</w:t>
      </w:r>
    </w:p>
    <w:p>
      <w:pPr>
        <w:spacing w:line="360" w:lineRule="auto"/>
        <w:rPr>
          <w:rFonts w:ascii="Times New Roman" w:hAnsi="Times New Roman"/>
          <w:szCs w:val="21"/>
          <w:highlight w:val="none"/>
        </w:rPr>
      </w:pPr>
      <w:r>
        <w:rPr>
          <w:rFonts w:ascii="Times New Roman" w:hAnsi="Times New Roman"/>
          <w:szCs w:val="21"/>
          <w:highlight w:val="none"/>
        </w:rPr>
        <w:t>电话：　传真：地址：</w:t>
      </w:r>
    </w:p>
    <w:p>
      <w:pPr>
        <w:spacing w:line="360" w:lineRule="auto"/>
        <w:rPr>
          <w:rFonts w:ascii="Times New Roman" w:hAnsi="Times New Roman"/>
          <w:szCs w:val="21"/>
          <w:highlight w:val="none"/>
        </w:rPr>
      </w:pPr>
      <w:r>
        <w:rPr>
          <w:rFonts w:ascii="Times New Roman" w:hAnsi="Times New Roman"/>
          <w:b/>
          <w:szCs w:val="21"/>
          <w:highlight w:val="none"/>
        </w:rPr>
        <w:t>乙方：</w:t>
      </w:r>
      <w:r>
        <w:rPr>
          <w:rFonts w:ascii="Times New Roman" w:hAnsi="Times New Roman"/>
          <w:b/>
          <w:szCs w:val="21"/>
          <w:highlight w:val="none"/>
        </w:rPr>
        <w:br w:type="textWrapping"/>
      </w:r>
      <w:r>
        <w:rPr>
          <w:rFonts w:ascii="Times New Roman" w:hAnsi="Times New Roman"/>
          <w:szCs w:val="21"/>
          <w:highlight w:val="none"/>
        </w:rPr>
        <w:t xml:space="preserve">电    话：                传  真：           地  址：   </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根据</w:t>
      </w:r>
      <w:r>
        <w:rPr>
          <w:rFonts w:hint="eastAsia" w:ascii="Times New Roman" w:hAnsi="Times New Roman"/>
          <w:szCs w:val="21"/>
          <w:highlight w:val="none"/>
        </w:rPr>
        <w:t>《</w:t>
      </w:r>
      <w:bookmarkStart w:id="670" w:name="_Hlk61010370"/>
      <w:r>
        <w:rPr>
          <w:rFonts w:hint="eastAsia" w:ascii="Times New Roman" w:hAnsi="Times New Roman"/>
          <w:szCs w:val="21"/>
          <w:highlight w:val="none"/>
        </w:rPr>
        <w:t>中华人民共和国民法典</w:t>
      </w:r>
      <w:bookmarkEnd w:id="670"/>
      <w:r>
        <w:rPr>
          <w:rFonts w:hint="eastAsia" w:ascii="Times New Roman" w:hAnsi="Times New Roman"/>
          <w:szCs w:val="21"/>
          <w:highlight w:val="none"/>
        </w:rPr>
        <w:t>》招标要求</w:t>
      </w:r>
      <w:r>
        <w:rPr>
          <w:rFonts w:ascii="Times New Roman" w:hAnsi="Times New Roman"/>
          <w:szCs w:val="21"/>
          <w:highlight w:val="none"/>
        </w:rPr>
        <w:t>的采购结果，按照《中华人民共和国政府采购法》、《中华人民共和国政府采购法实施条例》、《合同法》的规定，</w:t>
      </w:r>
      <w:r>
        <w:rPr>
          <w:rFonts w:ascii="Times New Roman" w:hAnsi="Times New Roman"/>
          <w:kern w:val="28"/>
          <w:szCs w:val="21"/>
          <w:highlight w:val="none"/>
        </w:rPr>
        <w:t>经双方协商，</w:t>
      </w:r>
      <w:r>
        <w:rPr>
          <w:rFonts w:ascii="Times New Roman" w:hAnsi="Times New Roman"/>
          <w:szCs w:val="21"/>
          <w:highlight w:val="none"/>
        </w:rPr>
        <w:t>本着平等互利和诚实信用的原则，</w:t>
      </w:r>
      <w:r>
        <w:rPr>
          <w:rFonts w:ascii="Times New Roman" w:hAnsi="Times New Roman"/>
          <w:kern w:val="28"/>
          <w:szCs w:val="21"/>
          <w:highlight w:val="none"/>
        </w:rPr>
        <w:t>一致同意签订本合同如下</w:t>
      </w:r>
      <w:r>
        <w:rPr>
          <w:rFonts w:ascii="Times New Roman" w:hAnsi="Times New Roman"/>
          <w:szCs w:val="21"/>
          <w:highlight w:val="none"/>
        </w:rPr>
        <w:t>。</w:t>
      </w:r>
    </w:p>
    <w:p>
      <w:pPr>
        <w:numPr>
          <w:ilvl w:val="0"/>
          <w:numId w:val="8"/>
        </w:numPr>
        <w:tabs>
          <w:tab w:val="left" w:pos="630"/>
        </w:tabs>
        <w:spacing w:line="360" w:lineRule="auto"/>
        <w:ind w:left="0" w:firstLine="0"/>
        <w:rPr>
          <w:rFonts w:ascii="Times New Roman" w:hAnsi="Times New Roman"/>
          <w:b/>
          <w:szCs w:val="21"/>
          <w:highlight w:val="none"/>
        </w:rPr>
      </w:pPr>
      <w:r>
        <w:rPr>
          <w:rFonts w:ascii="Times New Roman" w:hAnsi="Times New Roman"/>
          <w:b/>
          <w:szCs w:val="21"/>
          <w:highlight w:val="none"/>
        </w:rPr>
        <w:t>合同金额</w:t>
      </w:r>
      <w:bookmarkStart w:id="671" w:name="_Toc86481557"/>
      <w:r>
        <w:rPr>
          <w:rFonts w:hint="eastAsia" w:ascii="Times New Roman" w:hAnsi="Times New Roman"/>
          <w:b/>
          <w:szCs w:val="21"/>
          <w:highlight w:val="none"/>
        </w:rPr>
        <w:t>、</w:t>
      </w:r>
      <w:r>
        <w:rPr>
          <w:b/>
          <w:color w:val="000000" w:themeColor="text1"/>
          <w:sz w:val="24"/>
          <w:highlight w:val="none"/>
          <w14:textFill>
            <w14:solidFill>
              <w14:schemeClr w14:val="tx1"/>
            </w14:solidFill>
          </w14:textFill>
        </w:rPr>
        <w:t>货物名称、品牌、型号、规格、制造商、数量及交货时间</w:t>
      </w:r>
      <w:bookmarkEnd w:id="671"/>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82"/>
        <w:gridCol w:w="1311"/>
        <w:gridCol w:w="1039"/>
        <w:gridCol w:w="733"/>
        <w:gridCol w:w="716"/>
        <w:gridCol w:w="746"/>
        <w:gridCol w:w="795"/>
        <w:gridCol w:w="1039"/>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382" w:type="dxa"/>
          </w:tcPr>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货物名称</w:t>
            </w:r>
          </w:p>
        </w:tc>
        <w:tc>
          <w:tcPr>
            <w:tcW w:w="1311" w:type="dxa"/>
          </w:tcPr>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型号规格</w:t>
            </w:r>
          </w:p>
        </w:tc>
        <w:tc>
          <w:tcPr>
            <w:tcW w:w="1039" w:type="dxa"/>
          </w:tcPr>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制造商</w:t>
            </w:r>
          </w:p>
        </w:tc>
        <w:tc>
          <w:tcPr>
            <w:tcW w:w="733" w:type="dxa"/>
          </w:tcPr>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w:t>
            </w:r>
          </w:p>
        </w:tc>
        <w:tc>
          <w:tcPr>
            <w:tcW w:w="716" w:type="dxa"/>
          </w:tcPr>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w:t>
            </w:r>
          </w:p>
        </w:tc>
        <w:tc>
          <w:tcPr>
            <w:tcW w:w="746" w:type="dxa"/>
          </w:tcPr>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单价</w:t>
            </w:r>
          </w:p>
        </w:tc>
        <w:tc>
          <w:tcPr>
            <w:tcW w:w="795" w:type="dxa"/>
          </w:tcPr>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金额</w:t>
            </w:r>
          </w:p>
        </w:tc>
        <w:tc>
          <w:tcPr>
            <w:tcW w:w="1039" w:type="dxa"/>
          </w:tcPr>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交货期</w:t>
            </w:r>
          </w:p>
        </w:tc>
        <w:tc>
          <w:tcPr>
            <w:tcW w:w="744" w:type="dxa"/>
          </w:tcPr>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60" w:lineRule="exact"/>
              <w:rPr>
                <w:color w:val="000000" w:themeColor="text1"/>
                <w:sz w:val="24"/>
                <w:highlight w:val="none"/>
                <w14:textFill>
                  <w14:solidFill>
                    <w14:schemeClr w14:val="tx1"/>
                  </w14:solidFill>
                </w14:textFill>
              </w:rPr>
            </w:pPr>
          </w:p>
        </w:tc>
        <w:tc>
          <w:tcPr>
            <w:tcW w:w="1382" w:type="dxa"/>
          </w:tcPr>
          <w:p>
            <w:pPr>
              <w:spacing w:line="460" w:lineRule="exact"/>
              <w:rPr>
                <w:color w:val="000000" w:themeColor="text1"/>
                <w:sz w:val="24"/>
                <w:highlight w:val="none"/>
                <w14:textFill>
                  <w14:solidFill>
                    <w14:schemeClr w14:val="tx1"/>
                  </w14:solidFill>
                </w14:textFill>
              </w:rPr>
            </w:pPr>
          </w:p>
        </w:tc>
        <w:tc>
          <w:tcPr>
            <w:tcW w:w="1311" w:type="dxa"/>
          </w:tcPr>
          <w:p>
            <w:pPr>
              <w:spacing w:line="460" w:lineRule="exact"/>
              <w:rPr>
                <w:color w:val="000000" w:themeColor="text1"/>
                <w:sz w:val="24"/>
                <w:highlight w:val="none"/>
                <w14:textFill>
                  <w14:solidFill>
                    <w14:schemeClr w14:val="tx1"/>
                  </w14:solidFill>
                </w14:textFill>
              </w:rPr>
            </w:pPr>
          </w:p>
        </w:tc>
        <w:tc>
          <w:tcPr>
            <w:tcW w:w="1039" w:type="dxa"/>
          </w:tcPr>
          <w:p>
            <w:pPr>
              <w:spacing w:line="460" w:lineRule="exact"/>
              <w:rPr>
                <w:color w:val="000000" w:themeColor="text1"/>
                <w:sz w:val="24"/>
                <w:highlight w:val="none"/>
                <w14:textFill>
                  <w14:solidFill>
                    <w14:schemeClr w14:val="tx1"/>
                  </w14:solidFill>
                </w14:textFill>
              </w:rPr>
            </w:pPr>
          </w:p>
        </w:tc>
        <w:tc>
          <w:tcPr>
            <w:tcW w:w="733" w:type="dxa"/>
          </w:tcPr>
          <w:p>
            <w:pPr>
              <w:spacing w:line="460" w:lineRule="exact"/>
              <w:rPr>
                <w:color w:val="000000" w:themeColor="text1"/>
                <w:sz w:val="24"/>
                <w:highlight w:val="none"/>
                <w14:textFill>
                  <w14:solidFill>
                    <w14:schemeClr w14:val="tx1"/>
                  </w14:solidFill>
                </w14:textFill>
              </w:rPr>
            </w:pPr>
          </w:p>
        </w:tc>
        <w:tc>
          <w:tcPr>
            <w:tcW w:w="716" w:type="dxa"/>
          </w:tcPr>
          <w:p>
            <w:pPr>
              <w:spacing w:line="460" w:lineRule="exact"/>
              <w:rPr>
                <w:color w:val="000000" w:themeColor="text1"/>
                <w:sz w:val="24"/>
                <w:highlight w:val="none"/>
                <w14:textFill>
                  <w14:solidFill>
                    <w14:schemeClr w14:val="tx1"/>
                  </w14:solidFill>
                </w14:textFill>
              </w:rPr>
            </w:pPr>
          </w:p>
        </w:tc>
        <w:tc>
          <w:tcPr>
            <w:tcW w:w="746" w:type="dxa"/>
          </w:tcPr>
          <w:p>
            <w:pPr>
              <w:spacing w:line="460" w:lineRule="exact"/>
              <w:rPr>
                <w:color w:val="000000" w:themeColor="text1"/>
                <w:sz w:val="24"/>
                <w:highlight w:val="none"/>
                <w14:textFill>
                  <w14:solidFill>
                    <w14:schemeClr w14:val="tx1"/>
                  </w14:solidFill>
                </w14:textFill>
              </w:rPr>
            </w:pPr>
          </w:p>
        </w:tc>
        <w:tc>
          <w:tcPr>
            <w:tcW w:w="795" w:type="dxa"/>
          </w:tcPr>
          <w:p>
            <w:pPr>
              <w:spacing w:line="460" w:lineRule="exact"/>
              <w:rPr>
                <w:color w:val="000000" w:themeColor="text1"/>
                <w:sz w:val="24"/>
                <w:highlight w:val="none"/>
                <w14:textFill>
                  <w14:solidFill>
                    <w14:schemeClr w14:val="tx1"/>
                  </w14:solidFill>
                </w14:textFill>
              </w:rPr>
            </w:pPr>
          </w:p>
        </w:tc>
        <w:tc>
          <w:tcPr>
            <w:tcW w:w="1039" w:type="dxa"/>
          </w:tcPr>
          <w:p>
            <w:pPr>
              <w:spacing w:line="460" w:lineRule="exact"/>
              <w:rPr>
                <w:color w:val="000000" w:themeColor="text1"/>
                <w:sz w:val="24"/>
                <w:highlight w:val="none"/>
                <w14:textFill>
                  <w14:solidFill>
                    <w14:schemeClr w14:val="tx1"/>
                  </w14:solidFill>
                </w14:textFill>
              </w:rPr>
            </w:pPr>
          </w:p>
        </w:tc>
        <w:tc>
          <w:tcPr>
            <w:tcW w:w="744" w:type="dxa"/>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60" w:lineRule="exact"/>
              <w:rPr>
                <w:color w:val="000000" w:themeColor="text1"/>
                <w:sz w:val="24"/>
                <w:highlight w:val="none"/>
                <w14:textFill>
                  <w14:solidFill>
                    <w14:schemeClr w14:val="tx1"/>
                  </w14:solidFill>
                </w14:textFill>
              </w:rPr>
            </w:pPr>
          </w:p>
        </w:tc>
        <w:tc>
          <w:tcPr>
            <w:tcW w:w="1382" w:type="dxa"/>
          </w:tcPr>
          <w:p>
            <w:pPr>
              <w:spacing w:line="460" w:lineRule="exact"/>
              <w:rPr>
                <w:color w:val="000000" w:themeColor="text1"/>
                <w:sz w:val="24"/>
                <w:highlight w:val="none"/>
                <w14:textFill>
                  <w14:solidFill>
                    <w14:schemeClr w14:val="tx1"/>
                  </w14:solidFill>
                </w14:textFill>
              </w:rPr>
            </w:pPr>
          </w:p>
        </w:tc>
        <w:tc>
          <w:tcPr>
            <w:tcW w:w="1311" w:type="dxa"/>
          </w:tcPr>
          <w:p>
            <w:pPr>
              <w:spacing w:line="460" w:lineRule="exact"/>
              <w:rPr>
                <w:color w:val="000000" w:themeColor="text1"/>
                <w:sz w:val="24"/>
                <w:highlight w:val="none"/>
                <w14:textFill>
                  <w14:solidFill>
                    <w14:schemeClr w14:val="tx1"/>
                  </w14:solidFill>
                </w14:textFill>
              </w:rPr>
            </w:pPr>
          </w:p>
        </w:tc>
        <w:tc>
          <w:tcPr>
            <w:tcW w:w="1039" w:type="dxa"/>
          </w:tcPr>
          <w:p>
            <w:pPr>
              <w:spacing w:line="460" w:lineRule="exact"/>
              <w:rPr>
                <w:color w:val="000000" w:themeColor="text1"/>
                <w:sz w:val="24"/>
                <w:highlight w:val="none"/>
                <w14:textFill>
                  <w14:solidFill>
                    <w14:schemeClr w14:val="tx1"/>
                  </w14:solidFill>
                </w14:textFill>
              </w:rPr>
            </w:pPr>
          </w:p>
        </w:tc>
        <w:tc>
          <w:tcPr>
            <w:tcW w:w="733" w:type="dxa"/>
          </w:tcPr>
          <w:p>
            <w:pPr>
              <w:spacing w:line="460" w:lineRule="exact"/>
              <w:rPr>
                <w:color w:val="000000" w:themeColor="text1"/>
                <w:sz w:val="24"/>
                <w:highlight w:val="none"/>
                <w14:textFill>
                  <w14:solidFill>
                    <w14:schemeClr w14:val="tx1"/>
                  </w14:solidFill>
                </w14:textFill>
              </w:rPr>
            </w:pPr>
          </w:p>
        </w:tc>
        <w:tc>
          <w:tcPr>
            <w:tcW w:w="716" w:type="dxa"/>
          </w:tcPr>
          <w:p>
            <w:pPr>
              <w:spacing w:line="460" w:lineRule="exact"/>
              <w:rPr>
                <w:color w:val="000000" w:themeColor="text1"/>
                <w:sz w:val="24"/>
                <w:highlight w:val="none"/>
                <w14:textFill>
                  <w14:solidFill>
                    <w14:schemeClr w14:val="tx1"/>
                  </w14:solidFill>
                </w14:textFill>
              </w:rPr>
            </w:pPr>
          </w:p>
        </w:tc>
        <w:tc>
          <w:tcPr>
            <w:tcW w:w="746" w:type="dxa"/>
          </w:tcPr>
          <w:p>
            <w:pPr>
              <w:spacing w:line="460" w:lineRule="exact"/>
              <w:rPr>
                <w:color w:val="000000" w:themeColor="text1"/>
                <w:sz w:val="24"/>
                <w:highlight w:val="none"/>
                <w14:textFill>
                  <w14:solidFill>
                    <w14:schemeClr w14:val="tx1"/>
                  </w14:solidFill>
                </w14:textFill>
              </w:rPr>
            </w:pPr>
          </w:p>
        </w:tc>
        <w:tc>
          <w:tcPr>
            <w:tcW w:w="795" w:type="dxa"/>
          </w:tcPr>
          <w:p>
            <w:pPr>
              <w:spacing w:line="460" w:lineRule="exact"/>
              <w:rPr>
                <w:color w:val="000000" w:themeColor="text1"/>
                <w:sz w:val="24"/>
                <w:highlight w:val="none"/>
                <w14:textFill>
                  <w14:solidFill>
                    <w14:schemeClr w14:val="tx1"/>
                  </w14:solidFill>
                </w14:textFill>
              </w:rPr>
            </w:pPr>
          </w:p>
        </w:tc>
        <w:tc>
          <w:tcPr>
            <w:tcW w:w="1039" w:type="dxa"/>
          </w:tcPr>
          <w:p>
            <w:pPr>
              <w:spacing w:line="460" w:lineRule="exact"/>
              <w:rPr>
                <w:color w:val="000000" w:themeColor="text1"/>
                <w:sz w:val="24"/>
                <w:highlight w:val="none"/>
                <w14:textFill>
                  <w14:solidFill>
                    <w14:schemeClr w14:val="tx1"/>
                  </w14:solidFill>
                </w14:textFill>
              </w:rPr>
            </w:pPr>
          </w:p>
        </w:tc>
        <w:tc>
          <w:tcPr>
            <w:tcW w:w="744" w:type="dxa"/>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60" w:lineRule="exact"/>
              <w:rPr>
                <w:color w:val="000000" w:themeColor="text1"/>
                <w:sz w:val="24"/>
                <w:highlight w:val="none"/>
                <w14:textFill>
                  <w14:solidFill>
                    <w14:schemeClr w14:val="tx1"/>
                  </w14:solidFill>
                </w14:textFill>
              </w:rPr>
            </w:pPr>
          </w:p>
        </w:tc>
        <w:tc>
          <w:tcPr>
            <w:tcW w:w="1382" w:type="dxa"/>
          </w:tcPr>
          <w:p>
            <w:pPr>
              <w:spacing w:line="460" w:lineRule="exact"/>
              <w:rPr>
                <w:color w:val="000000" w:themeColor="text1"/>
                <w:sz w:val="24"/>
                <w:highlight w:val="none"/>
                <w14:textFill>
                  <w14:solidFill>
                    <w14:schemeClr w14:val="tx1"/>
                  </w14:solidFill>
                </w14:textFill>
              </w:rPr>
            </w:pPr>
          </w:p>
        </w:tc>
        <w:tc>
          <w:tcPr>
            <w:tcW w:w="1311" w:type="dxa"/>
          </w:tcPr>
          <w:p>
            <w:pPr>
              <w:spacing w:line="460" w:lineRule="exact"/>
              <w:rPr>
                <w:color w:val="000000" w:themeColor="text1"/>
                <w:sz w:val="24"/>
                <w:highlight w:val="none"/>
                <w14:textFill>
                  <w14:solidFill>
                    <w14:schemeClr w14:val="tx1"/>
                  </w14:solidFill>
                </w14:textFill>
              </w:rPr>
            </w:pPr>
          </w:p>
        </w:tc>
        <w:tc>
          <w:tcPr>
            <w:tcW w:w="1039" w:type="dxa"/>
          </w:tcPr>
          <w:p>
            <w:pPr>
              <w:spacing w:line="460" w:lineRule="exact"/>
              <w:rPr>
                <w:color w:val="000000" w:themeColor="text1"/>
                <w:sz w:val="24"/>
                <w:highlight w:val="none"/>
                <w14:textFill>
                  <w14:solidFill>
                    <w14:schemeClr w14:val="tx1"/>
                  </w14:solidFill>
                </w14:textFill>
              </w:rPr>
            </w:pPr>
          </w:p>
        </w:tc>
        <w:tc>
          <w:tcPr>
            <w:tcW w:w="733" w:type="dxa"/>
          </w:tcPr>
          <w:p>
            <w:pPr>
              <w:spacing w:line="460" w:lineRule="exact"/>
              <w:rPr>
                <w:color w:val="000000" w:themeColor="text1"/>
                <w:sz w:val="24"/>
                <w:highlight w:val="none"/>
                <w14:textFill>
                  <w14:solidFill>
                    <w14:schemeClr w14:val="tx1"/>
                  </w14:solidFill>
                </w14:textFill>
              </w:rPr>
            </w:pPr>
          </w:p>
        </w:tc>
        <w:tc>
          <w:tcPr>
            <w:tcW w:w="716" w:type="dxa"/>
          </w:tcPr>
          <w:p>
            <w:pPr>
              <w:spacing w:line="460" w:lineRule="exact"/>
              <w:rPr>
                <w:color w:val="000000" w:themeColor="text1"/>
                <w:sz w:val="24"/>
                <w:highlight w:val="none"/>
                <w14:textFill>
                  <w14:solidFill>
                    <w14:schemeClr w14:val="tx1"/>
                  </w14:solidFill>
                </w14:textFill>
              </w:rPr>
            </w:pPr>
          </w:p>
        </w:tc>
        <w:tc>
          <w:tcPr>
            <w:tcW w:w="746" w:type="dxa"/>
          </w:tcPr>
          <w:p>
            <w:pPr>
              <w:spacing w:line="460" w:lineRule="exact"/>
              <w:rPr>
                <w:color w:val="000000" w:themeColor="text1"/>
                <w:sz w:val="24"/>
                <w:highlight w:val="none"/>
                <w14:textFill>
                  <w14:solidFill>
                    <w14:schemeClr w14:val="tx1"/>
                  </w14:solidFill>
                </w14:textFill>
              </w:rPr>
            </w:pPr>
          </w:p>
        </w:tc>
        <w:tc>
          <w:tcPr>
            <w:tcW w:w="795" w:type="dxa"/>
          </w:tcPr>
          <w:p>
            <w:pPr>
              <w:spacing w:line="460" w:lineRule="exact"/>
              <w:rPr>
                <w:color w:val="000000" w:themeColor="text1"/>
                <w:sz w:val="24"/>
                <w:highlight w:val="none"/>
                <w14:textFill>
                  <w14:solidFill>
                    <w14:schemeClr w14:val="tx1"/>
                  </w14:solidFill>
                </w14:textFill>
              </w:rPr>
            </w:pPr>
          </w:p>
        </w:tc>
        <w:tc>
          <w:tcPr>
            <w:tcW w:w="1039" w:type="dxa"/>
          </w:tcPr>
          <w:p>
            <w:pPr>
              <w:spacing w:line="460" w:lineRule="exact"/>
              <w:rPr>
                <w:color w:val="000000" w:themeColor="text1"/>
                <w:sz w:val="24"/>
                <w:highlight w:val="none"/>
                <w14:textFill>
                  <w14:solidFill>
                    <w14:schemeClr w14:val="tx1"/>
                  </w14:solidFill>
                </w14:textFill>
              </w:rPr>
            </w:pPr>
          </w:p>
        </w:tc>
        <w:tc>
          <w:tcPr>
            <w:tcW w:w="744" w:type="dxa"/>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Pr>
          <w:p>
            <w:pPr>
              <w:spacing w:line="460" w:lineRule="exact"/>
              <w:rPr>
                <w:color w:val="000000" w:themeColor="text1"/>
                <w:sz w:val="24"/>
                <w:highlight w:val="none"/>
                <w14:textFill>
                  <w14:solidFill>
                    <w14:schemeClr w14:val="tx1"/>
                  </w14:solidFill>
                </w14:textFill>
              </w:rPr>
            </w:pPr>
          </w:p>
        </w:tc>
        <w:tc>
          <w:tcPr>
            <w:tcW w:w="1382" w:type="dxa"/>
          </w:tcPr>
          <w:p>
            <w:pPr>
              <w:spacing w:line="460" w:lineRule="exact"/>
              <w:rPr>
                <w:color w:val="000000" w:themeColor="text1"/>
                <w:sz w:val="24"/>
                <w:highlight w:val="none"/>
                <w14:textFill>
                  <w14:solidFill>
                    <w14:schemeClr w14:val="tx1"/>
                  </w14:solidFill>
                </w14:textFill>
              </w:rPr>
            </w:pPr>
          </w:p>
        </w:tc>
        <w:tc>
          <w:tcPr>
            <w:tcW w:w="1311" w:type="dxa"/>
          </w:tcPr>
          <w:p>
            <w:pPr>
              <w:spacing w:line="460" w:lineRule="exact"/>
              <w:rPr>
                <w:color w:val="000000" w:themeColor="text1"/>
                <w:sz w:val="24"/>
                <w:highlight w:val="none"/>
                <w14:textFill>
                  <w14:solidFill>
                    <w14:schemeClr w14:val="tx1"/>
                  </w14:solidFill>
                </w14:textFill>
              </w:rPr>
            </w:pPr>
          </w:p>
        </w:tc>
        <w:tc>
          <w:tcPr>
            <w:tcW w:w="1039" w:type="dxa"/>
          </w:tcPr>
          <w:p>
            <w:pPr>
              <w:spacing w:line="460" w:lineRule="exact"/>
              <w:rPr>
                <w:color w:val="000000" w:themeColor="text1"/>
                <w:sz w:val="24"/>
                <w:highlight w:val="none"/>
                <w14:textFill>
                  <w14:solidFill>
                    <w14:schemeClr w14:val="tx1"/>
                  </w14:solidFill>
                </w14:textFill>
              </w:rPr>
            </w:pPr>
          </w:p>
        </w:tc>
        <w:tc>
          <w:tcPr>
            <w:tcW w:w="733" w:type="dxa"/>
          </w:tcPr>
          <w:p>
            <w:pPr>
              <w:spacing w:line="460" w:lineRule="exact"/>
              <w:rPr>
                <w:color w:val="000000" w:themeColor="text1"/>
                <w:sz w:val="24"/>
                <w:highlight w:val="none"/>
                <w14:textFill>
                  <w14:solidFill>
                    <w14:schemeClr w14:val="tx1"/>
                  </w14:solidFill>
                </w14:textFill>
              </w:rPr>
            </w:pPr>
          </w:p>
        </w:tc>
        <w:tc>
          <w:tcPr>
            <w:tcW w:w="716" w:type="dxa"/>
          </w:tcPr>
          <w:p>
            <w:pPr>
              <w:spacing w:line="460" w:lineRule="exact"/>
              <w:rPr>
                <w:color w:val="000000" w:themeColor="text1"/>
                <w:sz w:val="24"/>
                <w:highlight w:val="none"/>
                <w14:textFill>
                  <w14:solidFill>
                    <w14:schemeClr w14:val="tx1"/>
                  </w14:solidFill>
                </w14:textFill>
              </w:rPr>
            </w:pPr>
          </w:p>
        </w:tc>
        <w:tc>
          <w:tcPr>
            <w:tcW w:w="746" w:type="dxa"/>
          </w:tcPr>
          <w:p>
            <w:pPr>
              <w:spacing w:line="460" w:lineRule="exact"/>
              <w:rPr>
                <w:color w:val="000000" w:themeColor="text1"/>
                <w:sz w:val="24"/>
                <w:highlight w:val="none"/>
                <w14:textFill>
                  <w14:solidFill>
                    <w14:schemeClr w14:val="tx1"/>
                  </w14:solidFill>
                </w14:textFill>
              </w:rPr>
            </w:pPr>
          </w:p>
        </w:tc>
        <w:tc>
          <w:tcPr>
            <w:tcW w:w="795" w:type="dxa"/>
          </w:tcPr>
          <w:p>
            <w:pPr>
              <w:spacing w:line="460" w:lineRule="exact"/>
              <w:rPr>
                <w:color w:val="000000" w:themeColor="text1"/>
                <w:sz w:val="24"/>
                <w:highlight w:val="none"/>
                <w14:textFill>
                  <w14:solidFill>
                    <w14:schemeClr w14:val="tx1"/>
                  </w14:solidFill>
                </w14:textFill>
              </w:rPr>
            </w:pPr>
          </w:p>
        </w:tc>
        <w:tc>
          <w:tcPr>
            <w:tcW w:w="1039" w:type="dxa"/>
          </w:tcPr>
          <w:p>
            <w:pPr>
              <w:spacing w:line="460" w:lineRule="exact"/>
              <w:rPr>
                <w:color w:val="000000" w:themeColor="text1"/>
                <w:sz w:val="24"/>
                <w:highlight w:val="none"/>
                <w14:textFill>
                  <w14:solidFill>
                    <w14:schemeClr w14:val="tx1"/>
                  </w14:solidFill>
                </w14:textFill>
              </w:rPr>
            </w:pPr>
          </w:p>
        </w:tc>
        <w:tc>
          <w:tcPr>
            <w:tcW w:w="744" w:type="dxa"/>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Pr>
          <w:p>
            <w:pPr>
              <w:spacing w:line="460" w:lineRule="exact"/>
              <w:rPr>
                <w:color w:val="000000" w:themeColor="text1"/>
                <w:sz w:val="24"/>
                <w:highlight w:val="none"/>
                <w14:textFill>
                  <w14:solidFill>
                    <w14:schemeClr w14:val="tx1"/>
                  </w14:solidFill>
                </w14:textFill>
              </w:rPr>
            </w:pPr>
          </w:p>
        </w:tc>
        <w:tc>
          <w:tcPr>
            <w:tcW w:w="1382" w:type="dxa"/>
          </w:tcPr>
          <w:p>
            <w:pPr>
              <w:spacing w:line="460" w:lineRule="exact"/>
              <w:rPr>
                <w:color w:val="000000" w:themeColor="text1"/>
                <w:sz w:val="24"/>
                <w:highlight w:val="none"/>
                <w14:textFill>
                  <w14:solidFill>
                    <w14:schemeClr w14:val="tx1"/>
                  </w14:solidFill>
                </w14:textFill>
              </w:rPr>
            </w:pPr>
          </w:p>
        </w:tc>
        <w:tc>
          <w:tcPr>
            <w:tcW w:w="1311" w:type="dxa"/>
          </w:tcPr>
          <w:p>
            <w:pPr>
              <w:spacing w:line="460" w:lineRule="exact"/>
              <w:rPr>
                <w:color w:val="000000" w:themeColor="text1"/>
                <w:sz w:val="24"/>
                <w:highlight w:val="none"/>
                <w14:textFill>
                  <w14:solidFill>
                    <w14:schemeClr w14:val="tx1"/>
                  </w14:solidFill>
                </w14:textFill>
              </w:rPr>
            </w:pPr>
          </w:p>
        </w:tc>
        <w:tc>
          <w:tcPr>
            <w:tcW w:w="1039" w:type="dxa"/>
          </w:tcPr>
          <w:p>
            <w:pPr>
              <w:spacing w:line="460" w:lineRule="exact"/>
              <w:rPr>
                <w:color w:val="000000" w:themeColor="text1"/>
                <w:sz w:val="24"/>
                <w:highlight w:val="none"/>
                <w14:textFill>
                  <w14:solidFill>
                    <w14:schemeClr w14:val="tx1"/>
                  </w14:solidFill>
                </w14:textFill>
              </w:rPr>
            </w:pPr>
          </w:p>
        </w:tc>
        <w:tc>
          <w:tcPr>
            <w:tcW w:w="733" w:type="dxa"/>
          </w:tcPr>
          <w:p>
            <w:pPr>
              <w:spacing w:line="460" w:lineRule="exact"/>
              <w:rPr>
                <w:color w:val="000000" w:themeColor="text1"/>
                <w:sz w:val="24"/>
                <w:highlight w:val="none"/>
                <w14:textFill>
                  <w14:solidFill>
                    <w14:schemeClr w14:val="tx1"/>
                  </w14:solidFill>
                </w14:textFill>
              </w:rPr>
            </w:pPr>
          </w:p>
        </w:tc>
        <w:tc>
          <w:tcPr>
            <w:tcW w:w="716" w:type="dxa"/>
          </w:tcPr>
          <w:p>
            <w:pPr>
              <w:spacing w:line="460" w:lineRule="exact"/>
              <w:rPr>
                <w:color w:val="000000" w:themeColor="text1"/>
                <w:sz w:val="24"/>
                <w:highlight w:val="none"/>
                <w14:textFill>
                  <w14:solidFill>
                    <w14:schemeClr w14:val="tx1"/>
                  </w14:solidFill>
                </w14:textFill>
              </w:rPr>
            </w:pPr>
          </w:p>
        </w:tc>
        <w:tc>
          <w:tcPr>
            <w:tcW w:w="746" w:type="dxa"/>
          </w:tcPr>
          <w:p>
            <w:pPr>
              <w:spacing w:line="460" w:lineRule="exact"/>
              <w:rPr>
                <w:color w:val="000000" w:themeColor="text1"/>
                <w:sz w:val="24"/>
                <w:highlight w:val="none"/>
                <w14:textFill>
                  <w14:solidFill>
                    <w14:schemeClr w14:val="tx1"/>
                  </w14:solidFill>
                </w14:textFill>
              </w:rPr>
            </w:pPr>
          </w:p>
        </w:tc>
        <w:tc>
          <w:tcPr>
            <w:tcW w:w="795" w:type="dxa"/>
          </w:tcPr>
          <w:p>
            <w:pPr>
              <w:spacing w:line="460" w:lineRule="exact"/>
              <w:rPr>
                <w:color w:val="000000" w:themeColor="text1"/>
                <w:sz w:val="24"/>
                <w:highlight w:val="none"/>
                <w14:textFill>
                  <w14:solidFill>
                    <w14:schemeClr w14:val="tx1"/>
                  </w14:solidFill>
                </w14:textFill>
              </w:rPr>
            </w:pPr>
          </w:p>
        </w:tc>
        <w:tc>
          <w:tcPr>
            <w:tcW w:w="1039" w:type="dxa"/>
          </w:tcPr>
          <w:p>
            <w:pPr>
              <w:spacing w:line="460" w:lineRule="exact"/>
              <w:rPr>
                <w:color w:val="000000" w:themeColor="text1"/>
                <w:sz w:val="24"/>
                <w:highlight w:val="none"/>
                <w14:textFill>
                  <w14:solidFill>
                    <w14:schemeClr w14:val="tx1"/>
                  </w14:solidFill>
                </w14:textFill>
              </w:rPr>
            </w:pPr>
          </w:p>
        </w:tc>
        <w:tc>
          <w:tcPr>
            <w:tcW w:w="744" w:type="dxa"/>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Pr>
          <w:p>
            <w:pPr>
              <w:spacing w:line="460" w:lineRule="exact"/>
              <w:rPr>
                <w:color w:val="000000" w:themeColor="text1"/>
                <w:sz w:val="24"/>
                <w:highlight w:val="none"/>
                <w14:textFill>
                  <w14:solidFill>
                    <w14:schemeClr w14:val="tx1"/>
                  </w14:solidFill>
                </w14:textFill>
              </w:rPr>
            </w:pPr>
          </w:p>
        </w:tc>
        <w:tc>
          <w:tcPr>
            <w:tcW w:w="1382" w:type="dxa"/>
          </w:tcPr>
          <w:p>
            <w:pPr>
              <w:spacing w:line="460" w:lineRule="exact"/>
              <w:rPr>
                <w:color w:val="000000" w:themeColor="text1"/>
                <w:sz w:val="24"/>
                <w:highlight w:val="none"/>
                <w14:textFill>
                  <w14:solidFill>
                    <w14:schemeClr w14:val="tx1"/>
                  </w14:solidFill>
                </w14:textFill>
              </w:rPr>
            </w:pPr>
          </w:p>
        </w:tc>
        <w:tc>
          <w:tcPr>
            <w:tcW w:w="1311" w:type="dxa"/>
          </w:tcPr>
          <w:p>
            <w:pPr>
              <w:spacing w:line="460" w:lineRule="exact"/>
              <w:rPr>
                <w:color w:val="000000" w:themeColor="text1"/>
                <w:sz w:val="24"/>
                <w:highlight w:val="none"/>
                <w14:textFill>
                  <w14:solidFill>
                    <w14:schemeClr w14:val="tx1"/>
                  </w14:solidFill>
                </w14:textFill>
              </w:rPr>
            </w:pPr>
          </w:p>
        </w:tc>
        <w:tc>
          <w:tcPr>
            <w:tcW w:w="1039" w:type="dxa"/>
          </w:tcPr>
          <w:p>
            <w:pPr>
              <w:spacing w:line="460" w:lineRule="exact"/>
              <w:rPr>
                <w:color w:val="000000" w:themeColor="text1"/>
                <w:sz w:val="24"/>
                <w:highlight w:val="none"/>
                <w14:textFill>
                  <w14:solidFill>
                    <w14:schemeClr w14:val="tx1"/>
                  </w14:solidFill>
                </w14:textFill>
              </w:rPr>
            </w:pPr>
          </w:p>
        </w:tc>
        <w:tc>
          <w:tcPr>
            <w:tcW w:w="733" w:type="dxa"/>
          </w:tcPr>
          <w:p>
            <w:pPr>
              <w:spacing w:line="460" w:lineRule="exact"/>
              <w:rPr>
                <w:color w:val="000000" w:themeColor="text1"/>
                <w:sz w:val="24"/>
                <w:highlight w:val="none"/>
                <w14:textFill>
                  <w14:solidFill>
                    <w14:schemeClr w14:val="tx1"/>
                  </w14:solidFill>
                </w14:textFill>
              </w:rPr>
            </w:pPr>
          </w:p>
        </w:tc>
        <w:tc>
          <w:tcPr>
            <w:tcW w:w="716" w:type="dxa"/>
          </w:tcPr>
          <w:p>
            <w:pPr>
              <w:spacing w:line="460" w:lineRule="exact"/>
              <w:rPr>
                <w:color w:val="000000" w:themeColor="text1"/>
                <w:sz w:val="24"/>
                <w:highlight w:val="none"/>
                <w14:textFill>
                  <w14:solidFill>
                    <w14:schemeClr w14:val="tx1"/>
                  </w14:solidFill>
                </w14:textFill>
              </w:rPr>
            </w:pPr>
          </w:p>
        </w:tc>
        <w:tc>
          <w:tcPr>
            <w:tcW w:w="746" w:type="dxa"/>
          </w:tcPr>
          <w:p>
            <w:pPr>
              <w:spacing w:line="460" w:lineRule="exact"/>
              <w:rPr>
                <w:color w:val="000000" w:themeColor="text1"/>
                <w:sz w:val="24"/>
                <w:highlight w:val="none"/>
                <w14:textFill>
                  <w14:solidFill>
                    <w14:schemeClr w14:val="tx1"/>
                  </w14:solidFill>
                </w14:textFill>
              </w:rPr>
            </w:pPr>
          </w:p>
        </w:tc>
        <w:tc>
          <w:tcPr>
            <w:tcW w:w="795" w:type="dxa"/>
          </w:tcPr>
          <w:p>
            <w:pPr>
              <w:spacing w:line="460" w:lineRule="exact"/>
              <w:rPr>
                <w:color w:val="000000" w:themeColor="text1"/>
                <w:sz w:val="24"/>
                <w:highlight w:val="none"/>
                <w14:textFill>
                  <w14:solidFill>
                    <w14:schemeClr w14:val="tx1"/>
                  </w14:solidFill>
                </w14:textFill>
              </w:rPr>
            </w:pPr>
          </w:p>
        </w:tc>
        <w:tc>
          <w:tcPr>
            <w:tcW w:w="1039" w:type="dxa"/>
          </w:tcPr>
          <w:p>
            <w:pPr>
              <w:spacing w:line="460" w:lineRule="exact"/>
              <w:rPr>
                <w:color w:val="000000" w:themeColor="text1"/>
                <w:sz w:val="24"/>
                <w:highlight w:val="none"/>
                <w14:textFill>
                  <w14:solidFill>
                    <w14:schemeClr w14:val="tx1"/>
                  </w14:solidFill>
                </w14:textFill>
              </w:rPr>
            </w:pPr>
          </w:p>
        </w:tc>
        <w:tc>
          <w:tcPr>
            <w:tcW w:w="744" w:type="dxa"/>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44" w:type="dxa"/>
            <w:gridSpan w:val="7"/>
          </w:tcPr>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金额合计</w:t>
            </w:r>
          </w:p>
        </w:tc>
        <w:tc>
          <w:tcPr>
            <w:tcW w:w="795" w:type="dxa"/>
          </w:tcPr>
          <w:p>
            <w:pPr>
              <w:spacing w:line="460" w:lineRule="exact"/>
              <w:rPr>
                <w:color w:val="000000" w:themeColor="text1"/>
                <w:sz w:val="24"/>
                <w:highlight w:val="none"/>
                <w14:textFill>
                  <w14:solidFill>
                    <w14:schemeClr w14:val="tx1"/>
                  </w14:solidFill>
                </w14:textFill>
              </w:rPr>
            </w:pPr>
          </w:p>
        </w:tc>
        <w:tc>
          <w:tcPr>
            <w:tcW w:w="1039" w:type="dxa"/>
          </w:tcPr>
          <w:p>
            <w:pPr>
              <w:spacing w:line="460" w:lineRule="exact"/>
              <w:rPr>
                <w:color w:val="000000" w:themeColor="text1"/>
                <w:sz w:val="24"/>
                <w:highlight w:val="none"/>
                <w14:textFill>
                  <w14:solidFill>
                    <w14:schemeClr w14:val="tx1"/>
                  </w14:solidFill>
                </w14:textFill>
              </w:rPr>
            </w:pPr>
          </w:p>
        </w:tc>
        <w:tc>
          <w:tcPr>
            <w:tcW w:w="744" w:type="dxa"/>
          </w:tcPr>
          <w:p>
            <w:pPr>
              <w:spacing w:line="460" w:lineRule="exact"/>
              <w:rPr>
                <w:color w:val="000000" w:themeColor="text1"/>
                <w:sz w:val="24"/>
                <w:highlight w:val="none"/>
                <w14:textFill>
                  <w14:solidFill>
                    <w14:schemeClr w14:val="tx1"/>
                  </w14:solidFill>
                </w14:textFill>
              </w:rPr>
            </w:pPr>
          </w:p>
        </w:tc>
      </w:tr>
    </w:tbl>
    <w:p>
      <w:pPr>
        <w:pStyle w:val="13"/>
        <w:rPr>
          <w:rFonts w:ascii="Times New Roman" w:hAnsi="Times New Roman" w:cs="Times New Roman"/>
          <w:highlight w:val="none"/>
        </w:rPr>
      </w:pPr>
    </w:p>
    <w:p>
      <w:pPr>
        <w:numPr>
          <w:ilvl w:val="0"/>
          <w:numId w:val="8"/>
        </w:numPr>
        <w:tabs>
          <w:tab w:val="left" w:pos="630"/>
        </w:tabs>
        <w:ind w:left="0" w:firstLine="0"/>
        <w:rPr>
          <w:rFonts w:ascii="Times New Roman" w:hAnsi="Times New Roman"/>
          <w:b/>
          <w:szCs w:val="21"/>
          <w:highlight w:val="none"/>
        </w:rPr>
      </w:pPr>
      <w:r>
        <w:rPr>
          <w:rFonts w:ascii="Times New Roman" w:hAnsi="Times New Roman"/>
          <w:b/>
          <w:szCs w:val="21"/>
          <w:highlight w:val="none"/>
        </w:rPr>
        <w:t>服务范围</w:t>
      </w:r>
    </w:p>
    <w:p>
      <w:pPr>
        <w:rPr>
          <w:rFonts w:ascii="Times New Roman" w:hAnsi="Times New Roman"/>
          <w:szCs w:val="21"/>
          <w:highlight w:val="none"/>
        </w:rPr>
      </w:pPr>
      <w:r>
        <w:rPr>
          <w:rFonts w:ascii="Times New Roman" w:hAnsi="Times New Roman"/>
          <w:szCs w:val="21"/>
          <w:highlight w:val="none"/>
        </w:rPr>
        <w:t>　甲方聘请乙方提供以下服务：</w:t>
      </w:r>
    </w:p>
    <w:p>
      <w:pPr>
        <w:tabs>
          <w:tab w:val="left" w:pos="567"/>
        </w:tabs>
        <w:ind w:firstLine="240" w:firstLineChars="1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乙方在投标书所列的设备的供应、安装、调试责任；</w:t>
      </w:r>
    </w:p>
    <w:p>
      <w:pPr>
        <w:tabs>
          <w:tab w:val="left" w:pos="567"/>
        </w:tabs>
        <w:ind w:firstLine="240" w:firstLineChars="1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乙方完成在投标书中所列的设备、服务的全部承诺；</w:t>
      </w:r>
    </w:p>
    <w:p>
      <w:pPr>
        <w:ind w:firstLine="240" w:firstLineChars="100"/>
        <w:rPr>
          <w:rFonts w:ascii="Times New Roman" w:hAnsi="Times New Roman"/>
          <w:szCs w:val="21"/>
          <w:highlight w:val="none"/>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乙方在投标书中承诺的维护、升级服务。</w:t>
      </w:r>
    </w:p>
    <w:p>
      <w:pPr>
        <w:numPr>
          <w:ilvl w:val="0"/>
          <w:numId w:val="8"/>
        </w:numPr>
        <w:tabs>
          <w:tab w:val="left" w:pos="630"/>
        </w:tabs>
        <w:ind w:left="0" w:firstLine="0"/>
        <w:rPr>
          <w:rFonts w:ascii="Times New Roman" w:hAnsi="Times New Roman"/>
          <w:b/>
          <w:szCs w:val="21"/>
          <w:highlight w:val="none"/>
        </w:rPr>
      </w:pPr>
      <w:r>
        <w:rPr>
          <w:rFonts w:ascii="Times New Roman" w:hAnsi="Times New Roman"/>
          <w:b/>
          <w:szCs w:val="21"/>
          <w:highlight w:val="none"/>
        </w:rPr>
        <w:t>甲方乙方的权利和义务</w:t>
      </w:r>
    </w:p>
    <w:p>
      <w:pPr>
        <w:numPr>
          <w:ilvl w:val="0"/>
          <w:numId w:val="9"/>
        </w:numPr>
        <w:rPr>
          <w:rFonts w:ascii="Times New Roman" w:hAnsi="Times New Roman"/>
          <w:szCs w:val="21"/>
          <w:highlight w:val="none"/>
        </w:rPr>
      </w:pPr>
      <w:r>
        <w:rPr>
          <w:rFonts w:ascii="Times New Roman" w:hAnsi="Times New Roman"/>
          <w:szCs w:val="21"/>
          <w:highlight w:val="none"/>
        </w:rPr>
        <w:t>甲方的权利和义务</w:t>
      </w:r>
    </w:p>
    <w:p>
      <w:pPr>
        <w:numPr>
          <w:ilvl w:val="1"/>
          <w:numId w:val="10"/>
        </w:numPr>
        <w:tabs>
          <w:tab w:val="left" w:pos="567"/>
        </w:tabs>
        <w:ind w:left="0" w:firstLine="42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本合同为总承包合同，不能以任何形式进行分包；</w:t>
      </w:r>
    </w:p>
    <w:p>
      <w:pPr>
        <w:numPr>
          <w:ilvl w:val="1"/>
          <w:numId w:val="10"/>
        </w:numPr>
        <w:tabs>
          <w:tab w:val="left" w:pos="567"/>
        </w:tabs>
        <w:ind w:left="0" w:firstLine="42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乙方不得部分转让或全部转让其应履行的合同义务。如甲方发现乙方转包或分包证据，乙方立刻失去继续供货资格，乙方不得破坏现场与施工效果，甲方不再付款。</w:t>
      </w:r>
    </w:p>
    <w:p>
      <w:pPr>
        <w:ind w:firstLine="480" w:firstLineChars="200"/>
        <w:rPr>
          <w:rFonts w:ascii="Times New Roman" w:hAnsi="Times New Roman"/>
          <w:szCs w:val="21"/>
          <w:highlight w:val="none"/>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乙方必须在交货的同时，向甲方提供按本合同的技术规格、技术规范的要求进行安装调试，并将设备调试到最佳状态。未经甲方同意，不得更换合同内签订的货物。</w:t>
      </w:r>
    </w:p>
    <w:p>
      <w:pPr>
        <w:numPr>
          <w:ilvl w:val="0"/>
          <w:numId w:val="9"/>
        </w:numPr>
        <w:rPr>
          <w:rFonts w:ascii="Times New Roman" w:hAnsi="Times New Roman"/>
          <w:szCs w:val="21"/>
          <w:highlight w:val="none"/>
        </w:rPr>
      </w:pPr>
      <w:r>
        <w:rPr>
          <w:rFonts w:ascii="Times New Roman" w:hAnsi="Times New Roman"/>
          <w:szCs w:val="21"/>
          <w:highlight w:val="none"/>
        </w:rPr>
        <w:t>乙方的权利和义务</w:t>
      </w:r>
    </w:p>
    <w:p>
      <w:pPr>
        <w:tabs>
          <w:tab w:val="left" w:pos="567"/>
        </w:tabs>
        <w:ind w:left="42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货物为 （填写制造商名称） 全新的（原装）产品（含零部件、配件、随机工具等），表面无划伤、无碰撞。</w:t>
      </w:r>
    </w:p>
    <w:p>
      <w:pPr>
        <w:tabs>
          <w:tab w:val="left" w:pos="567"/>
        </w:tabs>
        <w:ind w:left="42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标准</w:t>
      </w:r>
    </w:p>
    <w:p>
      <w:pPr>
        <w:ind w:firstLine="360" w:firstLineChars="1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pPr>
        <w:numPr>
          <w:ilvl w:val="1"/>
          <w:numId w:val="10"/>
        </w:numPr>
        <w:tabs>
          <w:tab w:val="left" w:pos="567"/>
        </w:tabs>
        <w:ind w:left="0" w:firstLine="42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若获批准采购进口产品的，</w:t>
      </w:r>
      <w:r>
        <w:rPr>
          <w:color w:val="000000" w:themeColor="text1"/>
          <w:sz w:val="24"/>
          <w:highlight w:val="none"/>
          <w14:textFill>
            <w14:solidFill>
              <w14:schemeClr w14:val="tx1"/>
            </w14:solidFill>
          </w14:textFill>
        </w:rPr>
        <w:t>进口产品必须具备原产地证明和商检局的检验证明及合法进货渠道证明。</w:t>
      </w:r>
    </w:p>
    <w:p>
      <w:pPr>
        <w:numPr>
          <w:ilvl w:val="1"/>
          <w:numId w:val="10"/>
        </w:numPr>
        <w:tabs>
          <w:tab w:val="left" w:pos="567"/>
        </w:tabs>
        <w:ind w:left="0" w:firstLine="42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国内产品或合资厂的产品必须具备出厂合格证。</w:t>
      </w:r>
    </w:p>
    <w:p>
      <w:pPr>
        <w:numPr>
          <w:ilvl w:val="1"/>
          <w:numId w:val="10"/>
        </w:numPr>
        <w:tabs>
          <w:tab w:val="left" w:pos="567"/>
        </w:tabs>
        <w:ind w:left="0" w:firstLine="42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乙方应将所供物品的原厂售后服务承诺书或证明、用户手册、保修手册、有关资料及配件、随机工具等交付给甲方。</w:t>
      </w:r>
    </w:p>
    <w:p>
      <w:pPr>
        <w:numPr>
          <w:ilvl w:val="1"/>
          <w:numId w:val="10"/>
        </w:numPr>
        <w:tabs>
          <w:tab w:val="left" w:pos="567"/>
        </w:tabs>
        <w:ind w:left="0" w:firstLine="42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甲乙双方按</w:t>
      </w:r>
      <w:r>
        <w:rPr>
          <w:rFonts w:hint="eastAsia"/>
          <w:color w:val="000000" w:themeColor="text1"/>
          <w:sz w:val="24"/>
          <w:highlight w:val="none"/>
          <w14:textFill>
            <w14:solidFill>
              <w14:schemeClr w14:val="tx1"/>
            </w14:solidFill>
          </w14:textFill>
        </w:rPr>
        <w:t>招标文件</w:t>
      </w:r>
      <w:r>
        <w:rPr>
          <w:color w:val="000000" w:themeColor="text1"/>
          <w:sz w:val="24"/>
          <w:highlight w:val="none"/>
          <w14:textFill>
            <w14:solidFill>
              <w14:schemeClr w14:val="tx1"/>
            </w14:solidFill>
          </w14:textFill>
        </w:rPr>
        <w:t>及本合同的有关规定验收。</w:t>
      </w:r>
    </w:p>
    <w:p>
      <w:pPr>
        <w:numPr>
          <w:ilvl w:val="1"/>
          <w:numId w:val="10"/>
        </w:numPr>
        <w:tabs>
          <w:tab w:val="left" w:pos="567"/>
        </w:tabs>
        <w:ind w:left="0" w:firstLine="42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因物品的质量问题发生争议，由广东省或东莞市质量技术监督部门进行质量鉴定。物品符合质量标准的，鉴定费由甲方承担；物品不符合质量标准的，鉴定费由乙方承担。</w:t>
      </w:r>
    </w:p>
    <w:p>
      <w:pPr>
        <w:numPr>
          <w:ilvl w:val="1"/>
          <w:numId w:val="10"/>
        </w:numPr>
        <w:tabs>
          <w:tab w:val="left" w:pos="567"/>
        </w:tabs>
        <w:ind w:left="0" w:firstLine="42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项目验收合格之日起，乙方提供</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年的免费质保期。</w:t>
      </w:r>
    </w:p>
    <w:p>
      <w:pPr>
        <w:numPr>
          <w:ilvl w:val="1"/>
          <w:numId w:val="10"/>
        </w:numPr>
        <w:tabs>
          <w:tab w:val="left" w:pos="567"/>
        </w:tabs>
        <w:ind w:left="0" w:firstLine="42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在免费质保期内，如货物非因甲方的人为原因而出现的质量问题由乙方负责①在接到通知</w:t>
      </w:r>
      <w:r>
        <w:rPr>
          <w:rFonts w:hint="eastAsia"/>
          <w:color w:val="000000" w:themeColor="text1"/>
          <w:sz w:val="24"/>
          <w:highlight w:val="none"/>
          <w:u w:val="single"/>
          <w14:textFill>
            <w14:solidFill>
              <w14:schemeClr w14:val="tx1"/>
            </w14:solidFill>
          </w14:textFill>
        </w:rPr>
        <w:t>6</w:t>
      </w:r>
      <w:r>
        <w:rPr>
          <w:color w:val="000000" w:themeColor="text1"/>
          <w:sz w:val="24"/>
          <w:highlight w:val="none"/>
          <w14:textFill>
            <w14:solidFill>
              <w14:schemeClr w14:val="tx1"/>
            </w14:solidFill>
          </w14:textFill>
        </w:rPr>
        <w:t>小时内，乙方应用备件替代问题件，保证设备继续正常运行；②包修、包换或包退问题件，并承担修理、调换或退货的实际费用。乙方不能修理或不能调换，均按不能交货处理，乙方应退回100%设备款。</w:t>
      </w:r>
    </w:p>
    <w:p>
      <w:pPr>
        <w:numPr>
          <w:ilvl w:val="1"/>
          <w:numId w:val="10"/>
        </w:numPr>
        <w:tabs>
          <w:tab w:val="left" w:pos="567"/>
        </w:tabs>
        <w:ind w:left="0" w:firstLine="42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乙方不能在限期内按以上要求替代、维修问题设备，甲方有权自行修复，费用由乙方支付。</w:t>
      </w:r>
    </w:p>
    <w:p>
      <w:pPr>
        <w:numPr>
          <w:ilvl w:val="1"/>
          <w:numId w:val="10"/>
        </w:numPr>
        <w:tabs>
          <w:tab w:val="left" w:pos="567"/>
        </w:tabs>
        <w:ind w:left="0" w:firstLine="426"/>
        <w:rPr>
          <w:rFonts w:ascii="Times New Roman" w:hAnsi="Times New Roman"/>
          <w:szCs w:val="21"/>
          <w:highlight w:val="none"/>
        </w:rPr>
      </w:pPr>
      <w:r>
        <w:rPr>
          <w:color w:val="000000" w:themeColor="text1"/>
          <w:sz w:val="24"/>
          <w:highlight w:val="none"/>
          <w14:textFill>
            <w14:solidFill>
              <w14:schemeClr w14:val="tx1"/>
            </w14:solidFill>
          </w14:textFill>
        </w:rPr>
        <w:t>乙方应提供交货地点所在地的设备报修电话及联系人。</w:t>
      </w:r>
    </w:p>
    <w:p>
      <w:pPr>
        <w:ind w:left="1140"/>
        <w:rPr>
          <w:rFonts w:ascii="Times New Roman" w:hAnsi="Times New Roman"/>
          <w:szCs w:val="21"/>
          <w:highlight w:val="none"/>
        </w:rPr>
      </w:pPr>
    </w:p>
    <w:p>
      <w:pPr>
        <w:numPr>
          <w:ilvl w:val="0"/>
          <w:numId w:val="8"/>
        </w:numPr>
        <w:tabs>
          <w:tab w:val="left" w:pos="630"/>
        </w:tabs>
        <w:ind w:left="0" w:firstLine="0"/>
        <w:rPr>
          <w:rFonts w:ascii="Times New Roman" w:hAnsi="Times New Roman"/>
          <w:b/>
          <w:szCs w:val="21"/>
          <w:highlight w:val="none"/>
        </w:rPr>
      </w:pPr>
      <w:r>
        <w:rPr>
          <w:rFonts w:ascii="Times New Roman" w:hAnsi="Times New Roman"/>
          <w:b/>
          <w:szCs w:val="21"/>
          <w:highlight w:val="none"/>
        </w:rPr>
        <w:t>服务期间（项目完成期限）</w:t>
      </w:r>
    </w:p>
    <w:p>
      <w:pPr>
        <w:ind w:firstLine="435"/>
        <w:rPr>
          <w:rFonts w:ascii="Times New Roman" w:hAnsi="Times New Roman"/>
          <w:szCs w:val="21"/>
          <w:highlight w:val="none"/>
        </w:rPr>
      </w:pPr>
      <w:r>
        <w:rPr>
          <w:rFonts w:ascii="Times New Roman" w:hAnsi="Times New Roman"/>
          <w:szCs w:val="21"/>
          <w:highlight w:val="none"/>
        </w:rPr>
        <w:t>委托服务期间自______年______月至______年______月止。</w:t>
      </w:r>
    </w:p>
    <w:p>
      <w:pPr>
        <w:numPr>
          <w:ilvl w:val="0"/>
          <w:numId w:val="8"/>
        </w:numPr>
        <w:tabs>
          <w:tab w:val="left" w:pos="630"/>
        </w:tabs>
        <w:ind w:left="0" w:firstLine="0"/>
        <w:rPr>
          <w:rFonts w:ascii="Times New Roman" w:hAnsi="Times New Roman"/>
          <w:b/>
          <w:szCs w:val="21"/>
          <w:highlight w:val="none"/>
        </w:rPr>
      </w:pPr>
      <w:r>
        <w:rPr>
          <w:rFonts w:ascii="Times New Roman" w:hAnsi="Times New Roman"/>
          <w:b/>
          <w:szCs w:val="21"/>
          <w:highlight w:val="none"/>
        </w:rPr>
        <w:t>付款方式</w:t>
      </w:r>
    </w:p>
    <w:p>
      <w:pPr>
        <w:rPr>
          <w:rFonts w:ascii="Times New Roman" w:hAnsi="Times New Roman"/>
          <w:szCs w:val="21"/>
          <w:highlight w:val="none"/>
        </w:rPr>
      </w:pPr>
      <w:r>
        <w:rPr>
          <w:rFonts w:hint="eastAsia" w:ascii="Times New Roman" w:hAnsi="Times New Roman"/>
          <w:szCs w:val="21"/>
          <w:highlight w:val="none"/>
        </w:rPr>
        <w:t>完成项目实施及验收合格后支付合同总价的95%，质保期满后支付合同总价的5%。</w:t>
      </w:r>
    </w:p>
    <w:p>
      <w:pPr>
        <w:rPr>
          <w:rFonts w:ascii="Times New Roman" w:hAnsi="Times New Roman"/>
          <w:szCs w:val="21"/>
          <w:highlight w:val="none"/>
        </w:rPr>
      </w:pPr>
      <w:r>
        <w:rPr>
          <w:rFonts w:ascii="Times New Roman" w:hAnsi="Times New Roman"/>
          <w:szCs w:val="21"/>
          <w:highlight w:val="none"/>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numPr>
          <w:ilvl w:val="0"/>
          <w:numId w:val="8"/>
        </w:numPr>
        <w:tabs>
          <w:tab w:val="left" w:pos="630"/>
        </w:tabs>
        <w:ind w:left="0" w:firstLine="0"/>
        <w:rPr>
          <w:rFonts w:ascii="Times New Roman" w:hAnsi="Times New Roman"/>
          <w:b/>
          <w:szCs w:val="21"/>
          <w:highlight w:val="none"/>
        </w:rPr>
      </w:pPr>
      <w:r>
        <w:rPr>
          <w:rFonts w:ascii="Times New Roman" w:hAnsi="Times New Roman"/>
          <w:b/>
          <w:szCs w:val="21"/>
          <w:highlight w:val="none"/>
        </w:rPr>
        <w:t>知识产权产权归属</w:t>
      </w:r>
    </w:p>
    <w:p>
      <w:pPr>
        <w:tabs>
          <w:tab w:val="left" w:pos="900"/>
        </w:tabs>
        <w:ind w:firstLine="420" w:firstLineChars="200"/>
        <w:rPr>
          <w:rFonts w:ascii="Times New Roman" w:hAnsi="Times New Roman"/>
          <w:b/>
          <w:szCs w:val="21"/>
          <w:highlight w:val="none"/>
        </w:rPr>
      </w:pPr>
      <w:r>
        <w:rPr>
          <w:rFonts w:ascii="Times New Roman" w:hAnsi="Times New Roman"/>
          <w:szCs w:val="21"/>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8"/>
        </w:numPr>
        <w:tabs>
          <w:tab w:val="left" w:pos="630"/>
        </w:tabs>
        <w:ind w:left="0" w:firstLine="0"/>
        <w:rPr>
          <w:rFonts w:ascii="Times New Roman" w:hAnsi="Times New Roman"/>
          <w:b/>
          <w:szCs w:val="21"/>
          <w:highlight w:val="none"/>
        </w:rPr>
      </w:pPr>
      <w:r>
        <w:rPr>
          <w:rFonts w:ascii="Times New Roman" w:hAnsi="Times New Roman"/>
          <w:b/>
          <w:szCs w:val="21"/>
          <w:highlight w:val="none"/>
        </w:rPr>
        <w:t>保密</w:t>
      </w:r>
    </w:p>
    <w:p>
      <w:pPr>
        <w:tabs>
          <w:tab w:val="left" w:pos="900"/>
        </w:tabs>
        <w:ind w:firstLine="420" w:firstLineChars="200"/>
        <w:rPr>
          <w:rFonts w:ascii="Times New Roman" w:hAnsi="Times New Roman"/>
          <w:szCs w:val="21"/>
          <w:highlight w:val="none"/>
        </w:rPr>
      </w:pPr>
      <w:r>
        <w:rPr>
          <w:rFonts w:ascii="Times New Roman" w:hAnsi="Times New Roman"/>
          <w:szCs w:val="21"/>
          <w:highlight w:val="none"/>
        </w:rPr>
        <w:t xml:space="preserve">项目实施过程中至乙方正式向甲方交付技术文档资料时止，乙方必须采取措施对本项目实施过程中的数据、技术文档等资料保密，否则，由于乙方过错导致的上述资料泄密的，乙方必须承担一切责任。项目完成后，甲、乙双方均有责任对本项目的技术保密承担责任。  </w:t>
      </w:r>
    </w:p>
    <w:p>
      <w:pPr>
        <w:tabs>
          <w:tab w:val="left" w:pos="900"/>
        </w:tabs>
        <w:ind w:firstLine="420" w:firstLineChars="200"/>
        <w:rPr>
          <w:rFonts w:ascii="Times New Roman" w:hAnsi="Times New Roman"/>
          <w:szCs w:val="21"/>
          <w:highlight w:val="none"/>
        </w:rPr>
      </w:pPr>
      <w:r>
        <w:rPr>
          <w:rFonts w:ascii="Times New Roman" w:hAnsi="Times New Roman"/>
          <w:szCs w:val="21"/>
          <w:highlight w:val="none"/>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tabs>
          <w:tab w:val="left" w:pos="900"/>
        </w:tabs>
        <w:ind w:firstLine="420" w:firstLineChars="200"/>
        <w:rPr>
          <w:rFonts w:ascii="Times New Roman" w:hAnsi="Times New Roman"/>
          <w:szCs w:val="21"/>
          <w:highlight w:val="none"/>
        </w:rPr>
      </w:pPr>
      <w:r>
        <w:rPr>
          <w:rFonts w:ascii="Times New Roman" w:hAnsi="Times New Roman"/>
          <w:szCs w:val="21"/>
          <w:highlight w:val="none"/>
        </w:rPr>
        <w:t>2）除了合同本身之外，上款所列举的任何物件均是甲方的财产。乙方应当在完成合同后应将这些物件及全部复制件还给甲方，甲方同意由乙方持有的除外。</w:t>
      </w:r>
    </w:p>
    <w:p>
      <w:pPr>
        <w:numPr>
          <w:ilvl w:val="0"/>
          <w:numId w:val="8"/>
        </w:numPr>
        <w:tabs>
          <w:tab w:val="left" w:pos="630"/>
        </w:tabs>
        <w:ind w:left="0" w:firstLine="0"/>
        <w:rPr>
          <w:rFonts w:ascii="Times New Roman" w:hAnsi="Times New Roman"/>
          <w:b/>
          <w:szCs w:val="21"/>
          <w:highlight w:val="none"/>
        </w:rPr>
      </w:pPr>
      <w:r>
        <w:rPr>
          <w:rFonts w:ascii="Times New Roman" w:hAnsi="Times New Roman"/>
          <w:b/>
          <w:szCs w:val="21"/>
          <w:highlight w:val="none"/>
        </w:rPr>
        <w:t>违约责任与赔偿损失</w:t>
      </w:r>
    </w:p>
    <w:p>
      <w:pPr>
        <w:tabs>
          <w:tab w:val="left" w:pos="900"/>
        </w:tabs>
        <w:rPr>
          <w:rFonts w:ascii="Times New Roman" w:hAnsi="Times New Roman"/>
          <w:szCs w:val="21"/>
          <w:highlight w:val="none"/>
        </w:rPr>
      </w:pPr>
      <w:r>
        <w:rPr>
          <w:rFonts w:ascii="Times New Roman" w:hAnsi="Times New Roman"/>
          <w:szCs w:val="21"/>
          <w:highlight w:val="none"/>
        </w:rPr>
        <w:t>1) 乙方提供的服务不符合采购文件、投标文件或本合同规定的，甲方有权拒收，并且乙方须向甲方方支付本合同总价%的违约金。</w:t>
      </w:r>
    </w:p>
    <w:p>
      <w:pPr>
        <w:tabs>
          <w:tab w:val="left" w:pos="720"/>
          <w:tab w:val="left" w:pos="900"/>
        </w:tabs>
        <w:ind w:right="210"/>
        <w:rPr>
          <w:rFonts w:ascii="Times New Roman" w:hAnsi="Times New Roman"/>
          <w:szCs w:val="21"/>
          <w:highlight w:val="none"/>
        </w:rPr>
      </w:pPr>
      <w:r>
        <w:rPr>
          <w:rFonts w:ascii="Times New Roman" w:hAnsi="Times New Roman"/>
          <w:szCs w:val="21"/>
          <w:highlight w:val="none"/>
        </w:rPr>
        <w:t>2) 乙方未能按本合同规定的交货时间提供服务，从逾期之日起每日按本合同总价‰的数额向甲方支付违约金；逾期半个月以上的，甲方有权终止合同，由此造成的甲方经济损失由乙方承担。</w:t>
      </w:r>
    </w:p>
    <w:p>
      <w:pPr>
        <w:rPr>
          <w:rFonts w:ascii="Times New Roman" w:hAnsi="Times New Roman"/>
          <w:szCs w:val="21"/>
          <w:highlight w:val="none"/>
        </w:rPr>
      </w:pPr>
      <w:r>
        <w:rPr>
          <w:rFonts w:ascii="Times New Roman" w:hAnsi="Times New Roman"/>
          <w:szCs w:val="21"/>
          <w:highlight w:val="none"/>
        </w:rPr>
        <w:t>3) 甲方无正当理由拒收接受服务，到期拒付服务款项的，甲方向乙方偿付本合同总的%的违约金。甲方逾期付款，则每日按本合同总价的‰向乙方偿付违约金。</w:t>
      </w:r>
    </w:p>
    <w:p>
      <w:pPr>
        <w:rPr>
          <w:rFonts w:ascii="Times New Roman" w:hAnsi="Times New Roman"/>
          <w:bCs/>
          <w:szCs w:val="21"/>
          <w:highlight w:val="none"/>
        </w:rPr>
      </w:pPr>
      <w:r>
        <w:rPr>
          <w:rFonts w:ascii="Times New Roman" w:hAnsi="Times New Roman"/>
          <w:bCs/>
          <w:szCs w:val="21"/>
          <w:highlight w:val="none"/>
        </w:rPr>
        <w:t>4) 其它违约责任按《中华人民共和国合同法》处理。</w:t>
      </w:r>
    </w:p>
    <w:p>
      <w:pPr>
        <w:numPr>
          <w:ilvl w:val="0"/>
          <w:numId w:val="8"/>
        </w:numPr>
        <w:tabs>
          <w:tab w:val="left" w:pos="630"/>
        </w:tabs>
        <w:ind w:left="0" w:firstLine="0"/>
        <w:rPr>
          <w:rFonts w:ascii="Times New Roman" w:hAnsi="Times New Roman"/>
          <w:b/>
          <w:szCs w:val="21"/>
          <w:highlight w:val="none"/>
        </w:rPr>
      </w:pPr>
      <w:r>
        <w:rPr>
          <w:rFonts w:ascii="Times New Roman" w:hAnsi="Times New Roman"/>
          <w:b/>
          <w:szCs w:val="21"/>
          <w:highlight w:val="none"/>
        </w:rPr>
        <w:t>争端的解决</w:t>
      </w:r>
    </w:p>
    <w:p>
      <w:pPr>
        <w:ind w:firstLine="420" w:firstLineChars="200"/>
        <w:rPr>
          <w:rFonts w:ascii="Times New Roman" w:hAnsi="Times New Roman"/>
          <w:szCs w:val="21"/>
          <w:highlight w:val="none"/>
        </w:rPr>
      </w:pPr>
      <w:r>
        <w:rPr>
          <w:rFonts w:ascii="Times New Roman" w:hAnsi="Times New Roman"/>
          <w:szCs w:val="21"/>
          <w:highlight w:val="none"/>
        </w:rPr>
        <w:t>合同执行过程中发生的任何争议，如双方不能通过友好协商解决，按相关法律法规处理。</w:t>
      </w:r>
    </w:p>
    <w:p>
      <w:pPr>
        <w:numPr>
          <w:ilvl w:val="0"/>
          <w:numId w:val="8"/>
        </w:numPr>
        <w:tabs>
          <w:tab w:val="left" w:pos="630"/>
        </w:tabs>
        <w:ind w:left="0" w:firstLine="0"/>
        <w:rPr>
          <w:rFonts w:ascii="Times New Roman" w:hAnsi="Times New Roman"/>
          <w:b/>
          <w:szCs w:val="21"/>
          <w:highlight w:val="none"/>
        </w:rPr>
      </w:pPr>
      <w:r>
        <w:rPr>
          <w:rFonts w:ascii="Times New Roman" w:hAnsi="Times New Roman"/>
          <w:b/>
          <w:szCs w:val="21"/>
          <w:highlight w:val="none"/>
        </w:rPr>
        <w:t>不可抗力</w:t>
      </w:r>
    </w:p>
    <w:p>
      <w:pPr>
        <w:ind w:firstLine="411" w:firstLineChars="196"/>
        <w:rPr>
          <w:rFonts w:ascii="Times New Roman" w:hAnsi="Times New Roman"/>
          <w:szCs w:val="21"/>
          <w:highlight w:val="none"/>
        </w:rPr>
      </w:pPr>
      <w:r>
        <w:rPr>
          <w:rFonts w:ascii="Times New Roman" w:hAnsi="Times New Roman"/>
          <w:szCs w:val="21"/>
          <w:highlight w:val="none"/>
        </w:rPr>
        <w:t>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w:t>
      </w:r>
    </w:p>
    <w:p>
      <w:pPr>
        <w:numPr>
          <w:ilvl w:val="0"/>
          <w:numId w:val="8"/>
        </w:numPr>
        <w:tabs>
          <w:tab w:val="left" w:pos="630"/>
        </w:tabs>
        <w:ind w:left="0" w:firstLine="0"/>
        <w:rPr>
          <w:rFonts w:ascii="Times New Roman" w:hAnsi="Times New Roman"/>
          <w:b/>
          <w:szCs w:val="21"/>
          <w:highlight w:val="none"/>
        </w:rPr>
      </w:pPr>
      <w:r>
        <w:rPr>
          <w:rFonts w:ascii="Times New Roman" w:hAnsi="Times New Roman"/>
          <w:b/>
          <w:szCs w:val="21"/>
          <w:highlight w:val="none"/>
        </w:rPr>
        <w:t>税费</w:t>
      </w:r>
    </w:p>
    <w:p>
      <w:pPr>
        <w:ind w:firstLine="411" w:firstLineChars="196"/>
        <w:rPr>
          <w:rFonts w:ascii="Times New Roman" w:hAnsi="Times New Roman"/>
          <w:szCs w:val="21"/>
          <w:highlight w:val="none"/>
        </w:rPr>
      </w:pPr>
      <w:r>
        <w:rPr>
          <w:rFonts w:ascii="Times New Roman" w:hAnsi="Times New Roman"/>
          <w:szCs w:val="21"/>
          <w:highlight w:val="none"/>
        </w:rPr>
        <w:t>在中国境内、外发生的与本合同执行有关的一切税费均由乙方负担。</w:t>
      </w:r>
    </w:p>
    <w:p>
      <w:pPr>
        <w:numPr>
          <w:ilvl w:val="0"/>
          <w:numId w:val="8"/>
        </w:numPr>
        <w:tabs>
          <w:tab w:val="left" w:pos="630"/>
        </w:tabs>
        <w:ind w:left="0" w:firstLine="0"/>
        <w:rPr>
          <w:rFonts w:ascii="Times New Roman" w:hAnsi="Times New Roman"/>
          <w:b/>
          <w:szCs w:val="21"/>
          <w:highlight w:val="none"/>
        </w:rPr>
      </w:pPr>
      <w:r>
        <w:rPr>
          <w:rFonts w:ascii="Times New Roman" w:hAnsi="Times New Roman"/>
          <w:b/>
          <w:szCs w:val="21"/>
          <w:highlight w:val="none"/>
        </w:rPr>
        <w:t>其它</w:t>
      </w:r>
    </w:p>
    <w:p>
      <w:pPr>
        <w:rPr>
          <w:rFonts w:ascii="Times New Roman" w:hAnsi="Times New Roman"/>
          <w:b/>
          <w:szCs w:val="21"/>
          <w:highlight w:val="none"/>
        </w:rPr>
      </w:pPr>
      <w:r>
        <w:rPr>
          <w:rFonts w:ascii="Times New Roman" w:hAnsi="Times New Roman"/>
          <w:szCs w:val="21"/>
          <w:highlight w:val="none"/>
        </w:rPr>
        <w:t>1) 本合同所有附件、采购文件、投标文件、中标通知书通知书均为合同的有效组成部分，与本合同具有同等法律效力。</w:t>
      </w:r>
    </w:p>
    <w:p>
      <w:pPr>
        <w:rPr>
          <w:rFonts w:ascii="Times New Roman" w:hAnsi="Times New Roman"/>
          <w:szCs w:val="21"/>
          <w:highlight w:val="none"/>
        </w:rPr>
      </w:pPr>
      <w:r>
        <w:rPr>
          <w:rFonts w:ascii="Times New Roman" w:hAnsi="Times New Roman"/>
          <w:bCs/>
          <w:szCs w:val="21"/>
          <w:highlight w:val="none"/>
        </w:rPr>
        <w:t xml:space="preserve">2) </w:t>
      </w:r>
      <w:r>
        <w:rPr>
          <w:rFonts w:ascii="Times New Roman" w:hAnsi="Times New Roman"/>
          <w:szCs w:val="21"/>
          <w:highlight w:val="none"/>
        </w:rPr>
        <w:t>在执行本合同的过程中，所有经双方签署确认的文件（包括会议纪要、补充协议、往来信函）即成为本合同的有效组成部分。</w:t>
      </w:r>
    </w:p>
    <w:p>
      <w:pPr>
        <w:rPr>
          <w:rFonts w:ascii="Times New Roman" w:hAnsi="Times New Roman"/>
          <w:szCs w:val="21"/>
          <w:highlight w:val="none"/>
        </w:rPr>
      </w:pPr>
      <w:r>
        <w:rPr>
          <w:rFonts w:ascii="Times New Roman" w:hAnsi="Times New Roman"/>
          <w:szCs w:val="21"/>
          <w:highlight w:val="none"/>
        </w:rPr>
        <w:t xml:space="preserve">3) 如一方地址、电话、传真号码有变更，应在变更当日内书面通知对方，否则，应承担相应责任。 </w:t>
      </w:r>
    </w:p>
    <w:p>
      <w:pPr>
        <w:rPr>
          <w:rFonts w:ascii="Times New Roman" w:hAnsi="Times New Roman"/>
          <w:szCs w:val="21"/>
          <w:highlight w:val="none"/>
        </w:rPr>
      </w:pPr>
      <w:r>
        <w:rPr>
          <w:rFonts w:ascii="Times New Roman" w:hAnsi="Times New Roman"/>
          <w:szCs w:val="21"/>
          <w:highlight w:val="none"/>
        </w:rPr>
        <w:t>4) 除甲方事先书面同意外，乙方不得部分或全部转让其应履行的合同项下的义务。</w:t>
      </w:r>
    </w:p>
    <w:p>
      <w:pPr>
        <w:numPr>
          <w:ilvl w:val="0"/>
          <w:numId w:val="8"/>
        </w:numPr>
        <w:tabs>
          <w:tab w:val="left" w:pos="630"/>
        </w:tabs>
        <w:ind w:left="0" w:firstLine="0"/>
        <w:rPr>
          <w:rFonts w:ascii="Times New Roman" w:hAnsi="Times New Roman"/>
          <w:b/>
          <w:szCs w:val="21"/>
          <w:highlight w:val="none"/>
        </w:rPr>
      </w:pPr>
      <w:r>
        <w:rPr>
          <w:rFonts w:ascii="Times New Roman" w:hAnsi="Times New Roman"/>
          <w:b/>
          <w:szCs w:val="21"/>
          <w:highlight w:val="none"/>
        </w:rPr>
        <w:t>合同生效</w:t>
      </w:r>
    </w:p>
    <w:p>
      <w:pPr>
        <w:rPr>
          <w:rFonts w:ascii="Times New Roman" w:hAnsi="Times New Roman"/>
          <w:szCs w:val="21"/>
          <w:highlight w:val="none"/>
        </w:rPr>
      </w:pPr>
      <w:r>
        <w:rPr>
          <w:rFonts w:ascii="Times New Roman" w:hAnsi="Times New Roman"/>
          <w:szCs w:val="21"/>
          <w:highlight w:val="none"/>
        </w:rPr>
        <w:t>1）本合同在甲乙双方法人代表或其授权代表签字盖章后生效。</w:t>
      </w:r>
    </w:p>
    <w:p>
      <w:pPr>
        <w:rPr>
          <w:rFonts w:ascii="Times New Roman" w:hAnsi="Times New Roman"/>
          <w:szCs w:val="21"/>
          <w:highlight w:val="none"/>
        </w:rPr>
      </w:pPr>
      <w:r>
        <w:rPr>
          <w:rFonts w:ascii="Times New Roman" w:hAnsi="Times New Roman"/>
          <w:szCs w:val="21"/>
          <w:highlight w:val="none"/>
        </w:rPr>
        <w:t>2）合同一式份，其中甲方份，乙方</w:t>
      </w:r>
      <w:r>
        <w:rPr>
          <w:rFonts w:hint="eastAsia" w:ascii="Times New Roman" w:hAnsi="Times New Roman"/>
          <w:szCs w:val="21"/>
          <w:highlight w:val="none"/>
        </w:rPr>
        <w:t>壹</w:t>
      </w:r>
      <w:r>
        <w:rPr>
          <w:rFonts w:ascii="Times New Roman" w:hAnsi="Times New Roman"/>
          <w:szCs w:val="21"/>
          <w:highlight w:val="none"/>
        </w:rPr>
        <w:t>份，监管部门壹份，采购代理机构</w:t>
      </w:r>
      <w:r>
        <w:rPr>
          <w:rFonts w:ascii="Times New Roman" w:hAnsi="Times New Roman"/>
          <w:szCs w:val="21"/>
          <w:highlight w:val="none"/>
          <w:u w:val="single"/>
        </w:rPr>
        <w:t>壹</w:t>
      </w:r>
      <w:r>
        <w:rPr>
          <w:rFonts w:ascii="Times New Roman" w:hAnsi="Times New Roman"/>
          <w:szCs w:val="21"/>
          <w:highlight w:val="none"/>
        </w:rPr>
        <w:t>份。</w:t>
      </w:r>
    </w:p>
    <w:p>
      <w:pPr>
        <w:rPr>
          <w:rFonts w:ascii="Times New Roman" w:hAnsi="Times New Roman"/>
          <w:b/>
          <w:szCs w:val="21"/>
          <w:highlight w:val="none"/>
        </w:rPr>
      </w:pPr>
    </w:p>
    <w:p>
      <w:pPr>
        <w:rPr>
          <w:rFonts w:ascii="Times New Roman" w:hAnsi="Times New Roman"/>
          <w:b/>
          <w:szCs w:val="21"/>
          <w:highlight w:val="none"/>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甲方（盖公章）：                    乙方（盖公章）：</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甲方法定代表(签字)：               乙方法定代表(签字)：</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地址：                             地址：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电话：                             电话：</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传真：</w:t>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t xml:space="preserve">    传真：</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开户银行：</w:t>
      </w:r>
      <w:r>
        <w:rPr>
          <w:color w:val="000000" w:themeColor="text1"/>
          <w:sz w:val="24"/>
          <w:highlight w:val="none"/>
          <w14:textFill>
            <w14:solidFill>
              <w14:schemeClr w14:val="tx1"/>
            </w14:solidFill>
          </w14:textFill>
        </w:rPr>
        <w:tab/>
      </w:r>
      <w:r>
        <w:rPr>
          <w:color w:val="000000" w:themeColor="text1"/>
          <w:sz w:val="24"/>
          <w:highlight w:val="none"/>
          <w14:textFill>
            <w14:solidFill>
              <w14:schemeClr w14:val="tx1"/>
            </w14:solidFill>
          </w14:textFill>
        </w:rPr>
        <w:t xml:space="preserve">                         开户银行：</w:t>
      </w:r>
    </w:p>
    <w:p>
      <w:pPr>
        <w:spacing w:line="46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账</w:t>
      </w:r>
      <w:r>
        <w:rPr>
          <w:color w:val="000000" w:themeColor="text1"/>
          <w:sz w:val="24"/>
          <w:highlight w:val="none"/>
          <w14:textFill>
            <w14:solidFill>
              <w14:schemeClr w14:val="tx1"/>
            </w14:solidFill>
          </w14:textFill>
        </w:rPr>
        <w:t xml:space="preserve">号：                             </w:t>
      </w:r>
      <w:r>
        <w:rPr>
          <w:rFonts w:hint="eastAsia"/>
          <w:color w:val="000000" w:themeColor="text1"/>
          <w:sz w:val="24"/>
          <w:highlight w:val="none"/>
          <w14:textFill>
            <w14:solidFill>
              <w14:schemeClr w14:val="tx1"/>
            </w14:solidFill>
          </w14:textFill>
        </w:rPr>
        <w:t>账</w:t>
      </w:r>
      <w:r>
        <w:rPr>
          <w:color w:val="000000" w:themeColor="text1"/>
          <w:sz w:val="24"/>
          <w:highlight w:val="none"/>
          <w14:textFill>
            <w14:solidFill>
              <w14:schemeClr w14:val="tx1"/>
            </w14:solidFill>
          </w14:textFill>
        </w:rPr>
        <w:t>号：</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签订时间：</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签订地点：</w:t>
      </w:r>
    </w:p>
    <w:p>
      <w:pPr>
        <w:rPr>
          <w:rFonts w:ascii="Times New Roman" w:hAnsi="Times New Roman"/>
          <w:sz w:val="22"/>
          <w:highlight w:val="none"/>
        </w:rPr>
      </w:pPr>
      <w:r>
        <w:rPr>
          <w:rFonts w:ascii="Times New Roman" w:hAnsi="Times New Roman"/>
          <w:sz w:val="22"/>
          <w:highlight w:val="none"/>
        </w:rPr>
        <w:t>备注：１．本合同所有附件均在签订合同时编制，其编制依据是招标文件“用户需求书”中的要求和中标人的投标文件中的相应内容；</w:t>
      </w:r>
    </w:p>
    <w:p>
      <w:pPr>
        <w:rPr>
          <w:highlight w:val="none"/>
        </w:rPr>
      </w:pPr>
      <w:r>
        <w:rPr>
          <w:rFonts w:ascii="Times New Roman" w:hAnsi="Times New Roman"/>
          <w:sz w:val="22"/>
          <w:highlight w:val="none"/>
        </w:rPr>
        <w:t xml:space="preserve">      ２．合同附件的具体内容由双方在签订合同时确定。</w:t>
      </w: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2"/>
        <w:widowControl w:val="0"/>
        <w:numPr>
          <w:ilvl w:val="0"/>
          <w:numId w:val="0"/>
        </w:numPr>
        <w:spacing w:after="120"/>
        <w:jc w:val="both"/>
        <w:rPr>
          <w:color w:val="auto"/>
          <w:highlight w:val="none"/>
        </w:rPr>
      </w:pPr>
    </w:p>
    <w:p>
      <w:pPr>
        <w:pStyle w:val="58"/>
        <w:spacing w:line="480" w:lineRule="exact"/>
        <w:ind w:firstLine="0" w:firstLineChars="0"/>
        <w:jc w:val="center"/>
        <w:rPr>
          <w:rFonts w:ascii="仿宋" w:hAnsi="仿宋" w:eastAsia="仿宋" w:cs="仿宋"/>
          <w:color w:val="auto"/>
          <w:spacing w:val="20"/>
          <w:sz w:val="28"/>
          <w:szCs w:val="28"/>
          <w:highlight w:val="none"/>
        </w:rPr>
      </w:pPr>
    </w:p>
    <w:p>
      <w:pPr>
        <w:rPr>
          <w:rFonts w:ascii="仿宋" w:hAnsi="仿宋" w:eastAsia="仿宋" w:cs="仿宋"/>
          <w:color w:val="auto"/>
          <w:spacing w:val="20"/>
          <w:sz w:val="28"/>
          <w:szCs w:val="28"/>
          <w:highlight w:val="none"/>
        </w:rPr>
      </w:pPr>
      <w:r>
        <w:rPr>
          <w:rFonts w:ascii="仿宋" w:hAnsi="仿宋" w:eastAsia="仿宋" w:cs="仿宋"/>
          <w:color w:val="auto"/>
          <w:spacing w:val="20"/>
          <w:sz w:val="28"/>
          <w:szCs w:val="28"/>
          <w:highlight w:val="none"/>
        </w:rPr>
        <w:br w:type="page"/>
      </w:r>
    </w:p>
    <w:p>
      <w:pPr>
        <w:rPr>
          <w:color w:val="auto"/>
          <w:highlight w:val="none"/>
        </w:rPr>
      </w:pPr>
    </w:p>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Pr>
        <w:pStyle w:val="3"/>
        <w:numPr>
          <w:ilvl w:val="0"/>
          <w:numId w:val="11"/>
        </w:numPr>
        <w:spacing w:before="0" w:after="0" w:line="400" w:lineRule="exact"/>
        <w:ind w:left="239" w:leftChars="114"/>
        <w:rPr>
          <w:rFonts w:ascii="Times New Roman" w:hAnsi="Times New Roman" w:eastAsia="仿宋"/>
          <w:b w:val="0"/>
          <w:bCs/>
          <w:color w:val="000000" w:themeColor="text1"/>
          <w:spacing w:val="20"/>
          <w:sz w:val="28"/>
          <w:szCs w:val="28"/>
          <w:highlight w:val="none"/>
          <w14:textFill>
            <w14:solidFill>
              <w14:schemeClr w14:val="tx1"/>
            </w14:solidFill>
          </w14:textFill>
        </w:rPr>
      </w:pPr>
      <w:bookmarkStart w:id="672" w:name="_Toc2691"/>
      <w:bookmarkStart w:id="673" w:name="_Toc26544"/>
      <w:bookmarkStart w:id="674" w:name="_Toc19116"/>
      <w:bookmarkStart w:id="675" w:name="_Toc32185"/>
      <w:bookmarkStart w:id="676" w:name="_Toc7166"/>
      <w:bookmarkStart w:id="677" w:name="_Toc5501"/>
      <w:bookmarkStart w:id="678" w:name="_Toc19453"/>
      <w:bookmarkStart w:id="679" w:name="_Toc18528"/>
      <w:bookmarkStart w:id="680" w:name="_Toc27102"/>
      <w:bookmarkStart w:id="681" w:name="_Toc3751699"/>
      <w:r>
        <w:rPr>
          <w:rFonts w:ascii="Times New Roman" w:hAnsi="Times New Roman" w:eastAsia="仿宋"/>
          <w:b w:val="0"/>
          <w:bCs/>
          <w:color w:val="000000" w:themeColor="text1"/>
          <w:spacing w:val="20"/>
          <w:sz w:val="28"/>
          <w:szCs w:val="28"/>
          <w:highlight w:val="none"/>
          <w14:textFill>
            <w14:solidFill>
              <w14:schemeClr w14:val="tx1"/>
            </w14:solidFill>
          </w14:textFill>
        </w:rPr>
        <w:t>投标文件格式</w:t>
      </w:r>
      <w:bookmarkEnd w:id="672"/>
      <w:bookmarkEnd w:id="673"/>
      <w:bookmarkEnd w:id="674"/>
      <w:bookmarkEnd w:id="675"/>
      <w:bookmarkEnd w:id="676"/>
      <w:bookmarkEnd w:id="677"/>
      <w:bookmarkEnd w:id="678"/>
      <w:bookmarkEnd w:id="679"/>
      <w:bookmarkEnd w:id="680"/>
    </w:p>
    <w:p>
      <w:pPr>
        <w:rPr>
          <w:rFonts w:ascii="Times New Roman" w:hAnsi="Times New Roman"/>
          <w:color w:val="000000" w:themeColor="text1"/>
          <w:highlight w:val="none"/>
          <w14:textFill>
            <w14:solidFill>
              <w14:schemeClr w14:val="tx1"/>
            </w14:solidFill>
          </w14:textFill>
        </w:rPr>
      </w:pPr>
    </w:p>
    <w:p>
      <w:pPr>
        <w:pStyle w:val="84"/>
        <w:rPr>
          <w:rFonts w:ascii="Times New Roman" w:hAnsi="Times New Roman"/>
          <w:color w:val="000000" w:themeColor="text1"/>
          <w:highlight w:val="none"/>
          <w14:textFill>
            <w14:solidFill>
              <w14:schemeClr w14:val="tx1"/>
            </w14:solidFill>
          </w14:textFill>
        </w:rPr>
      </w:pPr>
    </w:p>
    <w:p>
      <w:pPr>
        <w:rPr>
          <w:rFonts w:ascii="Times New Roman" w:hAnsi="Times New Roman" w:eastAsia="仿宋"/>
          <w:color w:val="000000" w:themeColor="text1"/>
          <w:highlight w:val="none"/>
          <w14:textFill>
            <w14:solidFill>
              <w14:schemeClr w14:val="tx1"/>
            </w14:solidFill>
          </w14:textFill>
        </w:rPr>
      </w:pPr>
    </w:p>
    <w:p>
      <w:pPr>
        <w:spacing w:line="480" w:lineRule="exact"/>
        <w:rPr>
          <w:rFonts w:ascii="Times New Roman" w:hAnsi="Times New Roman" w:eastAsia="仿宋"/>
          <w:b/>
          <w:bCs/>
          <w:color w:val="000000" w:themeColor="text1"/>
          <w:sz w:val="24"/>
          <w:highlight w:val="none"/>
          <w:u w:val="single"/>
          <w14:textFill>
            <w14:solidFill>
              <w14:schemeClr w14:val="tx1"/>
            </w14:solidFill>
          </w14:textFill>
        </w:rPr>
      </w:pPr>
      <w:r>
        <w:rPr>
          <w:rFonts w:ascii="Times New Roman" w:hAnsi="Times New Roman" w:eastAsia="仿宋"/>
          <w:b/>
          <w:bCs/>
          <w:color w:val="000000" w:themeColor="text1"/>
          <w:sz w:val="24"/>
          <w:highlight w:val="none"/>
          <w:u w:val="single"/>
          <w14:textFill>
            <w14:solidFill>
              <w14:schemeClr w14:val="tx1"/>
            </w14:solidFill>
          </w14:textFill>
        </w:rPr>
        <w:t>注：1.请供应商按照以下要求的格式.内容.顺序制作投标文件，并编制目录及页码，否则可能会影响对投标文件的评价。</w:t>
      </w:r>
    </w:p>
    <w:p>
      <w:pPr>
        <w:numPr>
          <w:ilvl w:val="0"/>
          <w:numId w:val="1"/>
        </w:numPr>
        <w:spacing w:line="480" w:lineRule="exact"/>
        <w:ind w:firstLine="482" w:firstLineChars="200"/>
        <w:rPr>
          <w:rFonts w:ascii="Times New Roman" w:hAnsi="Times New Roman" w:eastAsia="仿宋"/>
          <w:b/>
          <w:bCs/>
          <w:color w:val="000000" w:themeColor="text1"/>
          <w:sz w:val="24"/>
          <w:highlight w:val="none"/>
          <w:u w:val="single"/>
          <w14:textFill>
            <w14:solidFill>
              <w14:schemeClr w14:val="tx1"/>
            </w14:solidFill>
          </w14:textFill>
        </w:rPr>
      </w:pPr>
      <w:r>
        <w:rPr>
          <w:rFonts w:ascii="Times New Roman" w:hAnsi="Times New Roman" w:eastAsia="仿宋"/>
          <w:b/>
          <w:bCs/>
          <w:color w:val="000000" w:themeColor="text1"/>
          <w:sz w:val="24"/>
          <w:highlight w:val="none"/>
          <w:u w:val="single"/>
          <w14:textFill>
            <w14:solidFill>
              <w14:schemeClr w14:val="tx1"/>
            </w14:solidFill>
          </w14:textFill>
        </w:rPr>
        <w:t>根据“节约能源.保护环境”要求，建议供应商双面打印投标文件。</w:t>
      </w:r>
    </w:p>
    <w:p>
      <w:pPr>
        <w:numPr>
          <w:ilvl w:val="0"/>
          <w:numId w:val="1"/>
        </w:numPr>
        <w:spacing w:line="480" w:lineRule="exact"/>
        <w:ind w:firstLine="482" w:firstLineChars="200"/>
        <w:rPr>
          <w:rFonts w:ascii="Times New Roman" w:hAnsi="Times New Roman" w:eastAsia="仿宋"/>
          <w:b/>
          <w:bCs/>
          <w:color w:val="000000" w:themeColor="text1"/>
          <w:sz w:val="24"/>
          <w:highlight w:val="none"/>
          <w:u w:val="single"/>
          <w14:textFill>
            <w14:solidFill>
              <w14:schemeClr w14:val="tx1"/>
            </w14:solidFill>
          </w14:textFill>
        </w:rPr>
      </w:pPr>
      <w:r>
        <w:rPr>
          <w:rFonts w:ascii="Times New Roman" w:hAnsi="Times New Roman" w:eastAsia="仿宋"/>
          <w:b/>
          <w:bCs/>
          <w:color w:val="000000" w:themeColor="text1"/>
          <w:sz w:val="24"/>
          <w:highlight w:val="none"/>
          <w:u w:val="single"/>
          <w14:textFill>
            <w14:solidFill>
              <w14:schemeClr w14:val="tx1"/>
            </w14:solidFill>
          </w14:textFill>
        </w:rPr>
        <w:t>价格文件、商务文件、技术文件合并汇编成册。</w:t>
      </w:r>
    </w:p>
    <w:p>
      <w:pPr>
        <w:pStyle w:val="74"/>
        <w:rPr>
          <w:rFonts w:ascii="Times New Roman" w:hAnsi="Times New Roman" w:eastAsia="仿宋"/>
          <w:color w:val="000000" w:themeColor="text1"/>
          <w:highlight w:val="none"/>
          <w14:textFill>
            <w14:solidFill>
              <w14:schemeClr w14:val="tx1"/>
            </w14:solidFill>
          </w14:textFill>
        </w:rPr>
      </w:pPr>
    </w:p>
    <w:p>
      <w:pPr>
        <w:pStyle w:val="2"/>
        <w:rPr>
          <w:rFonts w:ascii="Times New Roman" w:hAnsi="Times New Roman" w:eastAsia="仿宋"/>
          <w:color w:val="000000" w:themeColor="text1"/>
          <w:highlight w:val="none"/>
          <w14:textFill>
            <w14:solidFill>
              <w14:schemeClr w14:val="tx1"/>
            </w14:solidFill>
          </w14:textFill>
        </w:rPr>
      </w:pPr>
    </w:p>
    <w:p>
      <w:pPr>
        <w:pStyle w:val="2"/>
        <w:rPr>
          <w:rFonts w:ascii="Times New Roman" w:hAnsi="Times New Roman" w:eastAsia="仿宋"/>
          <w:color w:val="000000" w:themeColor="text1"/>
          <w:highlight w:val="none"/>
          <w14:textFill>
            <w14:solidFill>
              <w14:schemeClr w14:val="tx1"/>
            </w14:solidFill>
          </w14:textFill>
        </w:rPr>
      </w:pPr>
    </w:p>
    <w:p>
      <w:pPr>
        <w:pStyle w:val="2"/>
        <w:rPr>
          <w:rFonts w:ascii="Times New Roman" w:hAnsi="Times New Roman" w:eastAsia="仿宋"/>
          <w:color w:val="000000" w:themeColor="text1"/>
          <w:highlight w:val="none"/>
          <w14:textFill>
            <w14:solidFill>
              <w14:schemeClr w14:val="tx1"/>
            </w14:solidFill>
          </w14:textFill>
        </w:rPr>
      </w:pPr>
    </w:p>
    <w:p>
      <w:pPr>
        <w:rPr>
          <w:rFonts w:ascii="Times New Roman" w:hAnsi="Times New Roman" w:eastAsia="仿宋"/>
          <w:color w:val="000000" w:themeColor="text1"/>
          <w:highlight w:val="none"/>
          <w14:textFill>
            <w14:solidFill>
              <w14:schemeClr w14:val="tx1"/>
            </w14:solidFill>
          </w14:textFill>
        </w:rPr>
      </w:pPr>
    </w:p>
    <w:p>
      <w:pPr>
        <w:pStyle w:val="58"/>
        <w:spacing w:beforeLines="100" w:line="440" w:lineRule="exact"/>
        <w:ind w:firstLine="0" w:firstLineChars="0"/>
        <w:jc w:val="center"/>
        <w:outlineLvl w:val="0"/>
        <w:rPr>
          <w:rFonts w:ascii="Times New Roman" w:hAnsi="Times New Roman" w:eastAsia="仿宋"/>
          <w:b/>
          <w:color w:val="000000" w:themeColor="text1"/>
          <w:spacing w:val="12"/>
          <w:szCs w:val="24"/>
          <w:highlight w:val="none"/>
          <w14:textFill>
            <w14:solidFill>
              <w14:schemeClr w14:val="tx1"/>
            </w14:solidFill>
          </w14:textFill>
        </w:rPr>
      </w:pPr>
      <w:r>
        <w:rPr>
          <w:rFonts w:ascii="Times New Roman" w:hAnsi="Times New Roman" w:eastAsia="仿宋"/>
          <w:b/>
          <w:color w:val="000000" w:themeColor="text1"/>
          <w:sz w:val="21"/>
          <w:szCs w:val="21"/>
          <w:highlight w:val="none"/>
          <w14:textFill>
            <w14:solidFill>
              <w14:schemeClr w14:val="tx1"/>
            </w14:solidFill>
          </w14:textFill>
        </w:rPr>
        <w:br w:type="page"/>
      </w:r>
      <w:bookmarkStart w:id="682" w:name="_Toc14499"/>
      <w:bookmarkStart w:id="683" w:name="_Toc6880"/>
      <w:bookmarkStart w:id="684" w:name="_Toc6448"/>
      <w:bookmarkStart w:id="685" w:name="_Toc24336"/>
      <w:bookmarkStart w:id="686" w:name="_Toc9132"/>
      <w:bookmarkStart w:id="687" w:name="_Toc19233"/>
      <w:bookmarkStart w:id="688" w:name="_Toc25501"/>
      <w:bookmarkStart w:id="689" w:name="_Toc6211"/>
      <w:bookmarkStart w:id="690" w:name="_Toc1276"/>
      <w:bookmarkStart w:id="691" w:name="_Toc7803"/>
      <w:bookmarkStart w:id="692" w:name="_Toc22159"/>
      <w:bookmarkStart w:id="693" w:name="_Toc1751"/>
      <w:r>
        <w:rPr>
          <w:rFonts w:ascii="Times New Roman" w:hAnsi="Times New Roman" w:eastAsia="仿宋"/>
          <w:b/>
          <w:bCs/>
          <w:color w:val="000000" w:themeColor="text1"/>
          <w:spacing w:val="10"/>
          <w:sz w:val="24"/>
          <w:szCs w:val="24"/>
          <w:highlight w:val="none"/>
          <w14:textFill>
            <w14:solidFill>
              <w14:schemeClr w14:val="tx1"/>
            </w14:solidFill>
          </w14:textFill>
        </w:rPr>
        <w:t>第一部分  唱标信封</w:t>
      </w:r>
      <w:bookmarkEnd w:id="682"/>
      <w:bookmarkEnd w:id="683"/>
      <w:bookmarkEnd w:id="684"/>
      <w:bookmarkEnd w:id="685"/>
    </w:p>
    <w:p>
      <w:pPr>
        <w:pStyle w:val="7"/>
        <w:tabs>
          <w:tab w:val="left" w:pos="5580"/>
        </w:tabs>
        <w:spacing w:line="440" w:lineRule="exact"/>
        <w:ind w:firstLine="528" w:firstLineChars="200"/>
        <w:jc w:val="center"/>
        <w:outlineLvl w:val="0"/>
        <w:rPr>
          <w:rStyle w:val="27"/>
          <w:rFonts w:ascii="Times New Roman" w:hAnsi="Times New Roman" w:eastAsia="仿宋" w:cs="Times New Roman"/>
          <w:b w:val="0"/>
          <w:color w:val="000000" w:themeColor="text1"/>
          <w:spacing w:val="12"/>
          <w:szCs w:val="24"/>
          <w:highlight w:val="none"/>
          <w14:textFill>
            <w14:solidFill>
              <w14:schemeClr w14:val="tx1"/>
            </w14:solidFill>
          </w14:textFill>
        </w:rPr>
      </w:pPr>
    </w:p>
    <w:p>
      <w:pPr>
        <w:pStyle w:val="7"/>
        <w:tabs>
          <w:tab w:val="left" w:pos="5580"/>
        </w:tabs>
        <w:spacing w:line="440" w:lineRule="exact"/>
        <w:jc w:val="both"/>
        <w:outlineLvl w:val="0"/>
        <w:rPr>
          <w:rStyle w:val="27"/>
          <w:rFonts w:ascii="Times New Roman" w:hAnsi="Times New Roman" w:eastAsia="仿宋" w:cs="Times New Roman"/>
          <w:b w:val="0"/>
          <w:color w:val="000000" w:themeColor="text1"/>
          <w:spacing w:val="12"/>
          <w:szCs w:val="24"/>
          <w:highlight w:val="none"/>
          <w14:textFill>
            <w14:solidFill>
              <w14:schemeClr w14:val="tx1"/>
            </w14:solidFill>
          </w14:textFill>
        </w:rPr>
      </w:pPr>
    </w:p>
    <w:p>
      <w:pPr>
        <w:spacing w:line="440" w:lineRule="exact"/>
        <w:jc w:val="center"/>
        <w:rPr>
          <w:rFonts w:ascii="Times New Roman" w:hAnsi="Times New Roman" w:eastAsia="仿宋"/>
          <w:b/>
          <w:bCs/>
          <w:color w:val="000000" w:themeColor="text1"/>
          <w:sz w:val="24"/>
          <w:szCs w:val="24"/>
          <w:highlight w:val="none"/>
          <w14:textFill>
            <w14:solidFill>
              <w14:schemeClr w14:val="tx1"/>
            </w14:solidFill>
          </w14:textFill>
        </w:rPr>
      </w:pPr>
      <w:r>
        <w:rPr>
          <w:rFonts w:ascii="Times New Roman" w:hAnsi="Times New Roman" w:eastAsia="仿宋"/>
          <w:b/>
          <w:bCs/>
          <w:color w:val="000000" w:themeColor="text1"/>
          <w:sz w:val="24"/>
          <w:szCs w:val="24"/>
          <w:highlight w:val="none"/>
          <w14:textFill>
            <w14:solidFill>
              <w14:schemeClr w14:val="tx1"/>
            </w14:solidFill>
          </w14:textFill>
        </w:rPr>
        <w:t>开标一览表（报价表）</w:t>
      </w:r>
    </w:p>
    <w:p>
      <w:pPr>
        <w:pStyle w:val="2"/>
        <w:spacing w:line="400" w:lineRule="exact"/>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项目名称</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p>
    <w:p>
      <w:pPr>
        <w:spacing w:line="400" w:lineRule="exact"/>
        <w:rPr>
          <w:rFonts w:ascii="Times New Roman" w:hAnsi="Times New Roman" w:eastAsia="仿宋"/>
          <w:b/>
          <w:bCs/>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项目编号</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p>
    <w:tbl>
      <w:tblPr>
        <w:tblStyle w:val="24"/>
        <w:tblW w:w="9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70"/>
        <w:gridCol w:w="4604"/>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570" w:type="dxa"/>
            <w:tcBorders>
              <w:top w:val="single" w:color="auto" w:sz="4" w:space="0"/>
              <w:left w:val="single" w:color="auto" w:sz="4" w:space="0"/>
              <w:right w:val="single" w:color="auto" w:sz="4" w:space="0"/>
            </w:tcBorders>
            <w:vAlign w:val="center"/>
          </w:tcPr>
          <w:p>
            <w:pPr>
              <w:spacing w:line="400" w:lineRule="exact"/>
              <w:jc w:val="center"/>
              <w:rPr>
                <w:rFonts w:hint="eastAsia"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采购内容</w:t>
            </w:r>
          </w:p>
        </w:tc>
        <w:tc>
          <w:tcPr>
            <w:tcW w:w="4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报价小写（元）</w:t>
            </w:r>
          </w:p>
        </w:tc>
        <w:tc>
          <w:tcPr>
            <w:tcW w:w="894"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14:textFill>
                  <w14:solidFill>
                    <w14:schemeClr w14:val="tx1"/>
                  </w14:solidFill>
                </w14:textFill>
              </w:rPr>
            </w:pPr>
          </w:p>
        </w:tc>
        <w:tc>
          <w:tcPr>
            <w:tcW w:w="4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14:textFill>
                  <w14:solidFill>
                    <w14:schemeClr w14:val="tx1"/>
                  </w14:solidFill>
                </w14:textFill>
              </w:rPr>
            </w:pPr>
          </w:p>
        </w:tc>
        <w:tc>
          <w:tcPr>
            <w:tcW w:w="8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906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项目总报价</w:t>
            </w:r>
            <w:r>
              <w:rPr>
                <w:rFonts w:hint="eastAsia"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小</w:t>
            </w:r>
            <w:r>
              <w:rPr>
                <w:rFonts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写：</w:t>
            </w:r>
          </w:p>
          <w:p>
            <w:pPr>
              <w:pStyle w:val="2"/>
              <w:rPr>
                <w:highlight w:val="none"/>
              </w:rPr>
            </w:pPr>
            <w:r>
              <w:rPr>
                <w:rFonts w:ascii="Times New Roman" w:hAnsi="Times New Roman" w:eastAsia="仿宋"/>
                <w:color w:val="000000" w:themeColor="text1"/>
                <w:sz w:val="24"/>
                <w:szCs w:val="24"/>
                <w:highlight w:val="none"/>
                <w14:textFill>
                  <w14:solidFill>
                    <w14:schemeClr w14:val="tx1"/>
                  </w14:solidFill>
                </w14:textFill>
              </w:rPr>
              <w:t>项目总报价</w:t>
            </w:r>
            <w:r>
              <w:rPr>
                <w:rFonts w:hint="eastAsia" w:ascii="Times New Roman" w:hAnsi="Times New Roman" w:eastAsia="仿宋"/>
                <w:color w:val="000000" w:themeColor="text1"/>
                <w:sz w:val="24"/>
                <w:szCs w:val="24"/>
                <w:highlight w:val="none"/>
                <w:lang w:eastAsia="zh-CN"/>
                <w14:textFill>
                  <w14:solidFill>
                    <w14:schemeClr w14:val="tx1"/>
                  </w14:solidFill>
                </w14:textFill>
              </w:rPr>
              <w:t>大</w:t>
            </w:r>
            <w:r>
              <w:rPr>
                <w:rFonts w:ascii="Times New Roman" w:hAnsi="Times New Roman" w:eastAsia="仿宋"/>
                <w:color w:val="000000" w:themeColor="text1"/>
                <w:sz w:val="24"/>
                <w:szCs w:val="24"/>
                <w:highlight w:val="none"/>
                <w14:textFill>
                  <w14:solidFill>
                    <w14:schemeClr w14:val="tx1"/>
                  </w14:solidFill>
                </w14:textFill>
              </w:rPr>
              <w:t>写：</w:t>
            </w:r>
          </w:p>
        </w:tc>
      </w:tr>
    </w:tbl>
    <w:p>
      <w:pPr>
        <w:spacing w:line="400" w:lineRule="exact"/>
        <w:ind w:firstLine="480" w:firstLineChars="200"/>
        <w:jc w:val="left"/>
        <w:rPr>
          <w:rFonts w:ascii="Times New Roman" w:hAnsi="Times New Roman" w:eastAsia="仿宋"/>
          <w:color w:val="000000" w:themeColor="text1"/>
          <w:sz w:val="24"/>
          <w:szCs w:val="24"/>
          <w:highlight w:val="none"/>
          <w14:textFill>
            <w14:solidFill>
              <w14:schemeClr w14:val="tx1"/>
            </w14:solidFill>
          </w14:textFill>
        </w:rPr>
      </w:pPr>
    </w:p>
    <w:p>
      <w:pPr>
        <w:pStyle w:val="2"/>
        <w:rPr>
          <w:rFonts w:ascii="Times New Roman" w:hAnsi="Times New Roman"/>
          <w:color w:val="000000" w:themeColor="text1"/>
          <w:highlight w:val="none"/>
          <w14:textFill>
            <w14:solidFill>
              <w14:schemeClr w14:val="tx1"/>
            </w14:solidFill>
          </w14:textFill>
        </w:rPr>
      </w:pPr>
    </w:p>
    <w:tbl>
      <w:tblPr>
        <w:tblStyle w:val="24"/>
        <w:tblW w:w="8528" w:type="dxa"/>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tcPr>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 xml:space="preserve">供应商名称（加盖公章）：                         </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5536" w:type="dxa"/>
          </w:tcPr>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 xml:space="preserve">法定代表人或受委托人（签名或盖私章）：     </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c>
          <w:tcPr>
            <w:tcW w:w="5536" w:type="dxa"/>
          </w:tcPr>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日期：   年   月   日</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14:textFill>
                  <w14:solidFill>
                    <w14:schemeClr w14:val="tx1"/>
                  </w14:solidFill>
                </w14:textFill>
              </w:rPr>
            </w:pPr>
          </w:p>
        </w:tc>
      </w:tr>
    </w:tbl>
    <w:p>
      <w:pPr>
        <w:spacing w:line="360" w:lineRule="auto"/>
        <w:rPr>
          <w:rFonts w:ascii="Times New Roman" w:hAnsi="Times New Roman" w:eastAsia="仿宋"/>
          <w:b/>
          <w:bCs/>
          <w:color w:val="000000" w:themeColor="text1"/>
          <w:szCs w:val="21"/>
          <w:highlight w:val="none"/>
          <w14:textFill>
            <w14:solidFill>
              <w14:schemeClr w14:val="tx1"/>
            </w14:solidFill>
          </w14:textFill>
        </w:rPr>
      </w:pPr>
    </w:p>
    <w:p>
      <w:pPr>
        <w:pStyle w:val="13"/>
        <w:tabs>
          <w:tab w:val="left" w:pos="5580"/>
        </w:tabs>
        <w:spacing w:line="400" w:lineRule="exact"/>
        <w:ind w:left="1080" w:leftChars="257" w:hanging="540"/>
        <w:jc w:val="left"/>
        <w:rPr>
          <w:rFonts w:ascii="Times New Roman" w:hAnsi="Times New Roman" w:eastAsia="仿宋"/>
          <w:b/>
          <w:color w:val="000000" w:themeColor="text1"/>
          <w:szCs w:val="21"/>
          <w:highlight w:val="none"/>
          <w14:textFill>
            <w14:solidFill>
              <w14:schemeClr w14:val="tx1"/>
            </w14:solidFill>
          </w14:textFill>
        </w:rPr>
      </w:pPr>
      <w:r>
        <w:rPr>
          <w:rFonts w:ascii="Times New Roman" w:hAnsi="Times New Roman" w:eastAsia="仿宋"/>
          <w:b/>
          <w:bCs/>
          <w:color w:val="000000" w:themeColor="text1"/>
          <w:sz w:val="24"/>
          <w:szCs w:val="24"/>
          <w:highlight w:val="none"/>
          <w14:textFill>
            <w14:solidFill>
              <w14:schemeClr w14:val="tx1"/>
            </w14:solidFill>
          </w14:textFill>
        </w:rPr>
        <w:t>注:1、此表应按供应商须知的规定装订密封。</w:t>
      </w:r>
    </w:p>
    <w:p>
      <w:pPr>
        <w:pStyle w:val="4"/>
        <w:pageBreakBefore/>
        <w:spacing w:line="415" w:lineRule="auto"/>
        <w:rPr>
          <w:rFonts w:ascii="Times New Roman" w:hAnsi="Times New Roman" w:eastAsia="仿宋"/>
          <w:b w:val="0"/>
          <w:color w:val="000000" w:themeColor="text1"/>
          <w:sz w:val="28"/>
          <w:szCs w:val="28"/>
          <w:highlight w:val="none"/>
          <w14:textFill>
            <w14:solidFill>
              <w14:schemeClr w14:val="tx1"/>
            </w14:solidFill>
          </w14:textFill>
        </w:rPr>
      </w:pPr>
      <w:bookmarkStart w:id="694" w:name="_Toc20298"/>
      <w:bookmarkStart w:id="695" w:name="_Toc19223"/>
      <w:bookmarkStart w:id="696" w:name="_Toc31246"/>
      <w:bookmarkStart w:id="697" w:name="_Toc20003"/>
      <w:r>
        <w:rPr>
          <w:rFonts w:ascii="Times New Roman" w:hAnsi="Times New Roman" w:eastAsia="仿宋"/>
          <w:bCs/>
          <w:color w:val="000000" w:themeColor="text1"/>
          <w:spacing w:val="10"/>
          <w:sz w:val="28"/>
          <w:szCs w:val="28"/>
          <w:highlight w:val="none"/>
          <w14:textFill>
            <w14:solidFill>
              <w14:schemeClr w14:val="tx1"/>
            </w14:solidFill>
          </w14:textFill>
        </w:rPr>
        <w:t>第二部分  价格文件</w:t>
      </w:r>
      <w:bookmarkEnd w:id="694"/>
      <w:bookmarkEnd w:id="695"/>
      <w:bookmarkEnd w:id="696"/>
      <w:bookmarkEnd w:id="697"/>
    </w:p>
    <w:p>
      <w:pPr>
        <w:spacing w:line="400" w:lineRule="exact"/>
        <w:jc w:val="cente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br w:type="page"/>
      </w:r>
    </w:p>
    <w:p>
      <w:pPr>
        <w:spacing w:line="400" w:lineRule="exact"/>
        <w:jc w:val="center"/>
        <w:rPr>
          <w:rFonts w:ascii="Times New Roman" w:hAnsi="Times New Roman" w:eastAsia="仿宋"/>
          <w:b/>
          <w:bCs/>
          <w:color w:val="000000" w:themeColor="text1"/>
          <w:sz w:val="24"/>
          <w:szCs w:val="24"/>
          <w:highlight w:val="none"/>
          <w14:textFill>
            <w14:solidFill>
              <w14:schemeClr w14:val="tx1"/>
            </w14:solidFill>
          </w14:textFill>
        </w:rPr>
      </w:pPr>
      <w:r>
        <w:rPr>
          <w:rFonts w:ascii="Times New Roman" w:hAnsi="Times New Roman" w:eastAsia="仿宋"/>
          <w:b/>
          <w:bCs/>
          <w:color w:val="000000" w:themeColor="text1"/>
          <w:sz w:val="24"/>
          <w:szCs w:val="24"/>
          <w:highlight w:val="none"/>
          <w14:textFill>
            <w14:solidFill>
              <w14:schemeClr w14:val="tx1"/>
            </w14:solidFill>
          </w14:textFill>
        </w:rPr>
        <w:t>开标一览表（报价表）</w:t>
      </w:r>
    </w:p>
    <w:p>
      <w:pPr>
        <w:pStyle w:val="2"/>
        <w:spacing w:line="480" w:lineRule="auto"/>
        <w:rPr>
          <w:rFonts w:ascii="Times New Roman" w:hAnsi="Times New Roman" w:eastAsia="仿宋"/>
          <w:color w:val="000000" w:themeColor="text1"/>
          <w:sz w:val="24"/>
          <w:szCs w:val="24"/>
          <w:highlight w:val="none"/>
          <w14:textFill>
            <w14:solidFill>
              <w14:schemeClr w14:val="tx1"/>
            </w14:solidFill>
          </w14:textFill>
        </w:rPr>
      </w:pPr>
    </w:p>
    <w:p>
      <w:pPr>
        <w:pStyle w:val="2"/>
        <w:spacing w:line="400" w:lineRule="exact"/>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项目名称</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p>
    <w:p>
      <w:pPr>
        <w:spacing w:line="400" w:lineRule="exact"/>
        <w:rPr>
          <w:rFonts w:hint="default" w:ascii="Times New Roman" w:hAnsi="Times New Roman" w:eastAsia="仿宋" w:cs="Times New Roman"/>
          <w:color w:val="000000" w:themeColor="text1"/>
          <w:highlight w:val="none"/>
          <w:lang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项目编号</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p>
    <w:tbl>
      <w:tblPr>
        <w:tblStyle w:val="24"/>
        <w:tblW w:w="9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70"/>
        <w:gridCol w:w="4604"/>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570" w:type="dxa"/>
            <w:tcBorders>
              <w:top w:val="single" w:color="auto" w:sz="4" w:space="0"/>
              <w:left w:val="single" w:color="auto" w:sz="4" w:space="0"/>
              <w:right w:val="single" w:color="auto" w:sz="4" w:space="0"/>
            </w:tcBorders>
            <w:vAlign w:val="center"/>
          </w:tcPr>
          <w:p>
            <w:pPr>
              <w:spacing w:line="400" w:lineRule="exact"/>
              <w:jc w:val="center"/>
              <w:rPr>
                <w:rFonts w:hint="eastAsia" w:ascii="Times New Roman" w:hAnsi="Times New Roman" w:eastAsia="仿宋"/>
                <w:color w:val="000000" w:themeColor="text1"/>
                <w:sz w:val="24"/>
                <w:szCs w:val="24"/>
                <w:highlight w:val="none"/>
                <w:lang w:eastAsia="zh-CN"/>
                <w14:textFill>
                  <w14:solidFill>
                    <w14:schemeClr w14:val="tx1"/>
                  </w14:solidFill>
                </w14:textFill>
              </w:rPr>
            </w:pPr>
            <w:r>
              <w:rPr>
                <w:rFonts w:hint="eastAsia" w:ascii="Times New Roman" w:hAnsi="Times New Roman" w:eastAsia="仿宋"/>
                <w:color w:val="000000" w:themeColor="text1"/>
                <w:sz w:val="24"/>
                <w:szCs w:val="24"/>
                <w:highlight w:val="none"/>
                <w:lang w:eastAsia="zh-CN"/>
                <w14:textFill>
                  <w14:solidFill>
                    <w14:schemeClr w14:val="tx1"/>
                  </w14:solidFill>
                </w14:textFill>
              </w:rPr>
              <w:t>采购内容</w:t>
            </w:r>
          </w:p>
        </w:tc>
        <w:tc>
          <w:tcPr>
            <w:tcW w:w="4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报价小写（元）</w:t>
            </w:r>
          </w:p>
        </w:tc>
        <w:tc>
          <w:tcPr>
            <w:tcW w:w="894"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14:textFill>
                  <w14:solidFill>
                    <w14:schemeClr w14:val="tx1"/>
                  </w14:solidFill>
                </w14:textFill>
              </w:rPr>
            </w:pPr>
          </w:p>
        </w:tc>
        <w:tc>
          <w:tcPr>
            <w:tcW w:w="4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14:textFill>
                  <w14:solidFill>
                    <w14:schemeClr w14:val="tx1"/>
                  </w14:solidFill>
                </w14:textFill>
              </w:rPr>
            </w:pPr>
          </w:p>
        </w:tc>
        <w:tc>
          <w:tcPr>
            <w:tcW w:w="8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906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项目总报价</w:t>
            </w:r>
            <w:r>
              <w:rPr>
                <w:rFonts w:hint="eastAsia"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小</w:t>
            </w:r>
            <w:r>
              <w:rPr>
                <w:rFonts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写：</w:t>
            </w:r>
          </w:p>
          <w:p>
            <w:pPr>
              <w:pStyle w:val="2"/>
              <w:rPr>
                <w:highlight w:val="none"/>
              </w:rPr>
            </w:pPr>
            <w:r>
              <w:rPr>
                <w:rFonts w:ascii="Times New Roman" w:hAnsi="Times New Roman" w:eastAsia="仿宋"/>
                <w:color w:val="000000" w:themeColor="text1"/>
                <w:sz w:val="24"/>
                <w:szCs w:val="24"/>
                <w:highlight w:val="none"/>
                <w14:textFill>
                  <w14:solidFill>
                    <w14:schemeClr w14:val="tx1"/>
                  </w14:solidFill>
                </w14:textFill>
              </w:rPr>
              <w:t>项目总报价</w:t>
            </w:r>
            <w:r>
              <w:rPr>
                <w:rFonts w:hint="eastAsia" w:ascii="Times New Roman" w:hAnsi="Times New Roman" w:eastAsia="仿宋"/>
                <w:color w:val="000000" w:themeColor="text1"/>
                <w:sz w:val="24"/>
                <w:szCs w:val="24"/>
                <w:highlight w:val="none"/>
                <w:lang w:eastAsia="zh-CN"/>
                <w14:textFill>
                  <w14:solidFill>
                    <w14:schemeClr w14:val="tx1"/>
                  </w14:solidFill>
                </w14:textFill>
              </w:rPr>
              <w:t>大</w:t>
            </w:r>
            <w:r>
              <w:rPr>
                <w:rFonts w:ascii="Times New Roman" w:hAnsi="Times New Roman" w:eastAsia="仿宋"/>
                <w:color w:val="000000" w:themeColor="text1"/>
                <w:sz w:val="24"/>
                <w:szCs w:val="24"/>
                <w:highlight w:val="none"/>
                <w14:textFill>
                  <w14:solidFill>
                    <w14:schemeClr w14:val="tx1"/>
                  </w14:solidFill>
                </w14:textFill>
              </w:rPr>
              <w:t>写：</w:t>
            </w:r>
          </w:p>
        </w:tc>
      </w:tr>
    </w:tbl>
    <w:p>
      <w:pPr>
        <w:spacing w:line="400" w:lineRule="exact"/>
        <w:ind w:firstLine="480" w:firstLineChars="200"/>
        <w:jc w:val="left"/>
        <w:rPr>
          <w:rFonts w:ascii="Times New Roman" w:hAnsi="Times New Roman" w:eastAsia="仿宋"/>
          <w:color w:val="000000" w:themeColor="text1"/>
          <w:sz w:val="24"/>
          <w:szCs w:val="24"/>
          <w:highlight w:val="none"/>
          <w14:textFill>
            <w14:solidFill>
              <w14:schemeClr w14:val="tx1"/>
            </w14:solidFill>
          </w14:textFill>
        </w:rPr>
      </w:pPr>
    </w:p>
    <w:p>
      <w:pPr>
        <w:pStyle w:val="2"/>
        <w:rPr>
          <w:rFonts w:ascii="Times New Roman" w:hAnsi="Times New Roman"/>
          <w:color w:val="000000" w:themeColor="text1"/>
          <w:highlight w:val="none"/>
          <w14:textFill>
            <w14:solidFill>
              <w14:schemeClr w14:val="tx1"/>
            </w14:solidFill>
          </w14:textFill>
        </w:rPr>
      </w:pPr>
    </w:p>
    <w:tbl>
      <w:tblPr>
        <w:tblStyle w:val="24"/>
        <w:tblW w:w="8528" w:type="dxa"/>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tcPr>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 xml:space="preserve">供应商名称（加盖公章）：                         </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5536" w:type="dxa"/>
          </w:tcPr>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 xml:space="preserve">法定代表人或受委托人（签名或盖私章）：     </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c>
          <w:tcPr>
            <w:tcW w:w="5536" w:type="dxa"/>
          </w:tcPr>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日期：   年   月   日</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14:textFill>
                  <w14:solidFill>
                    <w14:schemeClr w14:val="tx1"/>
                  </w14:solidFill>
                </w14:textFill>
              </w:rPr>
            </w:pPr>
          </w:p>
        </w:tc>
      </w:tr>
    </w:tbl>
    <w:p>
      <w:pPr>
        <w:spacing w:line="360" w:lineRule="auto"/>
        <w:rPr>
          <w:rFonts w:ascii="Times New Roman" w:hAnsi="Times New Roman" w:eastAsia="仿宋"/>
          <w:b/>
          <w:bCs/>
          <w:color w:val="000000" w:themeColor="text1"/>
          <w:szCs w:val="21"/>
          <w:highlight w:val="none"/>
          <w14:textFill>
            <w14:solidFill>
              <w14:schemeClr w14:val="tx1"/>
            </w14:solidFill>
          </w14:textFill>
        </w:rPr>
      </w:pPr>
    </w:p>
    <w:p>
      <w:pPr>
        <w:pStyle w:val="13"/>
        <w:tabs>
          <w:tab w:val="left" w:pos="5580"/>
        </w:tabs>
        <w:spacing w:line="400" w:lineRule="exact"/>
        <w:ind w:left="1080" w:leftChars="257" w:hanging="540"/>
        <w:jc w:val="left"/>
        <w:rPr>
          <w:rFonts w:ascii="Times New Roman" w:hAnsi="Times New Roman" w:eastAsia="仿宋"/>
          <w:b/>
          <w:color w:val="000000" w:themeColor="text1"/>
          <w:szCs w:val="21"/>
          <w:highlight w:val="none"/>
          <w14:textFill>
            <w14:solidFill>
              <w14:schemeClr w14:val="tx1"/>
            </w14:solidFill>
          </w14:textFill>
        </w:rPr>
      </w:pPr>
      <w:r>
        <w:rPr>
          <w:rFonts w:ascii="Times New Roman" w:hAnsi="Times New Roman" w:eastAsia="仿宋"/>
          <w:b/>
          <w:bCs/>
          <w:color w:val="000000" w:themeColor="text1"/>
          <w:sz w:val="24"/>
          <w:szCs w:val="24"/>
          <w:highlight w:val="none"/>
          <w14:textFill>
            <w14:solidFill>
              <w14:schemeClr w14:val="tx1"/>
            </w14:solidFill>
          </w14:textFill>
        </w:rPr>
        <w:t>注:1、此表应按供应商须知的规定装订密封。</w:t>
      </w:r>
    </w:p>
    <w:p>
      <w:pPr>
        <w:pStyle w:val="2"/>
        <w:rPr>
          <w:rFonts w:ascii="Times New Roman" w:hAnsi="Times New Roman" w:eastAsia="仿宋"/>
          <w:color w:val="000000" w:themeColor="text1"/>
          <w:highlight w:val="none"/>
          <w14:textFill>
            <w14:solidFill>
              <w14:schemeClr w14:val="tx1"/>
            </w14:solidFill>
          </w14:textFill>
        </w:rPr>
      </w:pPr>
    </w:p>
    <w:p>
      <w:pPr>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br w:type="page"/>
      </w:r>
    </w:p>
    <w:p>
      <w:pPr>
        <w:jc w:val="center"/>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报价明细表</w:t>
      </w:r>
    </w:p>
    <w:p>
      <w:pPr>
        <w:jc w:val="center"/>
        <w:rPr>
          <w:rFonts w:ascii="Times New Roman" w:hAnsi="Times New Roman" w:eastAsia="仿宋"/>
          <w:color w:val="000000" w:themeColor="text1"/>
          <w:sz w:val="24"/>
          <w:highlight w:val="none"/>
          <w14:textFill>
            <w14:solidFill>
              <w14:schemeClr w14:val="tx1"/>
            </w14:solidFill>
          </w14:textFill>
        </w:rPr>
      </w:pPr>
    </w:p>
    <w:p>
      <w:pPr>
        <w:spacing w:line="4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项目名称：                                                     </w:t>
      </w:r>
    </w:p>
    <w:p>
      <w:pPr>
        <w:pStyle w:val="84"/>
        <w:spacing w:line="400" w:lineRule="exact"/>
        <w:rPr>
          <w:rFonts w:ascii="Times New Roman" w:hAnsi="Times New Roman" w:eastAsia="仿宋"/>
          <w:color w:val="000000" w:themeColor="text1"/>
          <w:highlight w:val="none"/>
          <w14:textFill>
            <w14:solidFill>
              <w14:schemeClr w14:val="tx1"/>
            </w14:solidFill>
          </w14:textFill>
        </w:rPr>
      </w:pPr>
      <w:r>
        <w:rPr>
          <w:rFonts w:ascii="Times New Roman" w:hAnsi="Times New Roman" w:eastAsia="仿宋"/>
          <w:color w:val="000000" w:themeColor="text1"/>
          <w:highlight w:val="none"/>
          <w14:textFill>
            <w14:solidFill>
              <w14:schemeClr w14:val="tx1"/>
            </w14:solidFill>
          </w14:textFill>
        </w:rPr>
        <w:t>项目编号：                                             单位：元</w:t>
      </w:r>
    </w:p>
    <w:tbl>
      <w:tblPr>
        <w:tblStyle w:val="24"/>
        <w:tblpPr w:leftFromText="180" w:rightFromText="180" w:vertAnchor="text" w:tblpY="1"/>
        <w:tblOverlap w:val="never"/>
        <w:tblW w:w="8866"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275"/>
        <w:gridCol w:w="1350"/>
        <w:gridCol w:w="1350"/>
        <w:gridCol w:w="915"/>
        <w:gridCol w:w="840"/>
        <w:gridCol w:w="1320"/>
        <w:gridCol w:w="11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59" w:hRule="atLeast"/>
        </w:trPr>
        <w:tc>
          <w:tcPr>
            <w:tcW w:w="706" w:type="dxa"/>
            <w:tcBorders>
              <w:top w:val="single" w:color="auto" w:sz="8" w:space="0"/>
              <w:left w:val="single" w:color="auto" w:sz="8"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序号</w:t>
            </w:r>
          </w:p>
        </w:tc>
        <w:tc>
          <w:tcPr>
            <w:tcW w:w="1275" w:type="dxa"/>
            <w:tcBorders>
              <w:top w:val="single" w:color="auto" w:sz="8"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货物名称</w:t>
            </w:r>
          </w:p>
        </w:tc>
        <w:tc>
          <w:tcPr>
            <w:tcW w:w="1350" w:type="dxa"/>
            <w:tcBorders>
              <w:top w:val="single" w:color="auto" w:sz="8" w:space="0"/>
              <w:left w:val="single" w:color="auto" w:sz="4"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品牌型号</w:t>
            </w:r>
          </w:p>
        </w:tc>
        <w:tc>
          <w:tcPr>
            <w:tcW w:w="1350" w:type="dxa"/>
            <w:tcBorders>
              <w:top w:val="single" w:color="auto" w:sz="8"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原厂商及原产地</w:t>
            </w:r>
          </w:p>
        </w:tc>
        <w:tc>
          <w:tcPr>
            <w:tcW w:w="915" w:type="dxa"/>
            <w:tcBorders>
              <w:top w:val="single" w:color="auto" w:sz="8"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数量</w:t>
            </w:r>
          </w:p>
        </w:tc>
        <w:tc>
          <w:tcPr>
            <w:tcW w:w="840" w:type="dxa"/>
            <w:tcBorders>
              <w:top w:val="single" w:color="auto" w:sz="8"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单价</w:t>
            </w:r>
          </w:p>
        </w:tc>
        <w:tc>
          <w:tcPr>
            <w:tcW w:w="1320" w:type="dxa"/>
            <w:tcBorders>
              <w:top w:val="single" w:color="auto" w:sz="8"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分项报价</w:t>
            </w:r>
          </w:p>
        </w:tc>
        <w:tc>
          <w:tcPr>
            <w:tcW w:w="1110" w:type="dxa"/>
            <w:tcBorders>
              <w:top w:val="single" w:color="auto" w:sz="8" w:space="0"/>
              <w:left w:val="single" w:color="auto" w:sz="4" w:space="0"/>
              <w:bottom w:val="single" w:color="auto" w:sz="6" w:space="0"/>
              <w:right w:val="single" w:color="auto" w:sz="8"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981" w:type="dxa"/>
            <w:gridSpan w:val="2"/>
            <w:tcBorders>
              <w:top w:val="single" w:color="auto" w:sz="6" w:space="0"/>
              <w:left w:val="single" w:color="auto" w:sz="8" w:space="0"/>
              <w:bottom w:val="single" w:color="auto" w:sz="6" w:space="0"/>
              <w:right w:val="single" w:color="auto" w:sz="4"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项目</w:t>
            </w:r>
            <w:r>
              <w:rPr>
                <w:rFonts w:ascii="Times New Roman" w:hAnsi="Times New Roman" w:eastAsia="仿宋"/>
                <w:color w:val="000000" w:themeColor="text1"/>
                <w:sz w:val="24"/>
                <w:highlight w:val="none"/>
                <w14:textFill>
                  <w14:solidFill>
                    <w14:schemeClr w14:val="tx1"/>
                  </w14:solidFill>
                </w14:textFill>
              </w:rPr>
              <w:t>总报价小写</w:t>
            </w:r>
          </w:p>
        </w:tc>
        <w:tc>
          <w:tcPr>
            <w:tcW w:w="6885" w:type="dxa"/>
            <w:gridSpan w:val="6"/>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981" w:type="dxa"/>
            <w:gridSpan w:val="2"/>
            <w:tcBorders>
              <w:top w:val="single" w:color="auto" w:sz="6" w:space="0"/>
              <w:left w:val="single" w:color="auto" w:sz="8" w:space="0"/>
              <w:bottom w:val="single" w:color="auto" w:sz="8" w:space="0"/>
              <w:right w:val="single" w:color="auto" w:sz="4"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项目</w:t>
            </w:r>
            <w:r>
              <w:rPr>
                <w:rFonts w:ascii="Times New Roman" w:hAnsi="Times New Roman" w:eastAsia="仿宋"/>
                <w:color w:val="000000" w:themeColor="text1"/>
                <w:sz w:val="24"/>
                <w:highlight w:val="none"/>
                <w14:textFill>
                  <w14:solidFill>
                    <w14:schemeClr w14:val="tx1"/>
                  </w14:solidFill>
                </w14:textFill>
              </w:rPr>
              <w:t>总报价大写</w:t>
            </w:r>
          </w:p>
        </w:tc>
        <w:tc>
          <w:tcPr>
            <w:tcW w:w="6885" w:type="dxa"/>
            <w:gridSpan w:val="6"/>
            <w:tcBorders>
              <w:top w:val="single" w:color="auto" w:sz="6" w:space="0"/>
              <w:left w:val="single" w:color="auto" w:sz="4" w:space="0"/>
              <w:bottom w:val="single" w:color="auto" w:sz="8" w:space="0"/>
              <w:right w:val="single" w:color="auto" w:sz="8" w:space="0"/>
            </w:tcBorders>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r>
    </w:tbl>
    <w:p>
      <w:pPr>
        <w:rPr>
          <w:rFonts w:ascii="Times New Roman" w:hAnsi="Times New Roman" w:eastAsia="仿宋"/>
          <w:b/>
          <w:color w:val="000000" w:themeColor="text1"/>
          <w:sz w:val="24"/>
          <w:highlight w:val="none"/>
          <w14:textFill>
            <w14:solidFill>
              <w14:schemeClr w14:val="tx1"/>
            </w14:solidFill>
          </w14:textFill>
        </w:rPr>
      </w:pPr>
    </w:p>
    <w:p>
      <w:pPr>
        <w:spacing w:line="400" w:lineRule="exact"/>
        <w:rPr>
          <w:rFonts w:ascii="Times New Roman" w:hAnsi="Times New Roman" w:eastAsia="仿宋"/>
          <w:b/>
          <w:color w:val="000000" w:themeColor="text1"/>
          <w:sz w:val="24"/>
          <w:highlight w:val="none"/>
          <w14:textFill>
            <w14:solidFill>
              <w14:schemeClr w14:val="tx1"/>
            </w14:solidFill>
          </w14:textFill>
        </w:rPr>
      </w:pPr>
    </w:p>
    <w:p>
      <w:pPr>
        <w:pStyle w:val="13"/>
        <w:tabs>
          <w:tab w:val="left" w:pos="5580"/>
        </w:tabs>
        <w:spacing w:line="400" w:lineRule="exact"/>
        <w:ind w:left="1080" w:leftChars="257" w:hanging="540"/>
        <w:jc w:val="left"/>
        <w:rPr>
          <w:rFonts w:ascii="Times New Roman" w:hAnsi="Times New Roman" w:eastAsia="仿宋"/>
          <w:b/>
          <w:color w:val="000000" w:themeColor="text1"/>
          <w:sz w:val="24"/>
          <w:szCs w:val="24"/>
          <w:highlight w:val="none"/>
          <w14:textFill>
            <w14:solidFill>
              <w14:schemeClr w14:val="tx1"/>
            </w14:solidFill>
          </w14:textFill>
        </w:rPr>
      </w:pPr>
      <w:r>
        <w:rPr>
          <w:rFonts w:ascii="Times New Roman" w:hAnsi="Times New Roman" w:eastAsia="仿宋"/>
          <w:b/>
          <w:color w:val="000000" w:themeColor="text1"/>
          <w:sz w:val="24"/>
          <w:szCs w:val="24"/>
          <w:highlight w:val="none"/>
          <w14:textFill>
            <w14:solidFill>
              <w14:schemeClr w14:val="tx1"/>
            </w14:solidFill>
          </w14:textFill>
        </w:rPr>
        <w:t>注：1.此表乃报价表的明细表。</w:t>
      </w:r>
    </w:p>
    <w:p>
      <w:pPr>
        <w:pStyle w:val="13"/>
        <w:tabs>
          <w:tab w:val="left" w:pos="5580"/>
        </w:tabs>
        <w:spacing w:line="400" w:lineRule="exact"/>
        <w:ind w:left="1235" w:leftChars="523" w:hanging="137" w:hangingChars="57"/>
        <w:jc w:val="left"/>
        <w:rPr>
          <w:rFonts w:ascii="Times New Roman" w:hAnsi="Times New Roman" w:eastAsia="仿宋"/>
          <w:b/>
          <w:color w:val="000000" w:themeColor="text1"/>
          <w:sz w:val="24"/>
          <w:szCs w:val="24"/>
          <w:highlight w:val="none"/>
          <w14:textFill>
            <w14:solidFill>
              <w14:schemeClr w14:val="tx1"/>
            </w14:solidFill>
          </w14:textFill>
        </w:rPr>
      </w:pPr>
      <w:r>
        <w:rPr>
          <w:rFonts w:ascii="Times New Roman" w:hAnsi="Times New Roman" w:eastAsia="仿宋"/>
          <w:b/>
          <w:color w:val="000000" w:themeColor="text1"/>
          <w:sz w:val="24"/>
          <w:szCs w:val="24"/>
          <w:highlight w:val="none"/>
          <w14:textFill>
            <w14:solidFill>
              <w14:schemeClr w14:val="tx1"/>
            </w14:solidFill>
          </w14:textFill>
        </w:rPr>
        <w:t>2.如果单价和总价不符时，以单价为准，修正总价。</w:t>
      </w:r>
    </w:p>
    <w:p>
      <w:pPr>
        <w:pStyle w:val="2"/>
        <w:rPr>
          <w:rFonts w:ascii="Times New Roman" w:hAnsi="Times New Roman" w:eastAsia="仿宋"/>
          <w:color w:val="000000" w:themeColor="text1"/>
          <w:highlight w:val="none"/>
          <w14:textFill>
            <w14:solidFill>
              <w14:schemeClr w14:val="tx1"/>
            </w14:solidFill>
          </w14:textFill>
        </w:rPr>
      </w:pPr>
    </w:p>
    <w:tbl>
      <w:tblPr>
        <w:tblStyle w:val="24"/>
        <w:tblW w:w="8528" w:type="dxa"/>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tcPr>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 xml:space="preserve">供应商名称（加盖公章）：                         </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5536" w:type="dxa"/>
          </w:tcPr>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 xml:space="preserve">法定代表人或受委托人（签名或盖私章）：     </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c>
          <w:tcPr>
            <w:tcW w:w="5536" w:type="dxa"/>
          </w:tcPr>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日期：   年   月   日</w:t>
            </w:r>
          </w:p>
        </w:tc>
        <w:tc>
          <w:tcPr>
            <w:tcW w:w="2992" w:type="dxa"/>
          </w:tcPr>
          <w:p>
            <w:pPr>
              <w:spacing w:line="400" w:lineRule="exact"/>
              <w:ind w:firstLine="480" w:firstLineChars="200"/>
              <w:jc w:val="left"/>
              <w:rPr>
                <w:rFonts w:ascii="Times New Roman" w:hAnsi="Times New Roman" w:eastAsia="仿宋"/>
                <w:color w:val="000000" w:themeColor="text1"/>
                <w:sz w:val="24"/>
                <w:szCs w:val="24"/>
                <w:highlight w:val="none"/>
                <w14:textFill>
                  <w14:solidFill>
                    <w14:schemeClr w14:val="tx1"/>
                  </w14:solidFill>
                </w14:textFill>
              </w:rPr>
            </w:pPr>
          </w:p>
        </w:tc>
      </w:tr>
    </w:tbl>
    <w:p>
      <w:pPr>
        <w:rPr>
          <w:rFonts w:ascii="Times New Roman" w:hAnsi="Times New Roman" w:eastAsia="仿宋"/>
          <w:color w:val="000000" w:themeColor="text1"/>
          <w:sz w:val="28"/>
          <w:szCs w:val="28"/>
          <w:highlight w:val="none"/>
          <w14:textFill>
            <w14:solidFill>
              <w14:schemeClr w14:val="tx1"/>
            </w14:solidFill>
          </w14:textFill>
        </w:rPr>
      </w:pPr>
      <w:r>
        <w:rPr>
          <w:rFonts w:ascii="Times New Roman" w:hAnsi="Times New Roman" w:eastAsia="仿宋"/>
          <w:color w:val="000000" w:themeColor="text1"/>
          <w:sz w:val="28"/>
          <w:szCs w:val="28"/>
          <w:highlight w:val="none"/>
          <w14:textFill>
            <w14:solidFill>
              <w14:schemeClr w14:val="tx1"/>
            </w14:solidFill>
          </w14:textFill>
        </w:rPr>
        <w:br w:type="page"/>
      </w:r>
    </w:p>
    <w:p>
      <w:pPr>
        <w:pStyle w:val="4"/>
        <w:tabs>
          <w:tab w:val="left" w:pos="5580"/>
        </w:tabs>
        <w:spacing w:line="415" w:lineRule="auto"/>
        <w:rPr>
          <w:rFonts w:ascii="Times New Roman" w:hAnsi="Times New Roman" w:eastAsia="仿宋"/>
          <w:b w:val="0"/>
          <w:color w:val="000000" w:themeColor="text1"/>
          <w:sz w:val="28"/>
          <w:szCs w:val="28"/>
          <w:highlight w:val="none"/>
          <w14:textFill>
            <w14:solidFill>
              <w14:schemeClr w14:val="tx1"/>
            </w14:solidFill>
          </w14:textFill>
        </w:rPr>
      </w:pPr>
      <w:bookmarkStart w:id="698" w:name="_Toc96"/>
      <w:bookmarkStart w:id="699" w:name="_Toc19908"/>
      <w:bookmarkStart w:id="700" w:name="_Toc16755"/>
      <w:bookmarkStart w:id="701" w:name="_Toc29956"/>
      <w:r>
        <w:rPr>
          <w:rFonts w:ascii="Times New Roman" w:hAnsi="Times New Roman" w:eastAsia="仿宋"/>
          <w:color w:val="000000" w:themeColor="text1"/>
          <w:sz w:val="28"/>
          <w:szCs w:val="28"/>
          <w:highlight w:val="none"/>
          <w14:textFill>
            <w14:solidFill>
              <w14:schemeClr w14:val="tx1"/>
            </w14:solidFill>
          </w14:textFill>
        </w:rPr>
        <w:t>第三部分   商务及技术文件</w:t>
      </w:r>
      <w:bookmarkEnd w:id="698"/>
      <w:bookmarkEnd w:id="699"/>
      <w:bookmarkEnd w:id="700"/>
      <w:bookmarkEnd w:id="701"/>
    </w:p>
    <w:p>
      <w:pPr>
        <w:spacing w:line="400" w:lineRule="exact"/>
        <w:rPr>
          <w:rFonts w:ascii="Times New Roman" w:hAnsi="Times New Roman" w:eastAsia="仿宋"/>
          <w:color w:val="000000" w:themeColor="text1"/>
          <w:sz w:val="28"/>
          <w:szCs w:val="28"/>
          <w:highlight w:val="none"/>
          <w14:textFill>
            <w14:solidFill>
              <w14:schemeClr w14:val="tx1"/>
            </w14:solidFill>
          </w14:textFill>
        </w:rPr>
      </w:pPr>
    </w:p>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1投标函</w:t>
      </w:r>
    </w:p>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2索引表</w:t>
      </w:r>
    </w:p>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2.1资格性审查索引表</w:t>
      </w:r>
    </w:p>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2.2符合性审查索引表</w:t>
      </w:r>
    </w:p>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2.3商务评分索引表</w:t>
      </w:r>
    </w:p>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2.4技术评分索引表</w:t>
      </w:r>
    </w:p>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2.5本项目政府优先采购的环保、节能产品索引表</w:t>
      </w:r>
    </w:p>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2.6本项目政府强制采购的节能产品索引表</w:t>
      </w:r>
    </w:p>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3资格性证明文件</w:t>
      </w:r>
    </w:p>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4商务技术证明文件</w:t>
      </w:r>
    </w:p>
    <w:p>
      <w:pPr>
        <w:spacing w:line="400" w:lineRule="exact"/>
        <w:jc w:val="left"/>
        <w:rPr>
          <w:rFonts w:ascii="Times New Roman" w:hAnsi="Times New Roman" w:eastAsia="仿宋"/>
          <w:color w:val="000000" w:themeColor="text1"/>
          <w:sz w:val="24"/>
          <w:szCs w:val="24"/>
          <w:highlight w:val="none"/>
          <w14:textFill>
            <w14:solidFill>
              <w14:schemeClr w14:val="tx1"/>
            </w14:solidFill>
          </w14:textFill>
        </w:rPr>
      </w:pPr>
      <w:r>
        <w:rPr>
          <w:rFonts w:ascii="Times New Roman" w:hAnsi="Times New Roman" w:eastAsia="仿宋"/>
          <w:color w:val="000000" w:themeColor="text1"/>
          <w:sz w:val="24"/>
          <w:szCs w:val="24"/>
          <w:highlight w:val="none"/>
          <w14:textFill>
            <w14:solidFill>
              <w14:schemeClr w14:val="tx1"/>
            </w14:solidFill>
          </w14:textFill>
        </w:rPr>
        <w:t>5其他文件</w:t>
      </w:r>
    </w:p>
    <w:p>
      <w:pPr>
        <w:pStyle w:val="7"/>
        <w:spacing w:line="240" w:lineRule="atLeast"/>
        <w:ind w:firstLine="0"/>
        <w:jc w:val="center"/>
        <w:rPr>
          <w:rFonts w:ascii="Times New Roman" w:hAnsi="Times New Roman" w:eastAsia="仿宋"/>
          <w:color w:val="000000" w:themeColor="text1"/>
          <w:szCs w:val="24"/>
          <w:highlight w:val="none"/>
          <w14:textFill>
            <w14:solidFill>
              <w14:schemeClr w14:val="tx1"/>
            </w14:solidFill>
          </w14:textFill>
        </w:rPr>
      </w:pPr>
    </w:p>
    <w:p>
      <w:pPr>
        <w:rPr>
          <w:rFonts w:ascii="Times New Roman" w:hAnsi="Times New Roman" w:eastAsia="仿宋"/>
          <w:color w:val="000000" w:themeColor="text1"/>
          <w:sz w:val="28"/>
          <w:szCs w:val="28"/>
          <w:highlight w:val="none"/>
          <w14:textFill>
            <w14:solidFill>
              <w14:schemeClr w14:val="tx1"/>
            </w14:solidFill>
          </w14:textFill>
        </w:rPr>
      </w:pPr>
    </w:p>
    <w:p>
      <w:pPr>
        <w:spacing w:line="360" w:lineRule="auto"/>
        <w:rPr>
          <w:rFonts w:ascii="Times New Roman" w:hAnsi="Times New Roman" w:eastAsia="仿宋"/>
          <w:b/>
          <w:color w:val="000000" w:themeColor="text1"/>
          <w:szCs w:val="21"/>
          <w:highlight w:val="none"/>
          <w14:textFill>
            <w14:solidFill>
              <w14:schemeClr w14:val="tx1"/>
            </w14:solidFill>
          </w14:textFill>
        </w:rPr>
      </w:pPr>
    </w:p>
    <w:p>
      <w:pPr>
        <w:rPr>
          <w:rFonts w:ascii="Times New Roman" w:hAnsi="Times New Roman" w:eastAsia="仿宋"/>
          <w:color w:val="000000" w:themeColor="text1"/>
          <w:sz w:val="28"/>
          <w:szCs w:val="28"/>
          <w:highlight w:val="none"/>
          <w14:textFill>
            <w14:solidFill>
              <w14:schemeClr w14:val="tx1"/>
            </w14:solidFill>
          </w14:textFill>
        </w:rPr>
      </w:pPr>
    </w:p>
    <w:p>
      <w:pPr>
        <w:rPr>
          <w:rFonts w:ascii="Times New Roman" w:hAnsi="Times New Roman" w:eastAsia="仿宋"/>
          <w:color w:val="000000" w:themeColor="text1"/>
          <w:sz w:val="28"/>
          <w:szCs w:val="28"/>
          <w:highlight w:val="none"/>
          <w14:textFill>
            <w14:solidFill>
              <w14:schemeClr w14:val="tx1"/>
            </w14:solidFill>
          </w14:textFill>
        </w:rPr>
      </w:pPr>
    </w:p>
    <w:p>
      <w:pPr>
        <w:rPr>
          <w:rFonts w:ascii="Times New Roman" w:hAnsi="Times New Roman" w:eastAsia="仿宋"/>
          <w:color w:val="000000" w:themeColor="text1"/>
          <w:sz w:val="28"/>
          <w:szCs w:val="28"/>
          <w:highlight w:val="none"/>
          <w14:textFill>
            <w14:solidFill>
              <w14:schemeClr w14:val="tx1"/>
            </w14:solidFill>
          </w14:textFill>
        </w:rPr>
      </w:pPr>
    </w:p>
    <w:p>
      <w:pPr>
        <w:rPr>
          <w:rFonts w:ascii="Times New Roman" w:hAnsi="Times New Roman" w:eastAsia="仿宋"/>
          <w:color w:val="000000" w:themeColor="text1"/>
          <w:sz w:val="28"/>
          <w:szCs w:val="28"/>
          <w:highlight w:val="none"/>
          <w14:textFill>
            <w14:solidFill>
              <w14:schemeClr w14:val="tx1"/>
            </w14:solidFill>
          </w14:textFill>
        </w:rPr>
      </w:pPr>
    </w:p>
    <w:p>
      <w:pPr>
        <w:rPr>
          <w:rFonts w:ascii="Times New Roman" w:hAnsi="Times New Roman" w:eastAsia="仿宋"/>
          <w:color w:val="000000" w:themeColor="text1"/>
          <w:sz w:val="28"/>
          <w:szCs w:val="28"/>
          <w:highlight w:val="none"/>
          <w14:textFill>
            <w14:solidFill>
              <w14:schemeClr w14:val="tx1"/>
            </w14:solidFill>
          </w14:textFill>
        </w:rPr>
      </w:pPr>
    </w:p>
    <w:p>
      <w:pPr>
        <w:rPr>
          <w:rFonts w:ascii="Times New Roman" w:hAnsi="Times New Roman" w:eastAsia="仿宋"/>
          <w:color w:val="000000" w:themeColor="text1"/>
          <w:sz w:val="28"/>
          <w:szCs w:val="28"/>
          <w:highlight w:val="none"/>
          <w14:textFill>
            <w14:solidFill>
              <w14:schemeClr w14:val="tx1"/>
            </w14:solidFill>
          </w14:textFill>
        </w:rPr>
      </w:pPr>
    </w:p>
    <w:p>
      <w:pPr>
        <w:rPr>
          <w:rFonts w:ascii="Times New Roman" w:hAnsi="Times New Roman" w:eastAsia="仿宋"/>
          <w:color w:val="000000" w:themeColor="text1"/>
          <w:sz w:val="28"/>
          <w:szCs w:val="28"/>
          <w:highlight w:val="none"/>
          <w14:textFill>
            <w14:solidFill>
              <w14:schemeClr w14:val="tx1"/>
            </w14:solidFill>
          </w14:textFill>
        </w:rPr>
      </w:pPr>
    </w:p>
    <w:p>
      <w:pPr>
        <w:pStyle w:val="2"/>
        <w:rPr>
          <w:rFonts w:ascii="Times New Roman" w:hAnsi="Times New Roman" w:eastAsia="仿宋"/>
          <w:color w:val="000000" w:themeColor="text1"/>
          <w:sz w:val="28"/>
          <w:szCs w:val="28"/>
          <w:highlight w:val="none"/>
          <w14:textFill>
            <w14:solidFill>
              <w14:schemeClr w14:val="tx1"/>
            </w14:solidFill>
          </w14:textFill>
        </w:rPr>
      </w:pPr>
    </w:p>
    <w:p>
      <w:pPr>
        <w:pStyle w:val="2"/>
        <w:rPr>
          <w:rFonts w:ascii="Times New Roman" w:hAnsi="Times New Roman" w:eastAsia="仿宋"/>
          <w:color w:val="000000" w:themeColor="text1"/>
          <w:sz w:val="28"/>
          <w:szCs w:val="28"/>
          <w:highlight w:val="none"/>
          <w14:textFill>
            <w14:solidFill>
              <w14:schemeClr w14:val="tx1"/>
            </w14:solidFill>
          </w14:textFill>
        </w:rPr>
      </w:pPr>
    </w:p>
    <w:p>
      <w:pPr>
        <w:pStyle w:val="4"/>
        <w:keepNext w:val="0"/>
        <w:keepLines w:val="0"/>
        <w:spacing w:line="415" w:lineRule="auto"/>
        <w:jc w:val="left"/>
        <w:rPr>
          <w:rStyle w:val="27"/>
          <w:rFonts w:ascii="Times New Roman" w:hAnsi="Times New Roman" w:eastAsia="仿宋" w:cs="Times New Roman"/>
          <w:b/>
          <w:color w:val="000000" w:themeColor="text1"/>
          <w:spacing w:val="12"/>
          <w:sz w:val="21"/>
          <w:szCs w:val="21"/>
          <w:highlight w:val="none"/>
          <w14:textFill>
            <w14:solidFill>
              <w14:schemeClr w14:val="tx1"/>
            </w14:solidFill>
          </w14:textFill>
        </w:rPr>
      </w:pPr>
      <w:bookmarkStart w:id="702" w:name="_Toc7548"/>
      <w:bookmarkStart w:id="703" w:name="_Toc22291"/>
      <w:bookmarkStart w:id="704" w:name="_Toc17227"/>
      <w:bookmarkStart w:id="705" w:name="_Toc25345"/>
      <w:r>
        <w:rPr>
          <w:rStyle w:val="27"/>
          <w:rFonts w:ascii="Times New Roman" w:hAnsi="Times New Roman" w:eastAsia="仿宋" w:cs="Times New Roman"/>
          <w:b/>
          <w:color w:val="000000" w:themeColor="text1"/>
          <w:spacing w:val="12"/>
          <w:sz w:val="21"/>
          <w:szCs w:val="21"/>
          <w:highlight w:val="none"/>
          <w14:textFill>
            <w14:solidFill>
              <w14:schemeClr w14:val="tx1"/>
            </w14:solidFill>
          </w14:textFill>
        </w:rPr>
        <w:t>1  投标函</w:t>
      </w:r>
      <w:bookmarkEnd w:id="702"/>
      <w:bookmarkEnd w:id="703"/>
      <w:bookmarkEnd w:id="704"/>
      <w:bookmarkEnd w:id="705"/>
    </w:p>
    <w:p>
      <w:pPr>
        <w:spacing w:before="156" w:after="156" w:line="400" w:lineRule="exact"/>
        <w:jc w:val="center"/>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投标函</w:t>
      </w:r>
    </w:p>
    <w:p>
      <w:pPr>
        <w:spacing w:before="156" w:after="156" w:line="4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致：东莞市万江招投标服务所</w:t>
      </w:r>
    </w:p>
    <w:p>
      <w:pPr>
        <w:spacing w:line="400" w:lineRule="exact"/>
        <w:ind w:firstLine="480" w:firstLineChars="200"/>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本公司确认收到贵所提供的</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采购项目 （采购编号：</w:t>
      </w:r>
      <w:r>
        <w:rPr>
          <w:rFonts w:ascii="Times New Roman" w:hAnsi="Times New Roman" w:eastAsia="仿宋"/>
          <w:color w:val="000000" w:themeColor="text1"/>
          <w:sz w:val="24"/>
          <w:highlight w:val="none"/>
          <w:u w:val="single"/>
          <w14:textFill>
            <w14:solidFill>
              <w14:schemeClr w14:val="tx1"/>
            </w14:solidFill>
          </w14:textFill>
        </w:rPr>
        <w:t>　　</w:t>
      </w:r>
      <w:r>
        <w:rPr>
          <w:rFonts w:ascii="Times New Roman" w:hAnsi="Times New Roman" w:eastAsia="仿宋"/>
          <w:color w:val="000000" w:themeColor="text1"/>
          <w:sz w:val="24"/>
          <w:highlight w:val="none"/>
          <w14:textFill>
            <w14:solidFill>
              <w14:schemeClr w14:val="tx1"/>
            </w14:solidFill>
          </w14:textFill>
        </w:rPr>
        <w:t>） 招标的相关服务的招标文件的全部内容。本公司：</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（供应商名称）作为供应商正式委托</w:t>
      </w:r>
      <w:r>
        <w:rPr>
          <w:rFonts w:ascii="Times New Roman" w:hAnsi="Times New Roman" w:eastAsia="仿宋"/>
          <w:color w:val="000000" w:themeColor="text1"/>
          <w:sz w:val="24"/>
          <w:highlight w:val="none"/>
          <w:u w:val="single"/>
          <w14:textFill>
            <w14:solidFill>
              <w14:schemeClr w14:val="tx1"/>
            </w14:solidFill>
          </w14:textFill>
        </w:rPr>
        <w:t>　　　　</w:t>
      </w:r>
      <w:r>
        <w:rPr>
          <w:rFonts w:ascii="Times New Roman" w:hAnsi="Times New Roman" w:eastAsia="仿宋"/>
          <w:color w:val="000000" w:themeColor="text1"/>
          <w:sz w:val="24"/>
          <w:highlight w:val="none"/>
          <w14:textFill>
            <w14:solidFill>
              <w14:schemeClr w14:val="tx1"/>
            </w14:solidFill>
          </w14:textFill>
        </w:rPr>
        <w:t>（授权代表全名，职务）代表本公司进行有关本项目投标的一切事宜。</w:t>
      </w:r>
    </w:p>
    <w:p>
      <w:pPr>
        <w:spacing w:line="400" w:lineRule="exact"/>
        <w:ind w:firstLine="480" w:firstLineChars="200"/>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本公司在参与投标前已详细研究了招标文件的所有内容，包括澄清、修改文件（如果有）和所有已提供的参考资料以及有关附件，本公司完全明白并认为此招标文件没有倾向性，也不存在排斥潜在供应商的内容，本公司同意招标文件的相关条款，放弃对招标文件提出误解和质疑的一切权力。</w:t>
      </w:r>
    </w:p>
    <w:p>
      <w:pPr>
        <w:spacing w:line="4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在此提交的投标文件，正本</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套、副本</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套和唱标信封</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份。</w:t>
      </w:r>
    </w:p>
    <w:p>
      <w:pPr>
        <w:spacing w:line="400" w:lineRule="exact"/>
        <w:ind w:firstLine="480" w:firstLineChars="200"/>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本公司已完全明白招标文件的所有条款要求，并申明如下：</w:t>
      </w:r>
    </w:p>
    <w:p>
      <w:pPr>
        <w:spacing w:line="4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1、按招标文件提供的全部相关货物或服务的投标总报价详见《开标一览表》。</w:t>
      </w:r>
    </w:p>
    <w:p>
      <w:pPr>
        <w:spacing w:line="4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2、本投标文件的有效期为投标截止时间起</w:t>
      </w:r>
      <w:r>
        <w:rPr>
          <w:rFonts w:ascii="Times New Roman" w:hAnsi="Times New Roman" w:eastAsia="仿宋"/>
          <w:color w:val="000000" w:themeColor="text1"/>
          <w:sz w:val="24"/>
          <w:highlight w:val="none"/>
          <w:u w:val="single"/>
          <w14:textFill>
            <w14:solidFill>
              <w14:schemeClr w14:val="tx1"/>
            </w14:solidFill>
          </w14:textFill>
        </w:rPr>
        <w:t>90天</w:t>
      </w:r>
      <w:r>
        <w:rPr>
          <w:rFonts w:ascii="Times New Roman" w:hAnsi="Times New Roman" w:eastAsia="仿宋"/>
          <w:color w:val="000000" w:themeColor="text1"/>
          <w:sz w:val="24"/>
          <w:highlight w:val="none"/>
          <w14:textFill>
            <w14:solidFill>
              <w14:schemeClr w14:val="tx1"/>
            </w14:solidFill>
          </w14:textFill>
        </w:rPr>
        <w:t>。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pPr>
        <w:spacing w:line="4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3、本公司明白并同意，在规定的开标日之后，投标有效期之内不能撤回投标或中标后按规定与采购人签订合同。</w:t>
      </w:r>
    </w:p>
    <w:p>
      <w:pPr>
        <w:spacing w:line="4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4、本公司同意按照贵所可能提出的要求而提供与投标有关的任何其它数据、信息或资料。</w:t>
      </w:r>
    </w:p>
    <w:p>
      <w:pPr>
        <w:spacing w:line="4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5、本公司理解贵所不一定接受最低投标价或贵所可能收到的投标。</w:t>
      </w:r>
    </w:p>
    <w:p>
      <w:pPr>
        <w:spacing w:line="4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6、本公司如果中标，将保证履行招标文件及其澄清、修改文件（如果有）中的全部责任和义务，按质、按量、按期完成《用户需求书》及《合同书》中的全部任务。</w:t>
      </w:r>
    </w:p>
    <w:p>
      <w:pPr>
        <w:spacing w:line="4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7、本公司作为</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（制造商/代理商/供应商是在法律、财务和运作上独立于采购人、贵所的供应商，在此保证所提交的所有文件和全部说明是真实的和正确的，可提供原件备查。</w:t>
      </w:r>
    </w:p>
    <w:p>
      <w:pPr>
        <w:spacing w:line="4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8、本公司投标报价已包含应向知识产权所有权人支付的所有相关税费，并保证采购人在中国使用本公司提供的货物或服务时，如有第三方提出侵犯其知识产权主张的，责任由本公司承担。 </w:t>
      </w:r>
    </w:p>
    <w:p>
      <w:pPr>
        <w:spacing w:line="4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9、本公司具备《中华人民共和国政府采购法》第二十二条规定的条件。</w:t>
      </w:r>
    </w:p>
    <w:p>
      <w:pPr>
        <w:spacing w:line="4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10、本公司与其他供应商的单位负责人不为同一人或者存在直接控股、管理关系。</w:t>
      </w:r>
    </w:p>
    <w:p>
      <w:pPr>
        <w:spacing w:line="4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11、本公司对在本函及投标文件中所作的所有承诺承担法律责任。</w:t>
      </w:r>
    </w:p>
    <w:p>
      <w:pPr>
        <w:spacing w:line="4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pacing w:val="10"/>
          <w:sz w:val="24"/>
          <w:highlight w:val="none"/>
          <w14:textFill>
            <w14:solidFill>
              <w14:schemeClr w14:val="tx1"/>
            </w14:solidFill>
          </w14:textFill>
        </w:rPr>
        <w:t>12、所有与本次采购有关的函件请发往下列地址：</w:t>
      </w:r>
    </w:p>
    <w:p>
      <w:pPr>
        <w:pStyle w:val="2"/>
        <w:rPr>
          <w:rFonts w:ascii="Times New Roman" w:hAnsi="Times New Roman" w:eastAsia="仿宋"/>
          <w:color w:val="000000" w:themeColor="text1"/>
          <w:highlight w:val="none"/>
          <w14:textFill>
            <w14:solidFill>
              <w14:schemeClr w14:val="tx1"/>
            </w14:solidFill>
          </w14:textFill>
        </w:rPr>
      </w:pPr>
    </w:p>
    <w:p>
      <w:pPr>
        <w:pStyle w:val="22"/>
        <w:ind w:firstLine="210"/>
        <w:rPr>
          <w:rFonts w:ascii="Times New Roman" w:hAnsi="Times New Roman"/>
          <w:color w:val="000000" w:themeColor="text1"/>
          <w:highlight w:val="none"/>
          <w14:textFill>
            <w14:solidFill>
              <w14:schemeClr w14:val="tx1"/>
            </w14:solidFill>
          </w14:textFill>
        </w:rPr>
      </w:pPr>
    </w:p>
    <w:tbl>
      <w:tblPr>
        <w:tblStyle w:val="24"/>
        <w:tblpPr w:leftFromText="180" w:rightFromText="180" w:vertAnchor="text" w:tblpXSpec="center" w:tblpY="1"/>
        <w:tblOverlap w:val="never"/>
        <w:tblW w:w="8528" w:type="dxa"/>
        <w:tblInd w:w="0" w:type="dxa"/>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c>
          <w:tcPr>
            <w:tcW w:w="4264" w:type="dxa"/>
          </w:tcPr>
          <w:p>
            <w:pPr>
              <w:spacing w:line="400" w:lineRule="exact"/>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投标人地址：</w:t>
            </w:r>
          </w:p>
        </w:tc>
        <w:tc>
          <w:tcPr>
            <w:tcW w:w="4264" w:type="dxa"/>
          </w:tcPr>
          <w:p>
            <w:pPr>
              <w:spacing w:line="400" w:lineRule="exact"/>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邮编：</w:t>
            </w:r>
          </w:p>
        </w:tc>
      </w:tr>
      <w:tr>
        <w:tblPrEx>
          <w:tblCellMar>
            <w:top w:w="0" w:type="dxa"/>
            <w:left w:w="108" w:type="dxa"/>
            <w:bottom w:w="0" w:type="dxa"/>
            <w:right w:w="108" w:type="dxa"/>
          </w:tblCellMar>
        </w:tblPrEx>
        <w:tc>
          <w:tcPr>
            <w:tcW w:w="4264" w:type="dxa"/>
          </w:tcPr>
          <w:p>
            <w:pPr>
              <w:spacing w:line="400" w:lineRule="exact"/>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联系电话：</w:t>
            </w:r>
          </w:p>
        </w:tc>
        <w:tc>
          <w:tcPr>
            <w:tcW w:w="4264" w:type="dxa"/>
          </w:tcPr>
          <w:p>
            <w:pPr>
              <w:spacing w:line="400" w:lineRule="exact"/>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传真：</w:t>
            </w:r>
          </w:p>
        </w:tc>
      </w:tr>
      <w:tr>
        <w:tblPrEx>
          <w:tblCellMar>
            <w:top w:w="0" w:type="dxa"/>
            <w:left w:w="108" w:type="dxa"/>
            <w:bottom w:w="0" w:type="dxa"/>
            <w:right w:w="108" w:type="dxa"/>
          </w:tblCellMar>
        </w:tblPrEx>
        <w:tc>
          <w:tcPr>
            <w:tcW w:w="4264" w:type="dxa"/>
          </w:tcPr>
          <w:p>
            <w:pPr>
              <w:spacing w:line="400" w:lineRule="exact"/>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项目联系人：</w:t>
            </w:r>
          </w:p>
        </w:tc>
        <w:tc>
          <w:tcPr>
            <w:tcW w:w="4264" w:type="dxa"/>
          </w:tcPr>
          <w:p>
            <w:pPr>
              <w:spacing w:line="400" w:lineRule="exact"/>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手机：</w:t>
            </w:r>
          </w:p>
        </w:tc>
      </w:tr>
      <w:tr>
        <w:tblPrEx>
          <w:tblCellMar>
            <w:top w:w="0" w:type="dxa"/>
            <w:left w:w="108" w:type="dxa"/>
            <w:bottom w:w="0" w:type="dxa"/>
            <w:right w:w="108" w:type="dxa"/>
          </w:tblCellMar>
        </w:tblPrEx>
        <w:tc>
          <w:tcPr>
            <w:tcW w:w="8528" w:type="dxa"/>
            <w:gridSpan w:val="2"/>
          </w:tcPr>
          <w:p>
            <w:pPr>
              <w:spacing w:line="400" w:lineRule="exact"/>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供应商名称（加盖公章）：</w:t>
            </w:r>
          </w:p>
        </w:tc>
      </w:tr>
      <w:tr>
        <w:tblPrEx>
          <w:tblCellMar>
            <w:top w:w="0" w:type="dxa"/>
            <w:left w:w="108" w:type="dxa"/>
            <w:bottom w:w="0" w:type="dxa"/>
            <w:right w:w="108" w:type="dxa"/>
          </w:tblCellMar>
        </w:tblPrEx>
        <w:tc>
          <w:tcPr>
            <w:tcW w:w="8528" w:type="dxa"/>
            <w:gridSpan w:val="2"/>
          </w:tcPr>
          <w:p>
            <w:pPr>
              <w:spacing w:line="400" w:lineRule="exact"/>
              <w:jc w:val="left"/>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法定代表人或受委托人（签名或盖私章）：</w:t>
            </w:r>
          </w:p>
        </w:tc>
      </w:tr>
      <w:tr>
        <w:tblPrEx>
          <w:tblCellMar>
            <w:top w:w="0" w:type="dxa"/>
            <w:left w:w="108" w:type="dxa"/>
            <w:bottom w:w="0" w:type="dxa"/>
            <w:right w:w="108" w:type="dxa"/>
          </w:tblCellMar>
        </w:tblPrEx>
        <w:tc>
          <w:tcPr>
            <w:tcW w:w="8528" w:type="dxa"/>
            <w:gridSpan w:val="2"/>
          </w:tcPr>
          <w:p>
            <w:pPr>
              <w:spacing w:line="400" w:lineRule="exact"/>
              <w:jc w:val="left"/>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日期：年月日</w:t>
            </w:r>
          </w:p>
        </w:tc>
      </w:tr>
    </w:tbl>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u w:val="single"/>
          <w14:textFill>
            <w14:solidFill>
              <w14:schemeClr w14:val="tx1"/>
            </w14:solidFill>
          </w14:textFill>
        </w:rPr>
      </w:pPr>
      <w:r>
        <w:rPr>
          <w:rFonts w:ascii="Times New Roman" w:hAnsi="Times New Roman" w:eastAsia="仿宋"/>
          <w:b/>
          <w:color w:val="000000" w:themeColor="text1"/>
          <w:sz w:val="24"/>
          <w:highlight w:val="none"/>
          <w:u w:val="single"/>
          <w14:textFill>
            <w14:solidFill>
              <w14:schemeClr w14:val="tx1"/>
            </w14:solidFill>
          </w14:textFill>
        </w:rPr>
        <w:t>注：供应商不得修改本投标函的任何内容，否则后果自负。</w:t>
      </w:r>
    </w:p>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2索引表</w:t>
      </w:r>
    </w:p>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温馨提示：供应商封装投标文件前，请根据此索引表再检查一遍，以确保投标文件完整无误！</w:t>
      </w: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br w:type="page"/>
      </w:r>
      <w:r>
        <w:rPr>
          <w:rFonts w:ascii="Times New Roman" w:hAnsi="Times New Roman" w:eastAsia="仿宋"/>
          <w:b/>
          <w:color w:val="000000" w:themeColor="text1"/>
          <w:sz w:val="24"/>
          <w:highlight w:val="none"/>
          <w14:textFill>
            <w14:solidFill>
              <w14:schemeClr w14:val="tx1"/>
            </w14:solidFill>
          </w14:textFill>
        </w:rPr>
        <w:t>2.1资格性审查索引表</w:t>
      </w:r>
    </w:p>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资格性审查索引表</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4"/>
        <w:gridCol w:w="514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573" w:type="pct"/>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序号</w:t>
            </w:r>
          </w:p>
        </w:tc>
        <w:tc>
          <w:tcPr>
            <w:tcW w:w="2905" w:type="pct"/>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招标文件要求</w:t>
            </w:r>
          </w:p>
        </w:tc>
        <w:tc>
          <w:tcPr>
            <w:tcW w:w="1521" w:type="pct"/>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573"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1</w:t>
            </w:r>
          </w:p>
        </w:tc>
        <w:tc>
          <w:tcPr>
            <w:tcW w:w="2905" w:type="pct"/>
            <w:vAlign w:val="center"/>
          </w:tcPr>
          <w:p>
            <w:pP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具有独立承担民事责任的能力；</w:t>
            </w:r>
          </w:p>
        </w:tc>
        <w:tc>
          <w:tcPr>
            <w:tcW w:w="1521"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573"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2</w:t>
            </w:r>
          </w:p>
        </w:tc>
        <w:tc>
          <w:tcPr>
            <w:tcW w:w="2905" w:type="pct"/>
            <w:vAlign w:val="center"/>
          </w:tcPr>
          <w:p>
            <w:pP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具有良好的商业信誉和健全的财务会计制度；</w:t>
            </w:r>
          </w:p>
        </w:tc>
        <w:tc>
          <w:tcPr>
            <w:tcW w:w="1521"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573"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3</w:t>
            </w:r>
          </w:p>
        </w:tc>
        <w:tc>
          <w:tcPr>
            <w:tcW w:w="2905" w:type="pct"/>
            <w:vAlign w:val="center"/>
          </w:tcPr>
          <w:p>
            <w:pP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具有履行合同所必需的设备和专业技术能力；</w:t>
            </w:r>
          </w:p>
        </w:tc>
        <w:tc>
          <w:tcPr>
            <w:tcW w:w="1521"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573"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4</w:t>
            </w:r>
          </w:p>
        </w:tc>
        <w:tc>
          <w:tcPr>
            <w:tcW w:w="2905" w:type="pct"/>
            <w:vAlign w:val="center"/>
          </w:tcPr>
          <w:p>
            <w:pP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有依法缴纳税收的良好记录；</w:t>
            </w:r>
          </w:p>
        </w:tc>
        <w:tc>
          <w:tcPr>
            <w:tcW w:w="1521"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573"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5</w:t>
            </w:r>
          </w:p>
        </w:tc>
        <w:tc>
          <w:tcPr>
            <w:tcW w:w="2905" w:type="pct"/>
            <w:vAlign w:val="center"/>
          </w:tcPr>
          <w:p>
            <w:pP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有依法缴纳社会保障资金的良好记录；</w:t>
            </w:r>
          </w:p>
        </w:tc>
        <w:tc>
          <w:tcPr>
            <w:tcW w:w="1521"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573"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6</w:t>
            </w:r>
          </w:p>
        </w:tc>
        <w:tc>
          <w:tcPr>
            <w:tcW w:w="2905" w:type="pct"/>
            <w:vAlign w:val="center"/>
          </w:tcPr>
          <w:p>
            <w:pP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 xml:space="preserve">参加政府采购活动前三年内，在经营活动中没有重大违法记录； </w:t>
            </w:r>
          </w:p>
        </w:tc>
        <w:tc>
          <w:tcPr>
            <w:tcW w:w="1521"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573"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7</w:t>
            </w:r>
          </w:p>
        </w:tc>
        <w:tc>
          <w:tcPr>
            <w:tcW w:w="2905" w:type="pct"/>
            <w:vAlign w:val="center"/>
          </w:tcPr>
          <w:p>
            <w:pP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不同供应商的单位负责人不为同一人或者存在直接控股、管理关系</w:t>
            </w:r>
          </w:p>
        </w:tc>
        <w:tc>
          <w:tcPr>
            <w:tcW w:w="1521"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见投标函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6" w:hRule="atLeast"/>
        </w:trPr>
        <w:tc>
          <w:tcPr>
            <w:tcW w:w="573"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8</w:t>
            </w:r>
          </w:p>
        </w:tc>
        <w:tc>
          <w:tcPr>
            <w:tcW w:w="2905" w:type="pct"/>
            <w:vAlign w:val="center"/>
          </w:tcPr>
          <w:p>
            <w:pP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采购人或招投标所通过“信用中国”网站及中国政府采购网查询，供应商没有被人民法院列入失信被执行人、重大税收违法案件当事人名单、政府采购严重违法失信行为记录名单及其他不符合《中华人民共和国政府采购法》第二十二条规定条件的供应商；供应商具有分支机构的，其所属分支机构有上述记录或不符合规定条件的，按无效投标处理；</w:t>
            </w:r>
          </w:p>
        </w:tc>
        <w:tc>
          <w:tcPr>
            <w:tcW w:w="1521"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573" w:type="pct"/>
            <w:vAlign w:val="center"/>
          </w:tcPr>
          <w:p>
            <w:pPr>
              <w:jc w:val="cente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9</w:t>
            </w:r>
          </w:p>
        </w:tc>
        <w:tc>
          <w:tcPr>
            <w:tcW w:w="2905" w:type="pct"/>
            <w:vAlign w:val="center"/>
          </w:tcPr>
          <w:p>
            <w:pPr>
              <w:rPr>
                <w:rFonts w:ascii="Times New Roman" w:hAnsi="Times New Roman" w:eastAsia="仿宋"/>
                <w:color w:val="000000" w:themeColor="text1"/>
                <w:szCs w:val="21"/>
                <w:highlight w:val="none"/>
                <w14:textFill>
                  <w14:solidFill>
                    <w14:schemeClr w14:val="tx1"/>
                  </w14:solidFill>
                </w14:textFill>
              </w:rPr>
            </w:pPr>
            <w:r>
              <w:rPr>
                <w:rFonts w:ascii="Times New Roman" w:hAnsi="Times New Roman" w:eastAsia="仿宋"/>
                <w:color w:val="000000" w:themeColor="text1"/>
                <w:szCs w:val="21"/>
                <w:highlight w:val="none"/>
                <w14:textFill>
                  <w14:solidFill>
                    <w14:schemeClr w14:val="tx1"/>
                  </w14:solidFill>
                </w14:textFill>
              </w:rPr>
              <w:t>招标文件要求的其他资格条件</w:t>
            </w:r>
          </w:p>
        </w:tc>
        <w:tc>
          <w:tcPr>
            <w:tcW w:w="1521" w:type="pct"/>
            <w:vAlign w:val="center"/>
          </w:tcPr>
          <w:p>
            <w:pPr>
              <w:rPr>
                <w:rFonts w:ascii="Times New Roman" w:hAnsi="Times New Roman"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573" w:type="pct"/>
            <w:vAlign w:val="center"/>
          </w:tcPr>
          <w:p>
            <w:pPr>
              <w:rPr>
                <w:rFonts w:ascii="Times New Roman" w:hAnsi="Times New Roman" w:eastAsia="仿宋"/>
                <w:color w:val="000000" w:themeColor="text1"/>
                <w:sz w:val="18"/>
                <w:szCs w:val="18"/>
                <w:highlight w:val="none"/>
                <w14:textFill>
                  <w14:solidFill>
                    <w14:schemeClr w14:val="tx1"/>
                  </w14:solidFill>
                </w14:textFill>
              </w:rPr>
            </w:pPr>
          </w:p>
        </w:tc>
        <w:tc>
          <w:tcPr>
            <w:tcW w:w="2905" w:type="pct"/>
            <w:vAlign w:val="center"/>
          </w:tcPr>
          <w:p>
            <w:pPr>
              <w:jc w:val="center"/>
              <w:rPr>
                <w:rFonts w:ascii="Times New Roman" w:hAnsi="Times New Roman" w:eastAsia="仿宋"/>
                <w:color w:val="000000" w:themeColor="text1"/>
                <w:sz w:val="18"/>
                <w:szCs w:val="18"/>
                <w:highlight w:val="none"/>
                <w14:textFill>
                  <w14:solidFill>
                    <w14:schemeClr w14:val="tx1"/>
                  </w14:solidFill>
                </w14:textFill>
              </w:rPr>
            </w:pPr>
            <w:r>
              <w:rPr>
                <w:rFonts w:ascii="Times New Roman" w:hAnsi="Times New Roman" w:eastAsia="仿宋"/>
                <w:color w:val="000000" w:themeColor="text1"/>
                <w:sz w:val="18"/>
                <w:szCs w:val="18"/>
                <w:highlight w:val="none"/>
                <w14:textFill>
                  <w14:solidFill>
                    <w14:schemeClr w14:val="tx1"/>
                  </w14:solidFill>
                </w14:textFill>
              </w:rPr>
              <w:t>……</w:t>
            </w:r>
          </w:p>
        </w:tc>
        <w:tc>
          <w:tcPr>
            <w:tcW w:w="1521" w:type="pct"/>
            <w:vAlign w:val="center"/>
          </w:tcPr>
          <w:p>
            <w:pPr>
              <w:rPr>
                <w:rFonts w:ascii="Times New Roman" w:hAnsi="Times New Roman" w:eastAsia="仿宋"/>
                <w:color w:val="000000" w:themeColor="text1"/>
                <w:sz w:val="18"/>
                <w:szCs w:val="18"/>
                <w:highlight w:val="none"/>
                <w14:textFill>
                  <w14:solidFill>
                    <w14:schemeClr w14:val="tx1"/>
                  </w14:solidFill>
                </w14:textFill>
              </w:rPr>
            </w:pPr>
          </w:p>
        </w:tc>
      </w:tr>
    </w:tbl>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b/>
          <w:bCs/>
          <w:color w:val="000000" w:themeColor="text1"/>
          <w:szCs w:val="21"/>
          <w:highlight w:val="none"/>
          <w14:textFill>
            <w14:solidFill>
              <w14:schemeClr w14:val="tx1"/>
            </w14:solidFill>
          </w14:textFill>
        </w:rPr>
        <w:t xml:space="preserve">备注：以上材料将作为供应商资格审核的重要内容，供应商必须严格按照其内容要求在投标文件中对应如实提供。 </w:t>
      </w:r>
      <w:r>
        <w:rPr>
          <w:rFonts w:ascii="Times New Roman" w:hAnsi="Times New Roman" w:eastAsia="仿宋"/>
          <w:color w:val="000000" w:themeColor="text1"/>
          <w:sz w:val="24"/>
          <w:highlight w:val="none"/>
          <w14:textFill>
            <w14:solidFill>
              <w14:schemeClr w14:val="tx1"/>
            </w14:solidFill>
          </w14:textFill>
        </w:rPr>
        <w:br w:type="page"/>
      </w: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2.2符合性审查索引表</w:t>
      </w:r>
    </w:p>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符合性审查索引表</w:t>
      </w:r>
    </w:p>
    <w:tbl>
      <w:tblPr>
        <w:tblStyle w:val="24"/>
        <w:tblpPr w:leftFromText="180" w:rightFromText="180" w:vertAnchor="text" w:tblpY="1"/>
        <w:tblOverlap w:val="never"/>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3"/>
        <w:gridCol w:w="4854"/>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序号</w:t>
            </w:r>
          </w:p>
        </w:tc>
        <w:tc>
          <w:tcPr>
            <w:tcW w:w="485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自查内容</w:t>
            </w:r>
          </w:p>
        </w:tc>
        <w:tc>
          <w:tcPr>
            <w:tcW w:w="2518"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1</w:t>
            </w:r>
          </w:p>
        </w:tc>
        <w:tc>
          <w:tcPr>
            <w:tcW w:w="4854" w:type="dxa"/>
            <w:vAlign w:val="center"/>
          </w:tcPr>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提交投标文件数量满足招标文件要求</w:t>
            </w:r>
          </w:p>
        </w:tc>
        <w:tc>
          <w:tcPr>
            <w:tcW w:w="2518"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2</w:t>
            </w:r>
          </w:p>
        </w:tc>
        <w:tc>
          <w:tcPr>
            <w:tcW w:w="4854" w:type="dxa"/>
            <w:vAlign w:val="center"/>
          </w:tcPr>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按照招标文件规定要求编制、签署和盖章的</w:t>
            </w:r>
          </w:p>
        </w:tc>
        <w:tc>
          <w:tcPr>
            <w:tcW w:w="2518"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trPr>
        <w:tc>
          <w:tcPr>
            <w:tcW w:w="1273"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3</w:t>
            </w:r>
          </w:p>
        </w:tc>
        <w:tc>
          <w:tcPr>
            <w:tcW w:w="4854" w:type="dxa"/>
            <w:vAlign w:val="center"/>
          </w:tcPr>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投标函已提交，并且投标有效期符合招标文件规定；</w:t>
            </w:r>
          </w:p>
        </w:tc>
        <w:tc>
          <w:tcPr>
            <w:tcW w:w="2518" w:type="dxa"/>
            <w:vAlign w:val="center"/>
          </w:tcPr>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4</w:t>
            </w:r>
          </w:p>
        </w:tc>
        <w:tc>
          <w:tcPr>
            <w:tcW w:w="4854" w:type="dxa"/>
            <w:vAlign w:val="center"/>
          </w:tcPr>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投标文件完全满足招标文件的实质性条款（即标注★号条款）无偏离的(招标文件无★号条款则不需要提供)；</w:t>
            </w:r>
          </w:p>
        </w:tc>
        <w:tc>
          <w:tcPr>
            <w:tcW w:w="2518" w:type="dxa"/>
            <w:vAlign w:val="center"/>
          </w:tcPr>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5</w:t>
            </w:r>
          </w:p>
        </w:tc>
        <w:tc>
          <w:tcPr>
            <w:tcW w:w="4854" w:type="dxa"/>
            <w:vAlign w:val="center"/>
          </w:tcPr>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报价超过招标文件中规定的预算金额或者最高限价的</w:t>
            </w:r>
          </w:p>
        </w:tc>
        <w:tc>
          <w:tcPr>
            <w:tcW w:w="2518" w:type="dxa"/>
            <w:vAlign w:val="center"/>
          </w:tcPr>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273"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6</w:t>
            </w:r>
          </w:p>
        </w:tc>
        <w:tc>
          <w:tcPr>
            <w:tcW w:w="4854" w:type="dxa"/>
            <w:vAlign w:val="center"/>
          </w:tcPr>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报价不是固定价或者投标方案是可选择的</w:t>
            </w:r>
          </w:p>
        </w:tc>
        <w:tc>
          <w:tcPr>
            <w:tcW w:w="2518"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7</w:t>
            </w:r>
          </w:p>
        </w:tc>
        <w:tc>
          <w:tcPr>
            <w:tcW w:w="4854" w:type="dxa"/>
            <w:vAlign w:val="center"/>
          </w:tcPr>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未有法律、法规和招标文件规定的其他无效情形</w:t>
            </w:r>
          </w:p>
        </w:tc>
        <w:tc>
          <w:tcPr>
            <w:tcW w:w="2518"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4854"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2518" w:type="dxa"/>
            <w:vAlign w:val="center"/>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4854"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2518" w:type="dxa"/>
            <w:vAlign w:val="center"/>
          </w:tcPr>
          <w:p>
            <w:pPr>
              <w:rPr>
                <w:rFonts w:ascii="Times New Roman" w:hAnsi="Times New Roman" w:eastAsia="仿宋"/>
                <w:color w:val="000000" w:themeColor="text1"/>
                <w:sz w:val="24"/>
                <w:highlight w:val="none"/>
                <w14:textFill>
                  <w14:solidFill>
                    <w14:schemeClr w14:val="tx1"/>
                  </w14:solidFill>
                </w14:textFill>
              </w:rPr>
            </w:pPr>
          </w:p>
        </w:tc>
      </w:tr>
    </w:tbl>
    <w:p>
      <w:pPr>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 xml:space="preserve">备注：以上材料将作为供应商符合性审核的重要内容，供应商必须严格按照其内容要求在投标文件中对应如实提供。 </w:t>
      </w: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br w:type="page"/>
      </w:r>
      <w:r>
        <w:rPr>
          <w:rFonts w:ascii="Times New Roman" w:hAnsi="Times New Roman" w:eastAsia="仿宋"/>
          <w:b/>
          <w:color w:val="000000" w:themeColor="text1"/>
          <w:sz w:val="24"/>
          <w:highlight w:val="none"/>
          <w14:textFill>
            <w14:solidFill>
              <w14:schemeClr w14:val="tx1"/>
            </w14:solidFill>
          </w14:textFill>
        </w:rPr>
        <w:t>2.3商务评分索引表</w:t>
      </w:r>
    </w:p>
    <w:tbl>
      <w:tblPr>
        <w:tblStyle w:val="24"/>
        <w:tblpPr w:leftFromText="180" w:rightFromText="180" w:vertAnchor="text" w:tblpY="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289"/>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序号</w:t>
            </w:r>
          </w:p>
        </w:tc>
        <w:tc>
          <w:tcPr>
            <w:tcW w:w="3289"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招标文件商务评分标准内容</w:t>
            </w:r>
          </w:p>
        </w:tc>
        <w:tc>
          <w:tcPr>
            <w:tcW w:w="421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1</w:t>
            </w:r>
          </w:p>
        </w:tc>
        <w:tc>
          <w:tcPr>
            <w:tcW w:w="3289"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421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2</w:t>
            </w:r>
          </w:p>
        </w:tc>
        <w:tc>
          <w:tcPr>
            <w:tcW w:w="3289"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421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3</w:t>
            </w:r>
          </w:p>
        </w:tc>
        <w:tc>
          <w:tcPr>
            <w:tcW w:w="3289"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421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4</w:t>
            </w:r>
          </w:p>
        </w:tc>
        <w:tc>
          <w:tcPr>
            <w:tcW w:w="3289"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421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5</w:t>
            </w:r>
          </w:p>
        </w:tc>
        <w:tc>
          <w:tcPr>
            <w:tcW w:w="3289"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421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w:t>
            </w:r>
          </w:p>
        </w:tc>
        <w:tc>
          <w:tcPr>
            <w:tcW w:w="3289"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421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bl>
    <w:p>
      <w:pPr>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备注：1.供应商应根据商务评分标准的各项内容填写此表。</w:t>
      </w:r>
    </w:p>
    <w:p>
      <w:pPr>
        <w:pStyle w:val="2"/>
        <w:rPr>
          <w:rFonts w:ascii="Times New Roman" w:hAnsi="Times New Roman" w:eastAsia="仿宋"/>
          <w:color w:val="000000" w:themeColor="text1"/>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2.请在对应页码中对评分内容做出标注，标注格式自定</w:t>
      </w: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br w:type="page"/>
      </w:r>
      <w:r>
        <w:rPr>
          <w:rFonts w:ascii="Times New Roman" w:hAnsi="Times New Roman" w:eastAsia="仿宋"/>
          <w:b/>
          <w:color w:val="000000" w:themeColor="text1"/>
          <w:sz w:val="24"/>
          <w:highlight w:val="none"/>
          <w14:textFill>
            <w14:solidFill>
              <w14:schemeClr w14:val="tx1"/>
            </w14:solidFill>
          </w14:textFill>
        </w:rPr>
        <w:t>2.4</w:t>
      </w:r>
      <w:r>
        <w:rPr>
          <w:rFonts w:ascii="Times New Roman" w:hAnsi="Times New Roman" w:eastAsia="仿宋"/>
          <w:b/>
          <w:bCs/>
          <w:color w:val="000000" w:themeColor="text1"/>
          <w:sz w:val="24"/>
          <w:highlight w:val="none"/>
          <w14:textFill>
            <w14:solidFill>
              <w14:schemeClr w14:val="tx1"/>
            </w14:solidFill>
          </w14:textFill>
        </w:rPr>
        <w:t>技术</w:t>
      </w:r>
      <w:r>
        <w:rPr>
          <w:rFonts w:ascii="Times New Roman" w:hAnsi="Times New Roman" w:eastAsia="仿宋"/>
          <w:b/>
          <w:color w:val="000000" w:themeColor="text1"/>
          <w:sz w:val="24"/>
          <w:highlight w:val="none"/>
          <w14:textFill>
            <w14:solidFill>
              <w14:schemeClr w14:val="tx1"/>
            </w14:solidFill>
          </w14:textFill>
        </w:rPr>
        <w:t>评分索引表</w:t>
      </w:r>
    </w:p>
    <w:tbl>
      <w:tblPr>
        <w:tblStyle w:val="24"/>
        <w:tblpPr w:leftFromText="180" w:rightFromText="180" w:vertAnchor="text" w:tblpY="1"/>
        <w:tblOverlap w:val="never"/>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174"/>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序号</w:t>
            </w:r>
          </w:p>
        </w:tc>
        <w:tc>
          <w:tcPr>
            <w:tcW w:w="317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招标文件技术评分标准内容</w:t>
            </w:r>
          </w:p>
        </w:tc>
        <w:tc>
          <w:tcPr>
            <w:tcW w:w="4269"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1</w:t>
            </w:r>
          </w:p>
        </w:tc>
        <w:tc>
          <w:tcPr>
            <w:tcW w:w="317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4269"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2</w:t>
            </w:r>
          </w:p>
        </w:tc>
        <w:tc>
          <w:tcPr>
            <w:tcW w:w="317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4269"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3</w:t>
            </w:r>
          </w:p>
        </w:tc>
        <w:tc>
          <w:tcPr>
            <w:tcW w:w="317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4269"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4</w:t>
            </w:r>
          </w:p>
        </w:tc>
        <w:tc>
          <w:tcPr>
            <w:tcW w:w="317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4269"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5</w:t>
            </w:r>
          </w:p>
        </w:tc>
        <w:tc>
          <w:tcPr>
            <w:tcW w:w="317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4269"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w:t>
            </w:r>
          </w:p>
        </w:tc>
        <w:tc>
          <w:tcPr>
            <w:tcW w:w="317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4269"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bl>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备注：1.供应商应根据技术评分标准的各项内容填写此表。</w:t>
      </w:r>
    </w:p>
    <w:p>
      <w:pPr>
        <w:pStyle w:val="2"/>
        <w:rPr>
          <w:rFonts w:ascii="Times New Roman" w:hAnsi="Times New Roman" w:eastAsia="仿宋"/>
          <w:color w:val="000000" w:themeColor="text1"/>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2.请在对应页码中对评分内容做出标注，标注格式自定</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br w:type="page"/>
      </w:r>
      <w:r>
        <w:rPr>
          <w:rFonts w:ascii="Times New Roman" w:hAnsi="Times New Roman" w:eastAsia="仿宋"/>
          <w:b/>
          <w:color w:val="000000" w:themeColor="text1"/>
          <w:sz w:val="24"/>
          <w:highlight w:val="none"/>
          <w14:textFill>
            <w14:solidFill>
              <w14:schemeClr w14:val="tx1"/>
            </w14:solidFill>
          </w14:textFill>
        </w:rPr>
        <w:t>2.4.1“</w:t>
      </w:r>
      <w:r>
        <w:rPr>
          <w:rFonts w:hint="eastAsia" w:ascii="Times New Roman" w:hAnsi="Times New Roman"/>
          <w:color w:val="000000" w:themeColor="text1"/>
          <w:highlight w:val="none"/>
          <w14:textFill>
            <w14:solidFill>
              <w14:schemeClr w14:val="tx1"/>
            </w14:solidFill>
          </w14:textFill>
        </w:rPr>
        <w:t>▲</w:t>
      </w:r>
      <w:r>
        <w:rPr>
          <w:rFonts w:ascii="Times New Roman" w:hAnsi="Times New Roman" w:eastAsia="仿宋"/>
          <w:b/>
          <w:color w:val="000000" w:themeColor="text1"/>
          <w:sz w:val="24"/>
          <w:highlight w:val="none"/>
          <w14:textFill>
            <w14:solidFill>
              <w14:schemeClr w14:val="tx1"/>
            </w14:solidFill>
          </w14:textFill>
        </w:rPr>
        <w:t>”条款内容索引表</w:t>
      </w:r>
    </w:p>
    <w:p>
      <w:pPr>
        <w:jc w:val="center"/>
        <w:rPr>
          <w:rFonts w:ascii="Times New Roman" w:hAnsi="Times New Roman" w:eastAsia="仿宋"/>
          <w:bCs/>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w:t>
      </w:r>
      <w:r>
        <w:rPr>
          <w:rFonts w:hint="eastAsia" w:ascii="Times New Roman" w:hAnsi="Times New Roman" w:eastAsia="仿宋"/>
          <w:b/>
          <w:bCs/>
          <w:color w:val="000000" w:themeColor="text1"/>
          <w:sz w:val="24"/>
          <w:highlight w:val="none"/>
          <w:lang w:val="en-US" w:eastAsia="zh-CN"/>
          <w14:textFill>
            <w14:solidFill>
              <w14:schemeClr w14:val="tx1"/>
            </w14:solidFill>
          </w14:textFill>
        </w:rPr>
        <w:t>▲</w:t>
      </w:r>
      <w:r>
        <w:rPr>
          <w:rFonts w:ascii="Times New Roman" w:hAnsi="Times New Roman" w:eastAsia="仿宋"/>
          <w:b/>
          <w:color w:val="000000" w:themeColor="text1"/>
          <w:sz w:val="24"/>
          <w:highlight w:val="none"/>
          <w14:textFill>
            <w14:solidFill>
              <w14:schemeClr w14:val="tx1"/>
            </w14:solidFill>
          </w14:textFill>
        </w:rPr>
        <w:t>”条款内容索引表</w:t>
      </w:r>
    </w:p>
    <w:p>
      <w:pPr>
        <w:jc w:val="center"/>
        <w:rPr>
          <w:rFonts w:ascii="Times New Roman" w:hAnsi="Times New Roman" w:eastAsia="仿宋"/>
          <w:b/>
          <w:color w:val="000000" w:themeColor="text1"/>
          <w:sz w:val="24"/>
          <w:highlight w:val="none"/>
          <w14:textFill>
            <w14:solidFill>
              <w14:schemeClr w14:val="tx1"/>
            </w14:solidFill>
          </w14:textFill>
        </w:rPr>
      </w:pPr>
    </w:p>
    <w:tbl>
      <w:tblPr>
        <w:tblStyle w:val="24"/>
        <w:tblW w:w="8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778"/>
        <w:gridCol w:w="3562"/>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92"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序号</w:t>
            </w:r>
          </w:p>
        </w:tc>
        <w:tc>
          <w:tcPr>
            <w:tcW w:w="2778"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招标文件“</w:t>
            </w:r>
            <w:r>
              <w:rPr>
                <w:rFonts w:hint="eastAsia" w:ascii="Times New Roman" w:hAnsi="Times New Roman" w:eastAsia="仿宋"/>
                <w:b/>
                <w:bCs/>
                <w:color w:val="000000" w:themeColor="text1"/>
                <w:sz w:val="24"/>
                <w:highlight w:val="none"/>
                <w:lang w:val="en-US" w:eastAsia="zh-CN"/>
                <w14:textFill>
                  <w14:solidFill>
                    <w14:schemeClr w14:val="tx1"/>
                  </w14:solidFill>
                </w14:textFill>
              </w:rPr>
              <w:t>▲</w:t>
            </w:r>
            <w:r>
              <w:rPr>
                <w:rFonts w:ascii="Times New Roman" w:hAnsi="Times New Roman" w:eastAsia="仿宋"/>
                <w:color w:val="000000" w:themeColor="text1"/>
                <w:sz w:val="24"/>
                <w:highlight w:val="none"/>
                <w14:textFill>
                  <w14:solidFill>
                    <w14:schemeClr w14:val="tx1"/>
                  </w14:solidFill>
                </w14:textFill>
              </w:rPr>
              <w:t>”条款内容</w:t>
            </w:r>
          </w:p>
        </w:tc>
        <w:tc>
          <w:tcPr>
            <w:tcW w:w="3562"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供应商是否响应招标文件要求</w:t>
            </w:r>
          </w:p>
        </w:tc>
        <w:tc>
          <w:tcPr>
            <w:tcW w:w="1300" w:type="dxa"/>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000000" w:themeColor="text1"/>
                <w:sz w:val="24"/>
                <w:highlight w:val="none"/>
                <w14:textFill>
                  <w14:solidFill>
                    <w14:schemeClr w14:val="tx1"/>
                  </w14:solidFill>
                </w14:textFill>
              </w:rPr>
            </w:pPr>
          </w:p>
        </w:tc>
        <w:tc>
          <w:tcPr>
            <w:tcW w:w="2778" w:type="dxa"/>
          </w:tcPr>
          <w:p>
            <w:pPr>
              <w:rPr>
                <w:rFonts w:ascii="Times New Roman" w:hAnsi="Times New Roman" w:eastAsia="仿宋"/>
                <w:color w:val="000000" w:themeColor="text1"/>
                <w:sz w:val="24"/>
                <w:highlight w:val="none"/>
                <w14:textFill>
                  <w14:solidFill>
                    <w14:schemeClr w14:val="tx1"/>
                  </w14:solidFill>
                </w14:textFill>
              </w:rPr>
            </w:pPr>
          </w:p>
        </w:tc>
        <w:tc>
          <w:tcPr>
            <w:tcW w:w="3562" w:type="dxa"/>
          </w:tcPr>
          <w:p>
            <w:pPr>
              <w:rPr>
                <w:rFonts w:ascii="Times New Roman" w:hAnsi="Times New Roman" w:eastAsia="仿宋"/>
                <w:color w:val="000000" w:themeColor="text1"/>
                <w:sz w:val="24"/>
                <w:highlight w:val="none"/>
                <w14:textFill>
                  <w14:solidFill>
                    <w14:schemeClr w14:val="tx1"/>
                  </w14:solidFill>
                </w14:textFill>
              </w:rPr>
            </w:pPr>
          </w:p>
        </w:tc>
        <w:tc>
          <w:tcPr>
            <w:tcW w:w="1300" w:type="dxa"/>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000000" w:themeColor="text1"/>
                <w:sz w:val="24"/>
                <w:highlight w:val="none"/>
                <w14:textFill>
                  <w14:solidFill>
                    <w14:schemeClr w14:val="tx1"/>
                  </w14:solidFill>
                </w14:textFill>
              </w:rPr>
            </w:pPr>
          </w:p>
        </w:tc>
        <w:tc>
          <w:tcPr>
            <w:tcW w:w="2778" w:type="dxa"/>
          </w:tcPr>
          <w:p>
            <w:pPr>
              <w:rPr>
                <w:rFonts w:ascii="Times New Roman" w:hAnsi="Times New Roman" w:eastAsia="仿宋"/>
                <w:color w:val="000000" w:themeColor="text1"/>
                <w:sz w:val="24"/>
                <w:highlight w:val="none"/>
                <w14:textFill>
                  <w14:solidFill>
                    <w14:schemeClr w14:val="tx1"/>
                  </w14:solidFill>
                </w14:textFill>
              </w:rPr>
            </w:pPr>
          </w:p>
        </w:tc>
        <w:tc>
          <w:tcPr>
            <w:tcW w:w="3562" w:type="dxa"/>
          </w:tcPr>
          <w:p>
            <w:pPr>
              <w:rPr>
                <w:rFonts w:ascii="Times New Roman" w:hAnsi="Times New Roman" w:eastAsia="仿宋"/>
                <w:color w:val="000000" w:themeColor="text1"/>
                <w:sz w:val="24"/>
                <w:highlight w:val="none"/>
                <w14:textFill>
                  <w14:solidFill>
                    <w14:schemeClr w14:val="tx1"/>
                  </w14:solidFill>
                </w14:textFill>
              </w:rPr>
            </w:pPr>
          </w:p>
        </w:tc>
        <w:tc>
          <w:tcPr>
            <w:tcW w:w="1300" w:type="dxa"/>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000000" w:themeColor="text1"/>
                <w:sz w:val="24"/>
                <w:highlight w:val="none"/>
                <w14:textFill>
                  <w14:solidFill>
                    <w14:schemeClr w14:val="tx1"/>
                  </w14:solidFill>
                </w14:textFill>
              </w:rPr>
            </w:pPr>
          </w:p>
        </w:tc>
        <w:tc>
          <w:tcPr>
            <w:tcW w:w="2778" w:type="dxa"/>
          </w:tcPr>
          <w:p>
            <w:pPr>
              <w:rPr>
                <w:rFonts w:ascii="Times New Roman" w:hAnsi="Times New Roman" w:eastAsia="仿宋"/>
                <w:color w:val="000000" w:themeColor="text1"/>
                <w:sz w:val="24"/>
                <w:highlight w:val="none"/>
                <w14:textFill>
                  <w14:solidFill>
                    <w14:schemeClr w14:val="tx1"/>
                  </w14:solidFill>
                </w14:textFill>
              </w:rPr>
            </w:pPr>
          </w:p>
        </w:tc>
        <w:tc>
          <w:tcPr>
            <w:tcW w:w="3562" w:type="dxa"/>
          </w:tcPr>
          <w:p>
            <w:pPr>
              <w:rPr>
                <w:rFonts w:ascii="Times New Roman" w:hAnsi="Times New Roman" w:eastAsia="仿宋"/>
                <w:color w:val="000000" w:themeColor="text1"/>
                <w:sz w:val="24"/>
                <w:highlight w:val="none"/>
                <w14:textFill>
                  <w14:solidFill>
                    <w14:schemeClr w14:val="tx1"/>
                  </w14:solidFill>
                </w14:textFill>
              </w:rPr>
            </w:pPr>
          </w:p>
        </w:tc>
        <w:tc>
          <w:tcPr>
            <w:tcW w:w="1300" w:type="dxa"/>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000000" w:themeColor="text1"/>
                <w:sz w:val="24"/>
                <w:highlight w:val="none"/>
                <w14:textFill>
                  <w14:solidFill>
                    <w14:schemeClr w14:val="tx1"/>
                  </w14:solidFill>
                </w14:textFill>
              </w:rPr>
            </w:pPr>
          </w:p>
        </w:tc>
        <w:tc>
          <w:tcPr>
            <w:tcW w:w="2778" w:type="dxa"/>
          </w:tcPr>
          <w:p>
            <w:pPr>
              <w:rPr>
                <w:rFonts w:ascii="Times New Roman" w:hAnsi="Times New Roman" w:eastAsia="仿宋"/>
                <w:color w:val="000000" w:themeColor="text1"/>
                <w:sz w:val="24"/>
                <w:highlight w:val="none"/>
                <w14:textFill>
                  <w14:solidFill>
                    <w14:schemeClr w14:val="tx1"/>
                  </w14:solidFill>
                </w14:textFill>
              </w:rPr>
            </w:pPr>
          </w:p>
        </w:tc>
        <w:tc>
          <w:tcPr>
            <w:tcW w:w="3562" w:type="dxa"/>
          </w:tcPr>
          <w:p>
            <w:pPr>
              <w:rPr>
                <w:rFonts w:ascii="Times New Roman" w:hAnsi="Times New Roman" w:eastAsia="仿宋"/>
                <w:color w:val="000000" w:themeColor="text1"/>
                <w:sz w:val="24"/>
                <w:highlight w:val="none"/>
                <w14:textFill>
                  <w14:solidFill>
                    <w14:schemeClr w14:val="tx1"/>
                  </w14:solidFill>
                </w14:textFill>
              </w:rPr>
            </w:pPr>
          </w:p>
        </w:tc>
        <w:tc>
          <w:tcPr>
            <w:tcW w:w="1300" w:type="dxa"/>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000000" w:themeColor="text1"/>
                <w:sz w:val="24"/>
                <w:highlight w:val="none"/>
                <w14:textFill>
                  <w14:solidFill>
                    <w14:schemeClr w14:val="tx1"/>
                  </w14:solidFill>
                </w14:textFill>
              </w:rPr>
            </w:pPr>
          </w:p>
        </w:tc>
        <w:tc>
          <w:tcPr>
            <w:tcW w:w="2778" w:type="dxa"/>
          </w:tcPr>
          <w:p>
            <w:pPr>
              <w:rPr>
                <w:rFonts w:ascii="Times New Roman" w:hAnsi="Times New Roman" w:eastAsia="仿宋"/>
                <w:color w:val="000000" w:themeColor="text1"/>
                <w:sz w:val="24"/>
                <w:highlight w:val="none"/>
                <w14:textFill>
                  <w14:solidFill>
                    <w14:schemeClr w14:val="tx1"/>
                  </w14:solidFill>
                </w14:textFill>
              </w:rPr>
            </w:pPr>
          </w:p>
        </w:tc>
        <w:tc>
          <w:tcPr>
            <w:tcW w:w="3562" w:type="dxa"/>
          </w:tcPr>
          <w:p>
            <w:pPr>
              <w:rPr>
                <w:rFonts w:ascii="Times New Roman" w:hAnsi="Times New Roman" w:eastAsia="仿宋"/>
                <w:color w:val="000000" w:themeColor="text1"/>
                <w:sz w:val="24"/>
                <w:highlight w:val="none"/>
                <w14:textFill>
                  <w14:solidFill>
                    <w14:schemeClr w14:val="tx1"/>
                  </w14:solidFill>
                </w14:textFill>
              </w:rPr>
            </w:pPr>
          </w:p>
        </w:tc>
        <w:tc>
          <w:tcPr>
            <w:tcW w:w="1300" w:type="dxa"/>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000000" w:themeColor="text1"/>
                <w:sz w:val="24"/>
                <w:highlight w:val="none"/>
                <w14:textFill>
                  <w14:solidFill>
                    <w14:schemeClr w14:val="tx1"/>
                  </w14:solidFill>
                </w14:textFill>
              </w:rPr>
            </w:pPr>
          </w:p>
        </w:tc>
        <w:tc>
          <w:tcPr>
            <w:tcW w:w="2778" w:type="dxa"/>
          </w:tcPr>
          <w:p>
            <w:pPr>
              <w:rPr>
                <w:rFonts w:ascii="Times New Roman" w:hAnsi="Times New Roman" w:eastAsia="仿宋"/>
                <w:color w:val="000000" w:themeColor="text1"/>
                <w:sz w:val="24"/>
                <w:highlight w:val="none"/>
                <w14:textFill>
                  <w14:solidFill>
                    <w14:schemeClr w14:val="tx1"/>
                  </w14:solidFill>
                </w14:textFill>
              </w:rPr>
            </w:pPr>
          </w:p>
        </w:tc>
        <w:tc>
          <w:tcPr>
            <w:tcW w:w="3562" w:type="dxa"/>
          </w:tcPr>
          <w:p>
            <w:pPr>
              <w:rPr>
                <w:rFonts w:ascii="Times New Roman" w:hAnsi="Times New Roman" w:eastAsia="仿宋"/>
                <w:color w:val="000000" w:themeColor="text1"/>
                <w:sz w:val="24"/>
                <w:highlight w:val="none"/>
                <w14:textFill>
                  <w14:solidFill>
                    <w14:schemeClr w14:val="tx1"/>
                  </w14:solidFill>
                </w14:textFill>
              </w:rPr>
            </w:pPr>
          </w:p>
        </w:tc>
        <w:tc>
          <w:tcPr>
            <w:tcW w:w="1300" w:type="dxa"/>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000000" w:themeColor="text1"/>
                <w:sz w:val="24"/>
                <w:highlight w:val="none"/>
                <w14:textFill>
                  <w14:solidFill>
                    <w14:schemeClr w14:val="tx1"/>
                  </w14:solidFill>
                </w14:textFill>
              </w:rPr>
            </w:pPr>
          </w:p>
        </w:tc>
        <w:tc>
          <w:tcPr>
            <w:tcW w:w="2778" w:type="dxa"/>
          </w:tcPr>
          <w:p>
            <w:pPr>
              <w:rPr>
                <w:rFonts w:ascii="Times New Roman" w:hAnsi="Times New Roman" w:eastAsia="仿宋"/>
                <w:color w:val="000000" w:themeColor="text1"/>
                <w:sz w:val="24"/>
                <w:highlight w:val="none"/>
                <w14:textFill>
                  <w14:solidFill>
                    <w14:schemeClr w14:val="tx1"/>
                  </w14:solidFill>
                </w14:textFill>
              </w:rPr>
            </w:pPr>
          </w:p>
        </w:tc>
        <w:tc>
          <w:tcPr>
            <w:tcW w:w="3562" w:type="dxa"/>
          </w:tcPr>
          <w:p>
            <w:pPr>
              <w:rPr>
                <w:rFonts w:ascii="Times New Roman" w:hAnsi="Times New Roman" w:eastAsia="仿宋"/>
                <w:color w:val="000000" w:themeColor="text1"/>
                <w:sz w:val="24"/>
                <w:highlight w:val="none"/>
                <w14:textFill>
                  <w14:solidFill>
                    <w14:schemeClr w14:val="tx1"/>
                  </w14:solidFill>
                </w14:textFill>
              </w:rPr>
            </w:pPr>
          </w:p>
        </w:tc>
        <w:tc>
          <w:tcPr>
            <w:tcW w:w="1300" w:type="dxa"/>
          </w:tcPr>
          <w:p>
            <w:pPr>
              <w:rPr>
                <w:rFonts w:ascii="Times New Roman" w:hAnsi="Times New Roman" w:eastAsia="仿宋"/>
                <w:color w:val="000000" w:themeColor="text1"/>
                <w:sz w:val="24"/>
                <w:highlight w:val="none"/>
                <w14:textFill>
                  <w14:solidFill>
                    <w14:schemeClr w14:val="tx1"/>
                  </w14:solidFill>
                </w14:textFill>
              </w:rPr>
            </w:pPr>
          </w:p>
        </w:tc>
      </w:tr>
    </w:tbl>
    <w:p>
      <w:pPr>
        <w:spacing w:line="480" w:lineRule="exact"/>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备注：</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b/>
          <w:bCs/>
          <w:color w:val="000000" w:themeColor="text1"/>
          <w:sz w:val="24"/>
          <w:highlight w:val="none"/>
          <w:lang w:val="en-US" w:eastAsia="zh-CN"/>
          <w14:textFill>
            <w14:solidFill>
              <w14:schemeClr w14:val="tx1"/>
            </w14:solidFill>
          </w14:textFill>
        </w:rPr>
      </w:pPr>
      <w:r>
        <w:rPr>
          <w:rFonts w:hint="eastAsia" w:ascii="Times New Roman" w:hAnsi="Times New Roman" w:eastAsia="仿宋"/>
          <w:b/>
          <w:bCs/>
          <w:color w:val="000000" w:themeColor="text1"/>
          <w:sz w:val="24"/>
          <w:highlight w:val="none"/>
          <w:lang w:val="en-US" w:eastAsia="zh-CN"/>
          <w14:textFill>
            <w14:solidFill>
              <w14:schemeClr w14:val="tx1"/>
            </w14:solidFill>
          </w14:textFill>
        </w:rPr>
        <w:t>1.投标人须在投标文件中对“▲”条款的响应参数或内容作出明显标注，标注格式自定，如因标注不清晰造成的负偏离，由投标人自行承担。</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b/>
          <w:bCs/>
          <w:color w:val="000000" w:themeColor="text1"/>
          <w:sz w:val="24"/>
          <w:highlight w:val="none"/>
          <w:lang w:val="en-US" w:eastAsia="zh-CN"/>
          <w14:textFill>
            <w14:solidFill>
              <w14:schemeClr w14:val="tx1"/>
            </w14:solidFill>
          </w14:textFill>
        </w:rPr>
      </w:pPr>
      <w:r>
        <w:rPr>
          <w:rFonts w:hint="eastAsia" w:ascii="Times New Roman" w:hAnsi="Times New Roman" w:eastAsia="仿宋"/>
          <w:b/>
          <w:bCs/>
          <w:color w:val="000000" w:themeColor="text1"/>
          <w:sz w:val="24"/>
          <w:highlight w:val="none"/>
          <w:lang w:val="en-US" w:eastAsia="zh-CN"/>
          <w14:textFill>
            <w14:solidFill>
              <w14:schemeClr w14:val="tx1"/>
            </w14:solidFill>
          </w14:textFill>
        </w:rPr>
        <w:t>2.本项目技术评分标准中如设置 “▲”条款，则供应商如响应招标文件要求，则须按照本格式提供内容索引，否则不良后果供应商自行承担。</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b/>
          <w:bCs/>
          <w:color w:val="000000" w:themeColor="text1"/>
          <w:sz w:val="24"/>
          <w:highlight w:val="none"/>
          <w:lang w:val="en-US" w:eastAsia="zh-CN"/>
          <w14:textFill>
            <w14:solidFill>
              <w14:schemeClr w14:val="tx1"/>
            </w14:solidFill>
          </w14:textFill>
        </w:rPr>
      </w:pPr>
      <w:r>
        <w:rPr>
          <w:rFonts w:hint="eastAsia" w:ascii="Times New Roman" w:hAnsi="Times New Roman" w:eastAsia="仿宋"/>
          <w:b/>
          <w:bCs/>
          <w:color w:val="000000" w:themeColor="text1"/>
          <w:sz w:val="24"/>
          <w:highlight w:val="none"/>
          <w:lang w:val="en-US" w:eastAsia="zh-CN"/>
          <w14:textFill>
            <w14:solidFill>
              <w14:schemeClr w14:val="tx1"/>
            </w14:solidFill>
          </w14:textFill>
        </w:rPr>
        <w:t>3.供应商可自行增加行数，但不得删除列表内容。</w:t>
      </w:r>
    </w:p>
    <w:p>
      <w:pPr>
        <w:rPr>
          <w:highlight w:val="none"/>
        </w:rPr>
      </w:pPr>
    </w:p>
    <w:p>
      <w:pPr>
        <w:rPr>
          <w:rFonts w:ascii="Times New Roman" w:hAnsi="Times New Roman" w:eastAsia="仿宋"/>
          <w:b/>
          <w:color w:val="000000" w:themeColor="text1"/>
          <w:sz w:val="24"/>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p>
    <w:p>
      <w:pPr>
        <w:widowControl/>
        <w:jc w:val="left"/>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br w:type="page"/>
      </w:r>
    </w:p>
    <w:p>
      <w:pPr>
        <w:jc w:val="lef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2.5本项目政府优先采购的环保、节能产品索引表</w:t>
      </w:r>
    </w:p>
    <w:tbl>
      <w:tblPr>
        <w:tblStyle w:val="24"/>
        <w:tblpPr w:leftFromText="180" w:rightFromText="180" w:vertAnchor="text" w:tblpY="1"/>
        <w:tblOverlap w:val="never"/>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4076"/>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序号</w:t>
            </w:r>
          </w:p>
        </w:tc>
        <w:tc>
          <w:tcPr>
            <w:tcW w:w="407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政府优先采购的环保、节能产品名称</w:t>
            </w:r>
          </w:p>
        </w:tc>
        <w:tc>
          <w:tcPr>
            <w:tcW w:w="336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1</w:t>
            </w:r>
          </w:p>
        </w:tc>
        <w:tc>
          <w:tcPr>
            <w:tcW w:w="407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336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2</w:t>
            </w:r>
          </w:p>
        </w:tc>
        <w:tc>
          <w:tcPr>
            <w:tcW w:w="407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336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3</w:t>
            </w:r>
          </w:p>
        </w:tc>
        <w:tc>
          <w:tcPr>
            <w:tcW w:w="407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336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4</w:t>
            </w:r>
          </w:p>
        </w:tc>
        <w:tc>
          <w:tcPr>
            <w:tcW w:w="407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336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5</w:t>
            </w:r>
          </w:p>
        </w:tc>
        <w:tc>
          <w:tcPr>
            <w:tcW w:w="407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336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w:t>
            </w:r>
          </w:p>
        </w:tc>
        <w:tc>
          <w:tcPr>
            <w:tcW w:w="407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p>
        </w:tc>
        <w:tc>
          <w:tcPr>
            <w:tcW w:w="336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bl>
    <w:p>
      <w:pPr>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注:如果未存在优先采购的环保、节能产品的供应商,可以不提供本表。</w:t>
      </w:r>
    </w:p>
    <w:p>
      <w:pPr>
        <w:pStyle w:val="2"/>
        <w:rPr>
          <w:rFonts w:ascii="Times New Roman" w:hAnsi="Times New Roman"/>
          <w:color w:val="000000" w:themeColor="text1"/>
          <w:highlight w:val="none"/>
          <w14:textFill>
            <w14:solidFill>
              <w14:schemeClr w14:val="tx1"/>
            </w14:solidFill>
          </w14:textFill>
        </w:rPr>
      </w:pPr>
    </w:p>
    <w:p>
      <w:pPr>
        <w:rPr>
          <w:rFonts w:ascii="Times New Roman" w:hAnsi="Times New Roman"/>
          <w:color w:val="000000" w:themeColor="text1"/>
          <w:highlight w:val="none"/>
          <w14:textFill>
            <w14:solidFill>
              <w14:schemeClr w14:val="tx1"/>
            </w14:solidFill>
          </w14:textFill>
        </w:rPr>
      </w:pPr>
    </w:p>
    <w:p>
      <w:pPr>
        <w:pStyle w:val="2"/>
        <w:rPr>
          <w:rFonts w:ascii="Times New Roman" w:hAnsi="Times New Roman"/>
          <w:color w:val="000000" w:themeColor="text1"/>
          <w:highlight w:val="none"/>
          <w14:textFill>
            <w14:solidFill>
              <w14:schemeClr w14:val="tx1"/>
            </w14:solidFill>
          </w14:textFill>
        </w:rPr>
      </w:pPr>
    </w:p>
    <w:p>
      <w:pPr>
        <w:rPr>
          <w:rFonts w:ascii="Times New Roman" w:hAnsi="Times New Roman"/>
          <w:color w:val="000000" w:themeColor="text1"/>
          <w:highlight w:val="none"/>
          <w14:textFill>
            <w14:solidFill>
              <w14:schemeClr w14:val="tx1"/>
            </w14:solidFill>
          </w14:textFill>
        </w:rPr>
      </w:pPr>
    </w:p>
    <w:p>
      <w:pPr>
        <w:pStyle w:val="2"/>
        <w:rPr>
          <w:rFonts w:ascii="Times New Roman" w:hAnsi="Times New Roman"/>
          <w:color w:val="000000" w:themeColor="text1"/>
          <w:highlight w:val="none"/>
          <w14:textFill>
            <w14:solidFill>
              <w14:schemeClr w14:val="tx1"/>
            </w14:solidFill>
          </w14:textFill>
        </w:rPr>
      </w:pPr>
    </w:p>
    <w:p>
      <w:pPr>
        <w:rPr>
          <w:rFonts w:ascii="Times New Roman" w:hAnsi="Times New Roman"/>
          <w:color w:val="000000" w:themeColor="text1"/>
          <w:highlight w:val="none"/>
          <w14:textFill>
            <w14:solidFill>
              <w14:schemeClr w14:val="tx1"/>
            </w14:solidFill>
          </w14:textFill>
        </w:rPr>
      </w:pPr>
    </w:p>
    <w:p>
      <w:pPr>
        <w:pStyle w:val="84"/>
        <w:rPr>
          <w:rFonts w:ascii="Times New Roman" w:hAnsi="Times New Roman"/>
          <w:color w:val="000000" w:themeColor="text1"/>
          <w:highlight w:val="none"/>
          <w14:textFill>
            <w14:solidFill>
              <w14:schemeClr w14:val="tx1"/>
            </w14:solidFill>
          </w14:textFill>
        </w:rPr>
      </w:pPr>
    </w:p>
    <w:p>
      <w:pPr>
        <w:pStyle w:val="2"/>
        <w:rPr>
          <w:rFonts w:ascii="Times New Roman" w:hAnsi="Times New Roman"/>
          <w:color w:val="000000" w:themeColor="text1"/>
          <w:highlight w:val="none"/>
          <w14:textFill>
            <w14:solidFill>
              <w14:schemeClr w14:val="tx1"/>
            </w14:solidFill>
          </w14:textFill>
        </w:rPr>
      </w:pPr>
    </w:p>
    <w:p>
      <w:pPr>
        <w:rPr>
          <w:rFonts w:ascii="Times New Roman" w:hAnsi="Times New Roman"/>
          <w:color w:val="000000" w:themeColor="text1"/>
          <w:highlight w:val="none"/>
          <w14:textFill>
            <w14:solidFill>
              <w14:schemeClr w14:val="tx1"/>
            </w14:solidFill>
          </w14:textFill>
        </w:rPr>
      </w:pPr>
    </w:p>
    <w:p>
      <w:pPr>
        <w:pStyle w:val="2"/>
        <w:rPr>
          <w:rFonts w:ascii="Times New Roman" w:hAnsi="Times New Roman"/>
          <w:color w:val="000000" w:themeColor="text1"/>
          <w:highlight w:val="none"/>
          <w14:textFill>
            <w14:solidFill>
              <w14:schemeClr w14:val="tx1"/>
            </w14:solidFill>
          </w14:textFill>
        </w:rPr>
      </w:pPr>
    </w:p>
    <w:p>
      <w:pPr>
        <w:rPr>
          <w:rFonts w:ascii="Times New Roman" w:hAnsi="Times New Roman"/>
          <w:color w:val="000000" w:themeColor="text1"/>
          <w:highlight w:val="none"/>
          <w14:textFill>
            <w14:solidFill>
              <w14:schemeClr w14:val="tx1"/>
            </w14:solidFill>
          </w14:textFill>
        </w:rPr>
      </w:pPr>
    </w:p>
    <w:p>
      <w:pPr>
        <w:pStyle w:val="2"/>
        <w:rPr>
          <w:rFonts w:ascii="Times New Roman" w:hAnsi="Times New Roman"/>
          <w:color w:val="000000" w:themeColor="text1"/>
          <w:highlight w:val="none"/>
          <w14:textFill>
            <w14:solidFill>
              <w14:schemeClr w14:val="tx1"/>
            </w14:solidFill>
          </w14:textFill>
        </w:rPr>
      </w:pPr>
    </w:p>
    <w:p>
      <w:pPr>
        <w:rPr>
          <w:rFonts w:ascii="Times New Roman" w:hAnsi="Times New Roman"/>
          <w:color w:val="000000" w:themeColor="text1"/>
          <w:highlight w:val="none"/>
          <w14:textFill>
            <w14:solidFill>
              <w14:schemeClr w14:val="tx1"/>
            </w14:solidFill>
          </w14:textFill>
        </w:rPr>
      </w:pPr>
    </w:p>
    <w:p>
      <w:pPr>
        <w:pStyle w:val="2"/>
        <w:rPr>
          <w:rFonts w:ascii="Times New Roman" w:hAnsi="Times New Roman"/>
          <w:color w:val="000000" w:themeColor="text1"/>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p>
    <w:p>
      <w:pPr>
        <w:jc w:val="left"/>
        <w:rPr>
          <w:rFonts w:ascii="Times New Roman" w:hAnsi="Times New Roman"/>
          <w:color w:val="000000" w:themeColor="text1"/>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2.6本项目政府强制采购的节能产品索引表</w:t>
      </w:r>
    </w:p>
    <w:tbl>
      <w:tblPr>
        <w:tblStyle w:val="24"/>
        <w:tblpPr w:leftFromText="180" w:rightFromText="180" w:vertAnchor="text" w:tblpY="1"/>
        <w:tblOverlap w:val="never"/>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367"/>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序号</w:t>
            </w:r>
          </w:p>
        </w:tc>
        <w:tc>
          <w:tcPr>
            <w:tcW w:w="336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政府强制采购的节能产品名称</w:t>
            </w:r>
          </w:p>
        </w:tc>
        <w:tc>
          <w:tcPr>
            <w:tcW w:w="407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1</w:t>
            </w:r>
          </w:p>
        </w:tc>
        <w:tc>
          <w:tcPr>
            <w:tcW w:w="3367"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407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2</w:t>
            </w:r>
          </w:p>
        </w:tc>
        <w:tc>
          <w:tcPr>
            <w:tcW w:w="3367"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407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3</w:t>
            </w:r>
          </w:p>
        </w:tc>
        <w:tc>
          <w:tcPr>
            <w:tcW w:w="3367"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407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4</w:t>
            </w:r>
          </w:p>
        </w:tc>
        <w:tc>
          <w:tcPr>
            <w:tcW w:w="3367"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407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5</w:t>
            </w:r>
          </w:p>
        </w:tc>
        <w:tc>
          <w:tcPr>
            <w:tcW w:w="3367"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407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w:t>
            </w:r>
          </w:p>
        </w:tc>
        <w:tc>
          <w:tcPr>
            <w:tcW w:w="3367"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407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请见投标文件第（）页</w:t>
            </w:r>
          </w:p>
        </w:tc>
      </w:tr>
    </w:tbl>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注: ：供应商应根据本项目政府强制采购的节能产品的各项内容填写此表。</w:t>
      </w: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br w:type="page"/>
      </w: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3资格性文件</w:t>
      </w:r>
    </w:p>
    <w:p>
      <w:pPr>
        <w:rPr>
          <w:rFonts w:ascii="Times New Roman" w:hAnsi="Times New Roman" w:eastAsia="仿宋"/>
          <w:b/>
          <w:color w:val="000000" w:themeColor="text1"/>
          <w:sz w:val="24"/>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3.1法人或者非法人组织的营业执照等证明文件或自然人的身份证明</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说明：1.提供有效的营业执照等证明文件复印件，复印件上应加盖本单位公章。</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      2.供应商为自然人的，应提供身份证明的复印件。</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      3.联合体投标应提供联合体各方满足以上要求的证明文件。</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     </w:t>
      </w: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br w:type="page"/>
      </w:r>
      <w:r>
        <w:rPr>
          <w:rFonts w:ascii="Times New Roman" w:hAnsi="Times New Roman" w:eastAsia="仿宋"/>
          <w:b/>
          <w:color w:val="000000" w:themeColor="text1"/>
          <w:sz w:val="24"/>
          <w:highlight w:val="none"/>
          <w14:textFill>
            <w14:solidFill>
              <w14:schemeClr w14:val="tx1"/>
            </w14:solidFill>
          </w14:textFill>
        </w:rPr>
        <w:t>3.1.1.法定代表人身份证明书</w:t>
      </w:r>
    </w:p>
    <w:p>
      <w:pPr>
        <w:pStyle w:val="2"/>
        <w:rPr>
          <w:rFonts w:ascii="Times New Roman" w:hAnsi="Times New Roman" w:eastAsia="仿宋"/>
          <w:color w:val="000000" w:themeColor="text1"/>
          <w:highlight w:val="none"/>
          <w14:textFill>
            <w14:solidFill>
              <w14:schemeClr w14:val="tx1"/>
            </w14:solidFill>
          </w14:textFill>
        </w:rPr>
      </w:pPr>
    </w:p>
    <w:p>
      <w:pPr>
        <w:rPr>
          <w:rFonts w:ascii="Times New Roman" w:hAnsi="Times New Roman" w:eastAsia="仿宋"/>
          <w:bCs/>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法定代表人身份证明书</w:t>
      </w:r>
    </w:p>
    <w:p>
      <w:pPr>
        <w:spacing w:line="600" w:lineRule="exact"/>
        <w:rPr>
          <w:rFonts w:ascii="Times New Roman" w:hAnsi="Times New Roman" w:eastAsia="仿宋"/>
          <w:color w:val="000000" w:themeColor="text1"/>
          <w:sz w:val="28"/>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致：东莞市万江招投标服务所</w:t>
      </w:r>
    </w:p>
    <w:p>
      <w:pPr>
        <w:ind w:firstLine="480" w:firstLineChars="200"/>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本证明书声明：注册于 </w:t>
      </w:r>
      <w:r>
        <w:rPr>
          <w:rFonts w:ascii="Times New Roman" w:hAnsi="Times New Roman" w:eastAsia="仿宋"/>
          <w:color w:val="000000" w:themeColor="text1"/>
          <w:sz w:val="28"/>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（国家名称）的</w:t>
      </w:r>
      <w:r>
        <w:rPr>
          <w:rFonts w:ascii="Times New Roman" w:hAnsi="Times New Roman" w:eastAsia="仿宋"/>
          <w:color w:val="000000" w:themeColor="text1"/>
          <w:sz w:val="28"/>
          <w:highlight w:val="none"/>
          <w:u w:val="single"/>
          <w14:textFill>
            <w14:solidFill>
              <w14:schemeClr w14:val="tx1"/>
            </w14:solidFill>
          </w14:textFill>
        </w:rPr>
        <w:t>　           　</w:t>
      </w:r>
      <w:r>
        <w:rPr>
          <w:rFonts w:ascii="Times New Roman" w:hAnsi="Times New Roman" w:eastAsia="仿宋"/>
          <w:color w:val="000000" w:themeColor="text1"/>
          <w:sz w:val="24"/>
          <w:highlight w:val="none"/>
          <w14:textFill>
            <w14:solidFill>
              <w14:schemeClr w14:val="tx1"/>
            </w14:solidFill>
          </w14:textFill>
        </w:rPr>
        <w:t>（供应商名称）在下面签字的</w:t>
      </w:r>
      <w:r>
        <w:rPr>
          <w:rFonts w:ascii="Times New Roman" w:hAnsi="Times New Roman" w:eastAsia="仿宋"/>
          <w:color w:val="000000" w:themeColor="text1"/>
          <w:sz w:val="28"/>
          <w:highlight w:val="none"/>
          <w:u w:val="single"/>
          <w14:textFill>
            <w14:solidFill>
              <w14:schemeClr w14:val="tx1"/>
            </w14:solidFill>
          </w14:textFill>
        </w:rPr>
        <w:t>　　　　　</w:t>
      </w:r>
      <w:r>
        <w:rPr>
          <w:rFonts w:ascii="Times New Roman" w:hAnsi="Times New Roman" w:eastAsia="仿宋"/>
          <w:color w:val="000000" w:themeColor="text1"/>
          <w:sz w:val="24"/>
          <w:highlight w:val="none"/>
          <w14:textFill>
            <w14:solidFill>
              <w14:schemeClr w14:val="tx1"/>
            </w14:solidFill>
          </w14:textFill>
        </w:rPr>
        <w:t>（法定代表人姓名、职务）为本公司的合法代表人（须提供法定代表人身份证复印件）。</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特此证明。</w:t>
      </w:r>
    </w:p>
    <w:p>
      <w:pPr>
        <w:spacing w:line="600" w:lineRule="exact"/>
        <w:rPr>
          <w:rFonts w:ascii="Times New Roman" w:hAnsi="Times New Roman" w:eastAsia="仿宋"/>
          <w:color w:val="000000" w:themeColor="text1"/>
          <w:sz w:val="28"/>
          <w:highlight w:val="none"/>
          <w14:textFill>
            <w14:solidFill>
              <w14:schemeClr w14:val="tx1"/>
            </w14:solidFill>
          </w14:textFill>
        </w:rPr>
      </w:pPr>
    </w:p>
    <w:tbl>
      <w:tblPr>
        <w:tblStyle w:val="24"/>
        <w:tblpPr w:leftFromText="180" w:rightFromText="180" w:vertAnchor="text" w:horzAnchor="page" w:tblpX="3519" w:tblpY="346"/>
        <w:tblW w:w="4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法定代表人身份证复印件（正、反面）粘贴处</w:t>
            </w:r>
          </w:p>
        </w:tc>
      </w:tr>
    </w:tbl>
    <w:p>
      <w:pPr>
        <w:spacing w:line="600" w:lineRule="exact"/>
        <w:rPr>
          <w:rFonts w:ascii="Times New Roman" w:hAnsi="Times New Roman" w:eastAsia="仿宋"/>
          <w:color w:val="000000" w:themeColor="text1"/>
          <w:sz w:val="28"/>
          <w:highlight w:val="none"/>
          <w14:textFill>
            <w14:solidFill>
              <w14:schemeClr w14:val="tx1"/>
            </w14:solidFill>
          </w14:textFill>
        </w:rPr>
      </w:pPr>
    </w:p>
    <w:p>
      <w:pPr>
        <w:spacing w:line="600" w:lineRule="exact"/>
        <w:rPr>
          <w:rFonts w:ascii="Times New Roman" w:hAnsi="Times New Roman" w:eastAsia="仿宋"/>
          <w:color w:val="000000" w:themeColor="text1"/>
          <w:sz w:val="28"/>
          <w:highlight w:val="none"/>
          <w14:textFill>
            <w14:solidFill>
              <w14:schemeClr w14:val="tx1"/>
            </w14:solidFill>
          </w14:textFill>
        </w:rPr>
      </w:pPr>
    </w:p>
    <w:p>
      <w:pPr>
        <w:spacing w:line="600" w:lineRule="exact"/>
        <w:rPr>
          <w:rFonts w:ascii="Times New Roman" w:hAnsi="Times New Roman" w:eastAsia="仿宋"/>
          <w:color w:val="000000" w:themeColor="text1"/>
          <w:sz w:val="28"/>
          <w:highlight w:val="none"/>
          <w14:textFill>
            <w14:solidFill>
              <w14:schemeClr w14:val="tx1"/>
            </w14:solidFill>
          </w14:textFill>
        </w:rPr>
      </w:pPr>
    </w:p>
    <w:p>
      <w:pPr>
        <w:spacing w:line="600" w:lineRule="exact"/>
        <w:rPr>
          <w:rFonts w:ascii="Times New Roman" w:hAnsi="Times New Roman" w:eastAsia="仿宋"/>
          <w:color w:val="000000" w:themeColor="text1"/>
          <w:sz w:val="28"/>
          <w:highlight w:val="none"/>
          <w14:textFill>
            <w14:solidFill>
              <w14:schemeClr w14:val="tx1"/>
            </w14:solidFill>
          </w14:textFill>
        </w:rPr>
      </w:pPr>
    </w:p>
    <w:p>
      <w:pPr>
        <w:spacing w:line="600" w:lineRule="exact"/>
        <w:rPr>
          <w:rFonts w:ascii="Times New Roman" w:hAnsi="Times New Roman" w:eastAsia="仿宋"/>
          <w:color w:val="000000" w:themeColor="text1"/>
          <w:sz w:val="28"/>
          <w:highlight w:val="none"/>
          <w14:textFill>
            <w14:solidFill>
              <w14:schemeClr w14:val="tx1"/>
            </w14:solidFill>
          </w14:textFill>
        </w:rPr>
      </w:pPr>
    </w:p>
    <w:p>
      <w:pPr>
        <w:spacing w:line="600" w:lineRule="exact"/>
        <w:rPr>
          <w:rFonts w:ascii="Times New Roman" w:hAnsi="Times New Roman" w:eastAsia="仿宋"/>
          <w:color w:val="000000" w:themeColor="text1"/>
          <w:sz w:val="28"/>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供应商名称（加盖公章）：</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法定代表人（签名或盖私章）：</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日期：</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br w:type="page"/>
      </w: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3.1.2. 法定代表人授权书（法定代表人作为投标负责人的无需提供）</w:t>
      </w:r>
    </w:p>
    <w:p>
      <w:pPr>
        <w:pStyle w:val="84"/>
        <w:rPr>
          <w:rFonts w:ascii="Times New Roman" w:hAnsi="Times New Roman"/>
          <w:color w:val="000000" w:themeColor="text1"/>
          <w:highlight w:val="none"/>
          <w14:textFill>
            <w14:solidFill>
              <w14:schemeClr w14:val="tx1"/>
            </w14:solidFill>
          </w14:textFill>
        </w:rPr>
      </w:pPr>
    </w:p>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    </w:t>
      </w:r>
      <w:r>
        <w:rPr>
          <w:rFonts w:ascii="Times New Roman" w:hAnsi="Times New Roman" w:eastAsia="仿宋"/>
          <w:b/>
          <w:bCs/>
          <w:color w:val="000000" w:themeColor="text1"/>
          <w:sz w:val="24"/>
          <w:highlight w:val="none"/>
          <w14:textFill>
            <w14:solidFill>
              <w14:schemeClr w14:val="tx1"/>
            </w14:solidFill>
          </w14:textFill>
        </w:rPr>
        <w:t>法定代表人授权书</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致：东莞市万江招投标服务所</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    委托书声明：在下面签字的</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（法定代表人姓名、职务）代表             （供应商名称）委托在下面签字的</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（授权代表的姓名、职务）为本公司的合法代表人，就</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采购项目（采购编号：</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）招标的相关服务的投标和合同的执行，以本公司的名义处理一切与之有关的事宜（须提供授权代表身份证复印件）。</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本委托书于</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年</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月</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日签字生效。</w:t>
      </w:r>
    </w:p>
    <w:p>
      <w:pPr>
        <w:rPr>
          <w:rFonts w:ascii="Times New Roman" w:hAnsi="Times New Roman" w:eastAsia="仿宋"/>
          <w:color w:val="000000" w:themeColor="text1"/>
          <w:sz w:val="24"/>
          <w:highlight w:val="none"/>
          <w14:textFill>
            <w14:solidFill>
              <w14:schemeClr w14:val="tx1"/>
            </w14:solidFill>
          </w14:textFill>
        </w:rPr>
      </w:pPr>
    </w:p>
    <w:tbl>
      <w:tblPr>
        <w:tblStyle w:val="24"/>
        <w:tblpPr w:leftFromText="180" w:rightFromText="180" w:vertAnchor="text" w:horzAnchor="page" w:tblpX="3532" w:tblpY="432"/>
        <w:tblW w:w="4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授权代表人身份证复印件（正、反面）粘贴处</w:t>
            </w:r>
          </w:p>
        </w:tc>
      </w:tr>
    </w:tbl>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ind w:firstLine="1440" w:firstLineChars="600"/>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供应商名称（加盖公章）：</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法定代表人（签名或盖私章）：</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授权代表（签名或盖私章）：</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日期：</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br w:type="page"/>
      </w:r>
      <w:r>
        <w:rPr>
          <w:rFonts w:ascii="Times New Roman" w:hAnsi="Times New Roman" w:eastAsia="仿宋"/>
          <w:b/>
          <w:color w:val="000000" w:themeColor="text1"/>
          <w:sz w:val="24"/>
          <w:highlight w:val="none"/>
          <w14:textFill>
            <w14:solidFill>
              <w14:schemeClr w14:val="tx1"/>
            </w14:solidFill>
          </w14:textFill>
        </w:rPr>
        <w:t>3.2 具有良好的商业信誉和健全的财务会计制度的证明文件</w:t>
      </w:r>
    </w:p>
    <w:p>
      <w:pPr>
        <w:rPr>
          <w:rFonts w:ascii="Times New Roman" w:hAnsi="Times New Roman" w:eastAsia="仿宋"/>
          <w:b/>
          <w:color w:val="000000" w:themeColor="text1"/>
          <w:sz w:val="24"/>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提供财务报告或基本开户银行出具的资信证明或专业担保机构出具的投标担保函</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spacing w:line="48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说明：</w:t>
      </w:r>
    </w:p>
    <w:p>
      <w:pPr>
        <w:spacing w:line="48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1.如提供会计师事务所出具的审计的财务报告复印件，须加盖本单位公章。</w:t>
      </w:r>
    </w:p>
    <w:p>
      <w:pPr>
        <w:spacing w:line="48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2.如提供银行出具的资信证明文件。银行资信证明文件可提供原件，也可提供银行开具资信证明文件的复印件。若提供的是复印件，采购人保留审核原件的权利。</w:t>
      </w:r>
    </w:p>
    <w:p>
      <w:pPr>
        <w:spacing w:line="48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3.如果是联合体投标，联合体各方均需提供上述证明。</w:t>
      </w:r>
    </w:p>
    <w:p>
      <w:pPr>
        <w:spacing w:line="48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4.如采用合格的投标担保函的，可提供投标担保函复印件替代。</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br w:type="page"/>
      </w:r>
      <w:r>
        <w:rPr>
          <w:rFonts w:ascii="Times New Roman" w:hAnsi="Times New Roman" w:eastAsia="仿宋"/>
          <w:b/>
          <w:color w:val="000000" w:themeColor="text1"/>
          <w:sz w:val="24"/>
          <w:highlight w:val="none"/>
          <w14:textFill>
            <w14:solidFill>
              <w14:schemeClr w14:val="tx1"/>
            </w14:solidFill>
          </w14:textFill>
        </w:rPr>
        <w:t>3.3具备履行合同所必需的设备和专业技术能力的证明材料，须提供《供应商具有履行合同所必需的设备和专业技术能力情况》</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说明：供应商按照招标文件提供的《供应商具有履行合同所必需的设备和专业技术能力情况》格式填写，否则不良后果供应商自行承担。</w:t>
      </w: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br w:type="page"/>
      </w: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3.3.1供应商具有履行合同所必需的设备和专业技术能力情况</w:t>
      </w:r>
    </w:p>
    <w:p>
      <w:pPr>
        <w:jc w:val="center"/>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供应商具有履行合同所必需的设备和专业技术能力情况</w:t>
      </w:r>
    </w:p>
    <w:p>
      <w:pPr>
        <w:jc w:val="center"/>
        <w:rPr>
          <w:rFonts w:ascii="Times New Roman" w:hAnsi="Times New Roman" w:eastAsia="仿宋"/>
          <w:b/>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一、设备情况</w:t>
      </w:r>
    </w:p>
    <w:tbl>
      <w:tblPr>
        <w:tblStyle w:val="24"/>
        <w:tblW w:w="8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868"/>
        <w:gridCol w:w="1693"/>
        <w:gridCol w:w="172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84"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序号</w:t>
            </w:r>
          </w:p>
        </w:tc>
        <w:tc>
          <w:tcPr>
            <w:tcW w:w="2868"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设备名称</w:t>
            </w:r>
          </w:p>
        </w:tc>
        <w:tc>
          <w:tcPr>
            <w:tcW w:w="1693"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数量</w:t>
            </w:r>
          </w:p>
        </w:tc>
        <w:tc>
          <w:tcPr>
            <w:tcW w:w="1721"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运行状况</w:t>
            </w:r>
          </w:p>
        </w:tc>
        <w:tc>
          <w:tcPr>
            <w:tcW w:w="1576"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4"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2868"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693" w:type="dxa"/>
          </w:tcPr>
          <w:p>
            <w:pPr>
              <w:rPr>
                <w:rFonts w:ascii="Times New Roman" w:hAnsi="Times New Roman" w:eastAsia="仿宋"/>
                <w:color w:val="000000" w:themeColor="text1"/>
                <w:sz w:val="24"/>
                <w:highlight w:val="none"/>
                <w14:textFill>
                  <w14:solidFill>
                    <w14:schemeClr w14:val="tx1"/>
                  </w14:solidFill>
                </w14:textFill>
              </w:rPr>
            </w:pPr>
          </w:p>
        </w:tc>
        <w:tc>
          <w:tcPr>
            <w:tcW w:w="1721"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576" w:type="dxa"/>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4"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2868"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693" w:type="dxa"/>
          </w:tcPr>
          <w:p>
            <w:pPr>
              <w:rPr>
                <w:rFonts w:ascii="Times New Roman" w:hAnsi="Times New Roman" w:eastAsia="仿宋"/>
                <w:color w:val="000000" w:themeColor="text1"/>
                <w:sz w:val="24"/>
                <w:highlight w:val="none"/>
                <w14:textFill>
                  <w14:solidFill>
                    <w14:schemeClr w14:val="tx1"/>
                  </w14:solidFill>
                </w14:textFill>
              </w:rPr>
            </w:pPr>
          </w:p>
        </w:tc>
        <w:tc>
          <w:tcPr>
            <w:tcW w:w="1721"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576" w:type="dxa"/>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84"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2868"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693" w:type="dxa"/>
          </w:tcPr>
          <w:p>
            <w:pPr>
              <w:rPr>
                <w:rFonts w:ascii="Times New Roman" w:hAnsi="Times New Roman" w:eastAsia="仿宋"/>
                <w:color w:val="000000" w:themeColor="text1"/>
                <w:sz w:val="24"/>
                <w:highlight w:val="none"/>
                <w14:textFill>
                  <w14:solidFill>
                    <w14:schemeClr w14:val="tx1"/>
                  </w14:solidFill>
                </w14:textFill>
              </w:rPr>
            </w:pPr>
          </w:p>
        </w:tc>
        <w:tc>
          <w:tcPr>
            <w:tcW w:w="1721"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576" w:type="dxa"/>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4"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2868"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693" w:type="dxa"/>
          </w:tcPr>
          <w:p>
            <w:pPr>
              <w:rPr>
                <w:rFonts w:ascii="Times New Roman" w:hAnsi="Times New Roman" w:eastAsia="仿宋"/>
                <w:color w:val="000000" w:themeColor="text1"/>
                <w:sz w:val="24"/>
                <w:highlight w:val="none"/>
                <w14:textFill>
                  <w14:solidFill>
                    <w14:schemeClr w14:val="tx1"/>
                  </w14:solidFill>
                </w14:textFill>
              </w:rPr>
            </w:pPr>
          </w:p>
        </w:tc>
        <w:tc>
          <w:tcPr>
            <w:tcW w:w="1721"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576" w:type="dxa"/>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2868"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693" w:type="dxa"/>
          </w:tcPr>
          <w:p>
            <w:pPr>
              <w:rPr>
                <w:rFonts w:ascii="Times New Roman" w:hAnsi="Times New Roman" w:eastAsia="仿宋"/>
                <w:color w:val="000000" w:themeColor="text1"/>
                <w:sz w:val="24"/>
                <w:highlight w:val="none"/>
                <w14:textFill>
                  <w14:solidFill>
                    <w14:schemeClr w14:val="tx1"/>
                  </w14:solidFill>
                </w14:textFill>
              </w:rPr>
            </w:pPr>
          </w:p>
        </w:tc>
        <w:tc>
          <w:tcPr>
            <w:tcW w:w="1721"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576" w:type="dxa"/>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2868"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693" w:type="dxa"/>
          </w:tcPr>
          <w:p>
            <w:pPr>
              <w:rPr>
                <w:rFonts w:ascii="Times New Roman" w:hAnsi="Times New Roman" w:eastAsia="仿宋"/>
                <w:color w:val="000000" w:themeColor="text1"/>
                <w:sz w:val="24"/>
                <w:highlight w:val="none"/>
                <w14:textFill>
                  <w14:solidFill>
                    <w14:schemeClr w14:val="tx1"/>
                  </w14:solidFill>
                </w14:textFill>
              </w:rPr>
            </w:pPr>
          </w:p>
        </w:tc>
        <w:tc>
          <w:tcPr>
            <w:tcW w:w="1721"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576" w:type="dxa"/>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2868"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693" w:type="dxa"/>
          </w:tcPr>
          <w:p>
            <w:pPr>
              <w:rPr>
                <w:rFonts w:ascii="Times New Roman" w:hAnsi="Times New Roman" w:eastAsia="仿宋"/>
                <w:color w:val="000000" w:themeColor="text1"/>
                <w:sz w:val="24"/>
                <w:highlight w:val="none"/>
                <w14:textFill>
                  <w14:solidFill>
                    <w14:schemeClr w14:val="tx1"/>
                  </w14:solidFill>
                </w14:textFill>
              </w:rPr>
            </w:pPr>
          </w:p>
        </w:tc>
        <w:tc>
          <w:tcPr>
            <w:tcW w:w="1721"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576" w:type="dxa"/>
          </w:tcPr>
          <w:p>
            <w:pPr>
              <w:rPr>
                <w:rFonts w:ascii="Times New Roman" w:hAnsi="Times New Roman" w:eastAsia="仿宋"/>
                <w:color w:val="000000" w:themeColor="text1"/>
                <w:sz w:val="24"/>
                <w:highlight w:val="none"/>
                <w14:textFill>
                  <w14:solidFill>
                    <w14:schemeClr w14:val="tx1"/>
                  </w14:solidFill>
                </w14:textFill>
              </w:rPr>
            </w:pPr>
          </w:p>
        </w:tc>
      </w:tr>
    </w:tbl>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二、专业技术能力情况：</w:t>
      </w:r>
    </w:p>
    <w:tbl>
      <w:tblPr>
        <w:tblStyle w:val="24"/>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950"/>
        <w:gridCol w:w="2647"/>
        <w:gridCol w:w="167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05"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序号</w:t>
            </w:r>
          </w:p>
        </w:tc>
        <w:tc>
          <w:tcPr>
            <w:tcW w:w="1950"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人员姓名</w:t>
            </w:r>
          </w:p>
        </w:tc>
        <w:tc>
          <w:tcPr>
            <w:tcW w:w="2647"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身份证号</w:t>
            </w:r>
          </w:p>
        </w:tc>
        <w:tc>
          <w:tcPr>
            <w:tcW w:w="1671"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岗位</w:t>
            </w:r>
          </w:p>
        </w:tc>
        <w:tc>
          <w:tcPr>
            <w:tcW w:w="1530" w:type="dxa"/>
            <w:vAlign w:val="center"/>
          </w:tcPr>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950"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2647"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671"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530" w:type="dxa"/>
            <w:vAlign w:val="center"/>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950"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2647"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671"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530" w:type="dxa"/>
            <w:vAlign w:val="center"/>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950"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2647"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671"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530" w:type="dxa"/>
            <w:vAlign w:val="center"/>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950"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2647"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671"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530" w:type="dxa"/>
            <w:vAlign w:val="center"/>
          </w:tcPr>
          <w:p>
            <w:pPr>
              <w:rPr>
                <w:rFonts w:ascii="Times New Roman" w:hAnsi="Times New Roman"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950"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2647"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671" w:type="dxa"/>
            <w:vAlign w:val="center"/>
          </w:tcPr>
          <w:p>
            <w:pPr>
              <w:rPr>
                <w:rFonts w:ascii="Times New Roman" w:hAnsi="Times New Roman" w:eastAsia="仿宋"/>
                <w:color w:val="000000" w:themeColor="text1"/>
                <w:sz w:val="24"/>
                <w:highlight w:val="none"/>
                <w14:textFill>
                  <w14:solidFill>
                    <w14:schemeClr w14:val="tx1"/>
                  </w14:solidFill>
                </w14:textFill>
              </w:rPr>
            </w:pPr>
          </w:p>
        </w:tc>
        <w:tc>
          <w:tcPr>
            <w:tcW w:w="1530" w:type="dxa"/>
            <w:vAlign w:val="center"/>
          </w:tcPr>
          <w:p>
            <w:pPr>
              <w:rPr>
                <w:rFonts w:ascii="Times New Roman" w:hAnsi="Times New Roman" w:eastAsia="仿宋"/>
                <w:color w:val="000000" w:themeColor="text1"/>
                <w:sz w:val="24"/>
                <w:highlight w:val="none"/>
                <w14:textFill>
                  <w14:solidFill>
                    <w14:schemeClr w14:val="tx1"/>
                  </w14:solidFill>
                </w14:textFill>
              </w:rPr>
            </w:pPr>
          </w:p>
        </w:tc>
      </w:tr>
    </w:tbl>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本公司承诺上述材料真实有效且具备履行合同所必需的设备和专业技术能力。</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供应商名称（加盖公章）：</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日    期：</w:t>
      </w: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br w:type="page"/>
      </w: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3.4  依法缴纳税收和社会保障资金的良好记录</w:t>
      </w:r>
    </w:p>
    <w:p>
      <w:pPr>
        <w:rPr>
          <w:rFonts w:ascii="Times New Roman" w:hAnsi="Times New Roman" w:eastAsia="仿宋"/>
          <w:b/>
          <w:color w:val="000000" w:themeColor="text1"/>
          <w:sz w:val="24"/>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提供投标截止日前6个月内任意1个月依法缴纳税收和社会保障资金的相关材料。如依法免税或不需要缴纳社会保障资金的，须提供相应证明材料</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说明： </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      1.复印件上应加盖本单位公章。</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      2.如果是联合体投标，联合体各方均需提供上述证明。</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br w:type="page"/>
      </w:r>
      <w:r>
        <w:rPr>
          <w:rFonts w:ascii="Times New Roman" w:hAnsi="Times New Roman" w:eastAsia="仿宋"/>
          <w:b/>
          <w:color w:val="000000" w:themeColor="text1"/>
          <w:sz w:val="24"/>
          <w:highlight w:val="none"/>
          <w14:textFill>
            <w14:solidFill>
              <w14:schemeClr w14:val="tx1"/>
            </w14:solidFill>
          </w14:textFill>
        </w:rPr>
        <w:t>3.5 参加政府采购活动前3年内在经营活动中没有重大违法记录的书面声明</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说明：1.按照招标文件格式提供，否则不良后果供应商自行承担。</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      2.如果是联合体投标，联合体各方均需提供上述证明。</w:t>
      </w:r>
      <w:r>
        <w:rPr>
          <w:rFonts w:ascii="Times New Roman" w:hAnsi="Times New Roman" w:eastAsia="仿宋"/>
          <w:color w:val="000000" w:themeColor="text1"/>
          <w:sz w:val="24"/>
          <w:highlight w:val="none"/>
          <w14:textFill>
            <w14:solidFill>
              <w14:schemeClr w14:val="tx1"/>
            </w14:solidFill>
          </w14:textFill>
        </w:rPr>
        <w:br w:type="textWrapping"/>
      </w: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br w:type="page"/>
      </w:r>
      <w:r>
        <w:rPr>
          <w:rFonts w:ascii="Times New Roman" w:hAnsi="Times New Roman" w:eastAsia="仿宋"/>
          <w:b/>
          <w:color w:val="000000" w:themeColor="text1"/>
          <w:sz w:val="24"/>
          <w:highlight w:val="none"/>
          <w14:textFill>
            <w14:solidFill>
              <w14:schemeClr w14:val="tx1"/>
            </w14:solidFill>
          </w14:textFill>
        </w:rPr>
        <w:t>3.5.1在经营活动中没有重大违法记录的书面声明</w:t>
      </w:r>
    </w:p>
    <w:p>
      <w:pPr>
        <w:rPr>
          <w:rFonts w:ascii="Times New Roman" w:hAnsi="Times New Roman" w:eastAsia="仿宋"/>
          <w:b/>
          <w:color w:val="000000" w:themeColor="text1"/>
          <w:sz w:val="24"/>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在经营活动中没有重大违法记录的书面声明</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致：东莞市万江招投标服务所</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   本公司参加</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采购项目（采购编号：</w:t>
      </w:r>
      <w:r>
        <w:rPr>
          <w:rFonts w:ascii="Times New Roman" w:hAnsi="Times New Roman" w:eastAsia="仿宋"/>
          <w:color w:val="000000" w:themeColor="text1"/>
          <w:sz w:val="24"/>
          <w:highlight w:val="none"/>
          <w:u w:val="single"/>
          <w14:textFill>
            <w14:solidFill>
              <w14:schemeClr w14:val="tx1"/>
            </w14:solidFill>
          </w14:textFill>
        </w:rPr>
        <w:t>　　　　</w:t>
      </w:r>
      <w:r>
        <w:rPr>
          <w:rFonts w:ascii="Times New Roman" w:hAnsi="Times New Roman" w:eastAsia="仿宋"/>
          <w:color w:val="000000" w:themeColor="text1"/>
          <w:sz w:val="24"/>
          <w:highlight w:val="none"/>
          <w14:textFill>
            <w14:solidFill>
              <w14:schemeClr w14:val="tx1"/>
            </w14:solidFill>
          </w14:textFill>
        </w:rPr>
        <w:t>）的政府采购活动，并声明：</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本公司参加本采购项目政府采购前3年内在经营活动中没有因违法经营受到刑事处罚或者责令停产停业、吊销许可证或者执照、较大数额罚款等行政处罚。</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特此声明！</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供应商名称（加盖公章）：</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日期：</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br w:type="page"/>
      </w:r>
      <w:r>
        <w:rPr>
          <w:rFonts w:ascii="Times New Roman" w:hAnsi="Times New Roman" w:eastAsia="仿宋"/>
          <w:color w:val="000000" w:themeColor="text1"/>
          <w:sz w:val="24"/>
          <w:highlight w:val="none"/>
          <w14:textFill>
            <w14:solidFill>
              <w14:schemeClr w14:val="tx1"/>
            </w14:solidFill>
          </w14:textFill>
        </w:rPr>
        <w:t xml:space="preserve"> </w:t>
      </w:r>
      <w:r>
        <w:rPr>
          <w:rFonts w:ascii="Times New Roman" w:hAnsi="Times New Roman" w:eastAsia="仿宋"/>
          <w:b/>
          <w:color w:val="000000" w:themeColor="text1"/>
          <w:sz w:val="24"/>
          <w:highlight w:val="none"/>
          <w14:textFill>
            <w14:solidFill>
              <w14:schemeClr w14:val="tx1"/>
            </w14:solidFill>
          </w14:textFill>
        </w:rPr>
        <w:t>3.6供应商须知资料表要求的其他资格证明文件</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spacing w:line="48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说明：1.应提供供应商须知资料表要求的其他资格证明文件。</w:t>
      </w:r>
    </w:p>
    <w:p>
      <w:pPr>
        <w:spacing w:line="48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      2.复印件上应加盖本单位公章。</w:t>
      </w:r>
    </w:p>
    <w:p>
      <w:pPr>
        <w:spacing w:line="480" w:lineRule="exact"/>
        <w:ind w:left="960" w:hanging="960" w:hangingChars="400"/>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      3.如果是联合体投标，联合体各方需提供的满足招标文件要求的其他资格证明文件。</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br w:type="page"/>
      </w:r>
      <w:r>
        <w:rPr>
          <w:rFonts w:ascii="Times New Roman" w:hAnsi="Times New Roman" w:eastAsia="仿宋"/>
          <w:b/>
          <w:color w:val="000000" w:themeColor="text1"/>
          <w:sz w:val="24"/>
          <w:highlight w:val="none"/>
          <w14:textFill>
            <w14:solidFill>
              <w14:schemeClr w14:val="tx1"/>
            </w14:solidFill>
          </w14:textFill>
        </w:rPr>
        <w:t>4 商务技术证明文件</w:t>
      </w:r>
    </w:p>
    <w:p>
      <w:pPr>
        <w:jc w:val="center"/>
        <w:rPr>
          <w:rFonts w:ascii="Times New Roman" w:hAnsi="Times New Roman" w:eastAsia="仿宋"/>
          <w:b/>
          <w:color w:val="000000" w:themeColor="text1"/>
          <w:sz w:val="24"/>
          <w:highlight w:val="none"/>
          <w14:textFill>
            <w14:solidFill>
              <w14:schemeClr w14:val="tx1"/>
            </w14:solidFill>
          </w14:textFill>
        </w:rPr>
      </w:pPr>
    </w:p>
    <w:p>
      <w:pPr>
        <w:jc w:val="center"/>
        <w:rPr>
          <w:rFonts w:ascii="Times New Roman" w:hAnsi="Times New Roman" w:eastAsia="仿宋"/>
          <w:color w:val="000000" w:themeColor="text1"/>
          <w:sz w:val="24"/>
          <w:highlight w:val="none"/>
          <w14:textFill>
            <w14:solidFill>
              <w14:schemeClr w14:val="tx1"/>
            </w14:solidFill>
          </w14:textFill>
        </w:rPr>
      </w:pPr>
    </w:p>
    <w:p>
      <w:pPr>
        <w:jc w:val="cente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供应商按照招标文件商务技术评审内容提供相关的证明材料。</w:t>
      </w:r>
      <w:r>
        <w:rPr>
          <w:rFonts w:ascii="Times New Roman" w:hAnsi="Times New Roman" w:eastAsia="仿宋"/>
          <w:color w:val="000000" w:themeColor="text1"/>
          <w:sz w:val="24"/>
          <w:highlight w:val="none"/>
          <w14:textFill>
            <w14:solidFill>
              <w14:schemeClr w14:val="tx1"/>
            </w14:solidFill>
          </w14:textFill>
        </w:rPr>
        <w:br w:type="page"/>
      </w: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5 其他文件</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  </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注：中型、小型或微型企业投标时须提交中小企业声明函并注明企业类型；监狱企业投标时须提交本函和由省级以上监狱管理局、戒毒管理局(含新疆生产建设兵团)出具的监狱企业证明文件；残疾人福利性单位投标时须提交本函和《残疾人福利性单位声明函》]</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br w:type="page"/>
      </w:r>
      <w:r>
        <w:rPr>
          <w:rFonts w:ascii="Times New Roman" w:hAnsi="Times New Roman" w:eastAsia="仿宋"/>
          <w:b/>
          <w:color w:val="000000" w:themeColor="text1"/>
          <w:sz w:val="24"/>
          <w:highlight w:val="none"/>
          <w14:textFill>
            <w14:solidFill>
              <w14:schemeClr w14:val="tx1"/>
            </w14:solidFill>
          </w14:textFill>
        </w:rPr>
        <w:t>5.1中小企业声明函</w:t>
      </w:r>
    </w:p>
    <w:p>
      <w:pPr>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中小企业声明函（货物）</w:t>
      </w:r>
    </w:p>
    <w:p>
      <w:pPr>
        <w:jc w:val="center"/>
        <w:rPr>
          <w:rFonts w:ascii="Times New Roman" w:hAnsi="Times New Roman" w:eastAsia="仿宋"/>
          <w:color w:val="000000" w:themeColor="text1"/>
          <w:sz w:val="24"/>
          <w:highlight w:val="none"/>
          <w14:textFill>
            <w14:solidFill>
              <w14:schemeClr w14:val="tx1"/>
            </w14:solidFill>
          </w14:textFill>
        </w:rPr>
      </w:pPr>
    </w:p>
    <w:p>
      <w:pPr>
        <w:spacing w:line="460" w:lineRule="exact"/>
        <w:ind w:firstLine="480" w:firstLineChars="200"/>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ascii="Times New Roman" w:hAnsi="Times New Roman" w:eastAsia="仿宋"/>
          <w:color w:val="000000" w:themeColor="text1"/>
          <w:sz w:val="24"/>
          <w:highlight w:val="none"/>
          <w:u w:val="single"/>
          <w14:textFill>
            <w14:solidFill>
              <w14:schemeClr w14:val="tx1"/>
            </w14:solidFill>
          </w14:textFill>
        </w:rPr>
        <w:t>（单位名称）</w:t>
      </w:r>
      <w:r>
        <w:rPr>
          <w:rFonts w:ascii="Times New Roman" w:hAnsi="Times New Roman" w:eastAsia="仿宋"/>
          <w:color w:val="000000" w:themeColor="text1"/>
          <w:sz w:val="24"/>
          <w:highlight w:val="none"/>
          <w14:textFill>
            <w14:solidFill>
              <w14:schemeClr w14:val="tx1"/>
            </w14:solidFill>
          </w14:textFill>
        </w:rPr>
        <w:t>的</w:t>
      </w:r>
      <w:r>
        <w:rPr>
          <w:rFonts w:ascii="Times New Roman" w:hAnsi="Times New Roman" w:eastAsia="仿宋"/>
          <w:color w:val="000000" w:themeColor="text1"/>
          <w:sz w:val="24"/>
          <w:highlight w:val="none"/>
          <w:u w:val="single"/>
          <w14:textFill>
            <w14:solidFill>
              <w14:schemeClr w14:val="tx1"/>
            </w14:solidFill>
          </w14:textFill>
        </w:rPr>
        <w:t>（项目名称）</w:t>
      </w:r>
      <w:r>
        <w:rPr>
          <w:rFonts w:ascii="Times New Roman" w:hAnsi="Times New Roman" w:eastAsia="仿宋"/>
          <w:color w:val="000000" w:themeColor="text1"/>
          <w:sz w:val="24"/>
          <w:highlight w:val="none"/>
          <w14:textFill>
            <w14:solidFill>
              <w14:schemeClr w14:val="tx1"/>
            </w14:solidFill>
          </w14:textFill>
        </w:rPr>
        <w:t>采购活动，提供的货物全部为符合政策要求的中小企业制造。相关企业（含联合体中的中小企业、签订分包意向协议的中小企业）的具体情况如下：</w:t>
      </w:r>
    </w:p>
    <w:p>
      <w:pPr>
        <w:spacing w:line="460" w:lineRule="exact"/>
        <w:ind w:firstLine="480" w:firstLineChars="200"/>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1.</w:t>
      </w:r>
      <w:r>
        <w:rPr>
          <w:rFonts w:ascii="Times New Roman" w:hAnsi="Times New Roman" w:eastAsia="仿宋"/>
          <w:color w:val="000000" w:themeColor="text1"/>
          <w:sz w:val="24"/>
          <w:highlight w:val="none"/>
          <w:u w:val="single"/>
          <w14:textFill>
            <w14:solidFill>
              <w14:schemeClr w14:val="tx1"/>
            </w14:solidFill>
          </w14:textFill>
        </w:rPr>
        <w:t xml:space="preserve"> （标的名称） </w:t>
      </w:r>
      <w:r>
        <w:rPr>
          <w:rFonts w:ascii="Times New Roman" w:hAnsi="Times New Roman" w:eastAsia="仿宋"/>
          <w:color w:val="000000" w:themeColor="text1"/>
          <w:sz w:val="24"/>
          <w:highlight w:val="none"/>
          <w14:textFill>
            <w14:solidFill>
              <w14:schemeClr w14:val="tx1"/>
            </w14:solidFill>
          </w14:textFill>
        </w:rPr>
        <w:t>，属于</w:t>
      </w:r>
      <w:r>
        <w:rPr>
          <w:rFonts w:ascii="Times New Roman" w:hAnsi="Times New Roman" w:eastAsia="仿宋"/>
          <w:color w:val="000000" w:themeColor="text1"/>
          <w:sz w:val="24"/>
          <w:highlight w:val="none"/>
          <w:u w:val="single"/>
          <w14:textFill>
            <w14:solidFill>
              <w14:schemeClr w14:val="tx1"/>
            </w14:solidFill>
          </w14:textFill>
        </w:rPr>
        <w:t>（采购文件中明确的所属行业）</w:t>
      </w:r>
      <w:r>
        <w:rPr>
          <w:rFonts w:ascii="Times New Roman" w:hAnsi="Times New Roman" w:eastAsia="仿宋"/>
          <w:color w:val="000000" w:themeColor="text1"/>
          <w:sz w:val="24"/>
          <w:highlight w:val="none"/>
          <w14:textFill>
            <w14:solidFill>
              <w14:schemeClr w14:val="tx1"/>
            </w14:solidFill>
          </w14:textFill>
        </w:rPr>
        <w:t>；制造商为</w:t>
      </w:r>
      <w:r>
        <w:rPr>
          <w:rFonts w:ascii="Times New Roman" w:hAnsi="Times New Roman" w:eastAsia="仿宋"/>
          <w:color w:val="000000" w:themeColor="text1"/>
          <w:sz w:val="24"/>
          <w:highlight w:val="none"/>
          <w:u w:val="single"/>
          <w14:textFill>
            <w14:solidFill>
              <w14:schemeClr w14:val="tx1"/>
            </w14:solidFill>
          </w14:textFill>
        </w:rPr>
        <w:t>（企业名称）</w:t>
      </w:r>
      <w:r>
        <w:rPr>
          <w:rFonts w:ascii="Times New Roman" w:hAnsi="Times New Roman" w:eastAsia="仿宋"/>
          <w:color w:val="000000" w:themeColor="text1"/>
          <w:sz w:val="24"/>
          <w:highlight w:val="none"/>
          <w14:textFill>
            <w14:solidFill>
              <w14:schemeClr w14:val="tx1"/>
            </w14:solidFill>
          </w14:textFill>
        </w:rPr>
        <w:t>，从业人员</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人，营业收入为</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万元，资产总额为</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万元</w:t>
      </w:r>
      <w:r>
        <w:rPr>
          <w:rFonts w:ascii="Times New Roman" w:hAnsi="Times New Roman" w:eastAsia="仿宋"/>
          <w:color w:val="000000" w:themeColor="text1"/>
          <w:sz w:val="24"/>
          <w:highlight w:val="none"/>
          <w:vertAlign w:val="superscript"/>
          <w14:textFill>
            <w14:solidFill>
              <w14:schemeClr w14:val="tx1"/>
            </w14:solidFill>
          </w14:textFill>
        </w:rPr>
        <w:t>1</w:t>
      </w:r>
      <w:r>
        <w:rPr>
          <w:rFonts w:ascii="Times New Roman" w:hAnsi="Times New Roman" w:eastAsia="仿宋"/>
          <w:color w:val="000000" w:themeColor="text1"/>
          <w:sz w:val="24"/>
          <w:highlight w:val="none"/>
          <w14:textFill>
            <w14:solidFill>
              <w14:schemeClr w14:val="tx1"/>
            </w14:solidFill>
          </w14:textFill>
        </w:rPr>
        <w:t>，属于</w:t>
      </w:r>
      <w:r>
        <w:rPr>
          <w:rFonts w:ascii="Times New Roman" w:hAnsi="Times New Roman" w:eastAsia="仿宋"/>
          <w:color w:val="000000" w:themeColor="text1"/>
          <w:sz w:val="24"/>
          <w:highlight w:val="none"/>
          <w:u w:val="single"/>
          <w14:textFill>
            <w14:solidFill>
              <w14:schemeClr w14:val="tx1"/>
            </w14:solidFill>
          </w14:textFill>
        </w:rPr>
        <w:t>（中型企业、小型企业、微型企业）</w:t>
      </w:r>
      <w:r>
        <w:rPr>
          <w:rFonts w:ascii="Times New Roman" w:hAnsi="Times New Roman" w:eastAsia="仿宋"/>
          <w:color w:val="000000" w:themeColor="text1"/>
          <w:sz w:val="24"/>
          <w:highlight w:val="none"/>
          <w14:textFill>
            <w14:solidFill>
              <w14:schemeClr w14:val="tx1"/>
            </w14:solidFill>
          </w14:textFill>
        </w:rPr>
        <w:t>；</w:t>
      </w:r>
    </w:p>
    <w:p>
      <w:pPr>
        <w:spacing w:line="460" w:lineRule="exact"/>
        <w:ind w:firstLine="480" w:firstLineChars="200"/>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2. </w:t>
      </w:r>
      <w:r>
        <w:rPr>
          <w:rFonts w:ascii="Times New Roman" w:hAnsi="Times New Roman" w:eastAsia="仿宋"/>
          <w:color w:val="000000" w:themeColor="text1"/>
          <w:sz w:val="24"/>
          <w:highlight w:val="none"/>
          <w:u w:val="single"/>
          <w14:textFill>
            <w14:solidFill>
              <w14:schemeClr w14:val="tx1"/>
            </w14:solidFill>
          </w14:textFill>
        </w:rPr>
        <w:t xml:space="preserve">（标的名称） </w:t>
      </w:r>
      <w:r>
        <w:rPr>
          <w:rFonts w:ascii="Times New Roman" w:hAnsi="Times New Roman" w:eastAsia="仿宋"/>
          <w:color w:val="000000" w:themeColor="text1"/>
          <w:sz w:val="24"/>
          <w:highlight w:val="none"/>
          <w14:textFill>
            <w14:solidFill>
              <w14:schemeClr w14:val="tx1"/>
            </w14:solidFill>
          </w14:textFill>
        </w:rPr>
        <w:t>，属于</w:t>
      </w:r>
      <w:r>
        <w:rPr>
          <w:rFonts w:ascii="Times New Roman" w:hAnsi="Times New Roman" w:eastAsia="仿宋"/>
          <w:color w:val="000000" w:themeColor="text1"/>
          <w:sz w:val="24"/>
          <w:highlight w:val="none"/>
          <w:u w:val="single"/>
          <w14:textFill>
            <w14:solidFill>
              <w14:schemeClr w14:val="tx1"/>
            </w14:solidFill>
          </w14:textFill>
        </w:rPr>
        <w:t>（采购文件中明确的所属行业）</w:t>
      </w:r>
      <w:r>
        <w:rPr>
          <w:rFonts w:ascii="Times New Roman" w:hAnsi="Times New Roman" w:eastAsia="仿宋"/>
          <w:color w:val="000000" w:themeColor="text1"/>
          <w:sz w:val="24"/>
          <w:highlight w:val="none"/>
          <w14:textFill>
            <w14:solidFill>
              <w14:schemeClr w14:val="tx1"/>
            </w14:solidFill>
          </w14:textFill>
        </w:rPr>
        <w:t>；制造商为</w:t>
      </w:r>
      <w:r>
        <w:rPr>
          <w:rFonts w:ascii="Times New Roman" w:hAnsi="Times New Roman" w:eastAsia="仿宋"/>
          <w:color w:val="000000" w:themeColor="text1"/>
          <w:sz w:val="24"/>
          <w:highlight w:val="none"/>
          <w:u w:val="single"/>
          <w14:textFill>
            <w14:solidFill>
              <w14:schemeClr w14:val="tx1"/>
            </w14:solidFill>
          </w14:textFill>
        </w:rPr>
        <w:t>（企业名称）</w:t>
      </w:r>
      <w:r>
        <w:rPr>
          <w:rFonts w:ascii="Times New Roman" w:hAnsi="Times New Roman" w:eastAsia="仿宋"/>
          <w:color w:val="000000" w:themeColor="text1"/>
          <w:sz w:val="24"/>
          <w:highlight w:val="none"/>
          <w14:textFill>
            <w14:solidFill>
              <w14:schemeClr w14:val="tx1"/>
            </w14:solidFill>
          </w14:textFill>
        </w:rPr>
        <w:t>，从业人员</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人，营业收入为</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万元，资产总额为</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万元，属于</w:t>
      </w:r>
      <w:r>
        <w:rPr>
          <w:rFonts w:ascii="Times New Roman" w:hAnsi="Times New Roman" w:eastAsia="仿宋"/>
          <w:color w:val="000000" w:themeColor="text1"/>
          <w:sz w:val="24"/>
          <w:highlight w:val="none"/>
          <w:u w:val="single"/>
          <w14:textFill>
            <w14:solidFill>
              <w14:schemeClr w14:val="tx1"/>
            </w14:solidFill>
          </w14:textFill>
        </w:rPr>
        <w:t>（中型企业、小型企业、微型企业）</w:t>
      </w:r>
      <w:r>
        <w:rPr>
          <w:rFonts w:ascii="Times New Roman" w:hAnsi="Times New Roman" w:eastAsia="仿宋"/>
          <w:color w:val="000000" w:themeColor="text1"/>
          <w:sz w:val="24"/>
          <w:highlight w:val="none"/>
          <w14:textFill>
            <w14:solidFill>
              <w14:schemeClr w14:val="tx1"/>
            </w14:solidFill>
          </w14:textFill>
        </w:rPr>
        <w:t>；</w:t>
      </w:r>
    </w:p>
    <w:p>
      <w:pPr>
        <w:spacing w:line="460" w:lineRule="exact"/>
        <w:ind w:firstLine="480" w:firstLineChars="200"/>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w:t>
      </w:r>
    </w:p>
    <w:p>
      <w:pPr>
        <w:spacing w:line="460" w:lineRule="exact"/>
        <w:ind w:firstLine="480" w:firstLineChars="200"/>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460" w:lineRule="exact"/>
        <w:ind w:firstLine="480" w:firstLineChars="200"/>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本企业对上述声明内容的真实性负责。如有虚假，将依法承担相应责任。</w:t>
      </w:r>
    </w:p>
    <w:p>
      <w:pPr>
        <w:spacing w:line="460" w:lineRule="exact"/>
        <w:rPr>
          <w:rFonts w:ascii="Times New Roman" w:hAnsi="Times New Roman" w:eastAsia="仿宋"/>
          <w:color w:val="000000" w:themeColor="text1"/>
          <w:sz w:val="24"/>
          <w:highlight w:val="none"/>
          <w14:textFill>
            <w14:solidFill>
              <w14:schemeClr w14:val="tx1"/>
            </w14:solidFill>
          </w14:textFill>
        </w:rPr>
      </w:pPr>
    </w:p>
    <w:p>
      <w:pPr>
        <w:spacing w:line="460" w:lineRule="exact"/>
        <w:rPr>
          <w:rFonts w:ascii="Times New Roman" w:hAnsi="Times New Roman" w:eastAsia="仿宋"/>
          <w:color w:val="000000" w:themeColor="text1"/>
          <w:sz w:val="24"/>
          <w:highlight w:val="none"/>
          <w14:textFill>
            <w14:solidFill>
              <w14:schemeClr w14:val="tx1"/>
            </w14:solidFill>
          </w14:textFill>
        </w:rPr>
      </w:pP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1 从业人员、营业收入、资产总额填报上一年度数据，无上一年度数据的新成立企业可不填报。 </w:t>
      </w:r>
    </w:p>
    <w:p>
      <w:pPr>
        <w:pStyle w:val="2"/>
        <w:spacing w:line="460" w:lineRule="exact"/>
        <w:jc w:val="righ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企业名称（盖章）：</w:t>
      </w:r>
    </w:p>
    <w:p>
      <w:pPr>
        <w:pStyle w:val="2"/>
        <w:spacing w:line="460" w:lineRule="exact"/>
        <w:jc w:val="cente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                                                           日期：</w:t>
      </w:r>
    </w:p>
    <w:p>
      <w:pPr>
        <w:pStyle w:val="22"/>
        <w:ind w:firstLine="210"/>
        <w:rPr>
          <w:rFonts w:ascii="Times New Roman" w:hAnsi="Times New Roman"/>
          <w:color w:val="000000" w:themeColor="text1"/>
          <w:highlight w:val="none"/>
          <w14:textFill>
            <w14:solidFill>
              <w14:schemeClr w14:val="tx1"/>
            </w14:solidFill>
          </w14:textFill>
        </w:rPr>
      </w:pPr>
    </w:p>
    <w:p>
      <w:pPr>
        <w:spacing w:line="500" w:lineRule="exact"/>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注:如果未存在上述情况,则供应商可以不提供本声明。</w:t>
      </w:r>
    </w:p>
    <w:p>
      <w:pPr>
        <w:pStyle w:val="84"/>
        <w:rPr>
          <w:rFonts w:ascii="Times New Roman" w:hAnsi="Times New Roman"/>
          <w:color w:val="000000" w:themeColor="text1"/>
          <w:highlight w:val="none"/>
          <w14:textFill>
            <w14:solidFill>
              <w14:schemeClr w14:val="tx1"/>
            </w14:solidFill>
          </w14:textFill>
        </w:rPr>
      </w:pPr>
    </w:p>
    <w:p>
      <w:pPr>
        <w:pStyle w:val="84"/>
        <w:rPr>
          <w:rFonts w:ascii="Times New Roman" w:hAnsi="Times New Roman"/>
          <w:color w:val="000000" w:themeColor="text1"/>
          <w:highlight w:val="none"/>
          <w14:textFill>
            <w14:solidFill>
              <w14:schemeClr w14:val="tx1"/>
            </w14:solidFill>
          </w14:textFill>
        </w:rPr>
      </w:pP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5.2残疾人福利性单位声明函</w:t>
      </w:r>
    </w:p>
    <w:p>
      <w:pPr>
        <w:jc w:val="center"/>
        <w:rPr>
          <w:rFonts w:ascii="Times New Roman" w:hAnsi="Times New Roman" w:eastAsia="仿宋"/>
          <w:b/>
          <w:bCs/>
          <w:color w:val="000000" w:themeColor="text1"/>
          <w:sz w:val="24"/>
          <w:highlight w:val="none"/>
          <w14:textFill>
            <w14:solidFill>
              <w14:schemeClr w14:val="tx1"/>
            </w14:solidFill>
          </w14:textFill>
        </w:rPr>
      </w:pPr>
    </w:p>
    <w:p>
      <w:pPr>
        <w:jc w:val="center"/>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残疾人福利性单位声明函</w:t>
      </w:r>
    </w:p>
    <w:p>
      <w:pPr>
        <w:jc w:val="center"/>
        <w:rPr>
          <w:rFonts w:ascii="Times New Roman" w:hAnsi="Times New Roman" w:eastAsia="仿宋"/>
          <w:color w:val="000000" w:themeColor="text1"/>
          <w:sz w:val="24"/>
          <w:highlight w:val="none"/>
          <w14:textFill>
            <w14:solidFill>
              <w14:schemeClr w14:val="tx1"/>
            </w14:solidFill>
          </w14:textFill>
        </w:rPr>
      </w:pPr>
    </w:p>
    <w:p>
      <w:pPr>
        <w:ind w:firstLine="480" w:firstLineChars="200"/>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单位的</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本单位对上述声明的真实性负责。如有虚假，将依法承担相应责任。</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ind w:firstLine="4800" w:firstLineChars="2000"/>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单位名称（盖章）：</w:t>
      </w:r>
    </w:p>
    <w:p>
      <w:pPr>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                                        日  期：</w:t>
      </w:r>
    </w:p>
    <w:p>
      <w:pPr>
        <w:pStyle w:val="84"/>
        <w:rPr>
          <w:rFonts w:ascii="Times New Roman" w:hAnsi="Times New Roman"/>
          <w:color w:val="000000" w:themeColor="text1"/>
          <w:highlight w:val="none"/>
          <w14:textFill>
            <w14:solidFill>
              <w14:schemeClr w14:val="tx1"/>
            </w14:solidFill>
          </w14:textFill>
        </w:rPr>
      </w:pPr>
    </w:p>
    <w:p>
      <w:pPr>
        <w:jc w:val="left"/>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注:如果未存在上述情况,则供应商可以不提供本声明。</w:t>
      </w:r>
    </w:p>
    <w:p>
      <w:pPr>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br w:type="page"/>
      </w:r>
    </w:p>
    <w:p>
      <w:pPr>
        <w:jc w:val="left"/>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b/>
          <w:color w:val="000000" w:themeColor="text1"/>
          <w:sz w:val="24"/>
          <w:highlight w:val="none"/>
          <w14:textFill>
            <w14:solidFill>
              <w14:schemeClr w14:val="tx1"/>
            </w14:solidFill>
          </w14:textFill>
        </w:rPr>
        <w:t>5.3   供应商关联单位的说明</w:t>
      </w:r>
    </w:p>
    <w:p>
      <w:pPr>
        <w:rPr>
          <w:rFonts w:ascii="Times New Roman" w:hAnsi="Times New Roman" w:eastAsia="仿宋"/>
          <w:color w:val="000000" w:themeColor="text1"/>
          <w:sz w:val="24"/>
          <w:highlight w:val="none"/>
          <w14:textFill>
            <w14:solidFill>
              <w14:schemeClr w14:val="tx1"/>
            </w14:solidFill>
          </w14:textFill>
        </w:rPr>
      </w:pPr>
    </w:p>
    <w:p>
      <w:pPr>
        <w:rPr>
          <w:rFonts w:ascii="Times New Roman" w:hAnsi="Times New Roman" w:eastAsia="仿宋"/>
          <w:color w:val="000000" w:themeColor="text1"/>
          <w:sz w:val="24"/>
          <w:highlight w:val="none"/>
          <w14:textFill>
            <w14:solidFill>
              <w14:schemeClr w14:val="tx1"/>
            </w14:solidFill>
          </w14:textFill>
        </w:rPr>
      </w:pP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说明：供应商应当如实披露与本单位存在下列关联关系的单位名称：</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（1）与供应商单位负责人为同一人的其他单位；</w:t>
      </w:r>
      <w:r>
        <w:rPr>
          <w:rFonts w:ascii="Times New Roman" w:hAnsi="Times New Roman" w:eastAsia="仿宋"/>
          <w:color w:val="000000" w:themeColor="text1"/>
          <w:sz w:val="24"/>
          <w:highlight w:val="none"/>
          <w14:textFill>
            <w14:solidFill>
              <w14:schemeClr w14:val="tx1"/>
            </w14:solidFill>
          </w14:textFill>
        </w:rPr>
        <w:br w:type="textWrapping"/>
      </w:r>
      <w:r>
        <w:rPr>
          <w:rFonts w:ascii="Times New Roman" w:hAnsi="Times New Roman" w:eastAsia="仿宋"/>
          <w:color w:val="000000" w:themeColor="text1"/>
          <w:sz w:val="24"/>
          <w:highlight w:val="none"/>
          <w14:textFill>
            <w14:solidFill>
              <w14:schemeClr w14:val="tx1"/>
            </w14:solidFill>
          </w14:textFill>
        </w:rPr>
        <w:t>（2）与供应商存在直接控股、管理关系的其他单位。</w:t>
      </w:r>
    </w:p>
    <w:p>
      <w:pPr>
        <w:jc w:val="left"/>
        <w:rPr>
          <w:rFonts w:ascii="Times New Roman" w:hAnsi="Times New Roman" w:eastAsia="仿宋"/>
          <w:b/>
          <w:bCs/>
          <w:color w:val="000000" w:themeColor="text1"/>
          <w:sz w:val="24"/>
          <w:highlight w:val="none"/>
          <w14:textFill>
            <w14:solidFill>
              <w14:schemeClr w14:val="tx1"/>
            </w14:solidFill>
          </w14:textFill>
        </w:rPr>
      </w:pPr>
    </w:p>
    <w:p>
      <w:pPr>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注:如果未存在上述关联关系的单位,则供应商可以不提供本说明。</w:t>
      </w:r>
    </w:p>
    <w:p>
      <w:pPr>
        <w:jc w:val="left"/>
        <w:rPr>
          <w:rFonts w:ascii="Times New Roman" w:hAnsi="Times New Roman" w:eastAsia="仿宋"/>
          <w:b/>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br w:type="page"/>
      </w:r>
      <w:r>
        <w:rPr>
          <w:rFonts w:ascii="Times New Roman" w:hAnsi="Times New Roman" w:eastAsia="仿宋"/>
          <w:b/>
          <w:color w:val="000000" w:themeColor="text1"/>
          <w:sz w:val="24"/>
          <w:highlight w:val="none"/>
          <w14:textFill>
            <w14:solidFill>
              <w14:schemeClr w14:val="tx1"/>
            </w14:solidFill>
          </w14:textFill>
        </w:rPr>
        <w:t>5.4联合体共同投标协议书</w:t>
      </w:r>
    </w:p>
    <w:p>
      <w:pPr>
        <w:rPr>
          <w:rFonts w:ascii="Times New Roman" w:hAnsi="Times New Roman" w:eastAsia="仿宋"/>
          <w:color w:val="000000" w:themeColor="text1"/>
          <w:sz w:val="24"/>
          <w:highlight w:val="none"/>
          <w14:textFill>
            <w14:solidFill>
              <w14:schemeClr w14:val="tx1"/>
            </w14:solidFill>
          </w14:textFill>
        </w:rPr>
      </w:pPr>
    </w:p>
    <w:p>
      <w:pPr>
        <w:jc w:val="center"/>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联合体共同投标协议书</w:t>
      </w:r>
    </w:p>
    <w:p>
      <w:pPr>
        <w:jc w:val="center"/>
        <w:rPr>
          <w:rFonts w:ascii="Times New Roman" w:hAnsi="Times New Roman" w:eastAsia="仿宋"/>
          <w:color w:val="000000" w:themeColor="text1"/>
          <w:sz w:val="24"/>
          <w:highlight w:val="none"/>
          <w14:textFill>
            <w14:solidFill>
              <w14:schemeClr w14:val="tx1"/>
            </w14:solidFill>
          </w14:textFill>
        </w:rPr>
      </w:pP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立约方：（甲公司全称）</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（乙公司全称）</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（……公司全称）</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u w:val="single"/>
          <w14:textFill>
            <w14:solidFill>
              <w14:schemeClr w14:val="tx1"/>
            </w14:solidFill>
          </w14:textFill>
        </w:rPr>
        <w:t>（甲公司全称）、（乙公司全称）、（……公司全称）</w:t>
      </w:r>
      <w:r>
        <w:rPr>
          <w:rFonts w:ascii="Times New Roman" w:hAnsi="Times New Roman" w:eastAsia="仿宋"/>
          <w:color w:val="000000" w:themeColor="text1"/>
          <w:sz w:val="24"/>
          <w:highlight w:val="none"/>
          <w14:textFill>
            <w14:solidFill>
              <w14:schemeClr w14:val="tx1"/>
            </w14:solidFill>
          </w14:textFill>
        </w:rPr>
        <w:t>自愿组成联合体，以一个供应商的身份共同参加</w:t>
      </w:r>
      <w:r>
        <w:rPr>
          <w:rFonts w:ascii="Times New Roman" w:hAnsi="Times New Roman" w:eastAsia="仿宋"/>
          <w:color w:val="000000" w:themeColor="text1"/>
          <w:sz w:val="24"/>
          <w:highlight w:val="none"/>
          <w:u w:val="single"/>
          <w14:textFill>
            <w14:solidFill>
              <w14:schemeClr w14:val="tx1"/>
            </w14:solidFill>
          </w14:textFill>
        </w:rPr>
        <w:t>（采购项目名称） （采购编号）</w:t>
      </w:r>
      <w:r>
        <w:rPr>
          <w:rFonts w:ascii="Times New Roman" w:hAnsi="Times New Roman" w:eastAsia="仿宋"/>
          <w:color w:val="000000" w:themeColor="text1"/>
          <w:sz w:val="24"/>
          <w:highlight w:val="none"/>
          <w14:textFill>
            <w14:solidFill>
              <w14:schemeClr w14:val="tx1"/>
            </w14:solidFill>
          </w14:textFill>
        </w:rPr>
        <w:t>的响应活动。经各方充分协商一致，就项目的响应和合同实施阶段的有关事务协商一致订立协议如下：</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一、联合体各方关系</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u w:val="single"/>
          <w14:textFill>
            <w14:solidFill>
              <w14:schemeClr w14:val="tx1"/>
            </w14:solidFill>
          </w14:textFill>
        </w:rPr>
        <w:t>（甲公司全称）、（乙公司全称）、（……公司全称）</w:t>
      </w:r>
      <w:r>
        <w:rPr>
          <w:rFonts w:ascii="Times New Roman" w:hAnsi="Times New Roman" w:eastAsia="仿宋"/>
          <w:color w:val="000000" w:themeColor="text1"/>
          <w:sz w:val="24"/>
          <w:highlight w:val="none"/>
          <w14:textFill>
            <w14:solidFill>
              <w14:schemeClr w14:val="tx1"/>
            </w14:solidFill>
          </w14:textFill>
        </w:rPr>
        <w:t>共同组成一个联合体，以一个供应商的身份共同参加本项目的响应。</w:t>
      </w:r>
      <w:r>
        <w:rPr>
          <w:rFonts w:ascii="Times New Roman" w:hAnsi="Times New Roman" w:eastAsia="仿宋"/>
          <w:color w:val="000000" w:themeColor="text1"/>
          <w:sz w:val="24"/>
          <w:highlight w:val="none"/>
          <w:u w:val="single"/>
          <w14:textFill>
            <w14:solidFill>
              <w14:schemeClr w14:val="tx1"/>
            </w14:solidFill>
          </w14:textFill>
        </w:rPr>
        <w:t>（甲公司全称）、（乙公司全称）、（……公司全称）</w:t>
      </w:r>
      <w:r>
        <w:rPr>
          <w:rFonts w:ascii="Times New Roman" w:hAnsi="Times New Roman" w:eastAsia="仿宋"/>
          <w:color w:val="000000" w:themeColor="text1"/>
          <w:sz w:val="24"/>
          <w:highlight w:val="none"/>
          <w14:textFill>
            <w14:solidFill>
              <w14:schemeClr w14:val="tx1"/>
            </w14:solidFill>
          </w14:textFill>
        </w:rPr>
        <w:t>作为联合体成员，若中标，联合体各方共同与</w:t>
      </w:r>
      <w:r>
        <w:rPr>
          <w:rFonts w:ascii="Times New Roman" w:hAnsi="Times New Roman" w:eastAsia="仿宋"/>
          <w:color w:val="000000" w:themeColor="text1"/>
          <w:sz w:val="24"/>
          <w:highlight w:val="none"/>
          <w:u w:val="single"/>
          <w14:textFill>
            <w14:solidFill>
              <w14:schemeClr w14:val="tx1"/>
            </w14:solidFill>
          </w14:textFill>
        </w:rPr>
        <w:t>（采购人）</w:t>
      </w:r>
      <w:r>
        <w:rPr>
          <w:rFonts w:ascii="Times New Roman" w:hAnsi="Times New Roman" w:eastAsia="仿宋"/>
          <w:color w:val="000000" w:themeColor="text1"/>
          <w:sz w:val="24"/>
          <w:highlight w:val="none"/>
          <w14:textFill>
            <w14:solidFill>
              <w14:schemeClr w14:val="tx1"/>
            </w14:solidFill>
          </w14:textFill>
        </w:rPr>
        <w:t>签订政府采购合同。</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二、联合体内部有关事项约定如下：</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1.联合体由联合体共同授权人员负责与采购人联系。</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2.联合体投标工作由联合体共同负责，由联合体各方组成的响应小组具体实施。</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3.联合体将严格按照文件的各项要求，递交投标文件，切实执行一切合同文件，共同承担合同规定的一切义务和责任，同时按照内部职责的划分，承担自身所负的责任和风险，在法律在承担连带责任。</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4.如中标，联合体各方共同与（采购人）签订合同书，并就中标项目向采购人负责有连带的和各自的法律责任；</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5.联合体成员</w:t>
      </w:r>
      <w:r>
        <w:rPr>
          <w:rFonts w:ascii="Times New Roman" w:hAnsi="Times New Roman" w:eastAsia="仿宋"/>
          <w:color w:val="000000" w:themeColor="text1"/>
          <w:sz w:val="24"/>
          <w:highlight w:val="none"/>
          <w:u w:val="single"/>
          <w14:textFill>
            <w14:solidFill>
              <w14:schemeClr w14:val="tx1"/>
            </w14:solidFill>
          </w14:textFill>
        </w:rPr>
        <w:t>　（公司全称）　</w:t>
      </w:r>
      <w:r>
        <w:rPr>
          <w:rFonts w:ascii="Times New Roman" w:hAnsi="Times New Roman" w:eastAsia="仿宋"/>
          <w:color w:val="000000" w:themeColor="text1"/>
          <w:sz w:val="24"/>
          <w:highlight w:val="none"/>
          <w14:textFill>
            <w14:solidFill>
              <w14:schemeClr w14:val="tx1"/>
            </w14:solidFill>
          </w14:textFill>
        </w:rPr>
        <w:t>为</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（请填写：小型、微型）企业，将承担合同总金额</w:t>
      </w:r>
      <w:r>
        <w:rPr>
          <w:rFonts w:ascii="Times New Roman" w:hAnsi="Times New Roman" w:eastAsia="仿宋"/>
          <w:color w:val="000000" w:themeColor="text1"/>
          <w:sz w:val="24"/>
          <w:highlight w:val="none"/>
          <w:u w:val="single"/>
          <w14:textFill>
            <w14:solidFill>
              <w14:schemeClr w14:val="tx1"/>
            </w14:solidFill>
          </w14:textFill>
        </w:rPr>
        <w:t>　　%</w:t>
      </w:r>
      <w:r>
        <w:rPr>
          <w:rFonts w:ascii="Times New Roman" w:hAnsi="Times New Roman" w:eastAsia="仿宋"/>
          <w:color w:val="000000" w:themeColor="text1"/>
          <w:sz w:val="24"/>
          <w:highlight w:val="none"/>
          <w14:textFill>
            <w14:solidFill>
              <w14:schemeClr w14:val="tx1"/>
            </w14:solidFill>
          </w14:textFill>
        </w:rPr>
        <w:t>的工作内容（联合体成员中有小型、微型企业时适用）。</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四、联合体如因违约过失责任而导致采购人经济损失或被索赔时，本联合体任何一方均同意无条件优先清偿采购人的一切债务和经济赔偿。</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五、本协议在自签署之日起生效，有效期内有效，如获中标资格，合同有效期延续至合同履行完毕之日。</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六、本协议书正本一式</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份，随投标文件装订</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份，送采购人</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份，联合体成员各一份；副本一式</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份，联合体成员各执</w:t>
      </w:r>
      <w:r>
        <w:rPr>
          <w:rFonts w:ascii="Times New Roman" w:hAnsi="Times New Roman" w:eastAsia="仿宋"/>
          <w:color w:val="000000" w:themeColor="text1"/>
          <w:sz w:val="24"/>
          <w:highlight w:val="none"/>
          <w:u w:val="single"/>
          <w14:textFill>
            <w14:solidFill>
              <w14:schemeClr w14:val="tx1"/>
            </w14:solidFill>
          </w14:textFill>
        </w:rPr>
        <w:t xml:space="preserve">   </w:t>
      </w:r>
      <w:r>
        <w:rPr>
          <w:rFonts w:ascii="Times New Roman" w:hAnsi="Times New Roman" w:eastAsia="仿宋"/>
          <w:color w:val="000000" w:themeColor="text1"/>
          <w:sz w:val="24"/>
          <w:highlight w:val="none"/>
          <w14:textFill>
            <w14:solidFill>
              <w14:schemeClr w14:val="tx1"/>
            </w14:solidFill>
          </w14:textFill>
        </w:rPr>
        <w:t>份。</w:t>
      </w:r>
    </w:p>
    <w:p>
      <w:pPr>
        <w:spacing w:line="460" w:lineRule="exact"/>
        <w:rPr>
          <w:rFonts w:ascii="Times New Roman" w:hAnsi="Times New Roman" w:eastAsia="仿宋"/>
          <w:color w:val="000000" w:themeColor="text1"/>
          <w:sz w:val="24"/>
          <w:highlight w:val="none"/>
          <w14:textFill>
            <w14:solidFill>
              <w14:schemeClr w14:val="tx1"/>
            </w14:solidFill>
          </w14:textFill>
        </w:rPr>
      </w:pPr>
    </w:p>
    <w:p>
      <w:pPr>
        <w:spacing w:line="460" w:lineRule="exact"/>
        <w:rPr>
          <w:rFonts w:ascii="Times New Roman" w:hAnsi="Times New Roman" w:eastAsia="仿宋"/>
          <w:color w:val="000000" w:themeColor="text1"/>
          <w:sz w:val="24"/>
          <w:highlight w:val="none"/>
          <w14:textFill>
            <w14:solidFill>
              <w14:schemeClr w14:val="tx1"/>
            </w14:solidFill>
          </w14:textFill>
        </w:rPr>
      </w:pP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甲公司全称：（盖章） </w:t>
      </w:r>
      <w:r>
        <w:rPr>
          <w:rFonts w:ascii="Times New Roman" w:hAnsi="Times New Roman" w:eastAsia="仿宋"/>
          <w:color w:val="000000" w:themeColor="text1"/>
          <w:sz w:val="24"/>
          <w:highlight w:val="none"/>
          <w14:textFill>
            <w14:solidFill>
              <w14:schemeClr w14:val="tx1"/>
            </w14:solidFill>
          </w14:textFill>
        </w:rPr>
        <w:tab/>
      </w:r>
      <w:r>
        <w:rPr>
          <w:rFonts w:ascii="Times New Roman" w:hAnsi="Times New Roman" w:eastAsia="仿宋"/>
          <w:color w:val="000000" w:themeColor="text1"/>
          <w:sz w:val="24"/>
          <w:highlight w:val="none"/>
          <w14:textFill>
            <w14:solidFill>
              <w14:schemeClr w14:val="tx1"/>
            </w14:solidFill>
          </w14:textFill>
        </w:rPr>
        <w:t>乙公司全称：（盖章）</w:t>
      </w:r>
      <w:r>
        <w:rPr>
          <w:rFonts w:ascii="Times New Roman" w:hAnsi="Times New Roman" w:eastAsia="仿宋"/>
          <w:color w:val="000000" w:themeColor="text1"/>
          <w:sz w:val="24"/>
          <w:highlight w:val="none"/>
          <w14:textFill>
            <w14:solidFill>
              <w14:schemeClr w14:val="tx1"/>
            </w14:solidFill>
          </w14:textFill>
        </w:rPr>
        <w:tab/>
      </w:r>
      <w:r>
        <w:rPr>
          <w:rFonts w:ascii="Times New Roman" w:hAnsi="Times New Roman" w:eastAsia="仿宋"/>
          <w:color w:val="000000" w:themeColor="text1"/>
          <w:sz w:val="24"/>
          <w:highlight w:val="none"/>
          <w14:textFill>
            <w14:solidFill>
              <w14:schemeClr w14:val="tx1"/>
            </w14:solidFill>
          </w14:textFill>
        </w:rPr>
        <w:t>公司公司全称（盖章）</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xml:space="preserve">法定代表人：（签字或盖章） </w:t>
      </w:r>
      <w:r>
        <w:rPr>
          <w:rFonts w:ascii="Times New Roman" w:hAnsi="Times New Roman" w:eastAsia="仿宋"/>
          <w:color w:val="000000" w:themeColor="text1"/>
          <w:sz w:val="24"/>
          <w:highlight w:val="none"/>
          <w14:textFill>
            <w14:solidFill>
              <w14:schemeClr w14:val="tx1"/>
            </w14:solidFill>
          </w14:textFill>
        </w:rPr>
        <w:tab/>
      </w:r>
      <w:r>
        <w:rPr>
          <w:rFonts w:ascii="Times New Roman" w:hAnsi="Times New Roman" w:eastAsia="仿宋"/>
          <w:color w:val="000000" w:themeColor="text1"/>
          <w:sz w:val="24"/>
          <w:highlight w:val="none"/>
          <w14:textFill>
            <w14:solidFill>
              <w14:schemeClr w14:val="tx1"/>
            </w14:solidFill>
          </w14:textFill>
        </w:rPr>
        <w:t>法定代表人（签字或盖章）</w:t>
      </w:r>
      <w:r>
        <w:rPr>
          <w:rFonts w:ascii="Times New Roman" w:hAnsi="Times New Roman" w:eastAsia="仿宋"/>
          <w:color w:val="000000" w:themeColor="text1"/>
          <w:sz w:val="24"/>
          <w:highlight w:val="none"/>
          <w14:textFill>
            <w14:solidFill>
              <w14:schemeClr w14:val="tx1"/>
            </w14:solidFill>
          </w14:textFill>
        </w:rPr>
        <w:tab/>
      </w:r>
      <w:r>
        <w:rPr>
          <w:rFonts w:ascii="Times New Roman" w:hAnsi="Times New Roman" w:eastAsia="仿宋"/>
          <w:color w:val="000000" w:themeColor="text1"/>
          <w:sz w:val="24"/>
          <w:highlight w:val="none"/>
          <w14:textFill>
            <w14:solidFill>
              <w14:schemeClr w14:val="tx1"/>
            </w14:solidFill>
          </w14:textFill>
        </w:rPr>
        <w:t xml:space="preserve"> 法定代表人（签字或盖章）</w:t>
      </w:r>
    </w:p>
    <w:p>
      <w:pPr>
        <w:spacing w:line="46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　　年　　月　　日</w:t>
      </w:r>
      <w:r>
        <w:rPr>
          <w:rFonts w:ascii="Times New Roman" w:hAnsi="Times New Roman" w:eastAsia="仿宋"/>
          <w:color w:val="000000" w:themeColor="text1"/>
          <w:sz w:val="24"/>
          <w:highlight w:val="none"/>
          <w14:textFill>
            <w14:solidFill>
              <w14:schemeClr w14:val="tx1"/>
            </w14:solidFill>
          </w14:textFill>
        </w:rPr>
        <w:tab/>
      </w:r>
      <w:r>
        <w:rPr>
          <w:rFonts w:ascii="Times New Roman" w:hAnsi="Times New Roman" w:eastAsia="仿宋"/>
          <w:color w:val="000000" w:themeColor="text1"/>
          <w:sz w:val="24"/>
          <w:highlight w:val="none"/>
          <w14:textFill>
            <w14:solidFill>
              <w14:schemeClr w14:val="tx1"/>
            </w14:solidFill>
          </w14:textFill>
        </w:rPr>
        <w:t>　　年　　月　　日</w:t>
      </w:r>
      <w:r>
        <w:rPr>
          <w:rFonts w:ascii="Times New Roman" w:hAnsi="Times New Roman" w:eastAsia="仿宋"/>
          <w:color w:val="000000" w:themeColor="text1"/>
          <w:sz w:val="24"/>
          <w:highlight w:val="none"/>
          <w14:textFill>
            <w14:solidFill>
              <w14:schemeClr w14:val="tx1"/>
            </w14:solidFill>
          </w14:textFill>
        </w:rPr>
        <w:tab/>
      </w:r>
      <w:r>
        <w:rPr>
          <w:rFonts w:ascii="Times New Roman" w:hAnsi="Times New Roman" w:eastAsia="仿宋"/>
          <w:color w:val="000000" w:themeColor="text1"/>
          <w:sz w:val="24"/>
          <w:highlight w:val="none"/>
          <w14:textFill>
            <w14:solidFill>
              <w14:schemeClr w14:val="tx1"/>
            </w14:solidFill>
          </w14:textFill>
        </w:rPr>
        <w:t>　　年　　月　　日</w:t>
      </w:r>
    </w:p>
    <w:p>
      <w:pPr>
        <w:spacing w:line="480" w:lineRule="exact"/>
        <w:rPr>
          <w:rFonts w:ascii="Times New Roman" w:hAnsi="Times New Roman" w:eastAsia="仿宋"/>
          <w:color w:val="000000" w:themeColor="text1"/>
          <w:sz w:val="24"/>
          <w:highlight w:val="none"/>
          <w14:textFill>
            <w14:solidFill>
              <w14:schemeClr w14:val="tx1"/>
            </w14:solidFill>
          </w14:textFill>
        </w:rPr>
      </w:pPr>
    </w:p>
    <w:p>
      <w:pPr>
        <w:spacing w:line="480" w:lineRule="exact"/>
        <w:rPr>
          <w:rFonts w:ascii="Times New Roman" w:hAnsi="Times New Roman" w:eastAsia="仿宋"/>
          <w:color w:val="000000" w:themeColor="text1"/>
          <w:sz w:val="24"/>
          <w:highlight w:val="none"/>
          <w14:textFill>
            <w14:solidFill>
              <w14:schemeClr w14:val="tx1"/>
            </w14:solidFill>
          </w14:textFill>
        </w:rPr>
      </w:pPr>
    </w:p>
    <w:p>
      <w:pPr>
        <w:spacing w:line="440" w:lineRule="exact"/>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注：1．联合投标时需签本协议，联合体各方成员应在本协议上共同盖章确认。</w:t>
      </w:r>
    </w:p>
    <w:p>
      <w:pPr>
        <w:spacing w:line="440" w:lineRule="exact"/>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2．本协议内容不得擅自修改。此协议将作为签订合同的附件之一。</w:t>
      </w:r>
    </w:p>
    <w:p>
      <w:pPr>
        <w:spacing w:line="440" w:lineRule="exact"/>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3. 可增加联合体主体、客体分工情况的说明条款。</w:t>
      </w:r>
    </w:p>
    <w:p>
      <w:pPr>
        <w:spacing w:line="440" w:lineRule="exact"/>
        <w:rPr>
          <w:rFonts w:ascii="Times New Roman" w:hAnsi="Times New Roman" w:eastAsia="仿宋"/>
          <w:b/>
          <w:bCs/>
          <w:color w:val="000000" w:themeColor="text1"/>
          <w:sz w:val="24"/>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4. 对本项目的采购过程、中标或者成交结果提出质疑的，在提交质疑函时须同时提供联合体协议，并载明联合体各方在质疑活动的具体权限划分，不提供联合体协议的，须在质疑函中加盖联合体各方的公章、各方的法定代表人签章并提供联合体各方出具的授权书。</w:t>
      </w:r>
    </w:p>
    <w:p>
      <w:pPr>
        <w:pStyle w:val="84"/>
        <w:rPr>
          <w:rFonts w:ascii="Times New Roman" w:hAnsi="Times New Roman"/>
          <w:color w:val="000000" w:themeColor="text1"/>
          <w:highlight w:val="none"/>
          <w14:textFill>
            <w14:solidFill>
              <w14:schemeClr w14:val="tx1"/>
            </w14:solidFill>
          </w14:textFill>
        </w:rPr>
      </w:pPr>
    </w:p>
    <w:p>
      <w:pPr>
        <w:pStyle w:val="70"/>
        <w:spacing w:line="480" w:lineRule="exact"/>
        <w:ind w:firstLine="0" w:firstLineChars="0"/>
        <w:rPr>
          <w:rFonts w:ascii="Times New Roman" w:hAnsi="Times New Roman" w:eastAsia="仿宋"/>
          <w:color w:val="000000" w:themeColor="text1"/>
          <w:highlight w:val="none"/>
          <w14:textFill>
            <w14:solidFill>
              <w14:schemeClr w14:val="tx1"/>
            </w14:solidFill>
          </w14:textFill>
        </w:rPr>
      </w:pPr>
    </w:p>
    <w:p>
      <w:pPr>
        <w:spacing w:line="480" w:lineRule="exact"/>
        <w:rPr>
          <w:rFonts w:ascii="Times New Roman" w:hAnsi="Times New Roman" w:eastAsia="仿宋"/>
          <w:color w:val="000000" w:themeColor="text1"/>
          <w:highlight w:val="none"/>
          <w14:textFill>
            <w14:solidFill>
              <w14:schemeClr w14:val="tx1"/>
            </w14:solidFill>
          </w14:textFill>
        </w:rPr>
      </w:pPr>
      <w:r>
        <w:rPr>
          <w:rFonts w:ascii="Times New Roman" w:hAnsi="Times New Roman" w:eastAsia="仿宋"/>
          <w:b/>
          <w:bCs/>
          <w:color w:val="000000" w:themeColor="text1"/>
          <w:sz w:val="24"/>
          <w:highlight w:val="none"/>
          <w14:textFill>
            <w14:solidFill>
              <w14:schemeClr w14:val="tx1"/>
            </w14:solidFill>
          </w14:textFill>
        </w:rPr>
        <w:t>注:如果未存在上述关联关系的单位,则供应商可以不提供本说明</w:t>
      </w:r>
      <w:bookmarkEnd w:id="681"/>
      <w:bookmarkEnd w:id="686"/>
      <w:bookmarkEnd w:id="687"/>
      <w:bookmarkEnd w:id="688"/>
      <w:bookmarkEnd w:id="689"/>
      <w:bookmarkEnd w:id="690"/>
      <w:bookmarkEnd w:id="691"/>
      <w:bookmarkEnd w:id="692"/>
      <w:bookmarkEnd w:id="693"/>
      <w:r>
        <w:rPr>
          <w:rFonts w:ascii="Times New Roman" w:hAnsi="Times New Roman" w:eastAsia="仿宋"/>
          <w:b/>
          <w:bCs/>
          <w:color w:val="000000" w:themeColor="text1"/>
          <w:sz w:val="24"/>
          <w:highlight w:val="none"/>
          <w14:textFill>
            <w14:solidFill>
              <w14:schemeClr w14:val="tx1"/>
            </w14:solidFill>
          </w14:textFill>
        </w:rPr>
        <w:t>。</w:t>
      </w:r>
    </w:p>
    <w:p>
      <w:pPr>
        <w:rPr>
          <w:rFonts w:ascii="Times New Roman" w:hAnsi="Times New Roman"/>
          <w:color w:val="000000" w:themeColor="text1"/>
          <w:highlight w:val="none"/>
          <w14:textFill>
            <w14:solidFill>
              <w14:schemeClr w14:val="tx1"/>
            </w14:solidFill>
          </w14:textFill>
        </w:rPr>
      </w:pPr>
    </w:p>
    <w:p>
      <w:pPr>
        <w:rPr>
          <w:rFonts w:hint="eastAsia" w:ascii="仿宋" w:hAnsi="仿宋" w:eastAsia="仿宋" w:cs="仿宋"/>
          <w:color w:val="auto"/>
          <w:highlight w:val="none"/>
          <w:lang w:eastAsia="zh-CN"/>
        </w:rPr>
      </w:pPr>
    </w:p>
    <w:sectPr>
      <w:footerReference r:id="rId4" w:type="default"/>
      <w:pgSz w:w="11907" w:h="16840"/>
      <w:pgMar w:top="1702" w:right="1531" w:bottom="1560" w:left="1531" w:header="1701" w:footer="1474" w:gutter="0"/>
      <w:paperSrc w:first="15" w:other="15"/>
      <w:cols w:space="720" w:num="1"/>
      <w:docGrid w:type="lines" w:linePitch="5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25"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IbbsAnTAQAAogMAAA4AAAAAAAAAAQAgAAAAHwEA&#10;AGRycy9lMm9Eb2MueG1sUEsFBgAAAAAGAAYAWQEAAG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4</w:t>
    </w:r>
    <w:r>
      <w:rPr>
        <w:lang w:val="zh-CN"/>
      </w:rPr>
      <w:fldChar w:fldCharType="end"/>
    </w:r>
    <w:r>
      <w:rPr>
        <w:rFonts w:hint="eastAsia"/>
        <w:lang w:val="zh-CN"/>
      </w:rPr>
      <w:t>页</w:t>
    </w:r>
    <w:r>
      <w:rPr>
        <w:lang w:val="zh-CN"/>
      </w:rPr>
      <w:t>/</w:t>
    </w:r>
    <w:r>
      <w:rPr>
        <w:rFonts w:hint="eastAsia"/>
        <w:lang w:val="zh-CN"/>
      </w:rPr>
      <w:t>共</w:t>
    </w:r>
    <w:r>
      <w:rPr>
        <w:lang w:val="zh-CN"/>
      </w:rPr>
      <w:fldChar w:fldCharType="begin"/>
    </w:r>
    <w:r>
      <w:rPr>
        <w:lang w:val="zh-CN"/>
      </w:rPr>
      <w:instrText xml:space="preserve">NUMPAGES</w:instrText>
    </w:r>
    <w:r>
      <w:rPr>
        <w:lang w:val="zh-CN"/>
      </w:rPr>
      <w:fldChar w:fldCharType="separate"/>
    </w:r>
    <w:r>
      <w:rPr>
        <w:lang w:val="zh-CN"/>
      </w:rPr>
      <w:t>113</w:t>
    </w:r>
    <w:r>
      <w:rPr>
        <w:lang w:val="zh-CN"/>
      </w:rPr>
      <w:fldChar w:fldCharType="end"/>
    </w:r>
    <w:r>
      <w:rPr>
        <w:rFonts w:hint="eastAsia"/>
        <w:lang w:val="zh-CN"/>
      </w:rPr>
      <w:t>页</w:t>
    </w:r>
  </w:p>
  <w:p>
    <w:pPr>
      <w:pStyle w:val="15"/>
      <w:jc w:val="center"/>
      <w:rPr>
        <w:rFonts w:ascii="黑体" w:eastAsia="黑体"/>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3BB139"/>
    <w:multiLevelType w:val="singleLevel"/>
    <w:tmpl w:val="C23BB139"/>
    <w:lvl w:ilvl="0" w:tentative="0">
      <w:start w:val="1"/>
      <w:numFmt w:val="decimal"/>
      <w:lvlText w:val="%1."/>
      <w:lvlJc w:val="left"/>
      <w:pPr>
        <w:tabs>
          <w:tab w:val="left" w:pos="312"/>
        </w:tabs>
      </w:pPr>
    </w:lvl>
  </w:abstractNum>
  <w:abstractNum w:abstractNumId="1">
    <w:nsid w:val="01A69B1B"/>
    <w:multiLevelType w:val="singleLevel"/>
    <w:tmpl w:val="01A69B1B"/>
    <w:lvl w:ilvl="0" w:tentative="0">
      <w:start w:val="7"/>
      <w:numFmt w:val="chineseCounting"/>
      <w:suff w:val="space"/>
      <w:lvlText w:val="第%1章"/>
      <w:lvlJc w:val="left"/>
      <w:rPr>
        <w:rFonts w:hint="eastAsia"/>
      </w:rPr>
    </w:lvl>
  </w:abstractNum>
  <w:abstractNum w:abstractNumId="2">
    <w:nsid w:val="0D3782DC"/>
    <w:multiLevelType w:val="singleLevel"/>
    <w:tmpl w:val="0D3782DC"/>
    <w:lvl w:ilvl="0" w:tentative="0">
      <w:start w:val="6"/>
      <w:numFmt w:val="chineseCounting"/>
      <w:suff w:val="nothing"/>
      <w:lvlText w:val="%1、"/>
      <w:lvlJc w:val="left"/>
      <w:rPr>
        <w:rFonts w:hint="eastAsia"/>
      </w:rPr>
    </w:lvl>
  </w:abstractNum>
  <w:abstractNum w:abstractNumId="3">
    <w:nsid w:val="0F914EFB"/>
    <w:multiLevelType w:val="multilevel"/>
    <w:tmpl w:val="0F914EFB"/>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83C604A"/>
    <w:multiLevelType w:val="singleLevel"/>
    <w:tmpl w:val="183C604A"/>
    <w:lvl w:ilvl="0" w:tentative="0">
      <w:start w:val="1"/>
      <w:numFmt w:val="japaneseCounting"/>
      <w:lvlText w:val="%1、"/>
      <w:lvlJc w:val="left"/>
      <w:pPr>
        <w:tabs>
          <w:tab w:val="left" w:pos="960"/>
        </w:tabs>
        <w:ind w:left="960" w:hanging="480"/>
      </w:pPr>
      <w:rPr>
        <w:rFonts w:hint="eastAsia"/>
        <w:b/>
      </w:rPr>
    </w:lvl>
  </w:abstractNum>
  <w:abstractNum w:abstractNumId="5">
    <w:nsid w:val="19D4960B"/>
    <w:multiLevelType w:val="singleLevel"/>
    <w:tmpl w:val="19D4960B"/>
    <w:lvl w:ilvl="0" w:tentative="0">
      <w:start w:val="27"/>
      <w:numFmt w:val="decimal"/>
      <w:suff w:val="space"/>
      <w:lvlText w:val="%1."/>
      <w:lvlJc w:val="left"/>
    </w:lvl>
  </w:abstractNum>
  <w:abstractNum w:abstractNumId="6">
    <w:nsid w:val="1CE6578E"/>
    <w:multiLevelType w:val="multilevel"/>
    <w:tmpl w:val="1CE6578E"/>
    <w:lvl w:ilvl="0" w:tentative="0">
      <w:start w:val="1"/>
      <w:numFmt w:val="japaneseCounting"/>
      <w:lvlText w:val="（%1）"/>
      <w:lvlJc w:val="left"/>
      <w:pPr>
        <w:ind w:left="1140" w:hanging="735"/>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7">
    <w:nsid w:val="21FC91BC"/>
    <w:multiLevelType w:val="singleLevel"/>
    <w:tmpl w:val="21FC91BC"/>
    <w:lvl w:ilvl="0" w:tentative="0">
      <w:start w:val="12"/>
      <w:numFmt w:val="decimal"/>
      <w:suff w:val="space"/>
      <w:lvlText w:val="%1."/>
      <w:lvlJc w:val="left"/>
    </w:lvl>
  </w:abstractNum>
  <w:abstractNum w:abstractNumId="8">
    <w:nsid w:val="55A01B01"/>
    <w:multiLevelType w:val="multilevel"/>
    <w:tmpl w:val="55A01B01"/>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77CC6249"/>
    <w:multiLevelType w:val="singleLevel"/>
    <w:tmpl w:val="77CC6249"/>
    <w:lvl w:ilvl="0" w:tentative="0">
      <w:start w:val="1"/>
      <w:numFmt w:val="decimal"/>
      <w:suff w:val="space"/>
      <w:lvlText w:val="%1."/>
      <w:lvlJc w:val="left"/>
    </w:lvl>
  </w:abstractNum>
  <w:abstractNum w:abstractNumId="10">
    <w:nsid w:val="7B9E9202"/>
    <w:multiLevelType w:val="singleLevel"/>
    <w:tmpl w:val="7B9E9202"/>
    <w:lvl w:ilvl="0" w:tentative="0">
      <w:start w:val="21"/>
      <w:numFmt w:val="decimal"/>
      <w:suff w:val="space"/>
      <w:lvlText w:val="%1."/>
      <w:lvlJc w:val="left"/>
    </w:lvl>
  </w:abstractNum>
  <w:num w:numId="1">
    <w:abstractNumId w:val="9"/>
  </w:num>
  <w:num w:numId="2">
    <w:abstractNumId w:val="7"/>
  </w:num>
  <w:num w:numId="3">
    <w:abstractNumId w:val="10"/>
  </w:num>
  <w:num w:numId="4">
    <w:abstractNumId w:val="5"/>
  </w:num>
  <w:num w:numId="5">
    <w:abstractNumId w:val="0"/>
  </w:num>
  <w:num w:numId="6">
    <w:abstractNumId w:val="8"/>
  </w:num>
  <w:num w:numId="7">
    <w:abstractNumId w:val="2"/>
  </w:num>
  <w:num w:numId="8">
    <w:abstractNumId w:val="4"/>
  </w:num>
  <w:num w:numId="9">
    <w:abstractNumId w:val="6"/>
  </w:num>
  <w:num w:numId="10">
    <w:abstractNumId w:val="3"/>
    <w:lvlOverride w:ilvl="0">
      <w:lvl w:ilvl="0" w:tentative="1">
        <w:start w:val="1"/>
        <w:numFmt w:val="chineseCountingThousand"/>
        <w:lvlText w:val="%1、"/>
        <w:lvlJc w:val="left"/>
        <w:pPr>
          <w:ind w:left="425" w:hanging="425"/>
        </w:pPr>
        <w:rPr>
          <w:rFonts w:hint="eastAsia"/>
        </w:rPr>
      </w:lvl>
    </w:lvlOverride>
    <w:lvlOverride w:ilvl="1">
      <w:lvl w:ilvl="1" w:tentative="1">
        <w:start w:val="1"/>
        <w:numFmt w:val="decimal"/>
        <w:lvlText w:val="%2、"/>
        <w:lvlJc w:val="left"/>
        <w:pPr>
          <w:ind w:left="1418"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励励-yao">
    <w15:presenceInfo w15:providerId="None" w15:userId="励励-y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6"/>
  <w:bordersDoNotSurroundHeader w:val="1"/>
  <w:bordersDoNotSurroundFooter w:val="1"/>
  <w:documentProtection w:enforcement="0"/>
  <w:defaultTabStop w:val="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4757C"/>
    <w:rsid w:val="0001355E"/>
    <w:rsid w:val="000162AA"/>
    <w:rsid w:val="000243D0"/>
    <w:rsid w:val="000254BD"/>
    <w:rsid w:val="00030EFB"/>
    <w:rsid w:val="00035948"/>
    <w:rsid w:val="0004489D"/>
    <w:rsid w:val="000521FB"/>
    <w:rsid w:val="000538E7"/>
    <w:rsid w:val="00057141"/>
    <w:rsid w:val="00065929"/>
    <w:rsid w:val="00084A3F"/>
    <w:rsid w:val="00085640"/>
    <w:rsid w:val="000B63AF"/>
    <w:rsid w:val="000C0C97"/>
    <w:rsid w:val="000C2367"/>
    <w:rsid w:val="000D2D74"/>
    <w:rsid w:val="000E7FD9"/>
    <w:rsid w:val="000F1850"/>
    <w:rsid w:val="000F349B"/>
    <w:rsid w:val="000F6087"/>
    <w:rsid w:val="001036BE"/>
    <w:rsid w:val="00105893"/>
    <w:rsid w:val="00110699"/>
    <w:rsid w:val="00123F7B"/>
    <w:rsid w:val="00130D1D"/>
    <w:rsid w:val="00136C7D"/>
    <w:rsid w:val="00142D0B"/>
    <w:rsid w:val="00150773"/>
    <w:rsid w:val="00152239"/>
    <w:rsid w:val="001760FA"/>
    <w:rsid w:val="00193379"/>
    <w:rsid w:val="001A4BD2"/>
    <w:rsid w:val="001A610E"/>
    <w:rsid w:val="001B23B6"/>
    <w:rsid w:val="001C64B5"/>
    <w:rsid w:val="001E436C"/>
    <w:rsid w:val="001F02D9"/>
    <w:rsid w:val="001F696A"/>
    <w:rsid w:val="002000FE"/>
    <w:rsid w:val="002047DB"/>
    <w:rsid w:val="00213F48"/>
    <w:rsid w:val="00215381"/>
    <w:rsid w:val="0023396D"/>
    <w:rsid w:val="00241A4B"/>
    <w:rsid w:val="0024531F"/>
    <w:rsid w:val="00250D54"/>
    <w:rsid w:val="00257D77"/>
    <w:rsid w:val="00265316"/>
    <w:rsid w:val="00266BA5"/>
    <w:rsid w:val="00291825"/>
    <w:rsid w:val="00296B3F"/>
    <w:rsid w:val="002A02F8"/>
    <w:rsid w:val="002A1B5C"/>
    <w:rsid w:val="002A2150"/>
    <w:rsid w:val="002A28F7"/>
    <w:rsid w:val="002B20B9"/>
    <w:rsid w:val="002B42D2"/>
    <w:rsid w:val="002E0EAC"/>
    <w:rsid w:val="002F29A2"/>
    <w:rsid w:val="00312FE0"/>
    <w:rsid w:val="003133A6"/>
    <w:rsid w:val="00345DBA"/>
    <w:rsid w:val="00347F34"/>
    <w:rsid w:val="00356B34"/>
    <w:rsid w:val="00363F1D"/>
    <w:rsid w:val="00365719"/>
    <w:rsid w:val="0037069E"/>
    <w:rsid w:val="00382BC7"/>
    <w:rsid w:val="003967E4"/>
    <w:rsid w:val="003A0D1B"/>
    <w:rsid w:val="003A43E9"/>
    <w:rsid w:val="003A65CE"/>
    <w:rsid w:val="003B2FAB"/>
    <w:rsid w:val="003C62F4"/>
    <w:rsid w:val="003D277B"/>
    <w:rsid w:val="003E0016"/>
    <w:rsid w:val="003E1763"/>
    <w:rsid w:val="003E5C01"/>
    <w:rsid w:val="00401377"/>
    <w:rsid w:val="00406EA6"/>
    <w:rsid w:val="004122D6"/>
    <w:rsid w:val="004125AF"/>
    <w:rsid w:val="00414639"/>
    <w:rsid w:val="0041759E"/>
    <w:rsid w:val="00417F6A"/>
    <w:rsid w:val="00422376"/>
    <w:rsid w:val="00451085"/>
    <w:rsid w:val="00453B77"/>
    <w:rsid w:val="00462D7B"/>
    <w:rsid w:val="00477D3B"/>
    <w:rsid w:val="004B6312"/>
    <w:rsid w:val="004C144D"/>
    <w:rsid w:val="004C5010"/>
    <w:rsid w:val="004E0ACC"/>
    <w:rsid w:val="004F1AA3"/>
    <w:rsid w:val="0050099A"/>
    <w:rsid w:val="0051397F"/>
    <w:rsid w:val="0051519E"/>
    <w:rsid w:val="005205BB"/>
    <w:rsid w:val="00522612"/>
    <w:rsid w:val="00530562"/>
    <w:rsid w:val="0053079F"/>
    <w:rsid w:val="00552491"/>
    <w:rsid w:val="00554676"/>
    <w:rsid w:val="0056308F"/>
    <w:rsid w:val="005733EB"/>
    <w:rsid w:val="005746FD"/>
    <w:rsid w:val="005837EC"/>
    <w:rsid w:val="005855F1"/>
    <w:rsid w:val="00590ABB"/>
    <w:rsid w:val="005B27E1"/>
    <w:rsid w:val="005B2891"/>
    <w:rsid w:val="005B5878"/>
    <w:rsid w:val="005C2DAC"/>
    <w:rsid w:val="005C66C9"/>
    <w:rsid w:val="005D38FF"/>
    <w:rsid w:val="005E09E1"/>
    <w:rsid w:val="005F3101"/>
    <w:rsid w:val="005F771F"/>
    <w:rsid w:val="006041A1"/>
    <w:rsid w:val="0060564C"/>
    <w:rsid w:val="00607C8A"/>
    <w:rsid w:val="006102D9"/>
    <w:rsid w:val="00612956"/>
    <w:rsid w:val="006144C2"/>
    <w:rsid w:val="006253E0"/>
    <w:rsid w:val="0062567B"/>
    <w:rsid w:val="00634DD6"/>
    <w:rsid w:val="00641626"/>
    <w:rsid w:val="00662BC8"/>
    <w:rsid w:val="00666E74"/>
    <w:rsid w:val="00675537"/>
    <w:rsid w:val="006921CB"/>
    <w:rsid w:val="006951EC"/>
    <w:rsid w:val="006A6CA0"/>
    <w:rsid w:val="006C590E"/>
    <w:rsid w:val="006C760C"/>
    <w:rsid w:val="006D5DD3"/>
    <w:rsid w:val="006E1346"/>
    <w:rsid w:val="006E7257"/>
    <w:rsid w:val="006F1D19"/>
    <w:rsid w:val="007178ED"/>
    <w:rsid w:val="0073657B"/>
    <w:rsid w:val="007609DC"/>
    <w:rsid w:val="007661D8"/>
    <w:rsid w:val="0076688D"/>
    <w:rsid w:val="007738A4"/>
    <w:rsid w:val="00792528"/>
    <w:rsid w:val="00796D46"/>
    <w:rsid w:val="007C1990"/>
    <w:rsid w:val="007C4E26"/>
    <w:rsid w:val="007D0D66"/>
    <w:rsid w:val="007E09EB"/>
    <w:rsid w:val="007E3050"/>
    <w:rsid w:val="007E3D8B"/>
    <w:rsid w:val="007E5A2F"/>
    <w:rsid w:val="007F6E6B"/>
    <w:rsid w:val="00800084"/>
    <w:rsid w:val="00806179"/>
    <w:rsid w:val="00812242"/>
    <w:rsid w:val="00830EC4"/>
    <w:rsid w:val="008360D1"/>
    <w:rsid w:val="0083690C"/>
    <w:rsid w:val="008401DC"/>
    <w:rsid w:val="00844B15"/>
    <w:rsid w:val="0086150A"/>
    <w:rsid w:val="008A4C73"/>
    <w:rsid w:val="008C0625"/>
    <w:rsid w:val="008E49E5"/>
    <w:rsid w:val="008E546A"/>
    <w:rsid w:val="00920DF6"/>
    <w:rsid w:val="0093623B"/>
    <w:rsid w:val="00936746"/>
    <w:rsid w:val="00940030"/>
    <w:rsid w:val="009410D8"/>
    <w:rsid w:val="00951B8A"/>
    <w:rsid w:val="00966A1A"/>
    <w:rsid w:val="009963AE"/>
    <w:rsid w:val="009B04E5"/>
    <w:rsid w:val="009B691D"/>
    <w:rsid w:val="009D2A0C"/>
    <w:rsid w:val="009E6557"/>
    <w:rsid w:val="00A00680"/>
    <w:rsid w:val="00A00D37"/>
    <w:rsid w:val="00A10973"/>
    <w:rsid w:val="00A1112E"/>
    <w:rsid w:val="00A23EEB"/>
    <w:rsid w:val="00A300AD"/>
    <w:rsid w:val="00A30A75"/>
    <w:rsid w:val="00A33D45"/>
    <w:rsid w:val="00A44CF2"/>
    <w:rsid w:val="00A453BA"/>
    <w:rsid w:val="00A815F8"/>
    <w:rsid w:val="00A86FEB"/>
    <w:rsid w:val="00A878BC"/>
    <w:rsid w:val="00AD5E7D"/>
    <w:rsid w:val="00AF1602"/>
    <w:rsid w:val="00B0467B"/>
    <w:rsid w:val="00B10F0B"/>
    <w:rsid w:val="00B27561"/>
    <w:rsid w:val="00B3247E"/>
    <w:rsid w:val="00B33BFA"/>
    <w:rsid w:val="00B33ED9"/>
    <w:rsid w:val="00B45D27"/>
    <w:rsid w:val="00B63F14"/>
    <w:rsid w:val="00B723AF"/>
    <w:rsid w:val="00B77752"/>
    <w:rsid w:val="00B84BB7"/>
    <w:rsid w:val="00B90E55"/>
    <w:rsid w:val="00BA02BE"/>
    <w:rsid w:val="00BA30DD"/>
    <w:rsid w:val="00BB54ED"/>
    <w:rsid w:val="00BB5F30"/>
    <w:rsid w:val="00BB7511"/>
    <w:rsid w:val="00BE41B7"/>
    <w:rsid w:val="00BF09D7"/>
    <w:rsid w:val="00BF16D8"/>
    <w:rsid w:val="00BF49D3"/>
    <w:rsid w:val="00C075CC"/>
    <w:rsid w:val="00C1760C"/>
    <w:rsid w:val="00C22E68"/>
    <w:rsid w:val="00C819BA"/>
    <w:rsid w:val="00C82D95"/>
    <w:rsid w:val="00C83E8B"/>
    <w:rsid w:val="00CA155C"/>
    <w:rsid w:val="00CB5374"/>
    <w:rsid w:val="00CC0A2A"/>
    <w:rsid w:val="00CD4771"/>
    <w:rsid w:val="00CD7ABF"/>
    <w:rsid w:val="00CE2F67"/>
    <w:rsid w:val="00CF0AE8"/>
    <w:rsid w:val="00CF2C4A"/>
    <w:rsid w:val="00CF2E14"/>
    <w:rsid w:val="00D076A2"/>
    <w:rsid w:val="00D22812"/>
    <w:rsid w:val="00D22E73"/>
    <w:rsid w:val="00D43270"/>
    <w:rsid w:val="00D44293"/>
    <w:rsid w:val="00D551DE"/>
    <w:rsid w:val="00D62D0B"/>
    <w:rsid w:val="00D83E8B"/>
    <w:rsid w:val="00D93CC6"/>
    <w:rsid w:val="00D955B1"/>
    <w:rsid w:val="00D96B58"/>
    <w:rsid w:val="00DD2380"/>
    <w:rsid w:val="00DD240D"/>
    <w:rsid w:val="00DD6506"/>
    <w:rsid w:val="00DE1360"/>
    <w:rsid w:val="00DF5CE1"/>
    <w:rsid w:val="00DF7937"/>
    <w:rsid w:val="00E04972"/>
    <w:rsid w:val="00E214F5"/>
    <w:rsid w:val="00E33986"/>
    <w:rsid w:val="00E52845"/>
    <w:rsid w:val="00E52E06"/>
    <w:rsid w:val="00E66D81"/>
    <w:rsid w:val="00E673A7"/>
    <w:rsid w:val="00E809CC"/>
    <w:rsid w:val="00E814E5"/>
    <w:rsid w:val="00E849A1"/>
    <w:rsid w:val="00E85D9F"/>
    <w:rsid w:val="00E93994"/>
    <w:rsid w:val="00E94481"/>
    <w:rsid w:val="00EB1A4C"/>
    <w:rsid w:val="00EB3C5E"/>
    <w:rsid w:val="00EC688B"/>
    <w:rsid w:val="00EC78DD"/>
    <w:rsid w:val="00ED47ED"/>
    <w:rsid w:val="00ED7FA0"/>
    <w:rsid w:val="00EE482B"/>
    <w:rsid w:val="00F0108C"/>
    <w:rsid w:val="00F27F55"/>
    <w:rsid w:val="00F27FBF"/>
    <w:rsid w:val="00F35BD0"/>
    <w:rsid w:val="00F6141C"/>
    <w:rsid w:val="00F62EEE"/>
    <w:rsid w:val="00F75955"/>
    <w:rsid w:val="00F7799F"/>
    <w:rsid w:val="00F91F97"/>
    <w:rsid w:val="00F92B94"/>
    <w:rsid w:val="00F9710E"/>
    <w:rsid w:val="00FA1CEF"/>
    <w:rsid w:val="00FA64F2"/>
    <w:rsid w:val="00FA7632"/>
    <w:rsid w:val="00FC0235"/>
    <w:rsid w:val="00FC3534"/>
    <w:rsid w:val="00FC5CFB"/>
    <w:rsid w:val="00FD0FAE"/>
    <w:rsid w:val="00FD1A70"/>
    <w:rsid w:val="00FD36C1"/>
    <w:rsid w:val="00FE30B0"/>
    <w:rsid w:val="00FE4A14"/>
    <w:rsid w:val="012D7F18"/>
    <w:rsid w:val="01470D07"/>
    <w:rsid w:val="015117DD"/>
    <w:rsid w:val="01703B8C"/>
    <w:rsid w:val="01793D3B"/>
    <w:rsid w:val="01867A26"/>
    <w:rsid w:val="019470BD"/>
    <w:rsid w:val="019F5BCE"/>
    <w:rsid w:val="01A03E7D"/>
    <w:rsid w:val="01A942B1"/>
    <w:rsid w:val="01C16697"/>
    <w:rsid w:val="01DC1B4C"/>
    <w:rsid w:val="01E54BBA"/>
    <w:rsid w:val="01E92D47"/>
    <w:rsid w:val="01EA4360"/>
    <w:rsid w:val="02272EB1"/>
    <w:rsid w:val="022E1CAD"/>
    <w:rsid w:val="02451B3E"/>
    <w:rsid w:val="0247355B"/>
    <w:rsid w:val="024C44BC"/>
    <w:rsid w:val="025926E5"/>
    <w:rsid w:val="02822925"/>
    <w:rsid w:val="029030DB"/>
    <w:rsid w:val="02A57859"/>
    <w:rsid w:val="02A7226F"/>
    <w:rsid w:val="02F7444E"/>
    <w:rsid w:val="03086889"/>
    <w:rsid w:val="033C5A90"/>
    <w:rsid w:val="03775E33"/>
    <w:rsid w:val="038225D9"/>
    <w:rsid w:val="039A10BF"/>
    <w:rsid w:val="03A365CA"/>
    <w:rsid w:val="03C3064E"/>
    <w:rsid w:val="03D44005"/>
    <w:rsid w:val="03D67461"/>
    <w:rsid w:val="03E20898"/>
    <w:rsid w:val="03FF48AB"/>
    <w:rsid w:val="04084DAA"/>
    <w:rsid w:val="042C4204"/>
    <w:rsid w:val="04313F8E"/>
    <w:rsid w:val="044E6777"/>
    <w:rsid w:val="04905760"/>
    <w:rsid w:val="04A70895"/>
    <w:rsid w:val="04AE3893"/>
    <w:rsid w:val="04FB49BC"/>
    <w:rsid w:val="05481DD8"/>
    <w:rsid w:val="0568790D"/>
    <w:rsid w:val="05726E8E"/>
    <w:rsid w:val="0576332D"/>
    <w:rsid w:val="05882A46"/>
    <w:rsid w:val="05A77B9B"/>
    <w:rsid w:val="05AA3947"/>
    <w:rsid w:val="05C74010"/>
    <w:rsid w:val="05DD0268"/>
    <w:rsid w:val="05E011BC"/>
    <w:rsid w:val="05E95D4C"/>
    <w:rsid w:val="06182E62"/>
    <w:rsid w:val="061C0D14"/>
    <w:rsid w:val="06205D02"/>
    <w:rsid w:val="062C7C37"/>
    <w:rsid w:val="06335FBF"/>
    <w:rsid w:val="06337914"/>
    <w:rsid w:val="06656E6F"/>
    <w:rsid w:val="06771B3C"/>
    <w:rsid w:val="069922F3"/>
    <w:rsid w:val="069A759F"/>
    <w:rsid w:val="06D01F6A"/>
    <w:rsid w:val="06D938EF"/>
    <w:rsid w:val="06DB364E"/>
    <w:rsid w:val="06E21B57"/>
    <w:rsid w:val="06EF0DA3"/>
    <w:rsid w:val="071F2A58"/>
    <w:rsid w:val="072E0111"/>
    <w:rsid w:val="07330B66"/>
    <w:rsid w:val="073B4730"/>
    <w:rsid w:val="07B00C3D"/>
    <w:rsid w:val="07D15AEF"/>
    <w:rsid w:val="07D2632C"/>
    <w:rsid w:val="07D32185"/>
    <w:rsid w:val="07D75E36"/>
    <w:rsid w:val="07DD06DB"/>
    <w:rsid w:val="07FC6617"/>
    <w:rsid w:val="07FD2EAC"/>
    <w:rsid w:val="08130CAA"/>
    <w:rsid w:val="08193F19"/>
    <w:rsid w:val="081E16C3"/>
    <w:rsid w:val="082D5601"/>
    <w:rsid w:val="084A5C2F"/>
    <w:rsid w:val="084D00ED"/>
    <w:rsid w:val="08596C9D"/>
    <w:rsid w:val="08691326"/>
    <w:rsid w:val="086C7AD1"/>
    <w:rsid w:val="087F5427"/>
    <w:rsid w:val="088033E0"/>
    <w:rsid w:val="08B94654"/>
    <w:rsid w:val="08BE7224"/>
    <w:rsid w:val="08CA2A5F"/>
    <w:rsid w:val="08CB0C1D"/>
    <w:rsid w:val="08DE5466"/>
    <w:rsid w:val="08E52699"/>
    <w:rsid w:val="08FD29BD"/>
    <w:rsid w:val="08FE064F"/>
    <w:rsid w:val="09071536"/>
    <w:rsid w:val="094F1042"/>
    <w:rsid w:val="095C3A0B"/>
    <w:rsid w:val="095F1B63"/>
    <w:rsid w:val="097C25D5"/>
    <w:rsid w:val="09C421E0"/>
    <w:rsid w:val="09F34E07"/>
    <w:rsid w:val="0A034C53"/>
    <w:rsid w:val="0A2B6C94"/>
    <w:rsid w:val="0A2F6B97"/>
    <w:rsid w:val="0A4173B0"/>
    <w:rsid w:val="0A5A3A16"/>
    <w:rsid w:val="0A612125"/>
    <w:rsid w:val="0A81193B"/>
    <w:rsid w:val="0A882889"/>
    <w:rsid w:val="0A9B0B79"/>
    <w:rsid w:val="0AB13728"/>
    <w:rsid w:val="0AC65B98"/>
    <w:rsid w:val="0B116209"/>
    <w:rsid w:val="0B370A83"/>
    <w:rsid w:val="0B48028A"/>
    <w:rsid w:val="0B536AAA"/>
    <w:rsid w:val="0B5D3585"/>
    <w:rsid w:val="0B7E653F"/>
    <w:rsid w:val="0B8A2526"/>
    <w:rsid w:val="0B9739C1"/>
    <w:rsid w:val="0BB20ACC"/>
    <w:rsid w:val="0BBA04DF"/>
    <w:rsid w:val="0BDB1D4C"/>
    <w:rsid w:val="0BF2107B"/>
    <w:rsid w:val="0BF40E25"/>
    <w:rsid w:val="0BFE5D38"/>
    <w:rsid w:val="0C486811"/>
    <w:rsid w:val="0C5A3F80"/>
    <w:rsid w:val="0C5C4D9E"/>
    <w:rsid w:val="0C610EDE"/>
    <w:rsid w:val="0C7B077F"/>
    <w:rsid w:val="0C804A12"/>
    <w:rsid w:val="0CE85766"/>
    <w:rsid w:val="0D3928E3"/>
    <w:rsid w:val="0D52275B"/>
    <w:rsid w:val="0D836E66"/>
    <w:rsid w:val="0D9A58DE"/>
    <w:rsid w:val="0DD71332"/>
    <w:rsid w:val="0DFF3ACD"/>
    <w:rsid w:val="0E0E5E06"/>
    <w:rsid w:val="0E0F4653"/>
    <w:rsid w:val="0E10400D"/>
    <w:rsid w:val="0E4864D2"/>
    <w:rsid w:val="0E6C119D"/>
    <w:rsid w:val="0E901D9F"/>
    <w:rsid w:val="0EBB45AE"/>
    <w:rsid w:val="0ED54D9A"/>
    <w:rsid w:val="0EF56A58"/>
    <w:rsid w:val="0EF84CDB"/>
    <w:rsid w:val="0F1642A9"/>
    <w:rsid w:val="0F225CEA"/>
    <w:rsid w:val="0F252769"/>
    <w:rsid w:val="0F286433"/>
    <w:rsid w:val="0F3B72FF"/>
    <w:rsid w:val="0F583C7E"/>
    <w:rsid w:val="0F5C51C4"/>
    <w:rsid w:val="0F651997"/>
    <w:rsid w:val="0F6B4C1D"/>
    <w:rsid w:val="0F827226"/>
    <w:rsid w:val="0FAF4F8B"/>
    <w:rsid w:val="0FD03762"/>
    <w:rsid w:val="0FD96D32"/>
    <w:rsid w:val="10756409"/>
    <w:rsid w:val="10F271F1"/>
    <w:rsid w:val="1112746F"/>
    <w:rsid w:val="11184511"/>
    <w:rsid w:val="11481B4C"/>
    <w:rsid w:val="114B1ED2"/>
    <w:rsid w:val="11745396"/>
    <w:rsid w:val="11D24CFB"/>
    <w:rsid w:val="11D4727A"/>
    <w:rsid w:val="11DC6C92"/>
    <w:rsid w:val="12260780"/>
    <w:rsid w:val="122874EC"/>
    <w:rsid w:val="123C727F"/>
    <w:rsid w:val="12582F34"/>
    <w:rsid w:val="12742C79"/>
    <w:rsid w:val="1292739A"/>
    <w:rsid w:val="12B5213A"/>
    <w:rsid w:val="12EC4EF9"/>
    <w:rsid w:val="12ED7368"/>
    <w:rsid w:val="12F714F0"/>
    <w:rsid w:val="13324AD2"/>
    <w:rsid w:val="1334641C"/>
    <w:rsid w:val="134626BA"/>
    <w:rsid w:val="134A30BF"/>
    <w:rsid w:val="13852903"/>
    <w:rsid w:val="13B10909"/>
    <w:rsid w:val="13CC30DE"/>
    <w:rsid w:val="13E07C17"/>
    <w:rsid w:val="13FE3534"/>
    <w:rsid w:val="143E1472"/>
    <w:rsid w:val="14407889"/>
    <w:rsid w:val="14C85624"/>
    <w:rsid w:val="14E23070"/>
    <w:rsid w:val="14F15CAC"/>
    <w:rsid w:val="14F861AA"/>
    <w:rsid w:val="157D1877"/>
    <w:rsid w:val="15E85E44"/>
    <w:rsid w:val="15EF2DB7"/>
    <w:rsid w:val="16064781"/>
    <w:rsid w:val="16177EA9"/>
    <w:rsid w:val="1619320D"/>
    <w:rsid w:val="173E3331"/>
    <w:rsid w:val="174E7F02"/>
    <w:rsid w:val="1754188D"/>
    <w:rsid w:val="17723D20"/>
    <w:rsid w:val="177919FF"/>
    <w:rsid w:val="17792810"/>
    <w:rsid w:val="17837C7E"/>
    <w:rsid w:val="17943525"/>
    <w:rsid w:val="17AD7A4D"/>
    <w:rsid w:val="17E12CF3"/>
    <w:rsid w:val="17FE499D"/>
    <w:rsid w:val="180D7BEC"/>
    <w:rsid w:val="184356DA"/>
    <w:rsid w:val="184A552D"/>
    <w:rsid w:val="18530A61"/>
    <w:rsid w:val="18573E94"/>
    <w:rsid w:val="185A6C96"/>
    <w:rsid w:val="187A1CE2"/>
    <w:rsid w:val="18827504"/>
    <w:rsid w:val="189B1877"/>
    <w:rsid w:val="18BE5A4A"/>
    <w:rsid w:val="18D7034E"/>
    <w:rsid w:val="18E3602B"/>
    <w:rsid w:val="18EF2226"/>
    <w:rsid w:val="18F30A62"/>
    <w:rsid w:val="193B1579"/>
    <w:rsid w:val="19444CF8"/>
    <w:rsid w:val="196861C0"/>
    <w:rsid w:val="19923657"/>
    <w:rsid w:val="19AF31FD"/>
    <w:rsid w:val="19B240CB"/>
    <w:rsid w:val="19C22583"/>
    <w:rsid w:val="1A0F1541"/>
    <w:rsid w:val="1A14288B"/>
    <w:rsid w:val="1A506147"/>
    <w:rsid w:val="1A7051D6"/>
    <w:rsid w:val="1AB46901"/>
    <w:rsid w:val="1AB94D63"/>
    <w:rsid w:val="1ABE7434"/>
    <w:rsid w:val="1ADA11FA"/>
    <w:rsid w:val="1ADA33C0"/>
    <w:rsid w:val="1B241DC0"/>
    <w:rsid w:val="1B4119B8"/>
    <w:rsid w:val="1B460172"/>
    <w:rsid w:val="1B4643A5"/>
    <w:rsid w:val="1B8B5CB0"/>
    <w:rsid w:val="1BB1652A"/>
    <w:rsid w:val="1BE97FAC"/>
    <w:rsid w:val="1BEE293C"/>
    <w:rsid w:val="1C0044D5"/>
    <w:rsid w:val="1C0D146A"/>
    <w:rsid w:val="1C1B561A"/>
    <w:rsid w:val="1C205B50"/>
    <w:rsid w:val="1C2A60AF"/>
    <w:rsid w:val="1C2A67F7"/>
    <w:rsid w:val="1C540F98"/>
    <w:rsid w:val="1C5B1C91"/>
    <w:rsid w:val="1C7352E9"/>
    <w:rsid w:val="1C7A1081"/>
    <w:rsid w:val="1C8078F1"/>
    <w:rsid w:val="1C8E2A90"/>
    <w:rsid w:val="1C950517"/>
    <w:rsid w:val="1D011BF9"/>
    <w:rsid w:val="1D1A4B8C"/>
    <w:rsid w:val="1D2542FB"/>
    <w:rsid w:val="1D3B7A69"/>
    <w:rsid w:val="1D4622ED"/>
    <w:rsid w:val="1D761946"/>
    <w:rsid w:val="1DC15BF4"/>
    <w:rsid w:val="1DFB35AA"/>
    <w:rsid w:val="1E0762C2"/>
    <w:rsid w:val="1E0A1819"/>
    <w:rsid w:val="1E3D0782"/>
    <w:rsid w:val="1E786FCD"/>
    <w:rsid w:val="1E871D6F"/>
    <w:rsid w:val="1E9100D9"/>
    <w:rsid w:val="1EA57264"/>
    <w:rsid w:val="1ED342A4"/>
    <w:rsid w:val="1ED433B1"/>
    <w:rsid w:val="1F016027"/>
    <w:rsid w:val="1F5A229A"/>
    <w:rsid w:val="1F8A1078"/>
    <w:rsid w:val="1F8D05BD"/>
    <w:rsid w:val="1F996A3F"/>
    <w:rsid w:val="1FF30368"/>
    <w:rsid w:val="1FF81712"/>
    <w:rsid w:val="2032093F"/>
    <w:rsid w:val="205C733B"/>
    <w:rsid w:val="206165BC"/>
    <w:rsid w:val="206B6B6F"/>
    <w:rsid w:val="206E0050"/>
    <w:rsid w:val="20C767D0"/>
    <w:rsid w:val="20CB79B9"/>
    <w:rsid w:val="20D24EE5"/>
    <w:rsid w:val="20D33CBF"/>
    <w:rsid w:val="20DC7B6B"/>
    <w:rsid w:val="20E826C2"/>
    <w:rsid w:val="20E91E4F"/>
    <w:rsid w:val="20EC749A"/>
    <w:rsid w:val="20F81E15"/>
    <w:rsid w:val="21377C36"/>
    <w:rsid w:val="214818CC"/>
    <w:rsid w:val="215C3C65"/>
    <w:rsid w:val="21663C3F"/>
    <w:rsid w:val="21945F95"/>
    <w:rsid w:val="21AB59FF"/>
    <w:rsid w:val="21C12F13"/>
    <w:rsid w:val="21D81DB3"/>
    <w:rsid w:val="21E05EF7"/>
    <w:rsid w:val="21F1274F"/>
    <w:rsid w:val="220C17A8"/>
    <w:rsid w:val="22202B43"/>
    <w:rsid w:val="22786BD9"/>
    <w:rsid w:val="228E3B5A"/>
    <w:rsid w:val="228E6860"/>
    <w:rsid w:val="22EA42DA"/>
    <w:rsid w:val="230A3A32"/>
    <w:rsid w:val="23487B51"/>
    <w:rsid w:val="238A5709"/>
    <w:rsid w:val="23B13A51"/>
    <w:rsid w:val="23FC6687"/>
    <w:rsid w:val="23FD19C8"/>
    <w:rsid w:val="23FE4916"/>
    <w:rsid w:val="240C4258"/>
    <w:rsid w:val="241F500A"/>
    <w:rsid w:val="243C7A01"/>
    <w:rsid w:val="245225BD"/>
    <w:rsid w:val="24886ADA"/>
    <w:rsid w:val="24A4707A"/>
    <w:rsid w:val="24DE05EC"/>
    <w:rsid w:val="25066470"/>
    <w:rsid w:val="251020E1"/>
    <w:rsid w:val="25221CA5"/>
    <w:rsid w:val="25516534"/>
    <w:rsid w:val="25540A1B"/>
    <w:rsid w:val="256E39F9"/>
    <w:rsid w:val="258651D6"/>
    <w:rsid w:val="25AE7ED5"/>
    <w:rsid w:val="25D61CAB"/>
    <w:rsid w:val="25E97ED8"/>
    <w:rsid w:val="26146CAF"/>
    <w:rsid w:val="261C35E8"/>
    <w:rsid w:val="262E318D"/>
    <w:rsid w:val="264F63F7"/>
    <w:rsid w:val="26A60AC2"/>
    <w:rsid w:val="26BD7CAE"/>
    <w:rsid w:val="26C20D2F"/>
    <w:rsid w:val="26FC15A0"/>
    <w:rsid w:val="27074B71"/>
    <w:rsid w:val="272A5628"/>
    <w:rsid w:val="273C7D81"/>
    <w:rsid w:val="27486018"/>
    <w:rsid w:val="2755166A"/>
    <w:rsid w:val="2756494D"/>
    <w:rsid w:val="277117C6"/>
    <w:rsid w:val="27B24F68"/>
    <w:rsid w:val="27C651A0"/>
    <w:rsid w:val="28032655"/>
    <w:rsid w:val="281633C9"/>
    <w:rsid w:val="28697612"/>
    <w:rsid w:val="287B3841"/>
    <w:rsid w:val="288E19D5"/>
    <w:rsid w:val="289D107F"/>
    <w:rsid w:val="28AA46FD"/>
    <w:rsid w:val="28C6465C"/>
    <w:rsid w:val="28CA471E"/>
    <w:rsid w:val="28F4497F"/>
    <w:rsid w:val="28FB4D16"/>
    <w:rsid w:val="28FD1FB0"/>
    <w:rsid w:val="29104EED"/>
    <w:rsid w:val="29133EE6"/>
    <w:rsid w:val="292456D8"/>
    <w:rsid w:val="292549A5"/>
    <w:rsid w:val="293C0AC0"/>
    <w:rsid w:val="2950479D"/>
    <w:rsid w:val="29506CD5"/>
    <w:rsid w:val="295204D7"/>
    <w:rsid w:val="295544D3"/>
    <w:rsid w:val="29720796"/>
    <w:rsid w:val="29866405"/>
    <w:rsid w:val="299865B6"/>
    <w:rsid w:val="29B04811"/>
    <w:rsid w:val="29BE620B"/>
    <w:rsid w:val="29C872A0"/>
    <w:rsid w:val="29D9040F"/>
    <w:rsid w:val="2A085E15"/>
    <w:rsid w:val="2A2A089F"/>
    <w:rsid w:val="2A3B02E2"/>
    <w:rsid w:val="2A453732"/>
    <w:rsid w:val="2A653E6E"/>
    <w:rsid w:val="2A6A2A5D"/>
    <w:rsid w:val="2A8117E7"/>
    <w:rsid w:val="2A895032"/>
    <w:rsid w:val="2AA24180"/>
    <w:rsid w:val="2ACB5DAB"/>
    <w:rsid w:val="2AF11248"/>
    <w:rsid w:val="2B216614"/>
    <w:rsid w:val="2B29734F"/>
    <w:rsid w:val="2B3043C1"/>
    <w:rsid w:val="2B491013"/>
    <w:rsid w:val="2B4A4F4F"/>
    <w:rsid w:val="2B5414AA"/>
    <w:rsid w:val="2B8276BE"/>
    <w:rsid w:val="2B930EAC"/>
    <w:rsid w:val="2B9578B8"/>
    <w:rsid w:val="2BB4695C"/>
    <w:rsid w:val="2BC6006D"/>
    <w:rsid w:val="2C195453"/>
    <w:rsid w:val="2C4A5823"/>
    <w:rsid w:val="2C5C63BD"/>
    <w:rsid w:val="2C701564"/>
    <w:rsid w:val="2C7A1A73"/>
    <w:rsid w:val="2CA655BB"/>
    <w:rsid w:val="2CAD3ACF"/>
    <w:rsid w:val="2CB361E2"/>
    <w:rsid w:val="2CB870A7"/>
    <w:rsid w:val="2CBF1C62"/>
    <w:rsid w:val="2CD22002"/>
    <w:rsid w:val="2CDF196C"/>
    <w:rsid w:val="2CEB4EE3"/>
    <w:rsid w:val="2D11399D"/>
    <w:rsid w:val="2D9F4F9F"/>
    <w:rsid w:val="2DCB4175"/>
    <w:rsid w:val="2DCD20B4"/>
    <w:rsid w:val="2DF30ACE"/>
    <w:rsid w:val="2DF45694"/>
    <w:rsid w:val="2E1339B7"/>
    <w:rsid w:val="2E225F92"/>
    <w:rsid w:val="2E2F4A6A"/>
    <w:rsid w:val="2E3142EA"/>
    <w:rsid w:val="2E81699F"/>
    <w:rsid w:val="2E8557B4"/>
    <w:rsid w:val="2E8C2256"/>
    <w:rsid w:val="2EA015D9"/>
    <w:rsid w:val="2EA2436C"/>
    <w:rsid w:val="2EE57CE6"/>
    <w:rsid w:val="2F031C52"/>
    <w:rsid w:val="2F15291C"/>
    <w:rsid w:val="2F3857D2"/>
    <w:rsid w:val="2F686CA5"/>
    <w:rsid w:val="2F7A4E70"/>
    <w:rsid w:val="2F8D28E0"/>
    <w:rsid w:val="2FBC76A4"/>
    <w:rsid w:val="2FC447BE"/>
    <w:rsid w:val="2FEF6FCD"/>
    <w:rsid w:val="300438DB"/>
    <w:rsid w:val="300E214A"/>
    <w:rsid w:val="30215EA8"/>
    <w:rsid w:val="302842E2"/>
    <w:rsid w:val="302F6036"/>
    <w:rsid w:val="306273B3"/>
    <w:rsid w:val="30636639"/>
    <w:rsid w:val="309A1785"/>
    <w:rsid w:val="30A91B9C"/>
    <w:rsid w:val="30CB54CB"/>
    <w:rsid w:val="30E93810"/>
    <w:rsid w:val="30F70F00"/>
    <w:rsid w:val="311A4A7C"/>
    <w:rsid w:val="311B5DA8"/>
    <w:rsid w:val="31276866"/>
    <w:rsid w:val="319D2CCC"/>
    <w:rsid w:val="31DE1F23"/>
    <w:rsid w:val="31F44EA9"/>
    <w:rsid w:val="32234EF4"/>
    <w:rsid w:val="3225208D"/>
    <w:rsid w:val="323B2166"/>
    <w:rsid w:val="32466AC4"/>
    <w:rsid w:val="32521704"/>
    <w:rsid w:val="329D76D7"/>
    <w:rsid w:val="32A767A0"/>
    <w:rsid w:val="32B867FF"/>
    <w:rsid w:val="32BF48BA"/>
    <w:rsid w:val="32F449B6"/>
    <w:rsid w:val="32FB3377"/>
    <w:rsid w:val="331D6B18"/>
    <w:rsid w:val="33394703"/>
    <w:rsid w:val="33502F79"/>
    <w:rsid w:val="33640B97"/>
    <w:rsid w:val="33806AE9"/>
    <w:rsid w:val="33857DF6"/>
    <w:rsid w:val="33897B80"/>
    <w:rsid w:val="33AB4E85"/>
    <w:rsid w:val="33B402C9"/>
    <w:rsid w:val="33C1258C"/>
    <w:rsid w:val="33C77138"/>
    <w:rsid w:val="3402585C"/>
    <w:rsid w:val="340C3244"/>
    <w:rsid w:val="34356EA3"/>
    <w:rsid w:val="34655F78"/>
    <w:rsid w:val="348E5CAB"/>
    <w:rsid w:val="34AC6C59"/>
    <w:rsid w:val="34BD2334"/>
    <w:rsid w:val="34C22FE1"/>
    <w:rsid w:val="35280CDF"/>
    <w:rsid w:val="352F311C"/>
    <w:rsid w:val="35376A44"/>
    <w:rsid w:val="353E1111"/>
    <w:rsid w:val="354F3693"/>
    <w:rsid w:val="355C3D6F"/>
    <w:rsid w:val="356263B6"/>
    <w:rsid w:val="35761E24"/>
    <w:rsid w:val="35764694"/>
    <w:rsid w:val="3594452F"/>
    <w:rsid w:val="35DF7E2A"/>
    <w:rsid w:val="35E8397A"/>
    <w:rsid w:val="360905FB"/>
    <w:rsid w:val="36B41FCB"/>
    <w:rsid w:val="36B6221F"/>
    <w:rsid w:val="36E87538"/>
    <w:rsid w:val="370A0C18"/>
    <w:rsid w:val="371A1F1E"/>
    <w:rsid w:val="37441233"/>
    <w:rsid w:val="37480CD1"/>
    <w:rsid w:val="374D1D31"/>
    <w:rsid w:val="37777BF8"/>
    <w:rsid w:val="3780068D"/>
    <w:rsid w:val="37AC1634"/>
    <w:rsid w:val="37C03A05"/>
    <w:rsid w:val="37E039C3"/>
    <w:rsid w:val="37FB659D"/>
    <w:rsid w:val="38012757"/>
    <w:rsid w:val="38193E44"/>
    <w:rsid w:val="38295B8A"/>
    <w:rsid w:val="38303AB0"/>
    <w:rsid w:val="383A58FC"/>
    <w:rsid w:val="387011C0"/>
    <w:rsid w:val="388124B4"/>
    <w:rsid w:val="388F20AF"/>
    <w:rsid w:val="389172CB"/>
    <w:rsid w:val="389672F3"/>
    <w:rsid w:val="38A25423"/>
    <w:rsid w:val="38A56C4C"/>
    <w:rsid w:val="38C22F28"/>
    <w:rsid w:val="38DF6692"/>
    <w:rsid w:val="38ED4C8E"/>
    <w:rsid w:val="391845A9"/>
    <w:rsid w:val="392A71C7"/>
    <w:rsid w:val="39422E6F"/>
    <w:rsid w:val="39487D6B"/>
    <w:rsid w:val="395D186E"/>
    <w:rsid w:val="396E4CD5"/>
    <w:rsid w:val="399515B4"/>
    <w:rsid w:val="39A41D7B"/>
    <w:rsid w:val="39AB2B90"/>
    <w:rsid w:val="39F4757C"/>
    <w:rsid w:val="3A0420CB"/>
    <w:rsid w:val="3A0A3E7D"/>
    <w:rsid w:val="3A131BE2"/>
    <w:rsid w:val="3A164C3A"/>
    <w:rsid w:val="3A1C1BA3"/>
    <w:rsid w:val="3A417E6C"/>
    <w:rsid w:val="3A421376"/>
    <w:rsid w:val="3A8702A9"/>
    <w:rsid w:val="3AB00D99"/>
    <w:rsid w:val="3AB0762B"/>
    <w:rsid w:val="3AB521A5"/>
    <w:rsid w:val="3ADC4D4D"/>
    <w:rsid w:val="3AF16E6D"/>
    <w:rsid w:val="3AF2534F"/>
    <w:rsid w:val="3B2D271D"/>
    <w:rsid w:val="3B3818B7"/>
    <w:rsid w:val="3B445E6F"/>
    <w:rsid w:val="3B4F47DC"/>
    <w:rsid w:val="3B6D1FDC"/>
    <w:rsid w:val="3B7E558F"/>
    <w:rsid w:val="3B917A2F"/>
    <w:rsid w:val="3BBC6580"/>
    <w:rsid w:val="3BC64B64"/>
    <w:rsid w:val="3BF33CA7"/>
    <w:rsid w:val="3BF36632"/>
    <w:rsid w:val="3C4A73DF"/>
    <w:rsid w:val="3C4B7E06"/>
    <w:rsid w:val="3C601FF6"/>
    <w:rsid w:val="3C7E01DE"/>
    <w:rsid w:val="3CA93224"/>
    <w:rsid w:val="3CCA68E8"/>
    <w:rsid w:val="3CD41B40"/>
    <w:rsid w:val="3CE34C82"/>
    <w:rsid w:val="3D144661"/>
    <w:rsid w:val="3D1E047E"/>
    <w:rsid w:val="3D2B1CA4"/>
    <w:rsid w:val="3D2B7AD0"/>
    <w:rsid w:val="3D307B86"/>
    <w:rsid w:val="3D3A1A4D"/>
    <w:rsid w:val="3D611422"/>
    <w:rsid w:val="3D622953"/>
    <w:rsid w:val="3D715A7C"/>
    <w:rsid w:val="3D741603"/>
    <w:rsid w:val="3D81640E"/>
    <w:rsid w:val="3D8D1182"/>
    <w:rsid w:val="3DA92D52"/>
    <w:rsid w:val="3DB11DF0"/>
    <w:rsid w:val="3DCF0432"/>
    <w:rsid w:val="3DDE3B48"/>
    <w:rsid w:val="3DF5390E"/>
    <w:rsid w:val="3E0A67E8"/>
    <w:rsid w:val="3E106368"/>
    <w:rsid w:val="3E2B7549"/>
    <w:rsid w:val="3E9711EF"/>
    <w:rsid w:val="3E973611"/>
    <w:rsid w:val="3EA70413"/>
    <w:rsid w:val="3EAF1A55"/>
    <w:rsid w:val="3EF0519F"/>
    <w:rsid w:val="3F0B1405"/>
    <w:rsid w:val="3F3B1DC7"/>
    <w:rsid w:val="3F404F08"/>
    <w:rsid w:val="3F583FEA"/>
    <w:rsid w:val="3F794F93"/>
    <w:rsid w:val="3F9233DC"/>
    <w:rsid w:val="3FB217F3"/>
    <w:rsid w:val="3FD67BC2"/>
    <w:rsid w:val="3FEC38A6"/>
    <w:rsid w:val="3FF44277"/>
    <w:rsid w:val="3FF670A4"/>
    <w:rsid w:val="3FFA43A0"/>
    <w:rsid w:val="40170C9B"/>
    <w:rsid w:val="402B574C"/>
    <w:rsid w:val="402E541B"/>
    <w:rsid w:val="4043313A"/>
    <w:rsid w:val="404C5252"/>
    <w:rsid w:val="405278CC"/>
    <w:rsid w:val="407B30A1"/>
    <w:rsid w:val="4080283F"/>
    <w:rsid w:val="40A271FE"/>
    <w:rsid w:val="40A32A99"/>
    <w:rsid w:val="40A91085"/>
    <w:rsid w:val="40DB0854"/>
    <w:rsid w:val="40E27B67"/>
    <w:rsid w:val="40EA7FCD"/>
    <w:rsid w:val="40EE3D39"/>
    <w:rsid w:val="41167E3D"/>
    <w:rsid w:val="41253C65"/>
    <w:rsid w:val="4149220C"/>
    <w:rsid w:val="4156640A"/>
    <w:rsid w:val="41931686"/>
    <w:rsid w:val="41B75535"/>
    <w:rsid w:val="41BF63D8"/>
    <w:rsid w:val="41C0341A"/>
    <w:rsid w:val="41C271C2"/>
    <w:rsid w:val="41CE2782"/>
    <w:rsid w:val="41D56FA5"/>
    <w:rsid w:val="41EC5AD9"/>
    <w:rsid w:val="422B2791"/>
    <w:rsid w:val="423E7878"/>
    <w:rsid w:val="4244459D"/>
    <w:rsid w:val="425C05E5"/>
    <w:rsid w:val="42880BC5"/>
    <w:rsid w:val="42882F1B"/>
    <w:rsid w:val="42895E42"/>
    <w:rsid w:val="42A35812"/>
    <w:rsid w:val="42C40C75"/>
    <w:rsid w:val="42CF285E"/>
    <w:rsid w:val="42D76601"/>
    <w:rsid w:val="42D87F0C"/>
    <w:rsid w:val="42FC1238"/>
    <w:rsid w:val="43466AFF"/>
    <w:rsid w:val="43514208"/>
    <w:rsid w:val="436706F6"/>
    <w:rsid w:val="43767A3A"/>
    <w:rsid w:val="43907477"/>
    <w:rsid w:val="439466D9"/>
    <w:rsid w:val="43AC0D59"/>
    <w:rsid w:val="43AC344A"/>
    <w:rsid w:val="43D57934"/>
    <w:rsid w:val="43ED77AE"/>
    <w:rsid w:val="441E5DCA"/>
    <w:rsid w:val="44202433"/>
    <w:rsid w:val="443474AF"/>
    <w:rsid w:val="443A7AC9"/>
    <w:rsid w:val="44453906"/>
    <w:rsid w:val="444D7728"/>
    <w:rsid w:val="444E57E8"/>
    <w:rsid w:val="446E37FE"/>
    <w:rsid w:val="44B630D3"/>
    <w:rsid w:val="44D332EB"/>
    <w:rsid w:val="44D71CA9"/>
    <w:rsid w:val="44E82A18"/>
    <w:rsid w:val="45230C44"/>
    <w:rsid w:val="453331BD"/>
    <w:rsid w:val="453770DF"/>
    <w:rsid w:val="45482CC3"/>
    <w:rsid w:val="45511C8F"/>
    <w:rsid w:val="455F0DE1"/>
    <w:rsid w:val="45825366"/>
    <w:rsid w:val="458E7BC1"/>
    <w:rsid w:val="45B7383D"/>
    <w:rsid w:val="45BF1FA9"/>
    <w:rsid w:val="45C843C4"/>
    <w:rsid w:val="45E0767B"/>
    <w:rsid w:val="45E2422F"/>
    <w:rsid w:val="45F17A8C"/>
    <w:rsid w:val="45F664DE"/>
    <w:rsid w:val="46032029"/>
    <w:rsid w:val="46227E8A"/>
    <w:rsid w:val="462F5198"/>
    <w:rsid w:val="46310783"/>
    <w:rsid w:val="4641742E"/>
    <w:rsid w:val="467E2518"/>
    <w:rsid w:val="46B93F45"/>
    <w:rsid w:val="46C6335F"/>
    <w:rsid w:val="46CA1C3B"/>
    <w:rsid w:val="46D46F59"/>
    <w:rsid w:val="46E22E62"/>
    <w:rsid w:val="470E6DB0"/>
    <w:rsid w:val="47147784"/>
    <w:rsid w:val="472C0F61"/>
    <w:rsid w:val="47324483"/>
    <w:rsid w:val="473A0023"/>
    <w:rsid w:val="47480BFD"/>
    <w:rsid w:val="47663A1A"/>
    <w:rsid w:val="4774113F"/>
    <w:rsid w:val="47AE74E0"/>
    <w:rsid w:val="47B108BE"/>
    <w:rsid w:val="47F27439"/>
    <w:rsid w:val="480A2EA5"/>
    <w:rsid w:val="48163DAE"/>
    <w:rsid w:val="48404FF1"/>
    <w:rsid w:val="48430B7D"/>
    <w:rsid w:val="48660F1E"/>
    <w:rsid w:val="486F38AC"/>
    <w:rsid w:val="48A968CC"/>
    <w:rsid w:val="48C0430B"/>
    <w:rsid w:val="48C46449"/>
    <w:rsid w:val="48D17C2F"/>
    <w:rsid w:val="48D24651"/>
    <w:rsid w:val="49077DFF"/>
    <w:rsid w:val="49236BD6"/>
    <w:rsid w:val="49404F45"/>
    <w:rsid w:val="49A52175"/>
    <w:rsid w:val="49A61CD8"/>
    <w:rsid w:val="49D538A6"/>
    <w:rsid w:val="49E20D4B"/>
    <w:rsid w:val="4A0211A9"/>
    <w:rsid w:val="4A1F25DA"/>
    <w:rsid w:val="4A4F125C"/>
    <w:rsid w:val="4A5B3A25"/>
    <w:rsid w:val="4A827578"/>
    <w:rsid w:val="4A860FE7"/>
    <w:rsid w:val="4A8629DD"/>
    <w:rsid w:val="4A914FB4"/>
    <w:rsid w:val="4AC34621"/>
    <w:rsid w:val="4AF84B7B"/>
    <w:rsid w:val="4B257232"/>
    <w:rsid w:val="4B5A5AEB"/>
    <w:rsid w:val="4B5B4FCA"/>
    <w:rsid w:val="4B943274"/>
    <w:rsid w:val="4BB04C15"/>
    <w:rsid w:val="4BE133AD"/>
    <w:rsid w:val="4C257A73"/>
    <w:rsid w:val="4C3E3852"/>
    <w:rsid w:val="4C424CC4"/>
    <w:rsid w:val="4CA679E2"/>
    <w:rsid w:val="4CB94EB3"/>
    <w:rsid w:val="4CC17249"/>
    <w:rsid w:val="4CCA2A19"/>
    <w:rsid w:val="4CF262C7"/>
    <w:rsid w:val="4D150D5E"/>
    <w:rsid w:val="4D240D4C"/>
    <w:rsid w:val="4D45166C"/>
    <w:rsid w:val="4D6E725F"/>
    <w:rsid w:val="4D896D13"/>
    <w:rsid w:val="4D9C5B81"/>
    <w:rsid w:val="4DBF6BFA"/>
    <w:rsid w:val="4DC503A7"/>
    <w:rsid w:val="4DD72552"/>
    <w:rsid w:val="4DF40D45"/>
    <w:rsid w:val="4E2F611B"/>
    <w:rsid w:val="4E3B6558"/>
    <w:rsid w:val="4E4B2012"/>
    <w:rsid w:val="4E4C2022"/>
    <w:rsid w:val="4E750DAD"/>
    <w:rsid w:val="4E9607CA"/>
    <w:rsid w:val="4ED76D20"/>
    <w:rsid w:val="4EE33A8E"/>
    <w:rsid w:val="4F126669"/>
    <w:rsid w:val="4F4E4EA0"/>
    <w:rsid w:val="4F7D0AD7"/>
    <w:rsid w:val="4F9B6B06"/>
    <w:rsid w:val="4FBE501F"/>
    <w:rsid w:val="4FE323D9"/>
    <w:rsid w:val="4FFF04F7"/>
    <w:rsid w:val="500759AA"/>
    <w:rsid w:val="501A466F"/>
    <w:rsid w:val="5070503B"/>
    <w:rsid w:val="50997FFF"/>
    <w:rsid w:val="509D0B88"/>
    <w:rsid w:val="50A14DFF"/>
    <w:rsid w:val="50BF30AC"/>
    <w:rsid w:val="50CE2E28"/>
    <w:rsid w:val="510347E8"/>
    <w:rsid w:val="51195F9F"/>
    <w:rsid w:val="514777B4"/>
    <w:rsid w:val="51584F58"/>
    <w:rsid w:val="516C3174"/>
    <w:rsid w:val="516E304F"/>
    <w:rsid w:val="51B03B61"/>
    <w:rsid w:val="51C73FF5"/>
    <w:rsid w:val="51D75295"/>
    <w:rsid w:val="51E35061"/>
    <w:rsid w:val="51E6035F"/>
    <w:rsid w:val="51F27557"/>
    <w:rsid w:val="521C7F1A"/>
    <w:rsid w:val="522667DF"/>
    <w:rsid w:val="522E71FD"/>
    <w:rsid w:val="52321493"/>
    <w:rsid w:val="52483DD4"/>
    <w:rsid w:val="524E6FED"/>
    <w:rsid w:val="524E7136"/>
    <w:rsid w:val="527909B0"/>
    <w:rsid w:val="52805E7E"/>
    <w:rsid w:val="528D187D"/>
    <w:rsid w:val="529D17FA"/>
    <w:rsid w:val="52C9154E"/>
    <w:rsid w:val="52CA2EC4"/>
    <w:rsid w:val="52F66994"/>
    <w:rsid w:val="532A4A1C"/>
    <w:rsid w:val="53327BD9"/>
    <w:rsid w:val="53933FEB"/>
    <w:rsid w:val="53A76EB7"/>
    <w:rsid w:val="53CE11AC"/>
    <w:rsid w:val="53E06521"/>
    <w:rsid w:val="53E2110C"/>
    <w:rsid w:val="53E861CC"/>
    <w:rsid w:val="53FB4434"/>
    <w:rsid w:val="54003628"/>
    <w:rsid w:val="54070985"/>
    <w:rsid w:val="54104610"/>
    <w:rsid w:val="54164856"/>
    <w:rsid w:val="541A71D9"/>
    <w:rsid w:val="543B4CDA"/>
    <w:rsid w:val="54416041"/>
    <w:rsid w:val="544341FD"/>
    <w:rsid w:val="545119D6"/>
    <w:rsid w:val="547975B5"/>
    <w:rsid w:val="5490727A"/>
    <w:rsid w:val="54990CA9"/>
    <w:rsid w:val="54A60848"/>
    <w:rsid w:val="54CD12FF"/>
    <w:rsid w:val="550228E2"/>
    <w:rsid w:val="55093BF7"/>
    <w:rsid w:val="550F4CF6"/>
    <w:rsid w:val="55154115"/>
    <w:rsid w:val="55767341"/>
    <w:rsid w:val="55792D65"/>
    <w:rsid w:val="559C3480"/>
    <w:rsid w:val="55BE169C"/>
    <w:rsid w:val="563464C8"/>
    <w:rsid w:val="56364319"/>
    <w:rsid w:val="56377739"/>
    <w:rsid w:val="56523D7A"/>
    <w:rsid w:val="56A3482E"/>
    <w:rsid w:val="56A86A0C"/>
    <w:rsid w:val="57007C24"/>
    <w:rsid w:val="574A1D97"/>
    <w:rsid w:val="575B2CE5"/>
    <w:rsid w:val="57803E65"/>
    <w:rsid w:val="57BB0FC3"/>
    <w:rsid w:val="57BB2FC9"/>
    <w:rsid w:val="57DF2D6F"/>
    <w:rsid w:val="57EC33E5"/>
    <w:rsid w:val="580C3B21"/>
    <w:rsid w:val="58122BCE"/>
    <w:rsid w:val="582435A6"/>
    <w:rsid w:val="58297A42"/>
    <w:rsid w:val="583028C6"/>
    <w:rsid w:val="58311279"/>
    <w:rsid w:val="583156DC"/>
    <w:rsid w:val="58566DBC"/>
    <w:rsid w:val="585D0090"/>
    <w:rsid w:val="58C3397D"/>
    <w:rsid w:val="5903700D"/>
    <w:rsid w:val="595002F8"/>
    <w:rsid w:val="595A66A9"/>
    <w:rsid w:val="596354EA"/>
    <w:rsid w:val="599C3455"/>
    <w:rsid w:val="5A1B1C9B"/>
    <w:rsid w:val="5A2B17DB"/>
    <w:rsid w:val="5A602144"/>
    <w:rsid w:val="5A604E46"/>
    <w:rsid w:val="5A6B747B"/>
    <w:rsid w:val="5A826F2F"/>
    <w:rsid w:val="5AAB19A0"/>
    <w:rsid w:val="5AAC230A"/>
    <w:rsid w:val="5AB34202"/>
    <w:rsid w:val="5AD2359E"/>
    <w:rsid w:val="5AD71F88"/>
    <w:rsid w:val="5ADB7B12"/>
    <w:rsid w:val="5AF406F3"/>
    <w:rsid w:val="5AF4280B"/>
    <w:rsid w:val="5AF848DA"/>
    <w:rsid w:val="5AFB0D21"/>
    <w:rsid w:val="5B054184"/>
    <w:rsid w:val="5B777D0B"/>
    <w:rsid w:val="5B820044"/>
    <w:rsid w:val="5BB82B45"/>
    <w:rsid w:val="5BC7669A"/>
    <w:rsid w:val="5BCC3CA2"/>
    <w:rsid w:val="5BE51E13"/>
    <w:rsid w:val="5BEE39B3"/>
    <w:rsid w:val="5C3C2755"/>
    <w:rsid w:val="5C3E548B"/>
    <w:rsid w:val="5C4D2472"/>
    <w:rsid w:val="5C542D39"/>
    <w:rsid w:val="5C6C5D2C"/>
    <w:rsid w:val="5C7754DF"/>
    <w:rsid w:val="5C9F6283"/>
    <w:rsid w:val="5CC731B5"/>
    <w:rsid w:val="5CDD7626"/>
    <w:rsid w:val="5CEA61C0"/>
    <w:rsid w:val="5CF66230"/>
    <w:rsid w:val="5D211002"/>
    <w:rsid w:val="5D390BA1"/>
    <w:rsid w:val="5D441423"/>
    <w:rsid w:val="5D4F5703"/>
    <w:rsid w:val="5D8C28A9"/>
    <w:rsid w:val="5DA428CA"/>
    <w:rsid w:val="5DB74E56"/>
    <w:rsid w:val="5DEC67D1"/>
    <w:rsid w:val="5DF354D2"/>
    <w:rsid w:val="5DFB7C4F"/>
    <w:rsid w:val="5E32483A"/>
    <w:rsid w:val="5E3B58B3"/>
    <w:rsid w:val="5E59482B"/>
    <w:rsid w:val="5E621A85"/>
    <w:rsid w:val="5E634905"/>
    <w:rsid w:val="5E7041BC"/>
    <w:rsid w:val="5E720E88"/>
    <w:rsid w:val="5E771B5E"/>
    <w:rsid w:val="5E8B7FDF"/>
    <w:rsid w:val="5EA60292"/>
    <w:rsid w:val="5EBB0CEF"/>
    <w:rsid w:val="5EBF6743"/>
    <w:rsid w:val="5EC74746"/>
    <w:rsid w:val="5EF27CF7"/>
    <w:rsid w:val="5F0E0036"/>
    <w:rsid w:val="5F10496B"/>
    <w:rsid w:val="5F206C44"/>
    <w:rsid w:val="5F303C0F"/>
    <w:rsid w:val="5F57791E"/>
    <w:rsid w:val="5F5A2B14"/>
    <w:rsid w:val="5F655592"/>
    <w:rsid w:val="5F9F116C"/>
    <w:rsid w:val="5FF71C85"/>
    <w:rsid w:val="5FF8270B"/>
    <w:rsid w:val="600C714E"/>
    <w:rsid w:val="60457640"/>
    <w:rsid w:val="605606D7"/>
    <w:rsid w:val="60634DF6"/>
    <w:rsid w:val="607E7BC4"/>
    <w:rsid w:val="608420A1"/>
    <w:rsid w:val="608907B4"/>
    <w:rsid w:val="60973151"/>
    <w:rsid w:val="609E5379"/>
    <w:rsid w:val="60B80C67"/>
    <w:rsid w:val="60D977D3"/>
    <w:rsid w:val="6104225C"/>
    <w:rsid w:val="61483665"/>
    <w:rsid w:val="61487AAA"/>
    <w:rsid w:val="614D161D"/>
    <w:rsid w:val="614D23C0"/>
    <w:rsid w:val="6167018B"/>
    <w:rsid w:val="61750AC5"/>
    <w:rsid w:val="61782B69"/>
    <w:rsid w:val="618D3580"/>
    <w:rsid w:val="61A6296C"/>
    <w:rsid w:val="61C96A1E"/>
    <w:rsid w:val="61F55AA4"/>
    <w:rsid w:val="62012B7B"/>
    <w:rsid w:val="62163364"/>
    <w:rsid w:val="62715EB0"/>
    <w:rsid w:val="62A336E0"/>
    <w:rsid w:val="62E14151"/>
    <w:rsid w:val="63244E6F"/>
    <w:rsid w:val="633D7DE6"/>
    <w:rsid w:val="634D5C65"/>
    <w:rsid w:val="635F0398"/>
    <w:rsid w:val="636B24B1"/>
    <w:rsid w:val="638F5CD8"/>
    <w:rsid w:val="639F6828"/>
    <w:rsid w:val="63A17A82"/>
    <w:rsid w:val="63D01D3D"/>
    <w:rsid w:val="63F34572"/>
    <w:rsid w:val="64082775"/>
    <w:rsid w:val="6439658D"/>
    <w:rsid w:val="643C633E"/>
    <w:rsid w:val="64411A3F"/>
    <w:rsid w:val="6449015A"/>
    <w:rsid w:val="644A7F81"/>
    <w:rsid w:val="64655C13"/>
    <w:rsid w:val="64672865"/>
    <w:rsid w:val="64C4616B"/>
    <w:rsid w:val="64E970F5"/>
    <w:rsid w:val="650D7AEF"/>
    <w:rsid w:val="653C53CB"/>
    <w:rsid w:val="654F37DB"/>
    <w:rsid w:val="657F2E04"/>
    <w:rsid w:val="658248E4"/>
    <w:rsid w:val="659B78DF"/>
    <w:rsid w:val="65AA1222"/>
    <w:rsid w:val="661034F3"/>
    <w:rsid w:val="6642526B"/>
    <w:rsid w:val="665A2097"/>
    <w:rsid w:val="666E6D55"/>
    <w:rsid w:val="66726FAC"/>
    <w:rsid w:val="66743745"/>
    <w:rsid w:val="66843B90"/>
    <w:rsid w:val="668C70C1"/>
    <w:rsid w:val="66A51395"/>
    <w:rsid w:val="66DB509A"/>
    <w:rsid w:val="66E95670"/>
    <w:rsid w:val="66EF4EEA"/>
    <w:rsid w:val="671E33A2"/>
    <w:rsid w:val="671E4580"/>
    <w:rsid w:val="675518C4"/>
    <w:rsid w:val="675B5339"/>
    <w:rsid w:val="676D735D"/>
    <w:rsid w:val="67864ED7"/>
    <w:rsid w:val="67C94ABC"/>
    <w:rsid w:val="67CC453A"/>
    <w:rsid w:val="67E45B82"/>
    <w:rsid w:val="67EA4BA0"/>
    <w:rsid w:val="67EE5775"/>
    <w:rsid w:val="67F94695"/>
    <w:rsid w:val="680404EA"/>
    <w:rsid w:val="68074125"/>
    <w:rsid w:val="681A57DD"/>
    <w:rsid w:val="68206AC6"/>
    <w:rsid w:val="68281F3C"/>
    <w:rsid w:val="682C093A"/>
    <w:rsid w:val="68B34700"/>
    <w:rsid w:val="68DC3C23"/>
    <w:rsid w:val="68E72A96"/>
    <w:rsid w:val="68FC766C"/>
    <w:rsid w:val="690D13CD"/>
    <w:rsid w:val="6926135B"/>
    <w:rsid w:val="69383262"/>
    <w:rsid w:val="6949060C"/>
    <w:rsid w:val="69580C0F"/>
    <w:rsid w:val="696B419C"/>
    <w:rsid w:val="6975127E"/>
    <w:rsid w:val="698F3F6A"/>
    <w:rsid w:val="69C510EA"/>
    <w:rsid w:val="69E01D65"/>
    <w:rsid w:val="69EE1742"/>
    <w:rsid w:val="69FC6143"/>
    <w:rsid w:val="6A0221AD"/>
    <w:rsid w:val="6A034EC0"/>
    <w:rsid w:val="6A3A34C6"/>
    <w:rsid w:val="6A602C0F"/>
    <w:rsid w:val="6A67080F"/>
    <w:rsid w:val="6A733F0E"/>
    <w:rsid w:val="6A942C5A"/>
    <w:rsid w:val="6AB92862"/>
    <w:rsid w:val="6ACC2EFD"/>
    <w:rsid w:val="6AEF2022"/>
    <w:rsid w:val="6B311CB8"/>
    <w:rsid w:val="6B33796C"/>
    <w:rsid w:val="6B443A41"/>
    <w:rsid w:val="6B75153D"/>
    <w:rsid w:val="6B9232DE"/>
    <w:rsid w:val="6BAF5395"/>
    <w:rsid w:val="6BB475EA"/>
    <w:rsid w:val="6BB51D9A"/>
    <w:rsid w:val="6BFB0414"/>
    <w:rsid w:val="6C0F20BD"/>
    <w:rsid w:val="6C1C717E"/>
    <w:rsid w:val="6C1D2BCD"/>
    <w:rsid w:val="6C31153C"/>
    <w:rsid w:val="6C3F4081"/>
    <w:rsid w:val="6C560A67"/>
    <w:rsid w:val="6C5803DC"/>
    <w:rsid w:val="6C637BC4"/>
    <w:rsid w:val="6C6939CA"/>
    <w:rsid w:val="6C6A2EBE"/>
    <w:rsid w:val="6C9025D8"/>
    <w:rsid w:val="6CA363F0"/>
    <w:rsid w:val="6CA41770"/>
    <w:rsid w:val="6CAB375C"/>
    <w:rsid w:val="6CD669F0"/>
    <w:rsid w:val="6CE15C47"/>
    <w:rsid w:val="6CEF3665"/>
    <w:rsid w:val="6D153D3B"/>
    <w:rsid w:val="6D2C2BC0"/>
    <w:rsid w:val="6D3F2DBF"/>
    <w:rsid w:val="6D51751D"/>
    <w:rsid w:val="6D725C0D"/>
    <w:rsid w:val="6D985F40"/>
    <w:rsid w:val="6DCF127C"/>
    <w:rsid w:val="6DD45C0F"/>
    <w:rsid w:val="6E11369D"/>
    <w:rsid w:val="6E357DCD"/>
    <w:rsid w:val="6E487F56"/>
    <w:rsid w:val="6E584EDC"/>
    <w:rsid w:val="6E6D65B0"/>
    <w:rsid w:val="6E857A5C"/>
    <w:rsid w:val="6E861342"/>
    <w:rsid w:val="6ED32E68"/>
    <w:rsid w:val="6EDC2375"/>
    <w:rsid w:val="6F33440C"/>
    <w:rsid w:val="6F3424C2"/>
    <w:rsid w:val="6F4A5F66"/>
    <w:rsid w:val="6F535912"/>
    <w:rsid w:val="6F6442F1"/>
    <w:rsid w:val="6F656C29"/>
    <w:rsid w:val="6F800919"/>
    <w:rsid w:val="6F826E93"/>
    <w:rsid w:val="6F8636E3"/>
    <w:rsid w:val="6FD01895"/>
    <w:rsid w:val="6FD5362F"/>
    <w:rsid w:val="703056F1"/>
    <w:rsid w:val="705643B3"/>
    <w:rsid w:val="70820D5D"/>
    <w:rsid w:val="70C409B4"/>
    <w:rsid w:val="70CB7C88"/>
    <w:rsid w:val="70E63932"/>
    <w:rsid w:val="70ED42A2"/>
    <w:rsid w:val="710A08C1"/>
    <w:rsid w:val="7122507A"/>
    <w:rsid w:val="7133198A"/>
    <w:rsid w:val="71382A97"/>
    <w:rsid w:val="716B1DA9"/>
    <w:rsid w:val="716B2B9A"/>
    <w:rsid w:val="71747A27"/>
    <w:rsid w:val="717E484C"/>
    <w:rsid w:val="71A23247"/>
    <w:rsid w:val="71BF715B"/>
    <w:rsid w:val="71C47326"/>
    <w:rsid w:val="71E12307"/>
    <w:rsid w:val="71F60859"/>
    <w:rsid w:val="72071E02"/>
    <w:rsid w:val="72151540"/>
    <w:rsid w:val="72231E1F"/>
    <w:rsid w:val="7227057E"/>
    <w:rsid w:val="722F26B4"/>
    <w:rsid w:val="72386399"/>
    <w:rsid w:val="723B7788"/>
    <w:rsid w:val="72476F12"/>
    <w:rsid w:val="7259305B"/>
    <w:rsid w:val="728A28E2"/>
    <w:rsid w:val="72984B34"/>
    <w:rsid w:val="732C4F05"/>
    <w:rsid w:val="733429F2"/>
    <w:rsid w:val="73362D39"/>
    <w:rsid w:val="733B3EC8"/>
    <w:rsid w:val="733F2D72"/>
    <w:rsid w:val="737427BB"/>
    <w:rsid w:val="73852A10"/>
    <w:rsid w:val="739E0E1B"/>
    <w:rsid w:val="73BD03B1"/>
    <w:rsid w:val="73BE7514"/>
    <w:rsid w:val="73F35BCE"/>
    <w:rsid w:val="74176850"/>
    <w:rsid w:val="745A376E"/>
    <w:rsid w:val="74A458C2"/>
    <w:rsid w:val="74A54E21"/>
    <w:rsid w:val="74D514B9"/>
    <w:rsid w:val="74E74361"/>
    <w:rsid w:val="74E839CA"/>
    <w:rsid w:val="74EC3625"/>
    <w:rsid w:val="74F261AD"/>
    <w:rsid w:val="74FD5A04"/>
    <w:rsid w:val="7511540C"/>
    <w:rsid w:val="752659BC"/>
    <w:rsid w:val="757A034A"/>
    <w:rsid w:val="75B84CB8"/>
    <w:rsid w:val="75BE616A"/>
    <w:rsid w:val="75D754E5"/>
    <w:rsid w:val="75E443FD"/>
    <w:rsid w:val="75E85968"/>
    <w:rsid w:val="75FD06F5"/>
    <w:rsid w:val="764B2B02"/>
    <w:rsid w:val="764D6884"/>
    <w:rsid w:val="7666445D"/>
    <w:rsid w:val="768F1311"/>
    <w:rsid w:val="769E5CFE"/>
    <w:rsid w:val="76AB0C7C"/>
    <w:rsid w:val="76B83A68"/>
    <w:rsid w:val="76D03568"/>
    <w:rsid w:val="76E9799E"/>
    <w:rsid w:val="76EE5E14"/>
    <w:rsid w:val="76EF270F"/>
    <w:rsid w:val="77014654"/>
    <w:rsid w:val="7747037D"/>
    <w:rsid w:val="777D2888"/>
    <w:rsid w:val="77816749"/>
    <w:rsid w:val="7792475D"/>
    <w:rsid w:val="77C64A4D"/>
    <w:rsid w:val="77D40350"/>
    <w:rsid w:val="77E12B4B"/>
    <w:rsid w:val="77F46727"/>
    <w:rsid w:val="78482BAB"/>
    <w:rsid w:val="786827AC"/>
    <w:rsid w:val="78736D4E"/>
    <w:rsid w:val="78944FA2"/>
    <w:rsid w:val="78BB7562"/>
    <w:rsid w:val="78D62FDE"/>
    <w:rsid w:val="78D6769A"/>
    <w:rsid w:val="78DC7BA5"/>
    <w:rsid w:val="79440754"/>
    <w:rsid w:val="794B3E21"/>
    <w:rsid w:val="79741B02"/>
    <w:rsid w:val="79CB3AC6"/>
    <w:rsid w:val="79D4161A"/>
    <w:rsid w:val="79F55E22"/>
    <w:rsid w:val="7A163DAF"/>
    <w:rsid w:val="7A2162EB"/>
    <w:rsid w:val="7A6D4351"/>
    <w:rsid w:val="7AAB5F10"/>
    <w:rsid w:val="7AC25630"/>
    <w:rsid w:val="7AD4104F"/>
    <w:rsid w:val="7AF0230C"/>
    <w:rsid w:val="7AFB010B"/>
    <w:rsid w:val="7AFC554D"/>
    <w:rsid w:val="7B022D49"/>
    <w:rsid w:val="7B0B13F4"/>
    <w:rsid w:val="7B3043BD"/>
    <w:rsid w:val="7B32428B"/>
    <w:rsid w:val="7B407D72"/>
    <w:rsid w:val="7B4B1773"/>
    <w:rsid w:val="7B55302D"/>
    <w:rsid w:val="7B592C12"/>
    <w:rsid w:val="7B814955"/>
    <w:rsid w:val="7B9258AA"/>
    <w:rsid w:val="7BA71868"/>
    <w:rsid w:val="7BB35280"/>
    <w:rsid w:val="7BD37D8E"/>
    <w:rsid w:val="7BEF0F6A"/>
    <w:rsid w:val="7C0022AE"/>
    <w:rsid w:val="7C051E05"/>
    <w:rsid w:val="7C200D89"/>
    <w:rsid w:val="7C3C3088"/>
    <w:rsid w:val="7C664A22"/>
    <w:rsid w:val="7C6C52C8"/>
    <w:rsid w:val="7C802BF7"/>
    <w:rsid w:val="7C8E24F1"/>
    <w:rsid w:val="7C8F3350"/>
    <w:rsid w:val="7CB84F05"/>
    <w:rsid w:val="7CC40A90"/>
    <w:rsid w:val="7D0564BB"/>
    <w:rsid w:val="7D0D4817"/>
    <w:rsid w:val="7D12300A"/>
    <w:rsid w:val="7D282AB7"/>
    <w:rsid w:val="7D535172"/>
    <w:rsid w:val="7D672427"/>
    <w:rsid w:val="7D7810FA"/>
    <w:rsid w:val="7D797B2A"/>
    <w:rsid w:val="7D7D2DDA"/>
    <w:rsid w:val="7D8B05AE"/>
    <w:rsid w:val="7D9B7810"/>
    <w:rsid w:val="7DB0732E"/>
    <w:rsid w:val="7DB36762"/>
    <w:rsid w:val="7DB80B0E"/>
    <w:rsid w:val="7DD450DB"/>
    <w:rsid w:val="7DD97AFF"/>
    <w:rsid w:val="7DEC2983"/>
    <w:rsid w:val="7DF14D7F"/>
    <w:rsid w:val="7E026420"/>
    <w:rsid w:val="7E1E3EAB"/>
    <w:rsid w:val="7E247CA7"/>
    <w:rsid w:val="7E37779D"/>
    <w:rsid w:val="7E6444A5"/>
    <w:rsid w:val="7E645F85"/>
    <w:rsid w:val="7E677948"/>
    <w:rsid w:val="7E84495C"/>
    <w:rsid w:val="7ED6571D"/>
    <w:rsid w:val="7EE902A5"/>
    <w:rsid w:val="7F08423E"/>
    <w:rsid w:val="7F2D2E93"/>
    <w:rsid w:val="7F3B370D"/>
    <w:rsid w:val="7F3C08C0"/>
    <w:rsid w:val="7F4505FF"/>
    <w:rsid w:val="7F4B002A"/>
    <w:rsid w:val="7F953664"/>
    <w:rsid w:val="7FA75ED8"/>
    <w:rsid w:val="7FDE67FF"/>
    <w:rsid w:val="7FEE04E4"/>
    <w:rsid w:val="7FF3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uiPriority="0" w:name="Date"/>
    <w:lsdException w:qFormat="1"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1400" w:lineRule="exact"/>
      <w:jc w:val="center"/>
      <w:outlineLvl w:val="0"/>
    </w:pPr>
    <w:rPr>
      <w:rFonts w:ascii="宋体" w:hAnsi="宋体"/>
      <w:b/>
      <w:kern w:val="44"/>
      <w:sz w:val="52"/>
    </w:rPr>
  </w:style>
  <w:style w:type="paragraph" w:styleId="4">
    <w:name w:val="heading 2"/>
    <w:basedOn w:val="1"/>
    <w:next w:val="5"/>
    <w:qFormat/>
    <w:uiPriority w:val="0"/>
    <w:pPr>
      <w:keepNext/>
      <w:keepLines/>
      <w:spacing w:before="260" w:after="260" w:line="1200" w:lineRule="exact"/>
      <w:jc w:val="center"/>
      <w:outlineLvl w:val="1"/>
    </w:pPr>
    <w:rPr>
      <w:rFonts w:ascii="Arial" w:hAnsi="Arial"/>
      <w:b/>
      <w:sz w:val="44"/>
    </w:rPr>
  </w:style>
  <w:style w:type="paragraph" w:styleId="5">
    <w:name w:val="heading 3"/>
    <w:basedOn w:val="1"/>
    <w:next w:val="1"/>
    <w:qFormat/>
    <w:uiPriority w:val="0"/>
    <w:pPr>
      <w:keepNext/>
      <w:keepLines/>
      <w:spacing w:before="260" w:after="260" w:line="600" w:lineRule="exact"/>
      <w:jc w:val="center"/>
      <w:outlineLvl w:val="2"/>
    </w:pPr>
    <w:rPr>
      <w:rFonts w:eastAsia="仿宋_GB2312"/>
      <w:b/>
      <w:sz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1"/>
    <w:qFormat/>
    <w:uiPriority w:val="0"/>
    <w:pPr>
      <w:spacing w:after="120"/>
    </w:pPr>
  </w:style>
  <w:style w:type="paragraph" w:styleId="7">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annotation text"/>
    <w:basedOn w:val="1"/>
    <w:qFormat/>
    <w:uiPriority w:val="0"/>
    <w:pPr>
      <w:jc w:val="left"/>
    </w:pPr>
  </w:style>
  <w:style w:type="paragraph" w:styleId="9">
    <w:name w:val="Closing"/>
    <w:basedOn w:val="1"/>
    <w:qFormat/>
    <w:uiPriority w:val="0"/>
    <w:pPr>
      <w:ind w:left="100" w:leftChars="2100"/>
    </w:pPr>
    <w:rPr>
      <w:rFonts w:ascii="宋体" w:hAnsi="宋体"/>
      <w:color w:val="000000"/>
      <w:sz w:val="24"/>
    </w:rPr>
  </w:style>
  <w:style w:type="paragraph" w:styleId="10">
    <w:name w:val="Body Text Indent"/>
    <w:basedOn w:val="1"/>
    <w:next w:val="11"/>
    <w:qFormat/>
    <w:uiPriority w:val="0"/>
    <w:pPr>
      <w:spacing w:line="360" w:lineRule="auto"/>
      <w:ind w:firstLine="570"/>
    </w:pPr>
    <w:rPr>
      <w:sz w:val="24"/>
    </w:rPr>
  </w:style>
  <w:style w:type="paragraph" w:styleId="11">
    <w:name w:val="envelope return"/>
    <w:basedOn w:val="1"/>
    <w:unhideWhenUsed/>
    <w:qFormat/>
    <w:uiPriority w:val="99"/>
    <w:pPr>
      <w:snapToGrid w:val="0"/>
    </w:pPr>
    <w:rPr>
      <w:rFonts w:ascii="Arial" w:hAnsi="Arial"/>
    </w:rPr>
  </w:style>
  <w:style w:type="paragraph" w:styleId="12">
    <w:name w:val="toc 3"/>
    <w:basedOn w:val="1"/>
    <w:next w:val="1"/>
    <w:qFormat/>
    <w:uiPriority w:val="39"/>
    <w:pPr>
      <w:ind w:left="840" w:leftChars="400"/>
    </w:pPr>
  </w:style>
  <w:style w:type="paragraph" w:styleId="13">
    <w:name w:val="Plain Text"/>
    <w:basedOn w:val="1"/>
    <w:link w:val="50"/>
    <w:qFormat/>
    <w:uiPriority w:val="0"/>
    <w:rPr>
      <w:rFonts w:ascii="宋体" w:hAnsi="Courier New"/>
    </w:rPr>
  </w:style>
  <w:style w:type="paragraph" w:styleId="14">
    <w:name w:val="Balloon Text"/>
    <w:basedOn w:val="1"/>
    <w:link w:val="48"/>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835"/>
      </w:tabs>
      <w:jc w:val="center"/>
    </w:pPr>
    <w:rPr>
      <w:rFonts w:ascii="宋体" w:hAnsi="宋体"/>
      <w:color w:val="000000"/>
      <w:spacing w:val="30"/>
      <w:sz w:val="24"/>
    </w:rPr>
  </w:style>
  <w:style w:type="paragraph" w:styleId="18">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9">
    <w:name w:val="footnote text"/>
    <w:basedOn w:val="1"/>
    <w:qFormat/>
    <w:uiPriority w:val="99"/>
  </w:style>
  <w:style w:type="paragraph" w:styleId="20">
    <w:name w:val="toc 2"/>
    <w:basedOn w:val="1"/>
    <w:next w:val="1"/>
    <w:qFormat/>
    <w:uiPriority w:val="39"/>
    <w:pPr>
      <w:tabs>
        <w:tab w:val="right" w:leader="dot" w:pos="8835"/>
      </w:tabs>
    </w:pPr>
  </w:style>
  <w:style w:type="paragraph" w:styleId="21">
    <w:name w:val="Normal (Web)"/>
    <w:basedOn w:val="1"/>
    <w:link w:val="41"/>
    <w:qFormat/>
    <w:uiPriority w:val="0"/>
    <w:rPr>
      <w:rFonts w:ascii="Times New Roman" w:hAnsi="Times New Roman"/>
      <w:sz w:val="24"/>
      <w:szCs w:val="24"/>
    </w:rPr>
  </w:style>
  <w:style w:type="paragraph" w:styleId="22">
    <w:name w:val="Body Text First Indent"/>
    <w:basedOn w:val="2"/>
    <w:unhideWhenUsed/>
    <w:qFormat/>
    <w:uiPriority w:val="0"/>
    <w:pPr>
      <w:spacing w:line="360" w:lineRule="auto"/>
      <w:ind w:firstLine="420" w:firstLineChars="100"/>
    </w:pPr>
    <w:rPr>
      <w:rFonts w:ascii="Calibri" w:hAnsi="Calibri"/>
      <w:szCs w:val="22"/>
    </w:rPr>
  </w:style>
  <w:style w:type="paragraph" w:styleId="23">
    <w:name w:val="Body Text First Indent 2"/>
    <w:basedOn w:val="10"/>
    <w:unhideWhenUsed/>
    <w:qFormat/>
    <w:uiPriority w:val="99"/>
    <w:pPr>
      <w:spacing w:after="120" w:line="240" w:lineRule="auto"/>
      <w:ind w:left="420" w:leftChars="200" w:firstLine="420" w:firstLineChars="2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hint="default" w:ascii="Tahoma" w:hAnsi="Tahoma" w:eastAsia="宋体" w:cs="Tahoma"/>
      <w:b/>
      <w:bCs/>
      <w:spacing w:val="10"/>
      <w:sz w:val="24"/>
      <w:lang w:val="en-US" w:eastAsia="zh-CN" w:bidi="ar-SA"/>
    </w:rPr>
  </w:style>
  <w:style w:type="character" w:styleId="28">
    <w:name w:val="page number"/>
    <w:basedOn w:val="26"/>
    <w:qFormat/>
    <w:uiPriority w:val="0"/>
  </w:style>
  <w:style w:type="character" w:styleId="29">
    <w:name w:val="FollowedHyperlink"/>
    <w:qFormat/>
    <w:uiPriority w:val="0"/>
    <w:rPr>
      <w:rFonts w:hint="eastAsia" w:ascii="宋体" w:hAnsi="宋体" w:eastAsia="宋体" w:cs="宋体"/>
      <w:color w:val="0031C1"/>
      <w:sz w:val="18"/>
      <w:szCs w:val="18"/>
      <w:u w:val="none"/>
    </w:rPr>
  </w:style>
  <w:style w:type="character" w:styleId="30">
    <w:name w:val="Emphasis"/>
    <w:qFormat/>
    <w:uiPriority w:val="20"/>
    <w:rPr>
      <w:i/>
      <w:iCs/>
    </w:rPr>
  </w:style>
  <w:style w:type="character" w:styleId="31">
    <w:name w:val="Hyperlink"/>
    <w:basedOn w:val="26"/>
    <w:qFormat/>
    <w:uiPriority w:val="99"/>
    <w:rPr>
      <w:rFonts w:hint="eastAsia" w:ascii="宋体" w:hAnsi="宋体" w:eastAsia="宋体" w:cs="宋体"/>
      <w:color w:val="0031C1"/>
      <w:sz w:val="18"/>
      <w:szCs w:val="18"/>
      <w:u w:val="none"/>
    </w:rPr>
  </w:style>
  <w:style w:type="character" w:styleId="32">
    <w:name w:val="annotation reference"/>
    <w:unhideWhenUsed/>
    <w:qFormat/>
    <w:uiPriority w:val="0"/>
    <w:rPr>
      <w:sz w:val="21"/>
      <w:szCs w:val="21"/>
    </w:rPr>
  </w:style>
  <w:style w:type="paragraph" w:customStyle="1" w:styleId="33">
    <w:name w:val="_Style 3"/>
    <w:basedOn w:val="1"/>
    <w:qFormat/>
    <w:uiPriority w:val="0"/>
    <w:pPr>
      <w:spacing w:line="360" w:lineRule="auto"/>
      <w:ind w:firstLine="420" w:firstLineChars="200"/>
    </w:pPr>
  </w:style>
  <w:style w:type="paragraph" w:customStyle="1" w:styleId="34">
    <w:name w:val="首行缩进"/>
    <w:basedOn w:val="1"/>
    <w:qFormat/>
    <w:uiPriority w:val="0"/>
    <w:pPr>
      <w:ind w:firstLine="480" w:firstLineChars="200"/>
    </w:pPr>
    <w:rPr>
      <w:szCs w:val="24"/>
      <w:lang w:val="zh-CN"/>
    </w:rPr>
  </w:style>
  <w:style w:type="character" w:customStyle="1" w:styleId="35">
    <w:name w:val="tab1"/>
    <w:basedOn w:val="26"/>
    <w:qFormat/>
    <w:uiPriority w:val="0"/>
  </w:style>
  <w:style w:type="character" w:customStyle="1" w:styleId="36">
    <w:name w:val="hilite6"/>
    <w:qFormat/>
    <w:uiPriority w:val="0"/>
    <w:rPr>
      <w:color w:val="000000"/>
    </w:rPr>
  </w:style>
  <w:style w:type="character" w:customStyle="1" w:styleId="37">
    <w:name w:val="hilite"/>
    <w:qFormat/>
    <w:uiPriority w:val="0"/>
    <w:rPr>
      <w:color w:val="000000"/>
    </w:rPr>
  </w:style>
  <w:style w:type="character" w:customStyle="1" w:styleId="38">
    <w:name w:val="active5"/>
    <w:qFormat/>
    <w:uiPriority w:val="0"/>
    <w:rPr>
      <w:color w:val="FFFFFF"/>
    </w:rPr>
  </w:style>
  <w:style w:type="character" w:customStyle="1" w:styleId="39">
    <w:name w:val="active6"/>
    <w:qFormat/>
    <w:uiPriority w:val="0"/>
    <w:rPr>
      <w:color w:val="FFFFFF"/>
    </w:rPr>
  </w:style>
  <w:style w:type="character" w:customStyle="1" w:styleId="40">
    <w:name w:val="fielderror"/>
    <w:qFormat/>
    <w:uiPriority w:val="0"/>
    <w:rPr>
      <w:color w:val="800000"/>
    </w:rPr>
  </w:style>
  <w:style w:type="character" w:customStyle="1" w:styleId="41">
    <w:name w:val="普通(网站) Char"/>
    <w:link w:val="21"/>
    <w:qFormat/>
    <w:uiPriority w:val="0"/>
    <w:rPr>
      <w:kern w:val="2"/>
      <w:sz w:val="24"/>
      <w:szCs w:val="24"/>
    </w:rPr>
  </w:style>
  <w:style w:type="character" w:customStyle="1" w:styleId="42">
    <w:name w:val="font51"/>
    <w:qFormat/>
    <w:uiPriority w:val="99"/>
    <w:rPr>
      <w:rFonts w:hint="eastAsia" w:ascii="宋体" w:hAnsi="宋体" w:eastAsia="宋体" w:cs="宋体"/>
      <w:color w:val="000000"/>
      <w:sz w:val="22"/>
      <w:szCs w:val="22"/>
      <w:u w:val="none"/>
    </w:rPr>
  </w:style>
  <w:style w:type="character" w:customStyle="1" w:styleId="43">
    <w:name w:val="页眉 Char"/>
    <w:link w:val="16"/>
    <w:qFormat/>
    <w:uiPriority w:val="0"/>
    <w:rPr>
      <w:kern w:val="2"/>
      <w:sz w:val="18"/>
      <w:szCs w:val="18"/>
    </w:rPr>
  </w:style>
  <w:style w:type="character" w:customStyle="1" w:styleId="44">
    <w:name w:val="tab2"/>
    <w:qFormat/>
    <w:uiPriority w:val="0"/>
    <w:rPr>
      <w:color w:val="333366"/>
    </w:rPr>
  </w:style>
  <w:style w:type="character" w:customStyle="1" w:styleId="45">
    <w:name w:val="hilite4"/>
    <w:qFormat/>
    <w:uiPriority w:val="0"/>
    <w:rPr>
      <w:color w:val="000000"/>
    </w:rPr>
  </w:style>
  <w:style w:type="character" w:customStyle="1" w:styleId="46">
    <w:name w:val="qowt-font4"/>
    <w:basedOn w:val="26"/>
    <w:qFormat/>
    <w:uiPriority w:val="0"/>
  </w:style>
  <w:style w:type="character" w:customStyle="1" w:styleId="47">
    <w:name w:val="hilite5"/>
    <w:qFormat/>
    <w:uiPriority w:val="0"/>
    <w:rPr>
      <w:color w:val="000000"/>
    </w:rPr>
  </w:style>
  <w:style w:type="character" w:customStyle="1" w:styleId="48">
    <w:name w:val="批注框文本 Char"/>
    <w:link w:val="14"/>
    <w:qFormat/>
    <w:uiPriority w:val="0"/>
    <w:rPr>
      <w:rFonts w:ascii="Calibri" w:hAnsi="Calibri" w:eastAsia="宋体" w:cs="Times New Roman"/>
      <w:kern w:val="2"/>
      <w:sz w:val="18"/>
      <w:szCs w:val="18"/>
    </w:rPr>
  </w:style>
  <w:style w:type="character" w:customStyle="1" w:styleId="49">
    <w:name w:val="active"/>
    <w:qFormat/>
    <w:uiPriority w:val="0"/>
    <w:rPr>
      <w:color w:val="FFFFFF"/>
    </w:rPr>
  </w:style>
  <w:style w:type="character" w:customStyle="1" w:styleId="50">
    <w:name w:val="纯文本 Char"/>
    <w:link w:val="13"/>
    <w:qFormat/>
    <w:uiPriority w:val="0"/>
    <w:rPr>
      <w:rFonts w:ascii="宋体" w:hAnsi="Courier New"/>
      <w:kern w:val="2"/>
      <w:sz w:val="21"/>
      <w:szCs w:val="22"/>
    </w:rPr>
  </w:style>
  <w:style w:type="character" w:customStyle="1" w:styleId="51">
    <w:name w:val="正文文本 Char"/>
    <w:link w:val="2"/>
    <w:qFormat/>
    <w:uiPriority w:val="0"/>
    <w:rPr>
      <w:rFonts w:ascii="Calibri" w:hAnsi="Calibri" w:eastAsia="宋体" w:cs="Times New Roman"/>
      <w:kern w:val="2"/>
      <w:sz w:val="21"/>
      <w:szCs w:val="22"/>
    </w:rPr>
  </w:style>
  <w:style w:type="character" w:customStyle="1" w:styleId="52">
    <w:name w:val="font11"/>
    <w:basedOn w:val="26"/>
    <w:qFormat/>
    <w:uiPriority w:val="0"/>
    <w:rPr>
      <w:rFonts w:hint="eastAsia" w:ascii="宋体" w:hAnsi="宋体" w:eastAsia="宋体" w:cs="宋体"/>
      <w:color w:val="000000"/>
      <w:sz w:val="20"/>
      <w:szCs w:val="20"/>
      <w:u w:val="none"/>
    </w:rPr>
  </w:style>
  <w:style w:type="character" w:customStyle="1" w:styleId="53">
    <w:name w:val="required"/>
    <w:qFormat/>
    <w:uiPriority w:val="0"/>
    <w:rPr>
      <w:color w:val="FF0000"/>
    </w:rPr>
  </w:style>
  <w:style w:type="character" w:customStyle="1" w:styleId="54">
    <w:name w:val="a3"/>
    <w:qFormat/>
    <w:uiPriority w:val="0"/>
    <w:rPr>
      <w:rFonts w:hint="default" w:ascii="Tahoma" w:hAnsi="Tahoma" w:cs="Tahoma"/>
      <w:sz w:val="21"/>
      <w:szCs w:val="24"/>
    </w:rPr>
  </w:style>
  <w:style w:type="paragraph" w:customStyle="1" w:styleId="55">
    <w:name w:val="修订1"/>
    <w:unhideWhenUsed/>
    <w:qFormat/>
    <w:uiPriority w:val="99"/>
    <w:rPr>
      <w:rFonts w:ascii="Calibri" w:hAnsi="Calibri" w:eastAsia="宋体" w:cs="Times New Roman"/>
      <w:kern w:val="2"/>
      <w:sz w:val="21"/>
      <w:szCs w:val="22"/>
      <w:lang w:val="en-US" w:eastAsia="zh-CN" w:bidi="ar-SA"/>
    </w:rPr>
  </w:style>
  <w:style w:type="paragraph" w:customStyle="1" w:styleId="56">
    <w:name w:val="正文缩进6格"/>
    <w:basedOn w:val="57"/>
    <w:qFormat/>
    <w:uiPriority w:val="0"/>
    <w:pPr>
      <w:ind w:left="1758" w:leftChars="854"/>
    </w:pPr>
  </w:style>
  <w:style w:type="paragraph" w:customStyle="1" w:styleId="57">
    <w:name w:val="正文缩进4格"/>
    <w:basedOn w:val="58"/>
    <w:qFormat/>
    <w:uiPriority w:val="0"/>
    <w:pPr>
      <w:ind w:left="2" w:firstLine="538" w:firstLineChars="192"/>
    </w:pPr>
    <w:rPr>
      <w:color w:val="0000FF"/>
      <w:sz w:val="28"/>
    </w:rPr>
  </w:style>
  <w:style w:type="paragraph" w:customStyle="1" w:styleId="58">
    <w:name w:val="正文缩进2格"/>
    <w:basedOn w:val="1"/>
    <w:next w:val="1"/>
    <w:qFormat/>
    <w:uiPriority w:val="99"/>
    <w:pPr>
      <w:spacing w:line="600" w:lineRule="exact"/>
      <w:ind w:firstLine="639" w:firstLineChars="206"/>
    </w:pPr>
    <w:rPr>
      <w:rFonts w:ascii="仿宋_GB2312" w:hAnsi="宋体" w:eastAsia="仿宋_GB2312"/>
      <w:sz w:val="31"/>
    </w:rPr>
  </w:style>
  <w:style w:type="paragraph" w:customStyle="1" w:styleId="59">
    <w:name w:val="表格样式居中"/>
    <w:qFormat/>
    <w:uiPriority w:val="0"/>
    <w:pPr>
      <w:tabs>
        <w:tab w:val="left" w:pos="425"/>
      </w:tabs>
      <w:snapToGrid w:val="0"/>
      <w:jc w:val="center"/>
    </w:pPr>
    <w:rPr>
      <w:rFonts w:ascii="宋体" w:hAnsi="宋体" w:eastAsia="宋体" w:cs="Times New Roman"/>
      <w:kern w:val="2"/>
      <w:sz w:val="21"/>
      <w:szCs w:val="24"/>
      <w:lang w:val="en-US" w:eastAsia="zh-CN" w:bidi="ar-SA"/>
    </w:rPr>
  </w:style>
  <w:style w:type="paragraph" w:customStyle="1" w:styleId="60">
    <w:name w:val="_Style 1"/>
    <w:basedOn w:val="1"/>
    <w:qFormat/>
    <w:uiPriority w:val="34"/>
    <w:pPr>
      <w:ind w:firstLine="420" w:firstLineChars="200"/>
    </w:pPr>
  </w:style>
  <w:style w:type="paragraph" w:customStyle="1" w:styleId="61">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paragraph" w:customStyle="1" w:styleId="62">
    <w:name w:val="List Paragraph1"/>
    <w:basedOn w:val="1"/>
    <w:qFormat/>
    <w:uiPriority w:val="0"/>
    <w:pPr>
      <w:ind w:firstLine="420" w:firstLineChars="200"/>
    </w:pPr>
    <w:rPr>
      <w:szCs w:val="24"/>
    </w:rPr>
  </w:style>
  <w:style w:type="paragraph" w:customStyle="1" w:styleId="63">
    <w:name w:val="列表段落1"/>
    <w:basedOn w:val="1"/>
    <w:qFormat/>
    <w:uiPriority w:val="0"/>
    <w:pPr>
      <w:suppressAutoHyphens/>
      <w:ind w:firstLine="420"/>
    </w:pPr>
    <w:rPr>
      <w:kern w:val="1"/>
      <w:lang w:eastAsia="ar-SA"/>
    </w:rPr>
  </w:style>
  <w:style w:type="paragraph" w:customStyle="1" w:styleId="64">
    <w:name w:val="列出段落1"/>
    <w:basedOn w:val="1"/>
    <w:qFormat/>
    <w:uiPriority w:val="0"/>
    <w:pPr>
      <w:spacing w:line="360" w:lineRule="auto"/>
      <w:ind w:firstLine="420" w:firstLineChars="200"/>
    </w:pPr>
  </w:style>
  <w:style w:type="paragraph" w:customStyle="1" w:styleId="65">
    <w:name w:val="标题 3.1"/>
    <w:basedOn w:val="5"/>
    <w:qFormat/>
    <w:uiPriority w:val="0"/>
    <w:pPr>
      <w:tabs>
        <w:tab w:val="left" w:pos="1440"/>
        <w:tab w:val="left" w:pos="1620"/>
      </w:tabs>
      <w:jc w:val="both"/>
    </w:pPr>
    <w:rPr>
      <w:rFonts w:ascii="宋体" w:hAnsi="宋体" w:eastAsia="宋体"/>
      <w:color w:val="FF0000"/>
    </w:rPr>
  </w:style>
  <w:style w:type="paragraph" w:customStyle="1" w:styleId="66">
    <w:name w:val="无间隔1"/>
    <w:qFormat/>
    <w:uiPriority w:val="1"/>
    <w:pPr>
      <w:widowControl w:val="0"/>
      <w:jc w:val="both"/>
    </w:pPr>
    <w:rPr>
      <w:rFonts w:ascii="Calibri" w:hAnsi="Calibri" w:eastAsia="宋体" w:cs="Times New Roman"/>
      <w:kern w:val="2"/>
      <w:sz w:val="21"/>
      <w:lang w:val="en-US" w:eastAsia="zh-CN" w:bidi="ar-SA"/>
    </w:rPr>
  </w:style>
  <w:style w:type="paragraph" w:customStyle="1" w:styleId="67">
    <w:name w:val="二级标题"/>
    <w:basedOn w:val="1"/>
    <w:qFormat/>
    <w:uiPriority w:val="0"/>
    <w:pPr>
      <w:spacing w:line="360" w:lineRule="auto"/>
      <w:outlineLvl w:val="1"/>
    </w:pPr>
    <w:rPr>
      <w:rFonts w:ascii="宋体" w:hAnsi="宋体" w:cs="宋体"/>
      <w:b/>
      <w:spacing w:val="10"/>
      <w:kern w:val="0"/>
      <w:sz w:val="28"/>
      <w:szCs w:val="21"/>
    </w:rPr>
  </w:style>
  <w:style w:type="paragraph" w:styleId="68">
    <w:name w:val="List Paragraph"/>
    <w:basedOn w:val="1"/>
    <w:qFormat/>
    <w:uiPriority w:val="34"/>
    <w:pPr>
      <w:ind w:firstLine="420" w:firstLineChars="200"/>
    </w:pPr>
  </w:style>
  <w:style w:type="paragraph" w:customStyle="1" w:styleId="69">
    <w:name w:val="方案正文"/>
    <w:basedOn w:val="1"/>
    <w:qFormat/>
    <w:uiPriority w:val="0"/>
    <w:pPr>
      <w:spacing w:line="312" w:lineRule="auto"/>
      <w:ind w:firstLine="420" w:firstLineChars="200"/>
    </w:pPr>
    <w:rPr>
      <w:rFonts w:ascii="宋体" w:hAnsi="宋体" w:cs="宋体"/>
      <w:kern w:val="0"/>
      <w:szCs w:val="21"/>
    </w:rPr>
  </w:style>
  <w:style w:type="paragraph" w:customStyle="1" w:styleId="70">
    <w:name w:val="列出段落2"/>
    <w:basedOn w:val="1"/>
    <w:qFormat/>
    <w:uiPriority w:val="34"/>
    <w:pPr>
      <w:ind w:firstLine="420" w:firstLineChars="200"/>
    </w:pPr>
  </w:style>
  <w:style w:type="paragraph" w:customStyle="1" w:styleId="71">
    <w:name w:val="列出段落3"/>
    <w:basedOn w:val="1"/>
    <w:qFormat/>
    <w:uiPriority w:val="34"/>
    <w:pPr>
      <w:ind w:firstLine="420" w:firstLineChars="200"/>
    </w:pPr>
  </w:style>
  <w:style w:type="paragraph" w:customStyle="1" w:styleId="72">
    <w:name w:val="_Style 13"/>
    <w:basedOn w:val="1"/>
    <w:qFormat/>
    <w:uiPriority w:val="0"/>
    <w:pPr>
      <w:spacing w:line="360" w:lineRule="auto"/>
      <w:ind w:firstLine="420" w:firstLineChars="200"/>
    </w:pPr>
  </w:style>
  <w:style w:type="paragraph" w:customStyle="1" w:styleId="73">
    <w:name w:val="_Style 2"/>
    <w:basedOn w:val="1"/>
    <w:qFormat/>
    <w:uiPriority w:val="34"/>
    <w:pPr>
      <w:ind w:firstLine="420" w:firstLineChars="200"/>
    </w:pPr>
  </w:style>
  <w:style w:type="paragraph" w:customStyle="1" w:styleId="74">
    <w:name w:val="无缩进"/>
    <w:next w:val="2"/>
    <w:qFormat/>
    <w:uiPriority w:val="0"/>
    <w:pPr>
      <w:snapToGrid w:val="0"/>
      <w:spacing w:line="600" w:lineRule="atLeast"/>
      <w:ind w:firstLine="641"/>
      <w:jc w:val="both"/>
    </w:pPr>
    <w:rPr>
      <w:rFonts w:ascii="Calibri" w:hAnsi="Calibri" w:eastAsia="仿宋_GB2312" w:cs="Times New Roman"/>
      <w:sz w:val="32"/>
      <w:szCs w:val="22"/>
      <w:lang w:val="en-US" w:eastAsia="zh-CN" w:bidi="ar-SA"/>
    </w:rPr>
  </w:style>
  <w:style w:type="paragraph" w:customStyle="1" w:styleId="75">
    <w:name w:val="Normal-1"/>
    <w:basedOn w:val="1"/>
    <w:qFormat/>
    <w:uiPriority w:val="0"/>
    <w:pPr>
      <w:spacing w:afterLines="50" w:line="312" w:lineRule="auto"/>
      <w:ind w:firstLine="200" w:firstLineChars="200"/>
    </w:pPr>
    <w:rPr>
      <w:rFonts w:ascii="Arial" w:hAnsi="Arial" w:cs="Arial"/>
      <w:sz w:val="24"/>
    </w:rPr>
  </w:style>
  <w:style w:type="paragraph" w:customStyle="1" w:styleId="76">
    <w:name w:val="段落"/>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77">
    <w:name w:val="正文无缩进"/>
    <w:basedOn w:val="58"/>
    <w:qFormat/>
    <w:uiPriority w:val="0"/>
    <w:pPr>
      <w:ind w:firstLine="0" w:firstLineChars="0"/>
    </w:pPr>
  </w:style>
  <w:style w:type="paragraph" w:customStyle="1" w:styleId="78">
    <w:name w:val="List Paragraph2"/>
    <w:basedOn w:val="1"/>
    <w:qFormat/>
    <w:uiPriority w:val="34"/>
    <w:pPr>
      <w:ind w:firstLine="420" w:firstLineChars="200"/>
    </w:pPr>
    <w:rPr>
      <w:rFonts w:eastAsia="微软雅黑"/>
      <w:sz w:val="18"/>
      <w:szCs w:val="21"/>
    </w:rPr>
  </w:style>
  <w:style w:type="paragraph" w:customStyle="1" w:styleId="79">
    <w:name w:val="shall-正文"/>
    <w:basedOn w:val="1"/>
    <w:qFormat/>
    <w:uiPriority w:val="0"/>
    <w:pPr>
      <w:adjustRightInd w:val="0"/>
      <w:snapToGrid w:val="0"/>
      <w:spacing w:beforeLines="30" w:line="288" w:lineRule="auto"/>
      <w:ind w:firstLine="200" w:firstLineChars="200"/>
      <w:jc w:val="left"/>
    </w:pPr>
    <w:rPr>
      <w:rFonts w:ascii="Tahoma" w:hAnsi="Tahoma" w:eastAsia="华文细黑"/>
      <w:sz w:val="24"/>
      <w:szCs w:val="24"/>
    </w:rPr>
  </w:style>
  <w:style w:type="paragraph" w:customStyle="1" w:styleId="80">
    <w:name w:val="layout_Position"/>
    <w:basedOn w:val="81"/>
    <w:qFormat/>
    <w:uiPriority w:val="99"/>
    <w:rPr>
      <w:b w:val="0"/>
      <w:sz w:val="22"/>
    </w:rPr>
  </w:style>
  <w:style w:type="paragraph" w:customStyle="1" w:styleId="81">
    <w:name w:val="layout_standard"/>
    <w:basedOn w:val="19"/>
    <w:qFormat/>
    <w:uiPriority w:val="99"/>
    <w:rPr>
      <w:rFonts w:ascii="Arial" w:hAnsi="Arial"/>
      <w:b/>
      <w:sz w:val="36"/>
      <w:lang w:val="en-GB"/>
    </w:rPr>
  </w:style>
  <w:style w:type="paragraph" w:customStyle="1" w:styleId="82">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3">
    <w:name w:val="列出段落"/>
    <w:basedOn w:val="1"/>
    <w:qFormat/>
    <w:uiPriority w:val="0"/>
    <w:pPr>
      <w:ind w:firstLine="420" w:firstLineChars="200"/>
    </w:pPr>
    <w:rPr>
      <w:rFonts w:ascii="Calibri" w:hAnsi="Calibri"/>
      <w:szCs w:val="22"/>
    </w:rPr>
  </w:style>
  <w:style w:type="paragraph" w:customStyle="1" w:styleId="84">
    <w:name w:val="表格文字"/>
    <w:basedOn w:val="1"/>
    <w:qFormat/>
    <w:uiPriority w:val="0"/>
    <w:pPr>
      <w:spacing w:before="25" w:after="25"/>
      <w:jc w:val="left"/>
    </w:pPr>
    <w:rPr>
      <w:spacing w:val="10"/>
      <w:kern w:val="0"/>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113</Pages>
  <Words>6099</Words>
  <Characters>34768</Characters>
  <Lines>289</Lines>
  <Paragraphs>81</Paragraphs>
  <TotalTime>1</TotalTime>
  <ScaleCrop>false</ScaleCrop>
  <LinksUpToDate>false</LinksUpToDate>
  <CharactersWithSpaces>40786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2020-09-08T01:12:00Z</dcterms:created>
  <dc:creator>lenovo</dc:creator>
  <cp:lastModifiedBy>lenovo</cp:lastModifiedBy>
  <cp:lastPrinted>2021-06-25T01:15:00Z</cp:lastPrinted>
  <dcterms:modified xsi:type="dcterms:W3CDTF">2021-10-18T02:04:10Z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