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8"/>
        <w:tblW w:w="0" w:type="auto"/>
        <w:jc w:val="center"/>
        <w:tblBorders>
          <w:top w:val="none" w:color="auto" w:sz="0" w:space="0"/>
          <w:left w:val="none" w:color="auto" w:sz="0" w:space="0"/>
          <w:bottom w:val="thinThickMediumGap" w:color="FF0000" w:sz="1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677"/>
      </w:tblGrid>
      <w:tr w14:paraId="06CDC7DE">
        <w:tblPrEx>
          <w:tblBorders>
            <w:top w:val="none" w:color="auto" w:sz="0" w:space="0"/>
            <w:left w:val="none" w:color="auto" w:sz="0" w:space="0"/>
            <w:bottom w:val="thinThickMediumGap" w:color="FF0000"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jc w:val="center"/>
        </w:trPr>
        <w:tc>
          <w:tcPr>
            <w:tcW w:w="8677" w:type="dxa"/>
          </w:tcPr>
          <w:p w14:paraId="50434EBC">
            <w:pPr>
              <w:pStyle w:val="2"/>
              <w:numPr>
                <w:ilvl w:val="0"/>
                <w:numId w:val="0"/>
              </w:numPr>
              <w:autoSpaceDE w:val="0"/>
              <w:autoSpaceDN w:val="0"/>
              <w:snapToGrid w:val="0"/>
              <w:rPr>
                <w:rFonts w:eastAsia="方正小标宋简体"/>
                <w:b/>
                <w:bCs/>
                <w:color w:val="FF0000"/>
                <w:w w:val="90"/>
                <w:kern w:val="72"/>
                <w:sz w:val="72"/>
              </w:rPr>
            </w:pPr>
            <w:r>
              <w:rPr>
                <w:rFonts w:eastAsia="方正小标宋简体"/>
                <w:b/>
                <w:bCs/>
                <w:color w:val="FF0000"/>
                <w:spacing w:val="320"/>
                <w:w w:val="90"/>
                <w:kern w:val="72"/>
                <w:sz w:val="72"/>
              </w:rPr>
              <w:t>广东省人民政</w:t>
            </w:r>
            <w:r>
              <w:rPr>
                <w:rFonts w:eastAsia="方正小标宋简体"/>
                <w:b/>
                <w:bCs/>
                <w:color w:val="FF0000"/>
                <w:w w:val="90"/>
                <w:kern w:val="72"/>
                <w:sz w:val="72"/>
              </w:rPr>
              <w:t>府</w:t>
            </w:r>
          </w:p>
        </w:tc>
      </w:tr>
    </w:tbl>
    <w:p w14:paraId="7CC082D6">
      <w:pPr>
        <w:pStyle w:val="11"/>
        <w:keepNext w:val="0"/>
        <w:keepLines w:val="0"/>
        <w:pageBreakBefore w:val="0"/>
        <w:kinsoku/>
        <w:wordWrap/>
        <w:overflowPunct/>
        <w:bidi w:val="0"/>
        <w:adjustRightInd w:val="0"/>
        <w:snapToGrid w:val="0"/>
        <w:spacing w:line="580" w:lineRule="exact"/>
        <w:ind w:firstLine="960" w:firstLineChars="300"/>
        <w:jc w:val="right"/>
        <w:rPr>
          <w:szCs w:val="32"/>
        </w:rPr>
      </w:pPr>
      <w:r>
        <w:t>粤府土审（12）</w:t>
      </w:r>
      <w:r>
        <w:rPr>
          <w:szCs w:val="32"/>
        </w:rPr>
        <w:t>〔</w:t>
      </w:r>
      <w:r>
        <w:t>20</w:t>
      </w:r>
      <w:r>
        <w:rPr>
          <w:rFonts w:hint="eastAsia"/>
          <w:lang w:val="en-US" w:eastAsia="zh-CN"/>
        </w:rPr>
        <w:t>26</w:t>
      </w:r>
      <w:r>
        <w:rPr>
          <w:szCs w:val="32"/>
        </w:rPr>
        <w:t>〕</w:t>
      </w:r>
      <w:r>
        <w:rPr>
          <w:rFonts w:hint="eastAsia"/>
          <w:szCs w:val="32"/>
          <w:lang w:val="en-US" w:eastAsia="zh-CN"/>
        </w:rPr>
        <w:t>12</w:t>
      </w:r>
      <w:bookmarkStart w:id="0" w:name="_GoBack"/>
      <w:bookmarkEnd w:id="0"/>
      <w:r>
        <w:rPr>
          <w:szCs w:val="32"/>
        </w:rPr>
        <w:t>号</w:t>
      </w:r>
    </w:p>
    <w:p w14:paraId="0B9F95FD">
      <w:pPr>
        <w:keepNext w:val="0"/>
        <w:keepLines w:val="0"/>
        <w:pageBreakBefore w:val="0"/>
        <w:kinsoku/>
        <w:wordWrap/>
        <w:overflowPunct/>
        <w:topLinePunct/>
        <w:autoSpaceDE w:val="0"/>
        <w:autoSpaceDN w:val="0"/>
        <w:bidi w:val="0"/>
        <w:spacing w:line="580" w:lineRule="exact"/>
        <w:rPr>
          <w:rFonts w:eastAsia="方正小标宋简体"/>
          <w:szCs w:val="32"/>
        </w:rPr>
      </w:pPr>
    </w:p>
    <w:p w14:paraId="3E5F697C">
      <w:pPr>
        <w:keepNext w:val="0"/>
        <w:keepLines w:val="0"/>
        <w:pageBreakBefore w:val="0"/>
        <w:kinsoku/>
        <w:wordWrap/>
        <w:overflowPunct/>
        <w:bidi w:val="0"/>
        <w:spacing w:line="580" w:lineRule="exact"/>
        <w:jc w:val="center"/>
        <w:rPr>
          <w:rFonts w:eastAsia="方正小标宋简体"/>
          <w:bCs/>
          <w:sz w:val="44"/>
          <w:szCs w:val="44"/>
        </w:rPr>
      </w:pPr>
      <w:r>
        <w:rPr>
          <w:rFonts w:eastAsia="方正小标宋简体"/>
          <w:bCs/>
          <w:sz w:val="44"/>
          <w:szCs w:val="44"/>
        </w:rPr>
        <w:t>广东省人民政府关于</w:t>
      </w:r>
      <w:r>
        <w:rPr>
          <w:rFonts w:hint="eastAsia" w:eastAsia="方正小标宋简体"/>
          <w:bCs/>
          <w:sz w:val="44"/>
          <w:szCs w:val="44"/>
          <w:lang w:val="en-US" w:eastAsia="zh-CN"/>
        </w:rPr>
        <w:t>东莞</w:t>
      </w:r>
      <w:r>
        <w:rPr>
          <w:rFonts w:eastAsia="方正小标宋简体"/>
          <w:bCs/>
          <w:sz w:val="44"/>
          <w:szCs w:val="44"/>
        </w:rPr>
        <w:t>市</w:t>
      </w:r>
      <w:r>
        <w:rPr>
          <w:rFonts w:hint="eastAsia" w:eastAsia="方正小标宋简体"/>
          <w:bCs/>
          <w:sz w:val="44"/>
          <w:szCs w:val="44"/>
          <w:lang w:val="en-US" w:eastAsia="zh-CN"/>
        </w:rPr>
        <w:t>麻涌镇2025</w:t>
      </w:r>
      <w:r>
        <w:rPr>
          <w:rFonts w:eastAsia="方正小标宋简体"/>
          <w:bCs/>
          <w:sz w:val="44"/>
          <w:szCs w:val="44"/>
        </w:rPr>
        <w:t>年度第</w:t>
      </w:r>
      <w:r>
        <w:rPr>
          <w:rFonts w:hint="eastAsia" w:eastAsia="方正小标宋简体"/>
          <w:bCs/>
          <w:sz w:val="44"/>
          <w:szCs w:val="44"/>
          <w:lang w:val="en-US" w:eastAsia="zh-CN"/>
        </w:rPr>
        <w:t>十五</w:t>
      </w:r>
      <w:r>
        <w:rPr>
          <w:rFonts w:eastAsia="方正小标宋简体"/>
          <w:bCs/>
          <w:sz w:val="44"/>
          <w:szCs w:val="44"/>
        </w:rPr>
        <w:t>批次</w:t>
      </w:r>
      <w:r>
        <w:rPr>
          <w:rFonts w:hint="eastAsia" w:eastAsia="方正小标宋简体"/>
          <w:bCs/>
          <w:sz w:val="44"/>
          <w:szCs w:val="44"/>
          <w:lang w:eastAsia="zh-CN"/>
        </w:rPr>
        <w:t>（</w:t>
      </w:r>
      <w:r>
        <w:rPr>
          <w:rFonts w:hint="eastAsia" w:eastAsia="方正小标宋简体"/>
          <w:bCs/>
          <w:sz w:val="44"/>
          <w:szCs w:val="44"/>
          <w:lang w:val="en-US" w:eastAsia="zh-CN"/>
        </w:rPr>
        <w:t>增减挂钩</w:t>
      </w:r>
      <w:r>
        <w:rPr>
          <w:rFonts w:hint="eastAsia" w:eastAsia="方正小标宋简体"/>
          <w:bCs/>
          <w:sz w:val="44"/>
          <w:szCs w:val="44"/>
          <w:lang w:eastAsia="zh-CN"/>
        </w:rPr>
        <w:t>）</w:t>
      </w:r>
      <w:r>
        <w:rPr>
          <w:rFonts w:eastAsia="方正小标宋简体"/>
          <w:bCs/>
          <w:sz w:val="44"/>
          <w:szCs w:val="44"/>
        </w:rPr>
        <w:t>城</w:t>
      </w:r>
      <w:r>
        <w:rPr>
          <w:rFonts w:hint="eastAsia" w:eastAsia="方正小标宋简体"/>
          <w:bCs/>
          <w:sz w:val="44"/>
          <w:szCs w:val="44"/>
          <w:lang w:val="en-US" w:eastAsia="zh-CN"/>
        </w:rPr>
        <w:t>镇</w:t>
      </w:r>
      <w:r>
        <w:rPr>
          <w:rFonts w:eastAsia="方正小标宋简体"/>
          <w:bCs/>
          <w:sz w:val="44"/>
          <w:szCs w:val="44"/>
        </w:rPr>
        <w:t>建设用地的批复</w:t>
      </w:r>
    </w:p>
    <w:p w14:paraId="51B22966">
      <w:pPr>
        <w:keepNext w:val="0"/>
        <w:keepLines w:val="0"/>
        <w:pageBreakBefore w:val="0"/>
        <w:kinsoku/>
        <w:wordWrap/>
        <w:overflowPunct/>
        <w:bidi w:val="0"/>
        <w:spacing w:line="580" w:lineRule="exact"/>
        <w:ind w:left="-272" w:leftChars="-85"/>
        <w:jc w:val="center"/>
        <w:rPr>
          <w:b/>
          <w:bCs/>
          <w:szCs w:val="32"/>
        </w:rPr>
      </w:pPr>
    </w:p>
    <w:p w14:paraId="397E4FFD">
      <w:pPr>
        <w:keepNext w:val="0"/>
        <w:keepLines w:val="0"/>
        <w:pageBreakBefore w:val="0"/>
        <w:kinsoku/>
        <w:wordWrap/>
        <w:overflowPunct/>
        <w:bidi w:val="0"/>
        <w:snapToGrid w:val="0"/>
        <w:spacing w:line="580" w:lineRule="exact"/>
        <w:rPr>
          <w:rFonts w:ascii="仿宋_GB2312"/>
        </w:rPr>
      </w:pPr>
      <w:r>
        <w:rPr>
          <w:rFonts w:hint="eastAsia" w:ascii="仿宋_GB2312"/>
          <w:lang w:val="en-US" w:eastAsia="zh-CN"/>
        </w:rPr>
        <w:t>东莞</w:t>
      </w:r>
      <w:r>
        <w:rPr>
          <w:rFonts w:hint="eastAsia" w:ascii="仿宋_GB2312"/>
        </w:rPr>
        <w:t>市人民政府：</w:t>
      </w:r>
    </w:p>
    <w:p w14:paraId="35F601FC">
      <w:pPr>
        <w:keepNext w:val="0"/>
        <w:keepLines w:val="0"/>
        <w:pageBreakBefore w:val="0"/>
        <w:kinsoku/>
        <w:wordWrap/>
        <w:overflowPunct/>
        <w:bidi w:val="0"/>
        <w:snapToGrid w:val="0"/>
        <w:spacing w:line="580" w:lineRule="exact"/>
        <w:ind w:firstLine="640" w:firstLineChars="200"/>
        <w:rPr>
          <w:rFonts w:eastAsia="仿宋_GB2312"/>
          <w:sz w:val="32"/>
          <w:szCs w:val="32"/>
        </w:rPr>
      </w:pPr>
      <w:r>
        <w:rPr>
          <w:rFonts w:hint="eastAsia" w:eastAsia="仿宋_GB2312"/>
          <w:sz w:val="32"/>
          <w:szCs w:val="32"/>
        </w:rPr>
        <w:t>《</w:t>
      </w:r>
      <w:r>
        <w:rPr>
          <w:rFonts w:hint="eastAsia"/>
          <w:sz w:val="32"/>
          <w:szCs w:val="32"/>
          <w:lang w:val="en-US" w:eastAsia="zh-CN"/>
        </w:rPr>
        <w:t>东莞市人民政府</w:t>
      </w:r>
      <w:r>
        <w:rPr>
          <w:rFonts w:hint="eastAsia" w:eastAsia="仿宋_GB2312"/>
          <w:sz w:val="32"/>
          <w:szCs w:val="32"/>
        </w:rPr>
        <w:t>关于</w:t>
      </w:r>
      <w:r>
        <w:rPr>
          <w:rFonts w:hint="eastAsia"/>
          <w:sz w:val="32"/>
          <w:szCs w:val="32"/>
          <w:lang w:val="en-US" w:eastAsia="zh-CN"/>
        </w:rPr>
        <w:t>申请东莞市麻涌镇2025年度第十五批次（增减挂钩）</w:t>
      </w:r>
      <w:r>
        <w:rPr>
          <w:rFonts w:hint="eastAsia" w:eastAsia="仿宋_GB2312"/>
          <w:sz w:val="32"/>
          <w:szCs w:val="32"/>
        </w:rPr>
        <w:t>城镇建设用地</w:t>
      </w:r>
      <w:r>
        <w:rPr>
          <w:rFonts w:hint="eastAsia"/>
          <w:sz w:val="32"/>
          <w:szCs w:val="32"/>
          <w:lang w:val="en-US" w:eastAsia="zh-CN"/>
        </w:rPr>
        <w:t>土地征收</w:t>
      </w:r>
      <w:r>
        <w:rPr>
          <w:rFonts w:hint="eastAsia" w:eastAsia="仿宋_GB2312"/>
          <w:sz w:val="32"/>
          <w:szCs w:val="32"/>
        </w:rPr>
        <w:t>的请示》（</w:t>
      </w:r>
      <w:r>
        <w:rPr>
          <w:rFonts w:eastAsia="仿宋_GB2312"/>
          <w:sz w:val="32"/>
          <w:szCs w:val="32"/>
        </w:rPr>
        <w:t>东</w:t>
      </w:r>
      <w:r>
        <w:rPr>
          <w:rFonts w:hint="eastAsia"/>
          <w:sz w:val="32"/>
          <w:szCs w:val="32"/>
          <w:lang w:val="en-US" w:eastAsia="zh-CN"/>
        </w:rPr>
        <w:t>府</w:t>
      </w:r>
      <w:r>
        <w:rPr>
          <w:rFonts w:eastAsia="仿宋_GB2312"/>
          <w:sz w:val="32"/>
          <w:szCs w:val="32"/>
        </w:rPr>
        <w:t>〔</w:t>
      </w:r>
      <w:r>
        <w:rPr>
          <w:rFonts w:hint="eastAsia"/>
          <w:sz w:val="32"/>
          <w:szCs w:val="32"/>
          <w:lang w:val="en-US" w:eastAsia="zh-CN"/>
        </w:rPr>
        <w:t>2026</w:t>
      </w:r>
      <w:r>
        <w:rPr>
          <w:rFonts w:eastAsia="仿宋_GB2312"/>
          <w:sz w:val="32"/>
          <w:szCs w:val="32"/>
        </w:rPr>
        <w:t>〕</w:t>
      </w:r>
      <w:r>
        <w:rPr>
          <w:rFonts w:hint="eastAsia" w:eastAsia="仿宋_GB2312"/>
          <w:sz w:val="32"/>
          <w:szCs w:val="32"/>
        </w:rPr>
        <w:t>3</w:t>
      </w:r>
      <w:r>
        <w:rPr>
          <w:rFonts w:eastAsia="仿宋_GB2312"/>
          <w:sz w:val="32"/>
          <w:szCs w:val="32"/>
        </w:rPr>
        <w:t>号</w:t>
      </w:r>
      <w:r>
        <w:rPr>
          <w:rFonts w:hint="eastAsia" w:eastAsia="仿宋_GB2312"/>
          <w:sz w:val="32"/>
          <w:szCs w:val="32"/>
        </w:rPr>
        <w:t>）及相关材料已通过审核。批复如下：</w:t>
      </w:r>
    </w:p>
    <w:p w14:paraId="7DB2896C">
      <w:pPr>
        <w:keepNext w:val="0"/>
        <w:keepLines w:val="0"/>
        <w:pageBreakBefore w:val="0"/>
        <w:widowControl/>
        <w:numPr>
          <w:ilvl w:val="0"/>
          <w:numId w:val="2"/>
        </w:numPr>
        <w:kinsoku/>
        <w:wordWrap/>
        <w:overflowPunct/>
        <w:bidi w:val="0"/>
        <w:spacing w:line="580" w:lineRule="exact"/>
        <w:ind w:left="0" w:leftChars="0" w:firstLine="640" w:firstLineChars="200"/>
        <w:textAlignment w:val="baseline"/>
        <w:rPr>
          <w:rFonts w:eastAsia="仿宋_GB2312"/>
          <w:sz w:val="32"/>
          <w:szCs w:val="32"/>
        </w:rPr>
      </w:pPr>
      <w:r>
        <w:rPr>
          <w:rFonts w:hint="eastAsia"/>
          <w:sz w:val="32"/>
          <w:szCs w:val="32"/>
          <w:lang w:val="en-US" w:eastAsia="zh-CN"/>
        </w:rPr>
        <w:t>东莞市</w:t>
      </w:r>
      <w:r>
        <w:rPr>
          <w:rFonts w:hint="eastAsia" w:eastAsia="仿宋_GB2312"/>
          <w:sz w:val="32"/>
          <w:szCs w:val="32"/>
        </w:rPr>
        <w:t>麻涌镇</w:t>
      </w:r>
      <w:r>
        <w:rPr>
          <w:rFonts w:hint="eastAsia"/>
          <w:sz w:val="32"/>
          <w:szCs w:val="32"/>
          <w:lang w:eastAsia="zh-CN"/>
        </w:rPr>
        <w:t>大步股份经济联合社、</w:t>
      </w:r>
      <w:r>
        <w:rPr>
          <w:rFonts w:hint="eastAsia" w:eastAsia="仿宋_GB2312"/>
          <w:sz w:val="32"/>
          <w:szCs w:val="32"/>
        </w:rPr>
        <w:t>东太东浦南一股份经济合作社</w:t>
      </w:r>
      <w:r>
        <w:rPr>
          <w:rFonts w:hint="eastAsia"/>
          <w:sz w:val="32"/>
          <w:szCs w:val="32"/>
          <w:lang w:eastAsia="zh-CN"/>
        </w:rPr>
        <w:t>、东太东浦北方股份经济合作社农民集体</w:t>
      </w:r>
      <w:r>
        <w:rPr>
          <w:rFonts w:hint="eastAsia" w:eastAsia="仿宋_GB2312"/>
          <w:sz w:val="32"/>
          <w:szCs w:val="32"/>
        </w:rPr>
        <w:t>属下的集体农用地</w:t>
      </w:r>
      <w:r>
        <w:rPr>
          <w:rFonts w:hint="eastAsia"/>
          <w:sz w:val="32"/>
          <w:szCs w:val="32"/>
          <w:lang w:val="en-US" w:eastAsia="zh-CN"/>
        </w:rPr>
        <w:t>0.3694</w:t>
      </w:r>
      <w:r>
        <w:rPr>
          <w:rFonts w:hint="eastAsia" w:eastAsia="仿宋_GB2312"/>
          <w:sz w:val="32"/>
          <w:szCs w:val="32"/>
        </w:rPr>
        <w:t>公顷（耕地</w:t>
      </w:r>
      <w:r>
        <w:rPr>
          <w:rFonts w:hint="eastAsia"/>
          <w:sz w:val="32"/>
          <w:szCs w:val="32"/>
          <w:lang w:val="en-US" w:eastAsia="zh-CN"/>
        </w:rPr>
        <w:t>0.1902</w:t>
      </w:r>
      <w:r>
        <w:rPr>
          <w:rFonts w:hint="eastAsia" w:eastAsia="仿宋_GB2312"/>
          <w:sz w:val="32"/>
          <w:szCs w:val="32"/>
        </w:rPr>
        <w:t>公顷、园地</w:t>
      </w:r>
      <w:r>
        <w:rPr>
          <w:rFonts w:hint="eastAsia"/>
          <w:sz w:val="32"/>
          <w:szCs w:val="32"/>
          <w:lang w:val="en-US" w:eastAsia="zh-CN"/>
        </w:rPr>
        <w:t>0.1790</w:t>
      </w:r>
      <w:r>
        <w:rPr>
          <w:rFonts w:hint="eastAsia" w:eastAsia="仿宋_GB2312"/>
          <w:sz w:val="32"/>
          <w:szCs w:val="32"/>
        </w:rPr>
        <w:t>公顷、林地</w:t>
      </w:r>
      <w:r>
        <w:rPr>
          <w:rFonts w:hint="eastAsia"/>
          <w:sz w:val="32"/>
          <w:szCs w:val="32"/>
          <w:lang w:val="en-US" w:eastAsia="zh-CN"/>
        </w:rPr>
        <w:t>0.0001</w:t>
      </w:r>
      <w:r>
        <w:rPr>
          <w:rFonts w:hint="eastAsia" w:eastAsia="仿宋_GB2312"/>
          <w:sz w:val="32"/>
          <w:szCs w:val="32"/>
        </w:rPr>
        <w:t>公顷、其他农用地</w:t>
      </w:r>
      <w:r>
        <w:rPr>
          <w:rFonts w:hint="eastAsia"/>
          <w:sz w:val="32"/>
          <w:szCs w:val="32"/>
          <w:lang w:val="en-US" w:eastAsia="zh-CN"/>
        </w:rPr>
        <w:t>0.0001</w:t>
      </w:r>
      <w:r>
        <w:rPr>
          <w:rFonts w:hint="eastAsia" w:eastAsia="仿宋_GB2312"/>
          <w:sz w:val="32"/>
          <w:szCs w:val="32"/>
        </w:rPr>
        <w:t>公顷）</w:t>
      </w:r>
      <w:r>
        <w:rPr>
          <w:rFonts w:hint="eastAsia"/>
          <w:sz w:val="32"/>
          <w:szCs w:val="32"/>
          <w:lang w:eastAsia="zh-CN"/>
        </w:rPr>
        <w:t>，</w:t>
      </w:r>
      <w:r>
        <w:rPr>
          <w:rFonts w:hint="eastAsia"/>
          <w:sz w:val="32"/>
          <w:szCs w:val="32"/>
          <w:lang w:val="en-US" w:eastAsia="zh-CN"/>
        </w:rPr>
        <w:t>以上合计0.3694公顷集体土地属于东莞市2019年城乡建设用地增减挂钩节余指标跨省域调剂麻涌镇大步村城镇道路用地项目、东莞市2019年城乡建设用地增减挂钩节余指标跨省域调剂麻涌镇大步村东太村城镇道路用地项目建新区范围内，已按规定与项目区实施规划进行整体审批并完成了农用地转用审批手续。</w:t>
      </w:r>
    </w:p>
    <w:p w14:paraId="56C1C7CB">
      <w:pPr>
        <w:keepNext w:val="0"/>
        <w:keepLines w:val="0"/>
        <w:pageBreakBefore w:val="0"/>
        <w:widowControl/>
        <w:numPr>
          <w:ilvl w:val="0"/>
          <w:numId w:val="2"/>
        </w:numPr>
        <w:kinsoku/>
        <w:wordWrap/>
        <w:overflowPunct/>
        <w:bidi w:val="0"/>
        <w:spacing w:line="580" w:lineRule="exact"/>
        <w:ind w:left="0" w:leftChars="0" w:firstLine="640" w:firstLineChars="200"/>
        <w:textAlignment w:val="baseline"/>
        <w:rPr>
          <w:rFonts w:eastAsia="仿宋_GB2312"/>
          <w:sz w:val="32"/>
          <w:szCs w:val="32"/>
        </w:rPr>
      </w:pPr>
      <w:r>
        <w:rPr>
          <w:rFonts w:hint="eastAsia"/>
          <w:sz w:val="32"/>
          <w:szCs w:val="32"/>
          <w:lang w:val="en-US" w:eastAsia="zh-CN"/>
        </w:rPr>
        <w:t>同意上报的征收土地请示。同意东莞市将</w:t>
      </w:r>
      <w:r>
        <w:rPr>
          <w:rFonts w:hint="eastAsia" w:eastAsia="仿宋_GB2312"/>
          <w:sz w:val="32"/>
          <w:szCs w:val="32"/>
        </w:rPr>
        <w:t>麻涌镇</w:t>
      </w:r>
      <w:r>
        <w:rPr>
          <w:rFonts w:hint="eastAsia"/>
          <w:sz w:val="32"/>
          <w:szCs w:val="32"/>
          <w:lang w:eastAsia="zh-CN"/>
        </w:rPr>
        <w:t>大步股份经济联合社、</w:t>
      </w:r>
      <w:r>
        <w:rPr>
          <w:rFonts w:hint="eastAsia" w:eastAsia="仿宋_GB2312"/>
          <w:sz w:val="32"/>
          <w:szCs w:val="32"/>
        </w:rPr>
        <w:t>东太东浦南一股份经济合作社</w:t>
      </w:r>
      <w:r>
        <w:rPr>
          <w:rFonts w:hint="eastAsia"/>
          <w:sz w:val="32"/>
          <w:szCs w:val="32"/>
          <w:lang w:eastAsia="zh-CN"/>
        </w:rPr>
        <w:t>、东太东浦北方股份经济合作社</w:t>
      </w:r>
      <w:r>
        <w:rPr>
          <w:rFonts w:hint="eastAsia"/>
          <w:sz w:val="32"/>
          <w:szCs w:val="32"/>
          <w:lang w:val="en-US" w:eastAsia="zh-CN"/>
        </w:rPr>
        <w:t>属下的0.3694公顷集体土地办理征收为国有土地手续，</w:t>
      </w:r>
      <w:r>
        <w:rPr>
          <w:rFonts w:hint="eastAsia" w:eastAsia="仿宋_GB2312"/>
          <w:sz w:val="32"/>
          <w:szCs w:val="32"/>
        </w:rPr>
        <w:t>上述批准建设用地</w:t>
      </w:r>
      <w:r>
        <w:rPr>
          <w:rFonts w:hint="eastAsia"/>
          <w:sz w:val="32"/>
          <w:szCs w:val="32"/>
          <w:lang w:val="en-US" w:eastAsia="zh-CN"/>
        </w:rPr>
        <w:t>0.3694</w:t>
      </w:r>
      <w:r>
        <w:rPr>
          <w:rFonts w:hint="eastAsia" w:eastAsia="仿宋_GB2312"/>
          <w:sz w:val="32"/>
          <w:szCs w:val="32"/>
        </w:rPr>
        <w:t>公顷，由当地人民政府依法依规供应，用于城市建设。</w:t>
      </w:r>
    </w:p>
    <w:p w14:paraId="10F8565E">
      <w:pPr>
        <w:keepNext w:val="0"/>
        <w:keepLines w:val="0"/>
        <w:pageBreakBefore w:val="0"/>
        <w:widowControl/>
        <w:kinsoku/>
        <w:wordWrap/>
        <w:overflowPunct/>
        <w:bidi w:val="0"/>
        <w:spacing w:line="580" w:lineRule="exact"/>
        <w:ind w:firstLine="645"/>
        <w:textAlignment w:val="baseline"/>
        <w:rPr>
          <w:rFonts w:eastAsia="仿宋_GB2312"/>
          <w:sz w:val="32"/>
          <w:szCs w:val="32"/>
        </w:rPr>
      </w:pPr>
      <w:r>
        <w:rPr>
          <w:rFonts w:hint="eastAsia"/>
          <w:sz w:val="32"/>
          <w:szCs w:val="32"/>
          <w:lang w:val="en-US" w:eastAsia="zh-CN"/>
        </w:rPr>
        <w:t>三</w:t>
      </w:r>
      <w:r>
        <w:rPr>
          <w:rFonts w:hint="eastAsia" w:eastAsia="仿宋_GB2312"/>
          <w:sz w:val="32"/>
          <w:szCs w:val="32"/>
        </w:rPr>
        <w:t>、请你市人民政府按照《中华人民共和国土地管理法》有关规定，严格履行征地批后实施程序，及时足额支付补偿费用，落实被征地农民的社会保障费用等安置措施，妥善安排好被征地农民的生产和生活，保证原有生活水平不降低，长远生计有保障。征地补偿安置不落实的，不得动工用地。你市相关不动产登记机构以此办理集体土地所有权注销或变更登记。</w:t>
      </w:r>
    </w:p>
    <w:p w14:paraId="359B4B82">
      <w:pPr>
        <w:keepNext w:val="0"/>
        <w:keepLines w:val="0"/>
        <w:pageBreakBefore w:val="0"/>
        <w:widowControl/>
        <w:kinsoku/>
        <w:wordWrap/>
        <w:overflowPunct/>
        <w:bidi w:val="0"/>
        <w:spacing w:line="580" w:lineRule="exact"/>
        <w:textAlignment w:val="baseline"/>
        <w:rPr>
          <w:rFonts w:eastAsia="仿宋_GB2312"/>
          <w:sz w:val="32"/>
          <w:szCs w:val="32"/>
        </w:rPr>
      </w:pPr>
    </w:p>
    <w:p w14:paraId="4D45EFE5">
      <w:pPr>
        <w:keepNext w:val="0"/>
        <w:keepLines w:val="0"/>
        <w:pageBreakBefore w:val="0"/>
        <w:widowControl/>
        <w:kinsoku/>
        <w:wordWrap/>
        <w:overflowPunct/>
        <w:bidi w:val="0"/>
        <w:spacing w:line="580" w:lineRule="exact"/>
        <w:textAlignment w:val="baseline"/>
        <w:rPr>
          <w:rFonts w:eastAsia="仿宋_GB2312"/>
          <w:sz w:val="32"/>
          <w:szCs w:val="32"/>
        </w:rPr>
      </w:pPr>
    </w:p>
    <w:p w14:paraId="68B0D85B">
      <w:pPr>
        <w:keepNext w:val="0"/>
        <w:keepLines w:val="0"/>
        <w:pageBreakBefore w:val="0"/>
        <w:widowControl/>
        <w:kinsoku/>
        <w:wordWrap/>
        <w:overflowPunct/>
        <w:bidi w:val="0"/>
        <w:spacing w:line="580" w:lineRule="exact"/>
        <w:textAlignment w:val="baseline"/>
        <w:rPr>
          <w:rFonts w:eastAsia="仿宋_GB2312"/>
          <w:sz w:val="32"/>
          <w:szCs w:val="32"/>
        </w:rPr>
      </w:pPr>
    </w:p>
    <w:p w14:paraId="74AA6A22">
      <w:pPr>
        <w:keepNext w:val="0"/>
        <w:keepLines w:val="0"/>
        <w:pageBreakBefore w:val="0"/>
        <w:widowControl/>
        <w:kinsoku/>
        <w:wordWrap/>
        <w:overflowPunct/>
        <w:bidi w:val="0"/>
        <w:spacing w:line="580" w:lineRule="exact"/>
        <w:ind w:firstLine="645"/>
        <w:textAlignment w:val="baseline"/>
        <w:rPr>
          <w:rFonts w:eastAsia="仿宋_GB2312"/>
          <w:sz w:val="32"/>
          <w:szCs w:val="32"/>
        </w:rPr>
      </w:pPr>
      <w:r>
        <w:rPr>
          <w:rFonts w:eastAsia="仿宋_GB2312"/>
          <w:sz w:val="32"/>
          <w:szCs w:val="32"/>
        </w:rPr>
        <w:t xml:space="preserve">                               </w:t>
      </w:r>
      <w:r>
        <w:rPr>
          <w:rFonts w:hint="eastAsia" w:eastAsia="仿宋_GB2312"/>
          <w:sz w:val="32"/>
          <w:szCs w:val="32"/>
        </w:rPr>
        <w:t>广东省人民政府</w:t>
      </w:r>
    </w:p>
    <w:p w14:paraId="7B3B66DA">
      <w:pPr>
        <w:keepNext w:val="0"/>
        <w:keepLines w:val="0"/>
        <w:pageBreakBefore w:val="0"/>
        <w:widowControl/>
        <w:kinsoku/>
        <w:wordWrap/>
        <w:overflowPunct/>
        <w:bidi w:val="0"/>
        <w:spacing w:line="580" w:lineRule="exact"/>
        <w:ind w:firstLine="645"/>
        <w:jc w:val="center"/>
        <w:textAlignment w:val="baseline"/>
        <w:rPr>
          <w:rFonts w:eastAsia="仿宋_GB2312"/>
          <w:sz w:val="32"/>
          <w:szCs w:val="32"/>
        </w:rPr>
      </w:pPr>
      <w:r>
        <w:rPr>
          <w:rFonts w:eastAsia="仿宋_GB2312"/>
          <w:sz w:val="32"/>
          <w:szCs w:val="32"/>
        </w:rPr>
        <w:t xml:space="preserve">                          </w:t>
      </w:r>
      <w:r>
        <w:rPr>
          <w:rFonts w:hint="eastAsia"/>
          <w:sz w:val="32"/>
          <w:szCs w:val="32"/>
          <w:lang w:val="en-US" w:eastAsia="zh-CN"/>
        </w:rPr>
        <w:t>2026</w:t>
      </w:r>
      <w:r>
        <w:rPr>
          <w:rFonts w:hint="eastAsia" w:eastAsia="仿宋_GB2312"/>
          <w:sz w:val="32"/>
          <w:szCs w:val="32"/>
        </w:rPr>
        <w:t>年</w:t>
      </w:r>
      <w:r>
        <w:rPr>
          <w:rFonts w:hint="eastAsia"/>
          <w:sz w:val="32"/>
          <w:szCs w:val="32"/>
          <w:lang w:val="en-US" w:eastAsia="zh-CN"/>
        </w:rPr>
        <w:t>1</w:t>
      </w:r>
      <w:r>
        <w:rPr>
          <w:rFonts w:hint="eastAsia" w:eastAsia="仿宋_GB2312"/>
          <w:sz w:val="32"/>
          <w:szCs w:val="32"/>
        </w:rPr>
        <w:t>月</w:t>
      </w:r>
      <w:r>
        <w:rPr>
          <w:rFonts w:hint="eastAsia"/>
          <w:sz w:val="32"/>
          <w:szCs w:val="32"/>
          <w:lang w:val="en-US" w:eastAsia="zh-CN"/>
        </w:rPr>
        <w:t>21</w:t>
      </w:r>
      <w:r>
        <w:rPr>
          <w:rFonts w:hint="eastAsia" w:eastAsia="仿宋_GB2312"/>
          <w:sz w:val="32"/>
          <w:szCs w:val="32"/>
        </w:rPr>
        <w:t>日</w:t>
      </w:r>
    </w:p>
    <w:p w14:paraId="373D6616">
      <w:pPr>
        <w:keepNext w:val="0"/>
        <w:keepLines w:val="0"/>
        <w:pageBreakBefore w:val="0"/>
        <w:widowControl/>
        <w:kinsoku/>
        <w:wordWrap/>
        <w:overflowPunct/>
        <w:bidi w:val="0"/>
        <w:spacing w:line="580" w:lineRule="exact"/>
        <w:ind w:firstLine="645"/>
        <w:jc w:val="center"/>
        <w:textAlignment w:val="baseline"/>
        <w:rPr>
          <w:rFonts w:eastAsia="仿宋_GB2312"/>
          <w:sz w:val="32"/>
          <w:szCs w:val="32"/>
        </w:rPr>
      </w:pPr>
    </w:p>
    <w:p w14:paraId="58F2B126">
      <w:pPr>
        <w:pStyle w:val="22"/>
        <w:keepNext w:val="0"/>
        <w:keepLines w:val="0"/>
        <w:pageBreakBefore w:val="0"/>
        <w:kinsoku/>
        <w:wordWrap/>
        <w:overflowPunct/>
        <w:bidi w:val="0"/>
        <w:spacing w:line="580" w:lineRule="exact"/>
        <w:jc w:val="left"/>
        <w:rPr>
          <w:rFonts w:ascii="Times New Roman" w:hAnsi="Times New Roman" w:eastAsia="仿宋_GB2312"/>
          <w:sz w:val="32"/>
          <w:szCs w:val="32"/>
        </w:rPr>
      </w:pPr>
      <w:r>
        <w:rPr>
          <w:rFonts w:ascii="Times New Roman" w:hAnsi="Times New Roman" w:eastAsia="黑体"/>
          <w:sz w:val="30"/>
          <w:szCs w:val="30"/>
        </w:rPr>
        <w:t>公开方式：</w:t>
      </w:r>
      <w:r>
        <w:rPr>
          <w:rFonts w:ascii="Times New Roman" w:hAnsi="Times New Roman" w:eastAsia="仿宋_GB2312"/>
          <w:sz w:val="30"/>
          <w:szCs w:val="30"/>
        </w:rPr>
        <w:t>主动公开</w:t>
      </w:r>
    </w:p>
    <w:p w14:paraId="537CAAE7">
      <w:pPr>
        <w:keepNext w:val="0"/>
        <w:keepLines w:val="0"/>
        <w:pageBreakBefore w:val="0"/>
        <w:widowControl/>
        <w:kinsoku/>
        <w:wordWrap/>
        <w:overflowPunct/>
        <w:topLinePunct w:val="0"/>
        <w:autoSpaceDE/>
        <w:autoSpaceDN/>
        <w:bidi w:val="0"/>
        <w:adjustRightInd/>
        <w:snapToGrid/>
        <w:spacing w:line="580" w:lineRule="exact"/>
        <w:ind w:left="1480" w:leftChars="200" w:hanging="840" w:hangingChars="300"/>
        <w:textAlignment w:val="baseline"/>
        <w:rPr>
          <w:rFonts w:ascii="仿宋_GB2312"/>
          <w:szCs w:val="32"/>
        </w:rPr>
      </w:pPr>
      <w:r>
        <w:rPr>
          <w:rFonts w:eastAsia="仿宋_GB2312"/>
          <w:sz w:val="28"/>
          <w:szCs w:val="28"/>
        </w:rPr>
        <w:t>抄送：国家自然资源督察广州局、财政部广东监管局、省财政厅、省人力资源和社会保障厅、省自然资源厅、省农业农村厅、国家税务总局广东省税务局。</w:t>
      </w:r>
    </w:p>
    <w:sectPr>
      <w:footerReference r:id="rId3" w:type="default"/>
      <w:footerReference r:id="rId4" w:type="even"/>
      <w:pgSz w:w="11906" w:h="16838"/>
      <w:pgMar w:top="2098" w:right="1474" w:bottom="1985" w:left="1588" w:header="2098" w:footer="1984" w:gutter="0"/>
      <w:pgBorders w:display="firstPage">
        <w:bottom w:val="thickThinSmallGap" w:color="FF0000" w:sz="24" w:space="2"/>
      </w:pgBorders>
      <w:cols w:space="425" w:num="1"/>
      <w:titlePg/>
      <w:docGrid w:type="linesAndChars" w:linePitch="5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康简标题宋">
    <w:panose1 w:val="02020900000000000000"/>
    <w:charset w:val="86"/>
    <w:family w:val="moder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方正小标宋简体">
    <w:panose1 w:val="02010601030101010101"/>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435DC">
    <w:pPr>
      <w:pStyle w:val="15"/>
      <w:framePr w:wrap="around" w:vAnchor="text" w:hAnchor="margin" w:xAlign="right" w:y="1"/>
      <w:rPr>
        <w:rStyle w:val="20"/>
      </w:rPr>
    </w:pPr>
    <w:r>
      <w:rPr>
        <w:rStyle w:val="20"/>
      </w:rPr>
      <w:fldChar w:fldCharType="begin"/>
    </w:r>
    <w:r>
      <w:rPr>
        <w:rStyle w:val="20"/>
      </w:rPr>
      <w:instrText xml:space="preserve">PAGE  </w:instrText>
    </w:r>
    <w:r>
      <w:rPr>
        <w:rStyle w:val="20"/>
      </w:rPr>
      <w:fldChar w:fldCharType="separate"/>
    </w:r>
    <w:r>
      <w:rPr>
        <w:rStyle w:val="20"/>
      </w:rPr>
      <w:t>3</w:t>
    </w:r>
    <w:r>
      <w:rPr>
        <w:rStyle w:val="20"/>
      </w:rPr>
      <w:fldChar w:fldCharType="end"/>
    </w:r>
  </w:p>
  <w:p w14:paraId="2C87381B">
    <w:pPr>
      <w:pStyle w:val="1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8389B">
    <w:pPr>
      <w:pStyle w:val="15"/>
      <w:framePr w:wrap="notBeside" w:vAnchor="page" w:hAnchor="page" w:x="1479" w:y="15598"/>
      <w:rPr>
        <w:rStyle w:val="20"/>
      </w:rPr>
    </w:pPr>
    <w:r>
      <w:rPr>
        <w:rStyle w:val="20"/>
        <w:rFonts w:hint="eastAsia"/>
      </w:rPr>
      <w:t>—</w:t>
    </w:r>
    <w:r>
      <w:rPr>
        <w:rStyle w:val="20"/>
      </w:rPr>
      <w:fldChar w:fldCharType="begin"/>
    </w:r>
    <w:r>
      <w:rPr>
        <w:rStyle w:val="20"/>
      </w:rPr>
      <w:instrText xml:space="preserve">PAGE  </w:instrText>
    </w:r>
    <w:r>
      <w:rPr>
        <w:rStyle w:val="20"/>
      </w:rPr>
      <w:fldChar w:fldCharType="separate"/>
    </w:r>
    <w:r>
      <w:rPr>
        <w:rStyle w:val="20"/>
      </w:rPr>
      <w:t>2</w:t>
    </w:r>
    <w:r>
      <w:rPr>
        <w:rStyle w:val="20"/>
      </w:rPr>
      <w:fldChar w:fldCharType="end"/>
    </w:r>
    <w:r>
      <w:rPr>
        <w:rStyle w:val="20"/>
        <w:rFonts w:hint="eastAsia"/>
      </w:rPr>
      <w:t>—</w:t>
    </w:r>
  </w:p>
  <w:p w14:paraId="6A50F14F">
    <w:pPr>
      <w:pStyle w:val="15"/>
      <w:ind w:right="360"/>
      <w:jc w:val="both"/>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B"/>
    <w:multiLevelType w:val="multilevel"/>
    <w:tmpl w:val="FFFFFFFB"/>
    <w:lvl w:ilvl="0" w:tentative="0">
      <w:start w:val="1"/>
      <w:numFmt w:val="none"/>
      <w:pStyle w:val="2"/>
      <w:suff w:val="nothing"/>
      <w:lvlText w:val=""/>
      <w:lvlJc w:val="left"/>
    </w:lvl>
    <w:lvl w:ilvl="1" w:tentative="0">
      <w:start w:val="0"/>
      <w:numFmt w:val="decimal"/>
      <w:pStyle w:val="3"/>
      <w:lvlText w:val="%2"/>
      <w:legacy w:legacy="1" w:legacySpace="0" w:legacyIndent="0"/>
      <w:lvlJc w:val="left"/>
      <w:rPr>
        <w:rFonts w:hint="eastAsia" w:ascii="宋体" w:eastAsia="宋体"/>
      </w:rPr>
    </w:lvl>
    <w:lvl w:ilvl="2" w:tentative="0">
      <w:start w:val="0"/>
      <w:numFmt w:val="decimal"/>
      <w:pStyle w:val="4"/>
      <w:lvlText w:val="%3"/>
      <w:legacy w:legacy="1" w:legacySpace="0" w:legacyIndent="0"/>
      <w:lvlJc w:val="left"/>
      <w:rPr>
        <w:rFonts w:hint="eastAsia" w:ascii="宋体" w:eastAsia="宋体"/>
      </w:rPr>
    </w:lvl>
    <w:lvl w:ilvl="3" w:tentative="0">
      <w:start w:val="0"/>
      <w:numFmt w:val="decimal"/>
      <w:pStyle w:val="5"/>
      <w:lvlText w:val="%4"/>
      <w:legacy w:legacy="1" w:legacySpace="0" w:legacyIndent="0"/>
      <w:lvlJc w:val="left"/>
      <w:rPr>
        <w:rFonts w:hint="eastAsia" w:ascii="宋体" w:eastAsia="宋体"/>
      </w:rPr>
    </w:lvl>
    <w:lvl w:ilvl="4" w:tentative="0">
      <w:start w:val="0"/>
      <w:numFmt w:val="decimal"/>
      <w:pStyle w:val="6"/>
      <w:lvlText w:val="%5"/>
      <w:legacy w:legacy="1" w:legacySpace="0" w:legacyIndent="0"/>
      <w:lvlJc w:val="left"/>
      <w:rPr>
        <w:rFonts w:hint="eastAsia" w:ascii="宋体" w:eastAsia="宋体"/>
      </w:rPr>
    </w:lvl>
    <w:lvl w:ilvl="5" w:tentative="0">
      <w:start w:val="0"/>
      <w:numFmt w:val="decimal"/>
      <w:pStyle w:val="7"/>
      <w:lvlText w:val="%6"/>
      <w:legacy w:legacy="1" w:legacySpace="0" w:legacyIndent="0"/>
      <w:lvlJc w:val="left"/>
      <w:rPr>
        <w:rFonts w:hint="eastAsia" w:ascii="宋体" w:eastAsia="宋体"/>
      </w:rPr>
    </w:lvl>
    <w:lvl w:ilvl="6" w:tentative="0">
      <w:start w:val="0"/>
      <w:numFmt w:val="decimal"/>
      <w:pStyle w:val="8"/>
      <w:lvlText w:val="%7"/>
      <w:legacy w:legacy="1" w:legacySpace="0" w:legacyIndent="0"/>
      <w:lvlJc w:val="left"/>
      <w:rPr>
        <w:rFonts w:hint="eastAsia" w:ascii="宋体" w:eastAsia="宋体"/>
      </w:rPr>
    </w:lvl>
    <w:lvl w:ilvl="7" w:tentative="0">
      <w:start w:val="0"/>
      <w:numFmt w:val="decimal"/>
      <w:pStyle w:val="9"/>
      <w:lvlText w:val="%8"/>
      <w:legacy w:legacy="1" w:legacySpace="0" w:legacyIndent="0"/>
      <w:lvlJc w:val="left"/>
      <w:rPr>
        <w:rFonts w:hint="eastAsia" w:ascii="宋体" w:eastAsia="宋体"/>
      </w:rPr>
    </w:lvl>
    <w:lvl w:ilvl="8" w:tentative="0">
      <w:start w:val="0"/>
      <w:numFmt w:val="decimal"/>
      <w:pStyle w:val="10"/>
      <w:lvlText w:val="%9"/>
      <w:legacy w:legacy="1" w:legacySpace="0" w:legacyIndent="0"/>
      <w:lvlJc w:val="left"/>
      <w:rPr>
        <w:rFonts w:hint="eastAsia" w:ascii="宋体" w:eastAsia="宋体"/>
      </w:rPr>
    </w:lvl>
  </w:abstractNum>
  <w:abstractNum w:abstractNumId="1">
    <w:nsid w:val="5A34D28D"/>
    <w:multiLevelType w:val="singleLevel"/>
    <w:tmpl w:val="5A34D28D"/>
    <w:lvl w:ilvl="0" w:tentative="0">
      <w:start w:val="1"/>
      <w:numFmt w:val="chineseCounting"/>
      <w:suff w:val="nothing"/>
      <w:lvlText w:val="%1、"/>
      <w:lvlJc w:val="left"/>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evenAndOddHeaders w:val="1"/>
  <w:drawingGridHorizontalSpacing w:val="160"/>
  <w:drawingGridVerticalSpacing w:val="28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wNjNlZjI1YjhlODM5NjljMDE3MmQ4OWU1NDA5ZmEifQ=="/>
    <w:docVar w:name="FlFileSerial" w:val=" "/>
    <w:docVar w:name="FlFileYear" w:val="2018"/>
    <w:docVar w:name="FlGkfs" w:val="主动公开"/>
    <w:docVar w:name="FlProver" w:val=" "/>
    <w:docVar w:name="FlSubject" w:val="广东省人民政府关于东莞市2018年度第一批次城镇建设用地的批复"/>
    <w:docVar w:name="FlYear" w:val="2018"/>
    <w:docVar w:name="FlYear_Zw" w:val="2018"/>
  </w:docVars>
  <w:rsids>
    <w:rsidRoot w:val="00B064BA"/>
    <w:rsid w:val="0000074E"/>
    <w:rsid w:val="0001126B"/>
    <w:rsid w:val="00012FB8"/>
    <w:rsid w:val="00040E13"/>
    <w:rsid w:val="00043A03"/>
    <w:rsid w:val="00082FCB"/>
    <w:rsid w:val="000B4027"/>
    <w:rsid w:val="000B7281"/>
    <w:rsid w:val="000E1B28"/>
    <w:rsid w:val="001016A0"/>
    <w:rsid w:val="00101BA8"/>
    <w:rsid w:val="00113608"/>
    <w:rsid w:val="0011776A"/>
    <w:rsid w:val="0012378F"/>
    <w:rsid w:val="001312F1"/>
    <w:rsid w:val="00132B80"/>
    <w:rsid w:val="001470EF"/>
    <w:rsid w:val="00153677"/>
    <w:rsid w:val="00156981"/>
    <w:rsid w:val="00167305"/>
    <w:rsid w:val="001700AC"/>
    <w:rsid w:val="00180F0B"/>
    <w:rsid w:val="0018421E"/>
    <w:rsid w:val="00193DF8"/>
    <w:rsid w:val="001B0BFB"/>
    <w:rsid w:val="001E34C5"/>
    <w:rsid w:val="001E5EA0"/>
    <w:rsid w:val="001F564D"/>
    <w:rsid w:val="002268ED"/>
    <w:rsid w:val="002438B0"/>
    <w:rsid w:val="00252CA7"/>
    <w:rsid w:val="00260D94"/>
    <w:rsid w:val="00266446"/>
    <w:rsid w:val="00287F00"/>
    <w:rsid w:val="00294385"/>
    <w:rsid w:val="002970CA"/>
    <w:rsid w:val="002C20AD"/>
    <w:rsid w:val="002C5D15"/>
    <w:rsid w:val="002D43B1"/>
    <w:rsid w:val="003172E1"/>
    <w:rsid w:val="0031732C"/>
    <w:rsid w:val="0035333A"/>
    <w:rsid w:val="00392C91"/>
    <w:rsid w:val="003A4643"/>
    <w:rsid w:val="003A5D34"/>
    <w:rsid w:val="003B64EA"/>
    <w:rsid w:val="003E1FFF"/>
    <w:rsid w:val="004075BC"/>
    <w:rsid w:val="0042364C"/>
    <w:rsid w:val="004243DC"/>
    <w:rsid w:val="00427126"/>
    <w:rsid w:val="00461D2A"/>
    <w:rsid w:val="00463EA5"/>
    <w:rsid w:val="00471488"/>
    <w:rsid w:val="00475326"/>
    <w:rsid w:val="00481406"/>
    <w:rsid w:val="004830D4"/>
    <w:rsid w:val="00485E11"/>
    <w:rsid w:val="004A4FDA"/>
    <w:rsid w:val="004B5177"/>
    <w:rsid w:val="004B5E32"/>
    <w:rsid w:val="004C1254"/>
    <w:rsid w:val="004C19BA"/>
    <w:rsid w:val="004C73D3"/>
    <w:rsid w:val="004E1B07"/>
    <w:rsid w:val="005141AA"/>
    <w:rsid w:val="00515BA5"/>
    <w:rsid w:val="00523440"/>
    <w:rsid w:val="005326D6"/>
    <w:rsid w:val="00565BDA"/>
    <w:rsid w:val="005728C5"/>
    <w:rsid w:val="005A3510"/>
    <w:rsid w:val="005A7330"/>
    <w:rsid w:val="005B34F0"/>
    <w:rsid w:val="005C06A9"/>
    <w:rsid w:val="005C2135"/>
    <w:rsid w:val="005C64CE"/>
    <w:rsid w:val="005D4C83"/>
    <w:rsid w:val="005D57D0"/>
    <w:rsid w:val="005F4508"/>
    <w:rsid w:val="0061705D"/>
    <w:rsid w:val="00646D3D"/>
    <w:rsid w:val="00653DF1"/>
    <w:rsid w:val="00654528"/>
    <w:rsid w:val="0065655C"/>
    <w:rsid w:val="00656C68"/>
    <w:rsid w:val="00691A63"/>
    <w:rsid w:val="006A40CD"/>
    <w:rsid w:val="006C349A"/>
    <w:rsid w:val="006D0792"/>
    <w:rsid w:val="006E0F49"/>
    <w:rsid w:val="006E6B56"/>
    <w:rsid w:val="006F3F33"/>
    <w:rsid w:val="00706477"/>
    <w:rsid w:val="00715C17"/>
    <w:rsid w:val="007163B9"/>
    <w:rsid w:val="00750D57"/>
    <w:rsid w:val="00752FE2"/>
    <w:rsid w:val="00770655"/>
    <w:rsid w:val="007747B4"/>
    <w:rsid w:val="00776B7E"/>
    <w:rsid w:val="00783228"/>
    <w:rsid w:val="00783A6E"/>
    <w:rsid w:val="007858BC"/>
    <w:rsid w:val="00790829"/>
    <w:rsid w:val="00792525"/>
    <w:rsid w:val="007C1CAF"/>
    <w:rsid w:val="007F5A02"/>
    <w:rsid w:val="00812C75"/>
    <w:rsid w:val="00821113"/>
    <w:rsid w:val="00837D1B"/>
    <w:rsid w:val="008455B3"/>
    <w:rsid w:val="0086760C"/>
    <w:rsid w:val="00873B88"/>
    <w:rsid w:val="008864C8"/>
    <w:rsid w:val="008A3D6B"/>
    <w:rsid w:val="008B108A"/>
    <w:rsid w:val="008B1EFE"/>
    <w:rsid w:val="00930FF7"/>
    <w:rsid w:val="009D19AB"/>
    <w:rsid w:val="009E1BAE"/>
    <w:rsid w:val="009F7DD7"/>
    <w:rsid w:val="00A1390A"/>
    <w:rsid w:val="00A159D2"/>
    <w:rsid w:val="00A20509"/>
    <w:rsid w:val="00A360C5"/>
    <w:rsid w:val="00A3683C"/>
    <w:rsid w:val="00A53AAB"/>
    <w:rsid w:val="00A616BD"/>
    <w:rsid w:val="00A72C19"/>
    <w:rsid w:val="00A8130F"/>
    <w:rsid w:val="00A85A7A"/>
    <w:rsid w:val="00A90C64"/>
    <w:rsid w:val="00AB0A92"/>
    <w:rsid w:val="00AB14A4"/>
    <w:rsid w:val="00AB79DD"/>
    <w:rsid w:val="00AC1647"/>
    <w:rsid w:val="00AE31E7"/>
    <w:rsid w:val="00B064BA"/>
    <w:rsid w:val="00B16A2E"/>
    <w:rsid w:val="00B25A69"/>
    <w:rsid w:val="00B457E9"/>
    <w:rsid w:val="00B6053C"/>
    <w:rsid w:val="00B96900"/>
    <w:rsid w:val="00BA5186"/>
    <w:rsid w:val="00BA5E9D"/>
    <w:rsid w:val="00BC4F86"/>
    <w:rsid w:val="00BD1BBB"/>
    <w:rsid w:val="00BD508E"/>
    <w:rsid w:val="00BE1A48"/>
    <w:rsid w:val="00BE45E2"/>
    <w:rsid w:val="00C124A7"/>
    <w:rsid w:val="00C31749"/>
    <w:rsid w:val="00C578BB"/>
    <w:rsid w:val="00C770BE"/>
    <w:rsid w:val="00C81C44"/>
    <w:rsid w:val="00C82AE7"/>
    <w:rsid w:val="00CB6F40"/>
    <w:rsid w:val="00CC30B1"/>
    <w:rsid w:val="00CD7E82"/>
    <w:rsid w:val="00CE08C4"/>
    <w:rsid w:val="00CE6DEE"/>
    <w:rsid w:val="00CE73FC"/>
    <w:rsid w:val="00CF4C99"/>
    <w:rsid w:val="00D042FB"/>
    <w:rsid w:val="00D2782B"/>
    <w:rsid w:val="00D5531E"/>
    <w:rsid w:val="00D62EBD"/>
    <w:rsid w:val="00D65DDC"/>
    <w:rsid w:val="00DC248F"/>
    <w:rsid w:val="00DD2B1A"/>
    <w:rsid w:val="00DD4602"/>
    <w:rsid w:val="00DF1A5F"/>
    <w:rsid w:val="00DF433D"/>
    <w:rsid w:val="00E0142C"/>
    <w:rsid w:val="00E0618B"/>
    <w:rsid w:val="00E55951"/>
    <w:rsid w:val="00E664EF"/>
    <w:rsid w:val="00E7088C"/>
    <w:rsid w:val="00E72871"/>
    <w:rsid w:val="00E94CC7"/>
    <w:rsid w:val="00EB0483"/>
    <w:rsid w:val="00EB4645"/>
    <w:rsid w:val="00ED4474"/>
    <w:rsid w:val="00ED687E"/>
    <w:rsid w:val="00EF17A7"/>
    <w:rsid w:val="00EF21CC"/>
    <w:rsid w:val="00F13F77"/>
    <w:rsid w:val="00F61890"/>
    <w:rsid w:val="00F874EA"/>
    <w:rsid w:val="00FC54DF"/>
    <w:rsid w:val="00FD1999"/>
    <w:rsid w:val="039D1F2C"/>
    <w:rsid w:val="06C65753"/>
    <w:rsid w:val="0AE64D2D"/>
    <w:rsid w:val="106610D0"/>
    <w:rsid w:val="20C14FDC"/>
    <w:rsid w:val="23120665"/>
    <w:rsid w:val="3EB63280"/>
    <w:rsid w:val="4115304A"/>
    <w:rsid w:val="43F222F9"/>
    <w:rsid w:val="4A431740"/>
    <w:rsid w:val="4B944492"/>
    <w:rsid w:val="4DB13790"/>
    <w:rsid w:val="4F0A0038"/>
    <w:rsid w:val="4F620672"/>
    <w:rsid w:val="64E83C4D"/>
    <w:rsid w:val="65BD2897"/>
    <w:rsid w:val="694B5C67"/>
    <w:rsid w:val="6CAB6027"/>
    <w:rsid w:val="739165E2"/>
    <w:rsid w:val="78493803"/>
    <w:rsid w:val="78EA33E2"/>
    <w:rsid w:val="798A6F69"/>
    <w:rsid w:val="7B200107"/>
    <w:rsid w:val="7DA91A88"/>
    <w:rsid w:val="7E2C0E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qFormat/>
    <w:uiPriority w:val="0"/>
    <w:pPr>
      <w:keepNext/>
      <w:keepLines/>
      <w:widowControl/>
      <w:numPr>
        <w:ilvl w:val="0"/>
        <w:numId w:val="1"/>
      </w:numPr>
      <w:adjustRightInd w:val="0"/>
      <w:spacing w:line="580" w:lineRule="atLeast"/>
      <w:jc w:val="center"/>
      <w:textAlignment w:val="baseline"/>
      <w:outlineLvl w:val="0"/>
    </w:pPr>
    <w:rPr>
      <w:rFonts w:eastAsia="华康简标题宋"/>
      <w:kern w:val="44"/>
      <w:sz w:val="36"/>
      <w:szCs w:val="20"/>
    </w:rPr>
  </w:style>
  <w:style w:type="paragraph" w:styleId="3">
    <w:name w:val="heading 2"/>
    <w:basedOn w:val="1"/>
    <w:next w:val="1"/>
    <w:qFormat/>
    <w:uiPriority w:val="0"/>
    <w:pPr>
      <w:keepNext/>
      <w:keepLines/>
      <w:widowControl/>
      <w:numPr>
        <w:ilvl w:val="1"/>
        <w:numId w:val="1"/>
      </w:numPr>
      <w:adjustRightInd w:val="0"/>
      <w:spacing w:before="260" w:after="260" w:line="416" w:lineRule="atLeast"/>
      <w:textAlignment w:val="baseline"/>
      <w:outlineLvl w:val="1"/>
    </w:pPr>
    <w:rPr>
      <w:rFonts w:ascii="Arial" w:hAnsi="Arial" w:eastAsia="黑体"/>
      <w:b/>
      <w:kern w:val="0"/>
      <w:szCs w:val="20"/>
    </w:rPr>
  </w:style>
  <w:style w:type="paragraph" w:styleId="4">
    <w:name w:val="heading 3"/>
    <w:basedOn w:val="1"/>
    <w:next w:val="1"/>
    <w:qFormat/>
    <w:uiPriority w:val="0"/>
    <w:pPr>
      <w:keepNext/>
      <w:keepLines/>
      <w:widowControl/>
      <w:numPr>
        <w:ilvl w:val="2"/>
        <w:numId w:val="1"/>
      </w:numPr>
      <w:adjustRightInd w:val="0"/>
      <w:spacing w:before="260" w:after="260" w:line="416" w:lineRule="atLeast"/>
      <w:textAlignment w:val="baseline"/>
      <w:outlineLvl w:val="2"/>
    </w:pPr>
    <w:rPr>
      <w:b/>
      <w:kern w:val="0"/>
      <w:szCs w:val="20"/>
    </w:rPr>
  </w:style>
  <w:style w:type="paragraph" w:styleId="5">
    <w:name w:val="heading 4"/>
    <w:basedOn w:val="1"/>
    <w:next w:val="1"/>
    <w:qFormat/>
    <w:uiPriority w:val="0"/>
    <w:pPr>
      <w:keepNext/>
      <w:keepLines/>
      <w:widowControl/>
      <w:numPr>
        <w:ilvl w:val="3"/>
        <w:numId w:val="1"/>
      </w:numPr>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qFormat/>
    <w:uiPriority w:val="0"/>
    <w:pPr>
      <w:keepNext/>
      <w:keepLines/>
      <w:widowControl/>
      <w:numPr>
        <w:ilvl w:val="4"/>
        <w:numId w:val="1"/>
      </w:numPr>
      <w:adjustRightInd w:val="0"/>
      <w:spacing w:before="280" w:after="290" w:line="376" w:lineRule="atLeast"/>
      <w:textAlignment w:val="baseline"/>
      <w:outlineLvl w:val="4"/>
    </w:pPr>
    <w:rPr>
      <w:b/>
      <w:kern w:val="0"/>
      <w:sz w:val="28"/>
      <w:szCs w:val="20"/>
    </w:rPr>
  </w:style>
  <w:style w:type="paragraph" w:styleId="7">
    <w:name w:val="heading 6"/>
    <w:basedOn w:val="1"/>
    <w:next w:val="1"/>
    <w:qFormat/>
    <w:uiPriority w:val="0"/>
    <w:pPr>
      <w:keepNext/>
      <w:keepLines/>
      <w:widowControl/>
      <w:numPr>
        <w:ilvl w:val="5"/>
        <w:numId w:val="1"/>
      </w:numPr>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qFormat/>
    <w:uiPriority w:val="0"/>
    <w:pPr>
      <w:keepNext/>
      <w:keepLines/>
      <w:widowControl/>
      <w:numPr>
        <w:ilvl w:val="6"/>
        <w:numId w:val="1"/>
      </w:numPr>
      <w:adjustRightInd w:val="0"/>
      <w:spacing w:before="240" w:after="64" w:line="320" w:lineRule="atLeast"/>
      <w:textAlignment w:val="baseline"/>
      <w:outlineLvl w:val="6"/>
    </w:pPr>
    <w:rPr>
      <w:b/>
      <w:kern w:val="0"/>
      <w:sz w:val="24"/>
      <w:szCs w:val="20"/>
    </w:rPr>
  </w:style>
  <w:style w:type="paragraph" w:styleId="9">
    <w:name w:val="heading 8"/>
    <w:basedOn w:val="1"/>
    <w:next w:val="1"/>
    <w:qFormat/>
    <w:uiPriority w:val="0"/>
    <w:pPr>
      <w:keepNext/>
      <w:keepLines/>
      <w:widowControl/>
      <w:numPr>
        <w:ilvl w:val="7"/>
        <w:numId w:val="1"/>
      </w:numPr>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qFormat/>
    <w:uiPriority w:val="0"/>
    <w:pPr>
      <w:keepNext/>
      <w:keepLines/>
      <w:widowControl/>
      <w:numPr>
        <w:ilvl w:val="8"/>
        <w:numId w:val="1"/>
      </w:numPr>
      <w:adjustRightInd w:val="0"/>
      <w:spacing w:before="240" w:after="64" w:line="320" w:lineRule="atLeast"/>
      <w:textAlignment w:val="baseline"/>
      <w:outlineLvl w:val="8"/>
    </w:pPr>
    <w:rPr>
      <w:rFonts w:ascii="Arial" w:hAnsi="Arial" w:eastAsia="黑体"/>
      <w:kern w:val="0"/>
      <w:sz w:val="21"/>
      <w:szCs w:val="20"/>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ind w:firstLine="420" w:firstLineChars="200"/>
    </w:pPr>
  </w:style>
  <w:style w:type="paragraph" w:styleId="12">
    <w:name w:val="Salutation"/>
    <w:basedOn w:val="1"/>
    <w:next w:val="1"/>
    <w:qFormat/>
    <w:uiPriority w:val="0"/>
    <w:rPr>
      <w:bCs/>
    </w:rPr>
  </w:style>
  <w:style w:type="paragraph" w:styleId="13">
    <w:name w:val="Closing"/>
    <w:basedOn w:val="1"/>
    <w:qFormat/>
    <w:uiPriority w:val="0"/>
    <w:pPr>
      <w:ind w:left="100" w:leftChars="2100"/>
    </w:pPr>
    <w:rPr>
      <w:bCs/>
    </w:rPr>
  </w:style>
  <w:style w:type="paragraph" w:styleId="14">
    <w:name w:val="Body Text Indent"/>
    <w:basedOn w:val="1"/>
    <w:qFormat/>
    <w:uiPriority w:val="0"/>
    <w:pPr>
      <w:ind w:firstLine="538" w:firstLineChars="192"/>
    </w:pPr>
    <w:rPr>
      <w:rFonts w:eastAsia="宋体"/>
      <w:sz w:val="28"/>
    </w:rPr>
  </w:style>
  <w:style w:type="paragraph" w:styleId="15">
    <w:name w:val="footer"/>
    <w:basedOn w:val="1"/>
    <w:link w:val="23"/>
    <w:qFormat/>
    <w:uiPriority w:val="99"/>
    <w:pPr>
      <w:tabs>
        <w:tab w:val="center" w:leader="hyphen" w:pos="4153"/>
        <w:tab w:val="right" w:pos="8306"/>
      </w:tabs>
      <w:snapToGrid w:val="0"/>
      <w:jc w:val="right"/>
    </w:pPr>
    <w:rPr>
      <w:sz w:val="28"/>
      <w:szCs w:val="18"/>
    </w:rPr>
  </w:style>
  <w:style w:type="paragraph" w:styleId="16">
    <w:name w:val="header"/>
    <w:basedOn w:val="1"/>
    <w:qFormat/>
    <w:uiPriority w:val="0"/>
    <w:pPr>
      <w:tabs>
        <w:tab w:val="center" w:pos="4153"/>
        <w:tab w:val="right" w:pos="8306"/>
      </w:tabs>
      <w:snapToGrid w:val="0"/>
      <w:jc w:val="center"/>
    </w:pPr>
    <w:rPr>
      <w:sz w:val="18"/>
      <w:szCs w:val="18"/>
    </w:rPr>
  </w:style>
  <w:style w:type="paragraph" w:styleId="17">
    <w:name w:val="Title"/>
    <w:basedOn w:val="1"/>
    <w:qFormat/>
    <w:uiPriority w:val="0"/>
    <w:pPr>
      <w:spacing w:before="240" w:after="60"/>
      <w:jc w:val="center"/>
      <w:outlineLvl w:val="0"/>
    </w:pPr>
    <w:rPr>
      <w:rFonts w:eastAsia="华康简标题宋" w:cs="Arial"/>
      <w:bCs/>
      <w:sz w:val="44"/>
      <w:szCs w:val="32"/>
    </w:rPr>
  </w:style>
  <w:style w:type="character" w:styleId="20">
    <w:name w:val="page number"/>
    <w:qFormat/>
    <w:uiPriority w:val="0"/>
    <w:rPr>
      <w:rFonts w:ascii="Times New Roman" w:hAnsi="Times New Roman" w:eastAsia="仿宋_GB2312"/>
      <w:sz w:val="28"/>
      <w:lang w:eastAsia="zh-CN"/>
    </w:rPr>
  </w:style>
  <w:style w:type="paragraph" w:customStyle="1" w:styleId="21">
    <w:name w:val="_Style 20"/>
    <w:basedOn w:val="1"/>
    <w:qFormat/>
    <w:uiPriority w:val="0"/>
    <w:pPr>
      <w:widowControl/>
      <w:spacing w:after="160" w:line="240" w:lineRule="exact"/>
      <w:jc w:val="left"/>
    </w:pPr>
    <w:rPr>
      <w:rFonts w:ascii="Verdana" w:hAnsi="Verdana"/>
      <w:kern w:val="0"/>
      <w:sz w:val="24"/>
      <w:szCs w:val="20"/>
      <w:lang w:eastAsia="en-US"/>
    </w:rPr>
  </w:style>
  <w:style w:type="paragraph" w:customStyle="1" w:styleId="22">
    <w:name w:val="Char"/>
    <w:basedOn w:val="1"/>
    <w:qFormat/>
    <w:uiPriority w:val="99"/>
    <w:pPr>
      <w:tabs>
        <w:tab w:val="left" w:pos="2280"/>
      </w:tabs>
    </w:pPr>
    <w:rPr>
      <w:rFonts w:ascii="Calibri" w:hAnsi="Calibri" w:eastAsia="宋体"/>
      <w:sz w:val="21"/>
    </w:rPr>
  </w:style>
  <w:style w:type="character" w:customStyle="1" w:styleId="23">
    <w:name w:val="页脚 Char"/>
    <w:basedOn w:val="19"/>
    <w:link w:val="15"/>
    <w:qFormat/>
    <w:uiPriority w:val="99"/>
    <w:rPr>
      <w:rFonts w:eastAsia="仿宋_GB2312"/>
      <w:kern w:val="2"/>
      <w:sz w:val="2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dgcc</Company>
  <Pages>2</Pages>
  <Words>714</Words>
  <Characters>775</Characters>
  <Lines>6</Lines>
  <Paragraphs>1</Paragraphs>
  <TotalTime>4</TotalTime>
  <ScaleCrop>false</ScaleCrop>
  <LinksUpToDate>false</LinksUpToDate>
  <CharactersWithSpaces>836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2020-08-21T08:07:00Z</dcterms:created>
  <dc:creator>sshkjy</dc:creator>
  <cp:lastModifiedBy>陈泽峰</cp:lastModifiedBy>
  <cp:lastPrinted>2021-09-16T01:52:00Z</cp:lastPrinted>
  <dcterms:modified xsi:type="dcterms:W3CDTF">2026-01-22T02:19:18Z</dcterms:modified>
  <dc:title>东莞市人民政府办公室</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635499933C2B4ED3BE7E96CC29854AB7_13</vt:lpwstr>
  </property>
  <property fmtid="{D5CDD505-2E9C-101B-9397-08002B2CF9AE}" pid="4" name="KSOTemplateDocerSaveRecord">
    <vt:lpwstr>eyJoZGlkIjoiMDM0MDE2ZjY3MWRmYzg0M2UyMTY4NzJhZGRlYWFmY2MiLCJ1c2VySWQiOiIxNjY2NTEzMDMwIn0=</vt:lpwstr>
  </property>
</Properties>
</file>