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8"/>
        <w:tblW w:w="0" w:type="auto"/>
        <w:jc w:val="center"/>
        <w:tblBorders>
          <w:top w:val="none" w:color="auto" w:sz="0" w:space="0"/>
          <w:left w:val="none" w:color="auto" w:sz="0" w:space="0"/>
          <w:bottom w:val="thinThickMediumGap" w:color="FF0000" w:sz="1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7"/>
      </w:tblGrid>
      <w:tr w14:paraId="12B400D8">
        <w:tblPrEx>
          <w:tblBorders>
            <w:top w:val="none" w:color="auto" w:sz="0" w:space="0"/>
            <w:left w:val="none" w:color="auto" w:sz="0" w:space="0"/>
            <w:bottom w:val="thinThickMediumGap" w:color="FF0000" w:sz="1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8677" w:type="dxa"/>
          </w:tcPr>
          <w:p w14:paraId="3B323001">
            <w:pPr>
              <w:pStyle w:val="2"/>
              <w:numPr>
                <w:ilvl w:val="0"/>
                <w:numId w:val="0"/>
              </w:numPr>
              <w:autoSpaceDE w:val="0"/>
              <w:autoSpaceDN w:val="0"/>
              <w:snapToGrid w:val="0"/>
              <w:rPr>
                <w:rFonts w:eastAsia="方正小标宋简体"/>
                <w:b/>
                <w:bCs/>
                <w:color w:val="FF0000"/>
                <w:w w:val="90"/>
                <w:kern w:val="72"/>
                <w:sz w:val="72"/>
              </w:rPr>
            </w:pPr>
            <w:r>
              <w:rPr>
                <w:rFonts w:eastAsia="方正小标宋简体"/>
                <w:b/>
                <w:bCs/>
                <w:color w:val="FF0000"/>
                <w:spacing w:val="320"/>
                <w:w w:val="90"/>
                <w:kern w:val="72"/>
                <w:sz w:val="72"/>
              </w:rPr>
              <w:t>广东省人民政</w:t>
            </w:r>
            <w:r>
              <w:rPr>
                <w:rFonts w:eastAsia="方正小标宋简体"/>
                <w:b/>
                <w:bCs/>
                <w:color w:val="FF0000"/>
                <w:w w:val="90"/>
                <w:kern w:val="72"/>
                <w:sz w:val="72"/>
              </w:rPr>
              <w:t>府</w:t>
            </w:r>
          </w:p>
        </w:tc>
      </w:tr>
    </w:tbl>
    <w:p w14:paraId="2A6B709F">
      <w:pPr>
        <w:pStyle w:val="11"/>
        <w:keepNext w:val="0"/>
        <w:keepLines w:val="0"/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960" w:firstLineChars="300"/>
        <w:jc w:val="right"/>
        <w:rPr>
          <w:szCs w:val="32"/>
        </w:rPr>
      </w:pPr>
      <w:r>
        <w:t>粤府土审（12）</w:t>
      </w:r>
      <w:r>
        <w:rPr>
          <w:szCs w:val="32"/>
        </w:rPr>
        <w:t>〔</w:t>
      </w:r>
      <w:r>
        <w:t>20</w:t>
      </w:r>
      <w:r>
        <w:rPr>
          <w:rFonts w:hint="eastAsia"/>
        </w:rPr>
        <w:t>2</w:t>
      </w:r>
      <w:r>
        <w:rPr>
          <w:rFonts w:hint="eastAsia"/>
          <w:lang w:val="en-US" w:eastAsia="zh-CN"/>
        </w:rPr>
        <w:t>5</w:t>
      </w:r>
      <w:r>
        <w:rPr>
          <w:szCs w:val="32"/>
        </w:rPr>
        <w:t>〕</w:t>
      </w:r>
      <w:r>
        <w:rPr>
          <w:rFonts w:hint="eastAsia"/>
          <w:szCs w:val="32"/>
          <w:lang w:val="en-US" w:eastAsia="zh-CN"/>
        </w:rPr>
        <w:t>170</w:t>
      </w:r>
      <w:r>
        <w:rPr>
          <w:szCs w:val="32"/>
        </w:rPr>
        <w:t>号</w:t>
      </w:r>
    </w:p>
    <w:p w14:paraId="6015C758">
      <w:pPr>
        <w:keepNext w:val="0"/>
        <w:keepLines w:val="0"/>
        <w:pageBreakBefore w:val="0"/>
        <w:kinsoku/>
        <w:wordWrap/>
        <w:overflowPunct/>
        <w:topLinePunct/>
        <w:autoSpaceDE w:val="0"/>
        <w:autoSpaceDN w:val="0"/>
        <w:bidi w:val="0"/>
        <w:spacing w:before="20" w:line="560" w:lineRule="exact"/>
        <w:rPr>
          <w:rFonts w:eastAsia="方正小标宋简体"/>
          <w:szCs w:val="32"/>
        </w:rPr>
      </w:pPr>
    </w:p>
    <w:p w14:paraId="6F172340">
      <w:pPr>
        <w:keepNext w:val="0"/>
        <w:keepLines w:val="0"/>
        <w:pageBreakBefore w:val="0"/>
        <w:kinsoku/>
        <w:wordWrap/>
        <w:overflowPunct/>
        <w:bidi w:val="0"/>
        <w:spacing w:line="560" w:lineRule="exact"/>
        <w:jc w:val="center"/>
        <w:rPr>
          <w:rFonts w:hint="default" w:eastAsia="方正小标宋简体"/>
          <w:bCs/>
          <w:sz w:val="44"/>
          <w:szCs w:val="44"/>
          <w:lang w:val="en-US" w:eastAsia="zh-CN"/>
        </w:rPr>
      </w:pPr>
      <w:r>
        <w:rPr>
          <w:rFonts w:eastAsia="方正小标宋简体"/>
          <w:bCs/>
          <w:sz w:val="44"/>
          <w:szCs w:val="44"/>
        </w:rPr>
        <w:t>广东省人民政府关于</w:t>
      </w:r>
      <w:r>
        <w:rPr>
          <w:rFonts w:hint="eastAsia" w:eastAsia="方正小标宋简体"/>
          <w:bCs/>
          <w:sz w:val="44"/>
          <w:szCs w:val="44"/>
          <w:lang w:val="en-US" w:eastAsia="zh-CN"/>
        </w:rPr>
        <w:t>东莞市麻涌镇2025</w:t>
      </w:r>
    </w:p>
    <w:p w14:paraId="716BCE3F">
      <w:pPr>
        <w:keepNext w:val="0"/>
        <w:keepLines w:val="0"/>
        <w:pageBreakBefore w:val="0"/>
        <w:kinsoku/>
        <w:wordWrap/>
        <w:overflowPunct/>
        <w:bidi w:val="0"/>
        <w:spacing w:line="56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年度第</w:t>
      </w:r>
      <w:r>
        <w:rPr>
          <w:rFonts w:hint="eastAsia" w:eastAsia="方正小标宋简体"/>
          <w:bCs/>
          <w:sz w:val="44"/>
          <w:szCs w:val="44"/>
          <w:lang w:val="en-US" w:eastAsia="zh-CN"/>
        </w:rPr>
        <w:t>四</w:t>
      </w:r>
      <w:r>
        <w:rPr>
          <w:rFonts w:eastAsia="方正小标宋简体"/>
          <w:bCs/>
          <w:sz w:val="44"/>
          <w:szCs w:val="44"/>
        </w:rPr>
        <w:t>批次城</w:t>
      </w:r>
      <w:r>
        <w:rPr>
          <w:rFonts w:hint="eastAsia" w:eastAsia="方正小标宋简体"/>
          <w:bCs/>
          <w:sz w:val="44"/>
          <w:szCs w:val="44"/>
          <w:lang w:val="en-US" w:eastAsia="zh-CN"/>
        </w:rPr>
        <w:t>镇</w:t>
      </w:r>
      <w:r>
        <w:rPr>
          <w:rFonts w:eastAsia="方正小标宋简体"/>
          <w:bCs/>
          <w:sz w:val="44"/>
          <w:szCs w:val="44"/>
        </w:rPr>
        <w:t>建设用地的批复</w:t>
      </w:r>
    </w:p>
    <w:p w14:paraId="55A6441A">
      <w:pPr>
        <w:keepNext w:val="0"/>
        <w:keepLines w:val="0"/>
        <w:pageBreakBefore w:val="0"/>
        <w:kinsoku/>
        <w:wordWrap/>
        <w:overflowPunct/>
        <w:bidi w:val="0"/>
        <w:spacing w:line="560" w:lineRule="exact"/>
        <w:ind w:left="-272" w:leftChars="-85"/>
        <w:jc w:val="center"/>
        <w:rPr>
          <w:b/>
          <w:bCs/>
          <w:szCs w:val="32"/>
        </w:rPr>
      </w:pPr>
    </w:p>
    <w:p w14:paraId="52439F99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rPr>
          <w:rFonts w:ascii="仿宋_GB2312"/>
        </w:rPr>
      </w:pPr>
      <w:r>
        <w:rPr>
          <w:rFonts w:hint="eastAsia" w:ascii="仿宋_GB2312"/>
          <w:lang w:val="en-US" w:eastAsia="zh-CN"/>
        </w:rPr>
        <w:t>东莞</w:t>
      </w:r>
      <w:r>
        <w:rPr>
          <w:rFonts w:hint="eastAsia" w:ascii="仿宋_GB2312"/>
        </w:rPr>
        <w:t>市人民政府：</w:t>
      </w:r>
    </w:p>
    <w:p w14:paraId="012F54C6">
      <w:pPr>
        <w:keepNext w:val="0"/>
        <w:keepLines w:val="0"/>
        <w:pageBreakBefore w:val="0"/>
        <w:kinsoku/>
        <w:wordWrap/>
        <w:overflowPunct/>
        <w:bidi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《</w:t>
      </w:r>
      <w:r>
        <w:rPr>
          <w:rFonts w:hint="eastAsia"/>
          <w:sz w:val="32"/>
          <w:szCs w:val="32"/>
          <w:lang w:val="en-US" w:eastAsia="zh-CN"/>
        </w:rPr>
        <w:t>东莞市人民政府</w:t>
      </w:r>
      <w:r>
        <w:rPr>
          <w:rFonts w:hint="eastAsia" w:eastAsia="仿宋_GB2312"/>
          <w:sz w:val="32"/>
          <w:szCs w:val="32"/>
        </w:rPr>
        <w:t>关于</w:t>
      </w:r>
      <w:r>
        <w:rPr>
          <w:rFonts w:hint="eastAsia"/>
          <w:sz w:val="32"/>
          <w:szCs w:val="32"/>
          <w:lang w:val="en-US" w:eastAsia="zh-CN"/>
        </w:rPr>
        <w:t>申请东莞</w:t>
      </w:r>
      <w:r>
        <w:rPr>
          <w:rFonts w:hint="eastAsia" w:eastAsia="仿宋_GB2312"/>
          <w:sz w:val="32"/>
          <w:szCs w:val="32"/>
        </w:rPr>
        <w:t>市</w:t>
      </w:r>
      <w:r>
        <w:rPr>
          <w:rFonts w:hint="eastAsia"/>
          <w:sz w:val="32"/>
          <w:szCs w:val="32"/>
          <w:lang w:val="en-US" w:eastAsia="zh-CN"/>
        </w:rPr>
        <w:t>麻涌镇2025</w:t>
      </w:r>
      <w:r>
        <w:rPr>
          <w:rFonts w:hint="eastAsia" w:eastAsia="仿宋_GB2312"/>
          <w:sz w:val="32"/>
          <w:szCs w:val="32"/>
        </w:rPr>
        <w:t>年度第</w:t>
      </w:r>
      <w:r>
        <w:rPr>
          <w:rFonts w:hint="eastAsia"/>
          <w:sz w:val="32"/>
          <w:szCs w:val="32"/>
          <w:lang w:val="en-US" w:eastAsia="zh-CN"/>
        </w:rPr>
        <w:t>四</w:t>
      </w:r>
      <w:r>
        <w:rPr>
          <w:rFonts w:hint="eastAsia" w:eastAsia="仿宋_GB2312"/>
          <w:sz w:val="32"/>
          <w:szCs w:val="32"/>
        </w:rPr>
        <w:t>批次城镇建设用地</w:t>
      </w:r>
      <w:r>
        <w:rPr>
          <w:rFonts w:hint="eastAsia"/>
          <w:sz w:val="32"/>
          <w:szCs w:val="32"/>
          <w:lang w:val="en-US" w:eastAsia="zh-CN"/>
        </w:rPr>
        <w:t>土地征收</w:t>
      </w:r>
      <w:r>
        <w:rPr>
          <w:rFonts w:hint="eastAsia" w:eastAsia="仿宋_GB2312"/>
          <w:sz w:val="32"/>
          <w:szCs w:val="32"/>
        </w:rPr>
        <w:t>的请示》（</w:t>
      </w:r>
      <w:r>
        <w:rPr>
          <w:rFonts w:eastAsia="仿宋_GB2312"/>
          <w:sz w:val="32"/>
          <w:szCs w:val="32"/>
        </w:rPr>
        <w:t>东</w:t>
      </w:r>
      <w:r>
        <w:rPr>
          <w:rFonts w:hint="eastAsia"/>
          <w:sz w:val="32"/>
          <w:szCs w:val="32"/>
          <w:lang w:val="en-US" w:eastAsia="zh-CN"/>
        </w:rPr>
        <w:t>府</w:t>
      </w:r>
      <w:r>
        <w:rPr>
          <w:rFonts w:eastAsia="仿宋_GB2312"/>
          <w:sz w:val="32"/>
          <w:szCs w:val="32"/>
        </w:rPr>
        <w:t>〔</w:t>
      </w:r>
      <w:r>
        <w:rPr>
          <w:rFonts w:hint="eastAsia"/>
          <w:sz w:val="32"/>
          <w:szCs w:val="32"/>
          <w:lang w:val="en-US" w:eastAsia="zh-CN"/>
        </w:rPr>
        <w:t>2025</w:t>
      </w:r>
      <w:r>
        <w:rPr>
          <w:rFonts w:eastAsia="仿宋_GB2312"/>
          <w:sz w:val="32"/>
          <w:szCs w:val="32"/>
        </w:rPr>
        <w:t>〕</w:t>
      </w:r>
      <w:r>
        <w:rPr>
          <w:rFonts w:hint="eastAsia"/>
          <w:sz w:val="32"/>
          <w:szCs w:val="32"/>
          <w:lang w:val="en-US" w:eastAsia="zh-CN"/>
        </w:rPr>
        <w:t>247</w:t>
      </w:r>
      <w:r>
        <w:rPr>
          <w:rFonts w:eastAsia="仿宋_GB2312"/>
          <w:sz w:val="32"/>
          <w:szCs w:val="32"/>
        </w:rPr>
        <w:t>号</w:t>
      </w:r>
      <w:r>
        <w:rPr>
          <w:rFonts w:hint="eastAsia" w:eastAsia="仿宋_GB2312"/>
          <w:sz w:val="32"/>
          <w:szCs w:val="32"/>
        </w:rPr>
        <w:t>）及相关材料已通过审核。批复如下：</w:t>
      </w:r>
    </w:p>
    <w:p w14:paraId="11553C03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bidi w:val="0"/>
        <w:spacing w:line="560" w:lineRule="exact"/>
        <w:ind w:left="0" w:leftChars="0" w:firstLine="640" w:firstLineChars="200"/>
        <w:textAlignment w:val="baseline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同意你市将</w:t>
      </w:r>
      <w:r>
        <w:rPr>
          <w:rFonts w:hint="eastAsia"/>
          <w:szCs w:val="32"/>
        </w:rPr>
        <w:t>东莞市</w:t>
      </w:r>
      <w:r>
        <w:rPr>
          <w:rFonts w:hint="eastAsia"/>
          <w:szCs w:val="32"/>
          <w:lang w:val="en-US" w:eastAsia="zh-CN"/>
        </w:rPr>
        <w:t>麻涌</w:t>
      </w:r>
      <w:r>
        <w:rPr>
          <w:szCs w:val="32"/>
        </w:rPr>
        <w:t>镇大步股份经济联合社</w:t>
      </w:r>
      <w:r>
        <w:rPr>
          <w:rFonts w:hint="eastAsia"/>
          <w:szCs w:val="32"/>
          <w:lang w:eastAsia="zh-CN"/>
        </w:rPr>
        <w:t>、</w:t>
      </w:r>
      <w:r>
        <w:rPr>
          <w:rFonts w:hint="eastAsia"/>
          <w:szCs w:val="32"/>
          <w:lang w:val="en-US" w:eastAsia="zh-CN"/>
        </w:rPr>
        <w:t>大步一片股份经济合作社、大步二片股份经济合作社、大步三片股份经济合作社、大步四片股份经济合作社、大步五片股份经济合作社、</w:t>
      </w:r>
      <w:r>
        <w:rPr>
          <w:rFonts w:hint="eastAsia"/>
          <w:szCs w:val="32"/>
        </w:rPr>
        <w:t>东太东村大元二股份经济合作社、东太东浦北方股份经济合作社、东太东浦东方股份经济合作社、东太东浦东风股份经济合作社、东太东浦西隅股份经济合作社、东太九宅二股份经济合作社、东太九宅三股份经济合作社</w:t>
      </w:r>
      <w:r>
        <w:rPr>
          <w:rFonts w:hint="eastAsia" w:eastAsia="仿宋_GB2312"/>
          <w:sz w:val="32"/>
          <w:szCs w:val="32"/>
        </w:rPr>
        <w:t>属下的集体农用地</w:t>
      </w:r>
      <w:r>
        <w:rPr>
          <w:rFonts w:hint="eastAsia"/>
          <w:sz w:val="32"/>
          <w:szCs w:val="32"/>
          <w:lang w:val="en-US" w:eastAsia="zh-CN"/>
        </w:rPr>
        <w:t>6.5749</w:t>
      </w:r>
      <w:r>
        <w:rPr>
          <w:rFonts w:hint="eastAsia" w:eastAsia="仿宋_GB2312"/>
          <w:sz w:val="32"/>
          <w:szCs w:val="32"/>
        </w:rPr>
        <w:t>公顷（耕地</w:t>
      </w:r>
      <w:r>
        <w:rPr>
          <w:rFonts w:hint="eastAsia"/>
          <w:sz w:val="32"/>
          <w:szCs w:val="32"/>
          <w:lang w:val="en-US" w:eastAsia="zh-CN"/>
        </w:rPr>
        <w:t>0.0893</w:t>
      </w:r>
      <w:r>
        <w:rPr>
          <w:rFonts w:hint="eastAsia" w:eastAsia="仿宋_GB2312"/>
          <w:sz w:val="32"/>
          <w:szCs w:val="32"/>
        </w:rPr>
        <w:t>公顷、园地1.2880公顷、林地0.2147公顷、草地1.4480公顷、其他农用地3.5349公顷）和未利用地（</w:t>
      </w:r>
      <w:r>
        <w:rPr>
          <w:rFonts w:hint="eastAsia"/>
          <w:sz w:val="32"/>
          <w:szCs w:val="32"/>
          <w:lang w:val="en-US" w:eastAsia="zh-CN"/>
        </w:rPr>
        <w:t>0.0105</w:t>
      </w:r>
      <w:r>
        <w:rPr>
          <w:rFonts w:hint="eastAsia" w:eastAsia="仿宋_GB2312"/>
          <w:sz w:val="32"/>
          <w:szCs w:val="32"/>
        </w:rPr>
        <w:t>公顷）转为建设用地并办理征收手续</w:t>
      </w:r>
      <w:r>
        <w:rPr>
          <w:rFonts w:hint="eastAsia" w:eastAsia="仿宋"/>
          <w:sz w:val="32"/>
        </w:rPr>
        <w:t>。</w:t>
      </w:r>
      <w:r>
        <w:rPr>
          <w:rFonts w:hint="eastAsia" w:eastAsia="仿宋_GB2312"/>
          <w:sz w:val="32"/>
          <w:szCs w:val="32"/>
        </w:rPr>
        <w:t>上述批准建设用地</w:t>
      </w:r>
      <w:r>
        <w:rPr>
          <w:rFonts w:hint="eastAsia"/>
          <w:sz w:val="32"/>
          <w:szCs w:val="32"/>
          <w:lang w:val="en-US" w:eastAsia="zh-CN"/>
        </w:rPr>
        <w:t>6.5854</w:t>
      </w:r>
      <w:r>
        <w:rPr>
          <w:rFonts w:hint="eastAsia" w:eastAsia="仿宋_GB2312"/>
          <w:sz w:val="32"/>
          <w:szCs w:val="32"/>
        </w:rPr>
        <w:t>公顷，由当地人民政府依法依规供应，用于城市建设。</w:t>
      </w:r>
    </w:p>
    <w:p w14:paraId="1F754FB9">
      <w:pPr>
        <w:keepNext w:val="0"/>
        <w:keepLines w:val="0"/>
        <w:pageBreakBefore w:val="0"/>
        <w:widowControl/>
        <w:kinsoku/>
        <w:wordWrap/>
        <w:overflowPunct/>
        <w:bidi w:val="0"/>
        <w:spacing w:line="560" w:lineRule="exact"/>
        <w:ind w:firstLine="640" w:firstLineChars="200"/>
        <w:textAlignment w:val="baseline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二、请你市人民政府按照《中华人民共和国土地管理法》有关规定，严格履行征地批后实施程序，及时足额支付补偿费用，落实被征地农民的社会保障费用等安置措施，妥善安排好被征地农民的生产和生活，保证原有生活水平不降低，长远生计有保障。征地补偿安置不落实的，不得动工用地。你市相关不动产登记机构以此办理集体土地所有权注销或变更登记。</w:t>
      </w:r>
    </w:p>
    <w:p w14:paraId="1857E646">
      <w:pPr>
        <w:keepNext w:val="0"/>
        <w:keepLines w:val="0"/>
        <w:pageBreakBefore w:val="0"/>
        <w:widowControl/>
        <w:kinsoku/>
        <w:wordWrap/>
        <w:overflowPunct/>
        <w:bidi w:val="0"/>
        <w:spacing w:line="560" w:lineRule="exact"/>
        <w:ind w:firstLine="645"/>
        <w:textAlignment w:val="baseline"/>
        <w:rPr>
          <w:rFonts w:eastAsia="仿宋_GB2312"/>
          <w:sz w:val="32"/>
          <w:szCs w:val="32"/>
          <w:highlight w:val="yellow"/>
        </w:rPr>
      </w:pPr>
      <w:r>
        <w:rPr>
          <w:rFonts w:hint="eastAsia" w:eastAsia="仿宋_GB2312"/>
          <w:sz w:val="32"/>
          <w:szCs w:val="32"/>
          <w:highlight w:val="none"/>
        </w:rPr>
        <w:t>三、</w:t>
      </w:r>
      <w:r>
        <w:rPr>
          <w:rFonts w:hint="eastAsia" w:eastAsia="仿宋_GB2312"/>
          <w:sz w:val="32"/>
          <w:szCs w:val="32"/>
        </w:rPr>
        <w:t>请你市人民政府负责落实补充耕地。督促补充耕地责任单位认真按照补充耕地方案，补充数量相等、质量相当的耕地。</w:t>
      </w:r>
    </w:p>
    <w:p w14:paraId="3EE02A1B">
      <w:pPr>
        <w:keepNext w:val="0"/>
        <w:keepLines w:val="0"/>
        <w:pageBreakBefore w:val="0"/>
        <w:widowControl/>
        <w:kinsoku/>
        <w:wordWrap/>
        <w:overflowPunct/>
        <w:bidi w:val="0"/>
        <w:spacing w:line="560" w:lineRule="exact"/>
        <w:ind w:firstLine="645"/>
        <w:textAlignment w:val="baseline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四、严格按照国家有关规定征收新增建设用地土地有偿使用费、申报缴纳耕地占用税。</w:t>
      </w:r>
    </w:p>
    <w:p w14:paraId="3B94133F">
      <w:pPr>
        <w:keepNext w:val="0"/>
        <w:keepLines w:val="0"/>
        <w:pageBreakBefore w:val="0"/>
        <w:widowControl/>
        <w:kinsoku/>
        <w:wordWrap/>
        <w:overflowPunct/>
        <w:bidi w:val="0"/>
        <w:spacing w:line="560" w:lineRule="exact"/>
        <w:textAlignment w:val="baseline"/>
        <w:rPr>
          <w:rFonts w:eastAsia="仿宋_GB2312"/>
          <w:sz w:val="32"/>
          <w:szCs w:val="32"/>
        </w:rPr>
      </w:pPr>
    </w:p>
    <w:p w14:paraId="11874A42">
      <w:pPr>
        <w:keepNext w:val="0"/>
        <w:keepLines w:val="0"/>
        <w:pageBreakBefore w:val="0"/>
        <w:widowControl/>
        <w:kinsoku/>
        <w:wordWrap/>
        <w:overflowPunct/>
        <w:bidi w:val="0"/>
        <w:spacing w:line="560" w:lineRule="exact"/>
        <w:textAlignment w:val="baseline"/>
        <w:rPr>
          <w:rFonts w:eastAsia="仿宋_GB2312"/>
          <w:sz w:val="32"/>
          <w:szCs w:val="32"/>
        </w:rPr>
      </w:pPr>
    </w:p>
    <w:p w14:paraId="274EBDDB">
      <w:pPr>
        <w:keepNext w:val="0"/>
        <w:keepLines w:val="0"/>
        <w:pageBreakBefore w:val="0"/>
        <w:widowControl/>
        <w:kinsoku/>
        <w:wordWrap/>
        <w:overflowPunct/>
        <w:bidi w:val="0"/>
        <w:spacing w:line="560" w:lineRule="exact"/>
        <w:textAlignment w:val="baseline"/>
        <w:rPr>
          <w:rFonts w:eastAsia="仿宋_GB2312"/>
          <w:sz w:val="32"/>
          <w:szCs w:val="32"/>
        </w:rPr>
      </w:pPr>
    </w:p>
    <w:p w14:paraId="5D5C878E">
      <w:pPr>
        <w:keepNext w:val="0"/>
        <w:keepLines w:val="0"/>
        <w:pageBreakBefore w:val="0"/>
        <w:widowControl/>
        <w:kinsoku/>
        <w:wordWrap/>
        <w:overflowPunct/>
        <w:bidi w:val="0"/>
        <w:spacing w:line="560" w:lineRule="exact"/>
        <w:ind w:firstLine="645"/>
        <w:textAlignment w:val="baseline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                           </w:t>
      </w:r>
      <w:r>
        <w:rPr>
          <w:rFonts w:hint="eastAsia" w:eastAsia="仿宋_GB2312"/>
          <w:sz w:val="32"/>
          <w:szCs w:val="32"/>
        </w:rPr>
        <w:t>广东省人民政府</w:t>
      </w:r>
    </w:p>
    <w:p w14:paraId="6B4FD41B">
      <w:pPr>
        <w:keepNext w:val="0"/>
        <w:keepLines w:val="0"/>
        <w:pageBreakBefore w:val="0"/>
        <w:widowControl/>
        <w:kinsoku/>
        <w:wordWrap/>
        <w:overflowPunct/>
        <w:bidi w:val="0"/>
        <w:spacing w:line="560" w:lineRule="exact"/>
        <w:ind w:firstLine="645"/>
        <w:jc w:val="center"/>
        <w:textAlignment w:val="baseline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                      </w:t>
      </w:r>
      <w:r>
        <w:rPr>
          <w:rFonts w:hint="eastAsia"/>
          <w:sz w:val="32"/>
          <w:szCs w:val="32"/>
          <w:lang w:val="en-US" w:eastAsia="zh-CN"/>
        </w:rPr>
        <w:t>2025</w:t>
      </w:r>
      <w:r>
        <w:rPr>
          <w:rFonts w:hint="eastAsia" w:eastAsia="仿宋_GB2312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12</w:t>
      </w:r>
      <w:r>
        <w:rPr>
          <w:rFonts w:hint="eastAsia" w:eastAsia="仿宋_GB2312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24</w:t>
      </w:r>
      <w:bookmarkStart w:id="0" w:name="_GoBack"/>
      <w:bookmarkEnd w:id="0"/>
      <w:r>
        <w:rPr>
          <w:rFonts w:hint="eastAsia" w:eastAsia="仿宋_GB2312"/>
          <w:sz w:val="32"/>
          <w:szCs w:val="32"/>
        </w:rPr>
        <w:t>日</w:t>
      </w:r>
    </w:p>
    <w:p w14:paraId="5ECBDAF3">
      <w:pPr>
        <w:pStyle w:val="22"/>
        <w:keepNext w:val="0"/>
        <w:keepLines w:val="0"/>
        <w:pageBreakBefore w:val="0"/>
        <w:kinsoku/>
        <w:wordWrap/>
        <w:overflowPunct/>
        <w:bidi w:val="0"/>
        <w:spacing w:line="560" w:lineRule="exact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黑体"/>
          <w:sz w:val="30"/>
          <w:szCs w:val="30"/>
        </w:rPr>
        <w:t>公开方式：</w:t>
      </w:r>
      <w:r>
        <w:rPr>
          <w:rFonts w:ascii="Times New Roman" w:hAnsi="Times New Roman" w:eastAsia="仿宋_GB2312"/>
          <w:sz w:val="30"/>
          <w:szCs w:val="30"/>
        </w:rPr>
        <w:t>主动公开</w:t>
      </w:r>
    </w:p>
    <w:p w14:paraId="33C513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480" w:leftChars="200" w:hanging="840" w:hangingChars="300"/>
        <w:textAlignment w:val="baseline"/>
        <w:rPr>
          <w:rFonts w:ascii="仿宋_GB2312"/>
          <w:szCs w:val="32"/>
        </w:rPr>
      </w:pPr>
      <w:r>
        <w:rPr>
          <w:rFonts w:eastAsia="仿宋_GB2312"/>
          <w:sz w:val="28"/>
          <w:szCs w:val="28"/>
        </w:rPr>
        <w:t>抄送：国家自然资源督察广州局、财政部广东监管局、省财政厅、省人力资源和社会保障厅、省自然资源厅、省农业农村厅、国家税务总局广东省税务局。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2098" w:footer="1984" w:gutter="0"/>
      <w:pgBorders w:display="firstPage">
        <w:bottom w:val="thickThinSmallGap" w:color="FF0000" w:sz="24" w:space="2"/>
      </w:pgBorders>
      <w:cols w:space="425" w:num="1"/>
      <w:titlePg/>
      <w:docGrid w:type="linesAndChars" w:linePitch="5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康简标题宋">
    <w:panose1 w:val="02020900000000000000"/>
    <w:charset w:val="86"/>
    <w:family w:val="moder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3B3A59">
    <w:pPr>
      <w:pStyle w:val="15"/>
      <w:framePr w:wrap="around" w:vAnchor="text" w:hAnchor="margin" w:xAlign="right" w:y="1"/>
      <w:rPr>
        <w:rStyle w:val="20"/>
      </w:rPr>
    </w:pPr>
    <w:r>
      <w:rPr>
        <w:rStyle w:val="20"/>
      </w:rPr>
      <w:fldChar w:fldCharType="begin"/>
    </w:r>
    <w:r>
      <w:rPr>
        <w:rStyle w:val="20"/>
      </w:rPr>
      <w:instrText xml:space="preserve">PAGE  </w:instrText>
    </w:r>
    <w:r>
      <w:rPr>
        <w:rStyle w:val="20"/>
      </w:rPr>
      <w:fldChar w:fldCharType="separate"/>
    </w:r>
    <w:r>
      <w:rPr>
        <w:rStyle w:val="20"/>
      </w:rPr>
      <w:t>3</w:t>
    </w:r>
    <w:r>
      <w:rPr>
        <w:rStyle w:val="20"/>
      </w:rPr>
      <w:fldChar w:fldCharType="end"/>
    </w:r>
  </w:p>
  <w:p w14:paraId="0DA35EF2">
    <w:pPr>
      <w:pStyle w:val="1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57A0BA">
    <w:pPr>
      <w:pStyle w:val="15"/>
      <w:framePr w:wrap="notBeside" w:vAnchor="page" w:hAnchor="page" w:x="1479" w:y="15598"/>
      <w:rPr>
        <w:rStyle w:val="20"/>
      </w:rPr>
    </w:pPr>
    <w:r>
      <w:rPr>
        <w:rStyle w:val="20"/>
        <w:rFonts w:hint="eastAsia"/>
      </w:rPr>
      <w:t>—</w:t>
    </w:r>
    <w:r>
      <w:rPr>
        <w:rStyle w:val="20"/>
      </w:rPr>
      <w:fldChar w:fldCharType="begin"/>
    </w:r>
    <w:r>
      <w:rPr>
        <w:rStyle w:val="20"/>
      </w:rPr>
      <w:instrText xml:space="preserve">PAGE  </w:instrText>
    </w:r>
    <w:r>
      <w:rPr>
        <w:rStyle w:val="20"/>
      </w:rPr>
      <w:fldChar w:fldCharType="separate"/>
    </w:r>
    <w:r>
      <w:rPr>
        <w:rStyle w:val="20"/>
      </w:rPr>
      <w:t>2</w:t>
    </w:r>
    <w:r>
      <w:rPr>
        <w:rStyle w:val="20"/>
      </w:rPr>
      <w:fldChar w:fldCharType="end"/>
    </w:r>
    <w:r>
      <w:rPr>
        <w:rStyle w:val="20"/>
        <w:rFonts w:hint="eastAsia"/>
      </w:rPr>
      <w:t>—</w:t>
    </w:r>
  </w:p>
  <w:p w14:paraId="2A4EDED5">
    <w:pPr>
      <w:pStyle w:val="15"/>
      <w:ind w:right="360"/>
      <w:jc w:val="both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FB"/>
    <w:multiLevelType w:val="multilevel"/>
    <w:tmpl w:val="FFFFFFFB"/>
    <w:lvl w:ilvl="0" w:tentative="0">
      <w:start w:val="1"/>
      <w:numFmt w:val="none"/>
      <w:pStyle w:val="2"/>
      <w:suff w:val="nothing"/>
      <w:lvlText w:val=""/>
      <w:lvlJc w:val="left"/>
    </w:lvl>
    <w:lvl w:ilvl="1" w:tentative="0">
      <w:start w:val="0"/>
      <w:numFmt w:val="decimal"/>
      <w:pStyle w:val="3"/>
      <w:lvlText w:val="%2"/>
      <w:legacy w:legacy="1" w:legacySpace="0" w:legacyIndent="0"/>
      <w:lvlJc w:val="left"/>
      <w:rPr>
        <w:rFonts w:hint="eastAsia" w:ascii="宋体" w:eastAsia="宋体"/>
      </w:rPr>
    </w:lvl>
    <w:lvl w:ilvl="2" w:tentative="0">
      <w:start w:val="0"/>
      <w:numFmt w:val="decimal"/>
      <w:pStyle w:val="4"/>
      <w:lvlText w:val="%3"/>
      <w:legacy w:legacy="1" w:legacySpace="0" w:legacyIndent="0"/>
      <w:lvlJc w:val="left"/>
      <w:rPr>
        <w:rFonts w:hint="eastAsia" w:ascii="宋体" w:eastAsia="宋体"/>
      </w:rPr>
    </w:lvl>
    <w:lvl w:ilvl="3" w:tentative="0">
      <w:start w:val="0"/>
      <w:numFmt w:val="decimal"/>
      <w:pStyle w:val="5"/>
      <w:lvlText w:val="%4"/>
      <w:legacy w:legacy="1" w:legacySpace="0" w:legacyIndent="0"/>
      <w:lvlJc w:val="left"/>
      <w:rPr>
        <w:rFonts w:hint="eastAsia" w:ascii="宋体" w:eastAsia="宋体"/>
      </w:rPr>
    </w:lvl>
    <w:lvl w:ilvl="4" w:tentative="0">
      <w:start w:val="0"/>
      <w:numFmt w:val="decimal"/>
      <w:pStyle w:val="6"/>
      <w:lvlText w:val="%5"/>
      <w:legacy w:legacy="1" w:legacySpace="0" w:legacyIndent="0"/>
      <w:lvlJc w:val="left"/>
      <w:rPr>
        <w:rFonts w:hint="eastAsia" w:ascii="宋体" w:eastAsia="宋体"/>
      </w:rPr>
    </w:lvl>
    <w:lvl w:ilvl="5" w:tentative="0">
      <w:start w:val="0"/>
      <w:numFmt w:val="decimal"/>
      <w:pStyle w:val="7"/>
      <w:lvlText w:val="%6"/>
      <w:legacy w:legacy="1" w:legacySpace="0" w:legacyIndent="0"/>
      <w:lvlJc w:val="left"/>
      <w:rPr>
        <w:rFonts w:hint="eastAsia" w:ascii="宋体" w:eastAsia="宋体"/>
      </w:rPr>
    </w:lvl>
    <w:lvl w:ilvl="6" w:tentative="0">
      <w:start w:val="0"/>
      <w:numFmt w:val="decimal"/>
      <w:pStyle w:val="8"/>
      <w:lvlText w:val="%7"/>
      <w:legacy w:legacy="1" w:legacySpace="0" w:legacyIndent="0"/>
      <w:lvlJc w:val="left"/>
      <w:rPr>
        <w:rFonts w:hint="eastAsia" w:ascii="宋体" w:eastAsia="宋体"/>
      </w:rPr>
    </w:lvl>
    <w:lvl w:ilvl="7" w:tentative="0">
      <w:start w:val="0"/>
      <w:numFmt w:val="decimal"/>
      <w:pStyle w:val="9"/>
      <w:lvlText w:val="%8"/>
      <w:legacy w:legacy="1" w:legacySpace="0" w:legacyIndent="0"/>
      <w:lvlJc w:val="left"/>
      <w:rPr>
        <w:rFonts w:hint="eastAsia" w:ascii="宋体" w:eastAsia="宋体"/>
      </w:rPr>
    </w:lvl>
    <w:lvl w:ilvl="8" w:tentative="0">
      <w:start w:val="0"/>
      <w:numFmt w:val="decimal"/>
      <w:pStyle w:val="10"/>
      <w:lvlText w:val="%9"/>
      <w:legacy w:legacy="1" w:legacySpace="0" w:legacyIndent="0"/>
      <w:lvlJc w:val="left"/>
      <w:rPr>
        <w:rFonts w:hint="eastAsia" w:ascii="宋体" w:eastAsia="宋体"/>
      </w:rPr>
    </w:lvl>
  </w:abstractNum>
  <w:abstractNum w:abstractNumId="1">
    <w:nsid w:val="5A34D28D"/>
    <w:multiLevelType w:val="singleLevel"/>
    <w:tmpl w:val="5A34D28D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evenAndOddHeaders w:val="1"/>
  <w:drawingGridHorizontalSpacing w:val="160"/>
  <w:drawingGridVerticalSpacing w:val="28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wNjNlZjI1YjhlODM5NjljMDE3MmQ4OWU1NDA5ZmEifQ=="/>
    <w:docVar w:name="FlFileSerial" w:val=" "/>
    <w:docVar w:name="FlFileYear" w:val="2018"/>
    <w:docVar w:name="FlGkfs" w:val="主动公开"/>
    <w:docVar w:name="FlProver" w:val=" "/>
    <w:docVar w:name="FlSubject" w:val="广东省人民政府关于东莞市2018年度第一批次城镇建设用地的批复"/>
    <w:docVar w:name="FlYear" w:val="2018"/>
    <w:docVar w:name="FlYear_Zw" w:val="2018"/>
  </w:docVars>
  <w:rsids>
    <w:rsidRoot w:val="00B064BA"/>
    <w:rsid w:val="0000074E"/>
    <w:rsid w:val="0001126B"/>
    <w:rsid w:val="00012FB8"/>
    <w:rsid w:val="00040E13"/>
    <w:rsid w:val="00043A03"/>
    <w:rsid w:val="00082FCB"/>
    <w:rsid w:val="000B4027"/>
    <w:rsid w:val="000B7281"/>
    <w:rsid w:val="000E1B28"/>
    <w:rsid w:val="001016A0"/>
    <w:rsid w:val="00101BA8"/>
    <w:rsid w:val="00113608"/>
    <w:rsid w:val="0011776A"/>
    <w:rsid w:val="0012378F"/>
    <w:rsid w:val="001312F1"/>
    <w:rsid w:val="00132B80"/>
    <w:rsid w:val="001470EF"/>
    <w:rsid w:val="00153677"/>
    <w:rsid w:val="00156981"/>
    <w:rsid w:val="00167305"/>
    <w:rsid w:val="001700AC"/>
    <w:rsid w:val="00180F0B"/>
    <w:rsid w:val="0018421E"/>
    <w:rsid w:val="00193DF8"/>
    <w:rsid w:val="001B0BFB"/>
    <w:rsid w:val="001E34C5"/>
    <w:rsid w:val="001E5EA0"/>
    <w:rsid w:val="001F564D"/>
    <w:rsid w:val="002268ED"/>
    <w:rsid w:val="002438B0"/>
    <w:rsid w:val="00252CA7"/>
    <w:rsid w:val="00260D94"/>
    <w:rsid w:val="00266446"/>
    <w:rsid w:val="00287F00"/>
    <w:rsid w:val="00294385"/>
    <w:rsid w:val="002970CA"/>
    <w:rsid w:val="002C20AD"/>
    <w:rsid w:val="002C5D15"/>
    <w:rsid w:val="002D43B1"/>
    <w:rsid w:val="003172E1"/>
    <w:rsid w:val="0031732C"/>
    <w:rsid w:val="0035333A"/>
    <w:rsid w:val="00392C91"/>
    <w:rsid w:val="003A4643"/>
    <w:rsid w:val="003A5D34"/>
    <w:rsid w:val="003B64EA"/>
    <w:rsid w:val="003E1FFF"/>
    <w:rsid w:val="004075BC"/>
    <w:rsid w:val="0042364C"/>
    <w:rsid w:val="004243DC"/>
    <w:rsid w:val="00427126"/>
    <w:rsid w:val="00461D2A"/>
    <w:rsid w:val="00463EA5"/>
    <w:rsid w:val="00471488"/>
    <w:rsid w:val="00475326"/>
    <w:rsid w:val="00481406"/>
    <w:rsid w:val="004830D4"/>
    <w:rsid w:val="00485E11"/>
    <w:rsid w:val="004A4FDA"/>
    <w:rsid w:val="004B5177"/>
    <w:rsid w:val="004B5E32"/>
    <w:rsid w:val="004C1254"/>
    <w:rsid w:val="004C19BA"/>
    <w:rsid w:val="004C73D3"/>
    <w:rsid w:val="004E1B07"/>
    <w:rsid w:val="005141AA"/>
    <w:rsid w:val="00515BA5"/>
    <w:rsid w:val="00523440"/>
    <w:rsid w:val="005326D6"/>
    <w:rsid w:val="00565BDA"/>
    <w:rsid w:val="005728C5"/>
    <w:rsid w:val="005A3510"/>
    <w:rsid w:val="005A7330"/>
    <w:rsid w:val="005B34F0"/>
    <w:rsid w:val="005C06A9"/>
    <w:rsid w:val="005C2135"/>
    <w:rsid w:val="005C64CE"/>
    <w:rsid w:val="005D4C83"/>
    <w:rsid w:val="005D57D0"/>
    <w:rsid w:val="005F4508"/>
    <w:rsid w:val="0061705D"/>
    <w:rsid w:val="00646D3D"/>
    <w:rsid w:val="00653DF1"/>
    <w:rsid w:val="00654528"/>
    <w:rsid w:val="0065655C"/>
    <w:rsid w:val="00656C68"/>
    <w:rsid w:val="00691A63"/>
    <w:rsid w:val="006A40CD"/>
    <w:rsid w:val="006C349A"/>
    <w:rsid w:val="006D0792"/>
    <w:rsid w:val="006E0F49"/>
    <w:rsid w:val="006E6B56"/>
    <w:rsid w:val="006F3F33"/>
    <w:rsid w:val="00706477"/>
    <w:rsid w:val="00715C17"/>
    <w:rsid w:val="007163B9"/>
    <w:rsid w:val="00750D57"/>
    <w:rsid w:val="00752FE2"/>
    <w:rsid w:val="00770655"/>
    <w:rsid w:val="007747B4"/>
    <w:rsid w:val="00776B7E"/>
    <w:rsid w:val="00783228"/>
    <w:rsid w:val="00783A6E"/>
    <w:rsid w:val="007858BC"/>
    <w:rsid w:val="00790829"/>
    <w:rsid w:val="00792525"/>
    <w:rsid w:val="007C1CAF"/>
    <w:rsid w:val="007F5A02"/>
    <w:rsid w:val="00812C75"/>
    <w:rsid w:val="00821113"/>
    <w:rsid w:val="00837D1B"/>
    <w:rsid w:val="008455B3"/>
    <w:rsid w:val="0086760C"/>
    <w:rsid w:val="00873B88"/>
    <w:rsid w:val="008864C8"/>
    <w:rsid w:val="008A3D6B"/>
    <w:rsid w:val="008B108A"/>
    <w:rsid w:val="008B1EFE"/>
    <w:rsid w:val="00930FF7"/>
    <w:rsid w:val="009D19AB"/>
    <w:rsid w:val="009E1BAE"/>
    <w:rsid w:val="009F7DD7"/>
    <w:rsid w:val="00A1390A"/>
    <w:rsid w:val="00A159D2"/>
    <w:rsid w:val="00A20509"/>
    <w:rsid w:val="00A360C5"/>
    <w:rsid w:val="00A3683C"/>
    <w:rsid w:val="00A53AAB"/>
    <w:rsid w:val="00A616BD"/>
    <w:rsid w:val="00A72C19"/>
    <w:rsid w:val="00A8130F"/>
    <w:rsid w:val="00A85A7A"/>
    <w:rsid w:val="00A90C64"/>
    <w:rsid w:val="00AB0A92"/>
    <w:rsid w:val="00AB14A4"/>
    <w:rsid w:val="00AB79DD"/>
    <w:rsid w:val="00AC1647"/>
    <w:rsid w:val="00AE31E7"/>
    <w:rsid w:val="00B064BA"/>
    <w:rsid w:val="00B16A2E"/>
    <w:rsid w:val="00B25A69"/>
    <w:rsid w:val="00B457E9"/>
    <w:rsid w:val="00B6053C"/>
    <w:rsid w:val="00B96900"/>
    <w:rsid w:val="00BA5186"/>
    <w:rsid w:val="00BA5E9D"/>
    <w:rsid w:val="00BC4F86"/>
    <w:rsid w:val="00BD1BBB"/>
    <w:rsid w:val="00BD508E"/>
    <w:rsid w:val="00BE1A48"/>
    <w:rsid w:val="00BE45E2"/>
    <w:rsid w:val="00C124A7"/>
    <w:rsid w:val="00C31749"/>
    <w:rsid w:val="00C578BB"/>
    <w:rsid w:val="00C770BE"/>
    <w:rsid w:val="00C81C44"/>
    <w:rsid w:val="00C82AE7"/>
    <w:rsid w:val="00CB6F40"/>
    <w:rsid w:val="00CC30B1"/>
    <w:rsid w:val="00CD7E82"/>
    <w:rsid w:val="00CE08C4"/>
    <w:rsid w:val="00CE6DEE"/>
    <w:rsid w:val="00CE73FC"/>
    <w:rsid w:val="00CF4C99"/>
    <w:rsid w:val="00D042FB"/>
    <w:rsid w:val="00D2782B"/>
    <w:rsid w:val="00D5531E"/>
    <w:rsid w:val="00D62EBD"/>
    <w:rsid w:val="00D65DDC"/>
    <w:rsid w:val="00DC248F"/>
    <w:rsid w:val="00DD2B1A"/>
    <w:rsid w:val="00DD4602"/>
    <w:rsid w:val="00DF1A5F"/>
    <w:rsid w:val="00DF433D"/>
    <w:rsid w:val="00E0142C"/>
    <w:rsid w:val="00E0618B"/>
    <w:rsid w:val="00E55951"/>
    <w:rsid w:val="00E664EF"/>
    <w:rsid w:val="00E7088C"/>
    <w:rsid w:val="00E72871"/>
    <w:rsid w:val="00E94CC7"/>
    <w:rsid w:val="00EB0483"/>
    <w:rsid w:val="00EB4645"/>
    <w:rsid w:val="00ED4474"/>
    <w:rsid w:val="00ED687E"/>
    <w:rsid w:val="00EF17A7"/>
    <w:rsid w:val="00EF21CC"/>
    <w:rsid w:val="00F13F77"/>
    <w:rsid w:val="00F61890"/>
    <w:rsid w:val="00F874EA"/>
    <w:rsid w:val="00FC54DF"/>
    <w:rsid w:val="00FD1999"/>
    <w:rsid w:val="039D1F2C"/>
    <w:rsid w:val="0AE64D2D"/>
    <w:rsid w:val="106610D0"/>
    <w:rsid w:val="20456ABE"/>
    <w:rsid w:val="20C14FDC"/>
    <w:rsid w:val="34BC5409"/>
    <w:rsid w:val="3AEC66D3"/>
    <w:rsid w:val="4115304A"/>
    <w:rsid w:val="43F222F9"/>
    <w:rsid w:val="45F96B41"/>
    <w:rsid w:val="4A431740"/>
    <w:rsid w:val="4B944492"/>
    <w:rsid w:val="4DB13790"/>
    <w:rsid w:val="4F0A0038"/>
    <w:rsid w:val="4F620672"/>
    <w:rsid w:val="64E83C4D"/>
    <w:rsid w:val="65BD2897"/>
    <w:rsid w:val="6CAB6027"/>
    <w:rsid w:val="6E323871"/>
    <w:rsid w:val="739165E2"/>
    <w:rsid w:val="767852B2"/>
    <w:rsid w:val="78493803"/>
    <w:rsid w:val="78EA33E2"/>
    <w:rsid w:val="798A6F69"/>
    <w:rsid w:val="7B200107"/>
    <w:rsid w:val="7E2C0E4F"/>
    <w:rsid w:val="7F6C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adjustRightInd w:val="0"/>
      <w:spacing w:line="580" w:lineRule="atLeast"/>
      <w:jc w:val="center"/>
      <w:textAlignment w:val="baseline"/>
      <w:outlineLvl w:val="0"/>
    </w:pPr>
    <w:rPr>
      <w:rFonts w:eastAsia="华康简标题宋"/>
      <w:kern w:val="44"/>
      <w:sz w:val="36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widowControl/>
      <w:numPr>
        <w:ilvl w:val="1"/>
        <w:numId w:val="1"/>
      </w:numPr>
      <w:adjustRightInd w:val="0"/>
      <w:spacing w:before="260" w:after="260" w:line="416" w:lineRule="atLeast"/>
      <w:textAlignment w:val="baseline"/>
      <w:outlineLvl w:val="1"/>
    </w:pPr>
    <w:rPr>
      <w:rFonts w:ascii="Arial" w:hAnsi="Arial" w:eastAsia="黑体"/>
      <w:b/>
      <w:kern w:val="0"/>
      <w:szCs w:val="20"/>
    </w:rPr>
  </w:style>
  <w:style w:type="paragraph" w:styleId="4">
    <w:name w:val="heading 3"/>
    <w:basedOn w:val="1"/>
    <w:next w:val="1"/>
    <w:qFormat/>
    <w:uiPriority w:val="0"/>
    <w:pPr>
      <w:keepNext/>
      <w:keepLines/>
      <w:widowControl/>
      <w:numPr>
        <w:ilvl w:val="2"/>
        <w:numId w:val="1"/>
      </w:numPr>
      <w:adjustRightInd w:val="0"/>
      <w:spacing w:before="260" w:after="260" w:line="416" w:lineRule="atLeas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1"/>
    <w:qFormat/>
    <w:uiPriority w:val="0"/>
    <w:pPr>
      <w:keepNext/>
      <w:keepLines/>
      <w:widowControl/>
      <w:numPr>
        <w:ilvl w:val="3"/>
        <w:numId w:val="1"/>
      </w:numPr>
      <w:adjustRightInd w:val="0"/>
      <w:spacing w:before="280" w:after="290" w:line="376" w:lineRule="atLeast"/>
      <w:textAlignment w:val="baseline"/>
      <w:outlineLvl w:val="3"/>
    </w:pPr>
    <w:rPr>
      <w:rFonts w:ascii="Arial" w:hAnsi="Arial" w:eastAsia="黑体"/>
      <w:b/>
      <w:kern w:val="0"/>
      <w:sz w:val="28"/>
      <w:szCs w:val="20"/>
    </w:rPr>
  </w:style>
  <w:style w:type="paragraph" w:styleId="6">
    <w:name w:val="heading 5"/>
    <w:basedOn w:val="1"/>
    <w:next w:val="1"/>
    <w:qFormat/>
    <w:uiPriority w:val="0"/>
    <w:pPr>
      <w:keepNext/>
      <w:keepLines/>
      <w:widowControl/>
      <w:numPr>
        <w:ilvl w:val="4"/>
        <w:numId w:val="1"/>
      </w:numPr>
      <w:adjustRightInd w:val="0"/>
      <w:spacing w:before="280" w:after="290" w:line="376" w:lineRule="atLeast"/>
      <w:textAlignment w:val="baseline"/>
      <w:outlineLvl w:val="4"/>
    </w:pPr>
    <w:rPr>
      <w:b/>
      <w:kern w:val="0"/>
      <w:sz w:val="28"/>
      <w:szCs w:val="20"/>
    </w:rPr>
  </w:style>
  <w:style w:type="paragraph" w:styleId="7">
    <w:name w:val="heading 6"/>
    <w:basedOn w:val="1"/>
    <w:next w:val="1"/>
    <w:qFormat/>
    <w:uiPriority w:val="0"/>
    <w:pPr>
      <w:keepNext/>
      <w:keepLines/>
      <w:widowControl/>
      <w:numPr>
        <w:ilvl w:val="5"/>
        <w:numId w:val="1"/>
      </w:numPr>
      <w:adjustRightInd w:val="0"/>
      <w:spacing w:before="240" w:after="64" w:line="320" w:lineRule="atLeast"/>
      <w:textAlignment w:val="baseline"/>
      <w:outlineLvl w:val="5"/>
    </w:pPr>
    <w:rPr>
      <w:rFonts w:ascii="Arial" w:hAnsi="Arial" w:eastAsia="黑体"/>
      <w:b/>
      <w:kern w:val="0"/>
      <w:sz w:val="24"/>
      <w:szCs w:val="20"/>
    </w:rPr>
  </w:style>
  <w:style w:type="paragraph" w:styleId="8">
    <w:name w:val="heading 7"/>
    <w:basedOn w:val="1"/>
    <w:next w:val="1"/>
    <w:qFormat/>
    <w:uiPriority w:val="0"/>
    <w:pPr>
      <w:keepNext/>
      <w:keepLines/>
      <w:widowControl/>
      <w:numPr>
        <w:ilvl w:val="6"/>
        <w:numId w:val="1"/>
      </w:numPr>
      <w:adjustRightInd w:val="0"/>
      <w:spacing w:before="240" w:after="64" w:line="320" w:lineRule="atLeast"/>
      <w:textAlignment w:val="baseline"/>
      <w:outlineLvl w:val="6"/>
    </w:pPr>
    <w:rPr>
      <w:b/>
      <w:kern w:val="0"/>
      <w:sz w:val="24"/>
      <w:szCs w:val="20"/>
    </w:rPr>
  </w:style>
  <w:style w:type="paragraph" w:styleId="9">
    <w:name w:val="heading 8"/>
    <w:basedOn w:val="1"/>
    <w:next w:val="1"/>
    <w:qFormat/>
    <w:uiPriority w:val="0"/>
    <w:pPr>
      <w:keepNext/>
      <w:keepLines/>
      <w:widowControl/>
      <w:numPr>
        <w:ilvl w:val="7"/>
        <w:numId w:val="1"/>
      </w:numPr>
      <w:adjustRightInd w:val="0"/>
      <w:spacing w:before="240" w:after="64" w:line="320" w:lineRule="atLeast"/>
      <w:textAlignment w:val="baseline"/>
      <w:outlineLvl w:val="7"/>
    </w:pPr>
    <w:rPr>
      <w:rFonts w:ascii="Arial" w:hAnsi="Arial" w:eastAsia="黑体"/>
      <w:kern w:val="0"/>
      <w:sz w:val="24"/>
      <w:szCs w:val="20"/>
    </w:rPr>
  </w:style>
  <w:style w:type="paragraph" w:styleId="10">
    <w:name w:val="heading 9"/>
    <w:basedOn w:val="1"/>
    <w:next w:val="1"/>
    <w:qFormat/>
    <w:uiPriority w:val="0"/>
    <w:pPr>
      <w:keepNext/>
      <w:keepLines/>
      <w:widowControl/>
      <w:numPr>
        <w:ilvl w:val="8"/>
        <w:numId w:val="1"/>
      </w:numPr>
      <w:adjustRightInd w:val="0"/>
      <w:spacing w:before="240" w:after="64" w:line="320" w:lineRule="atLeast"/>
      <w:textAlignment w:val="baseline"/>
      <w:outlineLvl w:val="8"/>
    </w:pPr>
    <w:rPr>
      <w:rFonts w:ascii="Arial" w:hAnsi="Arial" w:eastAsia="黑体"/>
      <w:kern w:val="0"/>
      <w:sz w:val="21"/>
      <w:szCs w:val="20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qFormat/>
    <w:uiPriority w:val="0"/>
    <w:pPr>
      <w:ind w:firstLine="420" w:firstLineChars="200"/>
    </w:pPr>
  </w:style>
  <w:style w:type="paragraph" w:styleId="12">
    <w:name w:val="Salutation"/>
    <w:basedOn w:val="1"/>
    <w:next w:val="1"/>
    <w:qFormat/>
    <w:uiPriority w:val="0"/>
    <w:rPr>
      <w:bCs/>
    </w:rPr>
  </w:style>
  <w:style w:type="paragraph" w:styleId="13">
    <w:name w:val="Closing"/>
    <w:basedOn w:val="1"/>
    <w:qFormat/>
    <w:uiPriority w:val="0"/>
    <w:pPr>
      <w:ind w:left="100" w:leftChars="2100"/>
    </w:pPr>
    <w:rPr>
      <w:bCs/>
    </w:rPr>
  </w:style>
  <w:style w:type="paragraph" w:styleId="14">
    <w:name w:val="Body Text Indent"/>
    <w:basedOn w:val="1"/>
    <w:qFormat/>
    <w:uiPriority w:val="0"/>
    <w:pPr>
      <w:ind w:firstLine="538" w:firstLineChars="192"/>
    </w:pPr>
    <w:rPr>
      <w:rFonts w:eastAsia="宋体"/>
      <w:sz w:val="28"/>
    </w:rPr>
  </w:style>
  <w:style w:type="paragraph" w:styleId="15">
    <w:name w:val="footer"/>
    <w:basedOn w:val="1"/>
    <w:link w:val="23"/>
    <w:qFormat/>
    <w:uiPriority w:val="99"/>
    <w:pPr>
      <w:tabs>
        <w:tab w:val="center" w:leader="hyphen" w:pos="4153"/>
        <w:tab w:val="right" w:pos="8306"/>
      </w:tabs>
      <w:snapToGrid w:val="0"/>
      <w:jc w:val="right"/>
    </w:pPr>
    <w:rPr>
      <w:sz w:val="28"/>
      <w:szCs w:val="18"/>
    </w:rPr>
  </w:style>
  <w:style w:type="paragraph" w:styleId="16">
    <w:name w:val="header"/>
    <w:basedOn w:val="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itle"/>
    <w:basedOn w:val="1"/>
    <w:qFormat/>
    <w:uiPriority w:val="0"/>
    <w:pPr>
      <w:spacing w:before="240" w:after="60"/>
      <w:jc w:val="center"/>
      <w:outlineLvl w:val="0"/>
    </w:pPr>
    <w:rPr>
      <w:rFonts w:eastAsia="华康简标题宋" w:cs="Arial"/>
      <w:bCs/>
      <w:sz w:val="44"/>
      <w:szCs w:val="32"/>
    </w:rPr>
  </w:style>
  <w:style w:type="character" w:styleId="20">
    <w:name w:val="page number"/>
    <w:qFormat/>
    <w:uiPriority w:val="0"/>
    <w:rPr>
      <w:rFonts w:ascii="Times New Roman" w:hAnsi="Times New Roman" w:eastAsia="仿宋_GB2312"/>
      <w:sz w:val="28"/>
      <w:lang w:eastAsia="zh-CN"/>
    </w:rPr>
  </w:style>
  <w:style w:type="paragraph" w:customStyle="1" w:styleId="21">
    <w:name w:val="_Style 20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4"/>
      <w:szCs w:val="20"/>
      <w:lang w:eastAsia="en-US"/>
    </w:rPr>
  </w:style>
  <w:style w:type="paragraph" w:customStyle="1" w:styleId="22">
    <w:name w:val="Char"/>
    <w:basedOn w:val="1"/>
    <w:qFormat/>
    <w:uiPriority w:val="99"/>
    <w:pPr>
      <w:tabs>
        <w:tab w:val="left" w:pos="2280"/>
      </w:tabs>
    </w:pPr>
    <w:rPr>
      <w:rFonts w:ascii="Calibri" w:hAnsi="Calibri" w:eastAsia="宋体"/>
      <w:sz w:val="21"/>
    </w:rPr>
  </w:style>
  <w:style w:type="character" w:customStyle="1" w:styleId="23">
    <w:name w:val="页脚 Char"/>
    <w:basedOn w:val="19"/>
    <w:link w:val="15"/>
    <w:qFormat/>
    <w:uiPriority w:val="99"/>
    <w:rPr>
      <w:rFonts w:eastAsia="仿宋_GB2312"/>
      <w:kern w:val="2"/>
      <w:sz w:val="2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dgcc</Company>
  <Pages>2</Pages>
  <Words>739</Words>
  <Characters>795</Characters>
  <Lines>6</Lines>
  <Paragraphs>1</Paragraphs>
  <TotalTime>7</TotalTime>
  <ScaleCrop>false</ScaleCrop>
  <LinksUpToDate>false</LinksUpToDate>
  <CharactersWithSpaces>856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2020-08-21T08:07:00Z</dcterms:created>
  <dc:creator>sshkjy</dc:creator>
  <cp:lastModifiedBy>陈泽峰</cp:lastModifiedBy>
  <cp:lastPrinted>2021-09-16T01:52:00Z</cp:lastPrinted>
  <dcterms:modified xsi:type="dcterms:W3CDTF">2025-12-24T08:39:20Z</dcterms:modified>
  <dc:title>东莞市人民政府办公室</dc:title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F7C61077E9B244969B8D308B1C73D391_13</vt:lpwstr>
  </property>
  <property fmtid="{D5CDD505-2E9C-101B-9397-08002B2CF9AE}" pid="4" name="KSOTemplateDocerSaveRecord">
    <vt:lpwstr>eyJoZGlkIjoiMDM0MDE2ZjY3MWRmYzg0M2UyMTY4NzJhZGRlYWFmY2MiLCJ1c2VySWQiOiIxNjY2NTEzMDMwIn0=</vt:lpwstr>
  </property>
</Properties>
</file>