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《广东省历史文化名村东莞市企石镇江边村</w:t>
      </w:r>
    </w:p>
    <w:p>
      <w:pPr>
        <w:jc w:val="center"/>
        <w:rPr>
          <w:rFonts w:hint="eastAsia" w:ascii="宋体" w:hAnsi="宋体" w:eastAsia="宋体" w:cs="宋体"/>
          <w:b/>
          <w:bCs/>
          <w:sz w:val="44"/>
          <w:szCs w:val="44"/>
        </w:rPr>
      </w:pPr>
      <w:r>
        <w:rPr>
          <w:rFonts w:hint="eastAsia" w:ascii="宋体" w:hAnsi="宋体" w:eastAsia="宋体" w:cs="宋体"/>
          <w:b/>
          <w:bCs/>
          <w:sz w:val="44"/>
          <w:szCs w:val="44"/>
        </w:rPr>
        <w:t>保护规划（202</w:t>
      </w:r>
      <w:r>
        <w:rPr>
          <w:rFonts w:hint="eastAsia" w:ascii="宋体" w:hAnsi="宋体" w:eastAsia="宋体" w:cs="宋体"/>
          <w:b/>
          <w:bCs/>
          <w:sz w:val="44"/>
          <w:szCs w:val="44"/>
          <w:lang w:val="en-US" w:eastAsia="zh-CN"/>
        </w:rPr>
        <w:t>1</w:t>
      </w:r>
      <w:r>
        <w:rPr>
          <w:rFonts w:hint="eastAsia" w:ascii="宋体" w:hAnsi="宋体" w:eastAsia="宋体" w:cs="宋体"/>
          <w:b/>
          <w:bCs/>
          <w:sz w:val="44"/>
          <w:szCs w:val="44"/>
          <w:lang w:eastAsia="zh-CN"/>
        </w:rPr>
        <w:t>—</w:t>
      </w:r>
      <w:r>
        <w:rPr>
          <w:rFonts w:hint="eastAsia" w:ascii="宋体" w:hAnsi="宋体" w:eastAsia="宋体" w:cs="宋体"/>
          <w:b/>
          <w:bCs/>
          <w:sz w:val="44"/>
          <w:szCs w:val="44"/>
        </w:rPr>
        <w:t>2035年）》</w:t>
      </w:r>
    </w:p>
    <w:p>
      <w:pPr>
        <w:jc w:val="center"/>
        <w:rPr>
          <w:rFonts w:ascii="宋体" w:hAnsi="宋体" w:eastAsia="宋体" w:cs="宋体"/>
          <w:b/>
          <w:bCs/>
          <w:sz w:val="36"/>
          <w:szCs w:val="36"/>
        </w:rPr>
      </w:pPr>
      <w:r>
        <w:rPr>
          <w:rFonts w:hint="eastAsia" w:ascii="宋体" w:hAnsi="宋体" w:eastAsia="宋体" w:cs="宋体"/>
          <w:b/>
          <w:bCs/>
          <w:sz w:val="36"/>
          <w:szCs w:val="36"/>
          <w:lang w:val="en-US" w:eastAsia="zh-CN"/>
        </w:rPr>
        <w:t>批后</w:t>
      </w:r>
      <w:r>
        <w:rPr>
          <w:rFonts w:hint="eastAsia" w:ascii="宋体" w:hAnsi="宋体" w:eastAsia="宋体" w:cs="宋体"/>
          <w:b/>
          <w:bCs/>
          <w:sz w:val="36"/>
          <w:szCs w:val="36"/>
        </w:rPr>
        <w:t>成果公示稿（简本）</w:t>
      </w:r>
    </w:p>
    <w:p>
      <w:pPr>
        <w:spacing w:line="360" w:lineRule="auto"/>
        <w:ind w:firstLine="643"/>
        <w:rPr>
          <w:rFonts w:ascii="宋体" w:hAnsi="宋体" w:eastAsia="宋体" w:cs="宋体"/>
          <w:b/>
          <w:bCs/>
          <w:sz w:val="32"/>
          <w:szCs w:val="32"/>
        </w:rPr>
      </w:pPr>
      <w:bookmarkStart w:id="0" w:name="_GoBack"/>
      <w:bookmarkEnd w:id="0"/>
    </w:p>
    <w:p>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一、</w:t>
      </w:r>
      <w:r>
        <w:rPr>
          <w:rFonts w:hint="eastAsia" w:ascii="宋体" w:hAnsi="宋体" w:eastAsia="宋体" w:cs="宋体"/>
          <w:b/>
          <w:bCs/>
          <w:sz w:val="28"/>
          <w:szCs w:val="28"/>
          <w:lang w:eastAsia="zh-CN"/>
        </w:rPr>
        <w:t>规划</w:t>
      </w:r>
      <w:r>
        <w:rPr>
          <w:rFonts w:hint="eastAsia" w:ascii="宋体" w:hAnsi="宋体" w:eastAsia="宋体" w:cs="宋体"/>
          <w:b/>
          <w:bCs/>
          <w:sz w:val="28"/>
          <w:szCs w:val="28"/>
        </w:rPr>
        <w:t>概述</w:t>
      </w:r>
    </w:p>
    <w:p>
      <w:pPr>
        <w:spacing w:line="360" w:lineRule="auto"/>
        <w:ind w:firstLine="481"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.编制目的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东莞市企石镇江边村于201</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入选为广东省第三批历史文化名村。为加强江边村历史文化名村的保护和利用工作，依据国家、省、市对历史文化名村的保护要求，编制广东省历史文化名村江边村保护规划，有关江边村历史文化名村的保护、利用与管理均按本规划实施。</w:t>
      </w:r>
    </w:p>
    <w:p>
      <w:pPr>
        <w:spacing w:line="360" w:lineRule="auto"/>
        <w:ind w:firstLine="481"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2.规划目标</w:t>
      </w:r>
    </w:p>
    <w:p>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eastAsia="zh-CN"/>
        </w:rPr>
        <w:t>（1）</w:t>
      </w:r>
      <w:r>
        <w:rPr>
          <w:rFonts w:hint="eastAsia" w:ascii="宋体" w:hAnsi="宋体" w:eastAsia="宋体" w:cs="宋体"/>
          <w:b/>
          <w:bCs/>
          <w:sz w:val="24"/>
          <w:szCs w:val="24"/>
        </w:rPr>
        <w:t xml:space="preserve">保护传承历史文化名村的优秀文化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挖掘江边古村的特色历史文化，保护历史文化名村的历史形态格局风貌，使特色文化可见可读。</w:t>
      </w:r>
    </w:p>
    <w:p>
      <w:pPr>
        <w:spacing w:line="360" w:lineRule="auto"/>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（2）促进历史文化名村的可持续发展</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协调江边古村与周边区域的发展，提升古村的文化影响力和促进可持续发展。</w:t>
      </w:r>
    </w:p>
    <w:p>
      <w:pPr>
        <w:spacing w:line="360" w:lineRule="auto"/>
        <w:ind w:firstLine="481" w:firstLineChars="200"/>
        <w:rPr>
          <w:rFonts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规划范围与期限</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（1）规划范围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规划范围为江边村行政村界，总面积</w:t>
      </w:r>
      <w:r>
        <w:rPr>
          <w:rFonts w:hint="eastAsia" w:ascii="宋体" w:hAnsi="宋体" w:eastAsia="宋体" w:cs="宋体"/>
          <w:sz w:val="24"/>
          <w:szCs w:val="24"/>
          <w:lang w:val="en-US" w:eastAsia="zh-CN"/>
        </w:rPr>
        <w:t>487.01公顷</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规划保护范围为江边村历史风貌保存较完整范围，面积</w:t>
      </w:r>
      <w:r>
        <w:rPr>
          <w:rFonts w:hint="eastAsia" w:ascii="宋体" w:hAnsi="宋体" w:eastAsia="宋体" w:cs="宋体"/>
          <w:sz w:val="24"/>
          <w:szCs w:val="24"/>
          <w:lang w:val="en-US" w:eastAsia="zh-CN"/>
        </w:rPr>
        <w:t>23.27公顷</w:t>
      </w:r>
      <w:r>
        <w:rPr>
          <w:rFonts w:hint="eastAsia" w:ascii="宋体" w:hAnsi="宋体" w:eastAsia="宋体" w:cs="宋体"/>
          <w:sz w:val="24"/>
          <w:szCs w:val="24"/>
        </w:rPr>
        <w:t>。</w:t>
      </w:r>
    </w:p>
    <w:p>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（2）规划期限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生效日期：本规划经广东省人民政府批准后，自公布之日起开始实施。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规划期限：本规划期限为2021年至2035年。其中，近期实施期限为2021年—2025年，中期为2026、2027年，远期为2028—2035年。</w:t>
      </w:r>
    </w:p>
    <w:p>
      <w:pPr>
        <w:spacing w:line="480" w:lineRule="auto"/>
        <w:ind w:firstLine="480"/>
        <w:rPr>
          <w:rFonts w:ascii="宋体" w:hAnsi="宋体" w:eastAsia="宋体" w:cs="宋体"/>
          <w:sz w:val="24"/>
          <w:szCs w:val="24"/>
        </w:rPr>
      </w:pPr>
    </w:p>
    <w:p>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二、历史文化价值与特色</w:t>
      </w:r>
    </w:p>
    <w:p>
      <w:pPr>
        <w:spacing w:line="360" w:lineRule="auto"/>
        <w:ind w:firstLine="481" w:firstLineChars="200"/>
        <w:rPr>
          <w:rFonts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历史文化价值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（1）万福庵贝丘遗址</w:t>
      </w:r>
      <w:r>
        <w:rPr>
          <w:rFonts w:hint="eastAsia" w:ascii="宋体" w:hAnsi="宋体" w:eastAsia="宋体" w:cs="宋体"/>
          <w:sz w:val="24"/>
          <w:szCs w:val="24"/>
          <w:lang w:val="en-US" w:eastAsia="zh-CN"/>
        </w:rPr>
        <w:t>是</w:t>
      </w:r>
      <w:r>
        <w:rPr>
          <w:rFonts w:hint="eastAsia" w:ascii="宋体" w:hAnsi="宋体" w:eastAsia="宋体" w:cs="宋体"/>
          <w:sz w:val="24"/>
          <w:szCs w:val="24"/>
        </w:rPr>
        <w:t>珠江三角洲地区年代最早的贝丘遗址之一。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（2）江边古村具有“依山理水”的珠三角鱼米之乡古村落实例。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kern w:val="2"/>
          <w:sz w:val="24"/>
          <w:szCs w:val="24"/>
          <w:lang w:val="en-US" w:eastAsia="zh-CN" w:bidi="ar-SA"/>
        </w:rPr>
        <w:t>）历史人物事件、革命历史的见证。</w:t>
      </w:r>
    </w:p>
    <w:p>
      <w:pPr>
        <w:pStyle w:val="16"/>
        <w:numPr>
          <w:ilvl w:val="0"/>
          <w:numId w:val="0"/>
        </w:numPr>
        <w:spacing w:line="360" w:lineRule="auto"/>
        <w:ind w:left="480" w:leftChars="0"/>
        <w:rPr>
          <w:rFonts w:hint="default" w:ascii="宋体" w:hAnsi="宋体" w:eastAsia="宋体" w:cs="宋体"/>
          <w:b/>
          <w:bCs/>
          <w:sz w:val="24"/>
          <w:szCs w:val="24"/>
          <w:lang w:val="en-US"/>
        </w:rPr>
      </w:pP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CN" w:bidi="ar-SA"/>
        </w:rPr>
        <w:t>4）“黄大仙”崇拜在民间的流传例证。</w:t>
      </w:r>
    </w:p>
    <w:p>
      <w:pPr>
        <w:spacing w:line="360" w:lineRule="auto"/>
        <w:ind w:firstLine="481" w:firstLineChars="200"/>
        <w:rPr>
          <w:rFonts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历史文化特色</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（1）“龙卧江边”“罗地双揖”的堪舆文化</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（2）龙脊飞檐，红石古韵的建筑文化</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（3）尊儒重道，宗族纽带的传统文化</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（4）仙邑莲乡，福气带子的民俗文化</w:t>
      </w:r>
    </w:p>
    <w:p>
      <w:pPr>
        <w:spacing w:line="360" w:lineRule="auto"/>
        <w:ind w:firstLine="560" w:firstLineChars="200"/>
        <w:rPr>
          <w:rFonts w:ascii="宋体" w:hAnsi="宋体" w:eastAsia="宋体" w:cs="宋体"/>
          <w:sz w:val="28"/>
          <w:szCs w:val="28"/>
        </w:rPr>
      </w:pPr>
    </w:p>
    <w:p>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三、保护范围及保护控制措施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江边村历史文化名村保护范围总面积</w:t>
      </w:r>
      <w:r>
        <w:rPr>
          <w:rFonts w:hint="eastAsia" w:ascii="宋体" w:hAnsi="宋体" w:eastAsia="宋体" w:cs="宋体"/>
          <w:sz w:val="24"/>
          <w:szCs w:val="24"/>
          <w:lang w:val="en-US" w:eastAsia="zh-CN"/>
        </w:rPr>
        <w:t>23.27公顷</w:t>
      </w:r>
      <w:r>
        <w:rPr>
          <w:rFonts w:hint="eastAsia" w:ascii="宋体" w:hAnsi="宋体" w:eastAsia="宋体" w:cs="宋体"/>
          <w:sz w:val="24"/>
          <w:szCs w:val="24"/>
        </w:rPr>
        <w:t>，其中核心保护范围</w:t>
      </w:r>
      <w:r>
        <w:rPr>
          <w:rFonts w:hint="eastAsia" w:ascii="宋体" w:hAnsi="宋体" w:eastAsia="宋体" w:cs="宋体"/>
          <w:sz w:val="24"/>
          <w:szCs w:val="24"/>
          <w:lang w:val="en-US" w:eastAsia="zh-CN"/>
        </w:rPr>
        <w:t>8.34公顷</w:t>
      </w:r>
      <w:r>
        <w:rPr>
          <w:rFonts w:hint="eastAsia" w:ascii="宋体" w:hAnsi="宋体" w:eastAsia="宋体" w:cs="宋体"/>
          <w:sz w:val="24"/>
          <w:szCs w:val="24"/>
        </w:rPr>
        <w:t>，建设控制地带</w:t>
      </w:r>
      <w:r>
        <w:rPr>
          <w:rFonts w:hint="eastAsia" w:ascii="宋体" w:hAnsi="宋体" w:eastAsia="宋体" w:cs="宋体"/>
          <w:sz w:val="24"/>
          <w:szCs w:val="24"/>
          <w:lang w:val="en-US" w:eastAsia="zh-CN"/>
        </w:rPr>
        <w:t>14.93公顷</w:t>
      </w:r>
      <w:r>
        <w:rPr>
          <w:rFonts w:hint="eastAsia" w:ascii="宋体" w:hAnsi="宋体" w:eastAsia="宋体" w:cs="宋体"/>
          <w:sz w:val="24"/>
          <w:szCs w:val="24"/>
        </w:rPr>
        <w:t>。为更合理实施建设控制，建设控制地带划分为建设控制地带I区，面积</w:t>
      </w:r>
      <w:r>
        <w:rPr>
          <w:rFonts w:hint="eastAsia" w:ascii="宋体" w:hAnsi="宋体" w:eastAsia="宋体" w:cs="宋体"/>
          <w:sz w:val="24"/>
          <w:szCs w:val="24"/>
          <w:lang w:val="en-US" w:eastAsia="zh-CN"/>
        </w:rPr>
        <w:t>4.73公顷</w:t>
      </w:r>
      <w:r>
        <w:rPr>
          <w:rFonts w:hint="eastAsia" w:ascii="宋体" w:hAnsi="宋体" w:eastAsia="宋体" w:cs="宋体"/>
          <w:sz w:val="24"/>
          <w:szCs w:val="24"/>
        </w:rPr>
        <w:t>；建设控制地带II区，面积</w:t>
      </w:r>
      <w:r>
        <w:rPr>
          <w:rFonts w:hint="eastAsia" w:ascii="宋体" w:hAnsi="宋体" w:eastAsia="宋体" w:cs="宋体"/>
          <w:sz w:val="24"/>
          <w:szCs w:val="24"/>
          <w:lang w:val="en-US" w:eastAsia="zh-CN"/>
        </w:rPr>
        <w:t>10.2公顷</w:t>
      </w:r>
      <w:r>
        <w:rPr>
          <w:rFonts w:hint="eastAsia" w:ascii="宋体" w:hAnsi="宋体" w:eastAsia="宋体" w:cs="宋体"/>
          <w:sz w:val="24"/>
          <w:szCs w:val="24"/>
        </w:rPr>
        <w:t>。</w:t>
      </w:r>
    </w:p>
    <w:p>
      <w:pPr>
        <w:spacing w:line="360" w:lineRule="auto"/>
        <w:ind w:firstLine="481" w:firstLineChars="200"/>
        <w:rPr>
          <w:rFonts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核心保护范围划定和保护控制要求</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 核心保护范围由以下部分组成：</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（1）万福庵贝丘遗址文物保护范围；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（2）古村建筑群：北至墨砚汀北岸、莲湖塘南岸，南至正南门一巷，西至江边围中二巷，东至兴贤路黄氏宗祠文物保护单位建设控制地带界线；</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（3）江边古建筑群·冠堂公祠文物保护单位建设控制地带界线；</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（4）江边古建筑群·而生家塾文物保护单位建设控制地带界线。</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 核心保护范围保护控制要求如下：</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（1）不得擅自改变古村空间格局、建筑外观、巷道格局和连通功能。</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（2）不得进行新建、扩建活动。但是，新建、扩建必要的基础设施和公共服务设施除外。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（3）新建、扩建必要的基础设施和公共服务设施的，自然资源主管部门核发建设工程规划许可证、乡村建设规划许可证前，应当征求同级文物、住房城乡建设行政主管部门的意见。</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（4）核心保护范围内影响古村历史风貌的建（构）筑物应按控制要求整治改造。</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除需要整治的建筑外，不可移动文物、历史建筑、传统风貌建筑所在用地的建筑密度、建筑高度按现状控制。一般建（构）筑物的危破房重建及新建、改建、扩建必要的建筑附属设施、基础设施和公共服务设施，在不突破原有建筑高度基础上须同时满足≤8米，檐口高度不高于6.5米。</w:t>
      </w:r>
    </w:p>
    <w:p>
      <w:pPr>
        <w:spacing w:line="360" w:lineRule="auto"/>
        <w:ind w:firstLine="481" w:firstLineChars="200"/>
        <w:rPr>
          <w:rFonts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.建设控制地带划定和保护控制要求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建设控制地带范围如下：</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北至新江路，南至罗屋岭北，西至万福庵贝丘遗址建设控制地带，东至冠堂公祠文物保护单位建设控制地带。</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其中建设控制地带范围内，围面路以南至罗屋岭的地带为I区，其余地带为II区。</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建设控制地带保护控制要求如下：</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（1）建设活动不得破坏历史环境要素、历史公共开敞空间。</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（2）新建、改建、扩建建筑时，应在体量、高度、色彩、材质等方面，结合整体历史风貌特色实施。建设内容须通过自然资源行政主管部门的审批许可。</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（3）建设控制地带I区范围内新建、改建、扩建建筑高度不得超过10米，层数不超过3层。建设控制地带II区范围内新建、改建、扩建建筑物高度不得超过15米。</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（4）建设用地不得用作工业用地，及不得在建设控制地带内进行工业生产活动。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（5）新建、改建、扩建建筑风貌参照本规划的分区风貌控制引导。</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（6）位于“三区三线”城镇开发边界外的后续相关项目的准入及建设，应当符合《广东省自然资源厅关于明确市县级国土空间总体规划数据库启用条件及使用规则的通知》的相关要求。</w:t>
      </w:r>
    </w:p>
    <w:p>
      <w:pPr>
        <w:spacing w:line="360" w:lineRule="auto"/>
        <w:ind w:firstLine="480" w:firstLineChars="200"/>
        <w:rPr>
          <w:rFonts w:hint="eastAsia" w:ascii="宋体" w:hAnsi="宋体" w:eastAsia="宋体" w:cs="宋体"/>
          <w:sz w:val="24"/>
          <w:szCs w:val="24"/>
          <w:lang w:val="en-US" w:eastAsia="zh-CN"/>
        </w:rPr>
      </w:pPr>
    </w:p>
    <w:p>
      <w:pPr>
        <w:pStyle w:val="16"/>
        <w:numPr>
          <w:ilvl w:val="0"/>
          <w:numId w:val="0"/>
        </w:numPr>
        <w:spacing w:line="360" w:lineRule="auto"/>
        <w:ind w:leftChars="0" w:firstLine="562"/>
        <w:rPr>
          <w:rFonts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保护对象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法定体系确定本次保护规划保护物质层面和非物质层面，包括山水景观格局、村落空间格局、市级文物保护单位、不可移动文物、历史建筑、推荐历史建筑、推荐传统风貌建筑、传统巷道、历史环境要素、非物质文化遗产与传统文化等。</w:t>
      </w:r>
    </w:p>
    <w:p>
      <w:pPr>
        <w:spacing w:line="360" w:lineRule="auto"/>
        <w:ind w:firstLine="480" w:firstLineChars="200"/>
        <w:rPr>
          <w:rFonts w:hint="eastAsia" w:ascii="宋体" w:hAnsi="宋体" w:eastAsia="宋体" w:cs="宋体"/>
          <w:sz w:val="24"/>
          <w:szCs w:val="24"/>
        </w:rPr>
      </w:pPr>
    </w:p>
    <w:p>
      <w:pPr>
        <w:spacing w:line="360" w:lineRule="auto"/>
        <w:ind w:firstLine="481" w:firstLineChars="200"/>
        <w:jc w:val="center"/>
        <w:rPr>
          <w:rFonts w:ascii="宋体" w:hAnsi="宋体" w:eastAsia="宋体" w:cs="宋体"/>
          <w:b/>
          <w:bCs/>
          <w:sz w:val="24"/>
          <w:szCs w:val="24"/>
        </w:rPr>
      </w:pPr>
      <w:r>
        <w:rPr>
          <w:rFonts w:hint="eastAsia" w:ascii="楷体" w:hAnsi="楷体" w:eastAsia="楷体" w:cs="楷体"/>
          <w:b/>
          <w:bCs/>
          <w:sz w:val="24"/>
          <w:szCs w:val="24"/>
        </w:rPr>
        <w:t>附表1：村域保护要素一览表</w:t>
      </w:r>
    </w:p>
    <w:tbl>
      <w:tblPr>
        <w:tblStyle w:val="8"/>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993"/>
        <w:gridCol w:w="5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E7E6E6" w:themeFill="background2"/>
            <w:vAlign w:val="center"/>
          </w:tcPr>
          <w:p>
            <w:pPr>
              <w:jc w:val="center"/>
              <w:rPr>
                <w:rFonts w:ascii="楷体" w:hAnsi="楷体" w:eastAsia="楷体" w:cs="楷体"/>
                <w:b/>
                <w:bCs/>
                <w:kern w:val="0"/>
                <w:sz w:val="18"/>
                <w:szCs w:val="18"/>
              </w:rPr>
            </w:pPr>
            <w:r>
              <w:rPr>
                <w:rFonts w:hint="eastAsia" w:ascii="楷体" w:hAnsi="楷体" w:eastAsia="楷体" w:cs="楷体"/>
                <w:b/>
                <w:bCs/>
                <w:kern w:val="0"/>
                <w:sz w:val="18"/>
                <w:szCs w:val="18"/>
              </w:rPr>
              <w:t>保护分类</w:t>
            </w:r>
          </w:p>
        </w:tc>
        <w:tc>
          <w:tcPr>
            <w:tcW w:w="1275" w:type="dxa"/>
            <w:shd w:val="clear" w:color="auto" w:fill="E7E6E6" w:themeFill="background2"/>
            <w:vAlign w:val="center"/>
          </w:tcPr>
          <w:p>
            <w:pPr>
              <w:jc w:val="center"/>
              <w:rPr>
                <w:rFonts w:ascii="楷体" w:hAnsi="楷体" w:eastAsia="楷体" w:cs="楷体"/>
                <w:b/>
                <w:bCs/>
                <w:kern w:val="0"/>
                <w:sz w:val="18"/>
                <w:szCs w:val="18"/>
              </w:rPr>
            </w:pPr>
            <w:r>
              <w:rPr>
                <w:rFonts w:hint="eastAsia" w:ascii="楷体" w:hAnsi="楷体" w:eastAsia="楷体" w:cs="楷体"/>
                <w:b/>
                <w:bCs/>
                <w:kern w:val="0"/>
                <w:sz w:val="18"/>
                <w:szCs w:val="18"/>
              </w:rPr>
              <w:t>保护内容</w:t>
            </w:r>
          </w:p>
        </w:tc>
        <w:tc>
          <w:tcPr>
            <w:tcW w:w="6730" w:type="dxa"/>
            <w:gridSpan w:val="2"/>
            <w:shd w:val="clear" w:color="auto" w:fill="E7E6E6" w:themeFill="background2"/>
            <w:vAlign w:val="center"/>
          </w:tcPr>
          <w:p>
            <w:pPr>
              <w:ind w:firstLine="361"/>
              <w:jc w:val="center"/>
              <w:rPr>
                <w:rFonts w:ascii="楷体" w:hAnsi="楷体" w:eastAsia="楷体" w:cs="楷体"/>
                <w:b/>
                <w:bCs/>
                <w:kern w:val="0"/>
                <w:sz w:val="18"/>
                <w:szCs w:val="18"/>
              </w:rPr>
            </w:pPr>
            <w:r>
              <w:rPr>
                <w:rFonts w:hint="eastAsia" w:ascii="楷体" w:hAnsi="楷体" w:eastAsia="楷体" w:cs="楷体"/>
                <w:b/>
                <w:bCs/>
                <w:kern w:val="0"/>
                <w:sz w:val="18"/>
                <w:szCs w:val="18"/>
              </w:rPr>
              <w:t>保护对象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Merge w:val="restart"/>
            <w:vAlign w:val="center"/>
          </w:tcPr>
          <w:p>
            <w:pPr>
              <w:jc w:val="center"/>
              <w:rPr>
                <w:rFonts w:ascii="楷体" w:hAnsi="楷体" w:eastAsia="楷体" w:cs="楷体"/>
                <w:sz w:val="18"/>
                <w:szCs w:val="18"/>
              </w:rPr>
            </w:pPr>
            <w:r>
              <w:rPr>
                <w:rFonts w:hint="eastAsia" w:ascii="楷体" w:hAnsi="楷体" w:eastAsia="楷体" w:cs="楷体"/>
                <w:kern w:val="0"/>
                <w:sz w:val="18"/>
                <w:szCs w:val="18"/>
              </w:rPr>
              <w:t>物质文化遗产</w:t>
            </w:r>
          </w:p>
        </w:tc>
        <w:tc>
          <w:tcPr>
            <w:tcW w:w="1275" w:type="dxa"/>
            <w:vMerge w:val="restart"/>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自然环境</w:t>
            </w:r>
          </w:p>
        </w:tc>
        <w:tc>
          <w:tcPr>
            <w:tcW w:w="993"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山岗</w:t>
            </w:r>
          </w:p>
        </w:tc>
        <w:tc>
          <w:tcPr>
            <w:tcW w:w="5737" w:type="dxa"/>
            <w:vAlign w:val="center"/>
          </w:tcPr>
          <w:p>
            <w:pPr>
              <w:ind w:firstLine="360"/>
              <w:jc w:val="both"/>
              <w:rPr>
                <w:rFonts w:ascii="楷体" w:hAnsi="楷体" w:eastAsia="楷体" w:cs="楷体"/>
                <w:kern w:val="0"/>
                <w:sz w:val="18"/>
                <w:szCs w:val="18"/>
              </w:rPr>
            </w:pPr>
            <w:r>
              <w:rPr>
                <w:rFonts w:hint="eastAsia" w:ascii="楷体" w:hAnsi="楷体" w:eastAsia="楷体" w:cs="楷体"/>
                <w:kern w:val="0"/>
                <w:sz w:val="18"/>
                <w:szCs w:val="18"/>
              </w:rPr>
              <w:t>罗屋岭、岗贝岭、围岭贝、虎斑岭、马鞍岭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88" w:type="dxa"/>
            <w:vMerge w:val="continue"/>
            <w:vAlign w:val="center"/>
          </w:tcPr>
          <w:p>
            <w:pPr>
              <w:ind w:firstLine="360"/>
              <w:jc w:val="center"/>
              <w:rPr>
                <w:rFonts w:ascii="楷体" w:hAnsi="楷体" w:eastAsia="楷体" w:cs="楷体"/>
                <w:kern w:val="0"/>
                <w:sz w:val="18"/>
                <w:szCs w:val="18"/>
              </w:rPr>
            </w:pPr>
          </w:p>
        </w:tc>
        <w:tc>
          <w:tcPr>
            <w:tcW w:w="1275" w:type="dxa"/>
            <w:vMerge w:val="continue"/>
            <w:vAlign w:val="center"/>
          </w:tcPr>
          <w:p>
            <w:pPr>
              <w:ind w:firstLine="360"/>
              <w:jc w:val="center"/>
              <w:rPr>
                <w:rFonts w:ascii="楷体" w:hAnsi="楷体" w:eastAsia="楷体" w:cs="楷体"/>
                <w:kern w:val="0"/>
                <w:sz w:val="18"/>
                <w:szCs w:val="18"/>
              </w:rPr>
            </w:pPr>
          </w:p>
        </w:tc>
        <w:tc>
          <w:tcPr>
            <w:tcW w:w="993"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水塘</w:t>
            </w:r>
          </w:p>
        </w:tc>
        <w:tc>
          <w:tcPr>
            <w:tcW w:w="5737" w:type="dxa"/>
            <w:vAlign w:val="center"/>
          </w:tcPr>
          <w:p>
            <w:pPr>
              <w:ind w:firstLine="360"/>
              <w:jc w:val="both"/>
              <w:rPr>
                <w:rFonts w:ascii="楷体" w:hAnsi="楷体" w:eastAsia="楷体" w:cs="楷体"/>
                <w:kern w:val="0"/>
                <w:sz w:val="18"/>
                <w:szCs w:val="18"/>
              </w:rPr>
            </w:pPr>
            <w:r>
              <w:rPr>
                <w:rFonts w:hint="eastAsia" w:ascii="楷体" w:hAnsi="楷体" w:eastAsia="楷体" w:cs="楷体"/>
                <w:kern w:val="0"/>
                <w:sz w:val="18"/>
                <w:szCs w:val="18"/>
              </w:rPr>
              <w:t>莲湖塘、龙潭、墨砚汀、陈屋湖、上塘、白泥氹、面前湖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lang w:val="en-US" w:eastAsia="zh-CN"/>
              </w:rPr>
              <w:t>村落</w:t>
            </w:r>
            <w:r>
              <w:rPr>
                <w:rFonts w:hint="eastAsia" w:ascii="楷体" w:hAnsi="楷体" w:eastAsia="楷体" w:cs="楷体"/>
                <w:kern w:val="0"/>
                <w:sz w:val="18"/>
                <w:szCs w:val="18"/>
              </w:rPr>
              <w:t>空间格局</w:t>
            </w:r>
          </w:p>
        </w:tc>
        <w:tc>
          <w:tcPr>
            <w:tcW w:w="6730"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墨砚汀—古村—罗屋岭景观中轴线；罗屋岭—古村—罗浮山双峰视线通廊；古村“三纵十五横”和围门、围墙围合格局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Align w:val="center"/>
          </w:tcPr>
          <w:p>
            <w:pPr>
              <w:jc w:val="center"/>
              <w:rPr>
                <w:rFonts w:hint="eastAsia" w:ascii="楷体" w:hAnsi="楷体" w:eastAsia="楷体" w:cs="楷体"/>
                <w:kern w:val="0"/>
                <w:sz w:val="18"/>
                <w:szCs w:val="18"/>
              </w:rPr>
            </w:pPr>
            <w:r>
              <w:rPr>
                <w:rFonts w:hint="eastAsia" w:ascii="楷体" w:hAnsi="楷体" w:eastAsia="楷体" w:cs="楷体"/>
                <w:kern w:val="0"/>
                <w:sz w:val="18"/>
                <w:szCs w:val="18"/>
              </w:rPr>
              <w:t>东莞市文物保护单位</w:t>
            </w:r>
          </w:p>
          <w:p>
            <w:pPr>
              <w:jc w:val="center"/>
              <w:rPr>
                <w:rFonts w:ascii="楷体" w:hAnsi="楷体" w:eastAsia="楷体" w:cs="楷体"/>
                <w:kern w:val="0"/>
                <w:sz w:val="18"/>
                <w:szCs w:val="18"/>
              </w:rPr>
            </w:pPr>
            <w:r>
              <w:rPr>
                <w:rFonts w:hint="eastAsia" w:ascii="楷体" w:hAnsi="楷体" w:eastAsia="楷体" w:cs="楷体"/>
                <w:kern w:val="0"/>
                <w:sz w:val="18"/>
                <w:szCs w:val="18"/>
              </w:rPr>
              <w:t>（3处）</w:t>
            </w:r>
          </w:p>
        </w:tc>
        <w:tc>
          <w:tcPr>
            <w:tcW w:w="6730" w:type="dxa"/>
            <w:gridSpan w:val="2"/>
            <w:vAlign w:val="center"/>
          </w:tcPr>
          <w:p>
            <w:pPr>
              <w:numPr>
                <w:ilvl w:val="0"/>
                <w:numId w:val="0"/>
              </w:numPr>
              <w:jc w:val="both"/>
              <w:rPr>
                <w:rFonts w:ascii="楷体" w:hAnsi="楷体" w:eastAsia="楷体" w:cs="楷体"/>
                <w:kern w:val="0"/>
                <w:sz w:val="18"/>
                <w:szCs w:val="18"/>
              </w:rPr>
            </w:pPr>
            <w:r>
              <w:rPr>
                <w:rFonts w:hint="eastAsia" w:ascii="楷体" w:hAnsi="楷体" w:eastAsia="楷体" w:cs="楷体"/>
                <w:kern w:val="0"/>
                <w:sz w:val="18"/>
                <w:szCs w:val="18"/>
              </w:rPr>
              <w:t>江边村古建筑群（含乐沼公祠，隐斋公祠，一江公祠，泝川公祠，经国公祠，冠堂公祠，而生家塾等7个文物本体），黄氏宗祠，万福庵贝丘遗址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东莞市不可移动文物（</w:t>
            </w:r>
            <w:r>
              <w:rPr>
                <w:rFonts w:hint="eastAsia" w:ascii="楷体" w:hAnsi="楷体" w:eastAsia="楷体" w:cs="楷体"/>
                <w:kern w:val="0"/>
                <w:sz w:val="18"/>
                <w:szCs w:val="18"/>
                <w:lang w:val="en-US" w:eastAsia="zh-CN"/>
              </w:rPr>
              <w:t>2</w:t>
            </w:r>
            <w:r>
              <w:rPr>
                <w:rFonts w:hint="eastAsia" w:ascii="楷体" w:hAnsi="楷体" w:eastAsia="楷体" w:cs="楷体"/>
                <w:kern w:val="0"/>
                <w:sz w:val="18"/>
                <w:szCs w:val="18"/>
              </w:rPr>
              <w:t>处）</w:t>
            </w:r>
          </w:p>
        </w:tc>
        <w:tc>
          <w:tcPr>
            <w:tcW w:w="6730"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江边司马第，兴仁里围门楼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东莞市历史建筑（3处）</w:t>
            </w:r>
          </w:p>
        </w:tc>
        <w:tc>
          <w:tcPr>
            <w:tcW w:w="6730"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江边村镇南门，兴仁里围门，江边公社旧址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88" w:type="dxa"/>
            <w:vMerge w:val="continue"/>
            <w:vAlign w:val="center"/>
          </w:tcPr>
          <w:p>
            <w:pPr>
              <w:ind w:firstLine="360"/>
              <w:jc w:val="center"/>
              <w:rPr>
                <w:rFonts w:ascii="楷体" w:hAnsi="楷体" w:eastAsia="楷体" w:cs="楷体"/>
                <w:kern w:val="0"/>
                <w:sz w:val="18"/>
                <w:szCs w:val="18"/>
              </w:rPr>
            </w:pPr>
          </w:p>
        </w:tc>
        <w:tc>
          <w:tcPr>
            <w:tcW w:w="1275" w:type="dxa"/>
            <w:vAlign w:val="center"/>
          </w:tcPr>
          <w:p>
            <w:pPr>
              <w:jc w:val="center"/>
              <w:rPr>
                <w:rFonts w:hint="eastAsia" w:ascii="楷体" w:hAnsi="楷体" w:eastAsia="楷体" w:cs="楷体"/>
                <w:kern w:val="0"/>
                <w:sz w:val="18"/>
                <w:szCs w:val="18"/>
              </w:rPr>
            </w:pPr>
            <w:r>
              <w:rPr>
                <w:rFonts w:hint="eastAsia" w:ascii="楷体" w:hAnsi="楷体" w:eastAsia="楷体" w:cs="楷体"/>
                <w:kern w:val="0"/>
                <w:sz w:val="18"/>
                <w:szCs w:val="18"/>
              </w:rPr>
              <w:t>推荐东莞市历史建筑</w:t>
            </w:r>
          </w:p>
          <w:p>
            <w:pPr>
              <w:jc w:val="center"/>
              <w:rPr>
                <w:rFonts w:ascii="楷体" w:hAnsi="楷体" w:eastAsia="楷体" w:cs="楷体"/>
                <w:kern w:val="0"/>
                <w:sz w:val="18"/>
                <w:szCs w:val="18"/>
              </w:rPr>
            </w:pPr>
            <w:r>
              <w:rPr>
                <w:rFonts w:hint="eastAsia" w:ascii="楷体" w:hAnsi="楷体" w:eastAsia="楷体" w:cs="楷体"/>
                <w:kern w:val="0"/>
                <w:sz w:val="18"/>
                <w:szCs w:val="18"/>
              </w:rPr>
              <w:t>（2</w:t>
            </w:r>
            <w:r>
              <w:rPr>
                <w:rFonts w:hint="eastAsia" w:ascii="楷体" w:hAnsi="楷体" w:eastAsia="楷体" w:cs="楷体"/>
                <w:kern w:val="0"/>
                <w:sz w:val="18"/>
                <w:szCs w:val="18"/>
                <w:lang w:val="en-US" w:eastAsia="zh-CN"/>
              </w:rPr>
              <w:t>2</w:t>
            </w:r>
            <w:r>
              <w:rPr>
                <w:rFonts w:hint="eastAsia" w:ascii="楷体" w:hAnsi="楷体" w:eastAsia="楷体" w:cs="楷体"/>
                <w:kern w:val="0"/>
                <w:sz w:val="18"/>
                <w:szCs w:val="18"/>
              </w:rPr>
              <w:t>处）</w:t>
            </w:r>
          </w:p>
        </w:tc>
        <w:tc>
          <w:tcPr>
            <w:tcW w:w="6730"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菊轩公祠、友莲公祠、养虚公祠、洁夫家塾、洁夫书楼、新潮东公祠、纯叟家塾、镇南门碉楼、花厚德巷6-8号民居、甲塘一巷5-6号民居、上贤二巷20-21号民居、兴仁里东一巷17-18号民居、兴仁里六巷8号民居、兴仁里三巷16号民居、兴仁里四巷5号民居、兴仁里一巷25号民居、正南门五巷8号民居、正南门五巷11-13号民居、兴仁里五巷25号民居、兴仁里五巷26-27号民居、围中二巷26号民居</w:t>
            </w:r>
            <w:r>
              <w:rPr>
                <w:rFonts w:hint="eastAsia" w:ascii="楷体" w:hAnsi="楷体" w:eastAsia="楷体" w:cs="楷体"/>
                <w:kern w:val="0"/>
                <w:sz w:val="18"/>
                <w:szCs w:val="18"/>
                <w:lang w:eastAsia="zh-CN"/>
              </w:rPr>
              <w:t>、</w:t>
            </w:r>
            <w:r>
              <w:rPr>
                <w:rFonts w:hint="eastAsia" w:ascii="楷体" w:hAnsi="楷体" w:eastAsia="楷体" w:cs="楷体"/>
                <w:kern w:val="0"/>
                <w:sz w:val="18"/>
                <w:szCs w:val="18"/>
              </w:rPr>
              <w:t>围中一巷民居（无编号）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推荐东莞市传统风貌建筑（</w:t>
            </w:r>
            <w:r>
              <w:rPr>
                <w:rFonts w:hint="eastAsia" w:ascii="楷体" w:hAnsi="楷体" w:eastAsia="楷体" w:cs="楷体"/>
                <w:kern w:val="0"/>
                <w:sz w:val="18"/>
                <w:szCs w:val="18"/>
                <w:lang w:val="en-US" w:eastAsia="zh-CN"/>
              </w:rPr>
              <w:t>4</w:t>
            </w:r>
            <w:r>
              <w:rPr>
                <w:rFonts w:hint="eastAsia" w:ascii="楷体" w:hAnsi="楷体" w:eastAsia="楷体" w:cs="楷体"/>
                <w:kern w:val="0"/>
                <w:sz w:val="18"/>
                <w:szCs w:val="18"/>
              </w:rPr>
              <w:t>3处）</w:t>
            </w:r>
          </w:p>
        </w:tc>
        <w:tc>
          <w:tcPr>
            <w:tcW w:w="6730" w:type="dxa"/>
            <w:gridSpan w:val="2"/>
            <w:vAlign w:val="center"/>
          </w:tcPr>
          <w:p>
            <w:pPr>
              <w:jc w:val="both"/>
              <w:rPr>
                <w:rFonts w:hint="eastAsia" w:ascii="楷体" w:hAnsi="楷体" w:eastAsia="微软雅黑" w:cs="楷体"/>
                <w:kern w:val="0"/>
                <w:sz w:val="18"/>
                <w:szCs w:val="18"/>
                <w:lang w:eastAsia="zh-CN"/>
              </w:rPr>
            </w:pPr>
            <w:r>
              <w:rPr>
                <w:rFonts w:hint="eastAsia" w:ascii="楷体" w:hAnsi="楷体" w:eastAsia="楷体" w:cs="楷体"/>
                <w:kern w:val="0"/>
                <w:sz w:val="18"/>
                <w:szCs w:val="18"/>
                <w:lang w:val="en-US" w:eastAsia="zh-CN" w:bidi="ar-SA"/>
              </w:rPr>
              <w:t>兴仁里东一巷2号、兴仁里东一巷7号、兴仁里二巷5号至8号、兴仁里二巷9号、兴仁里二巷10号、兴仁里二巷11号、兴仁里二巷12号、兴仁里二巷13号、兴仁里二巷15号、兴仁里二巷16号、兴仁里二巷17号、兴仁里二巷18号、兴仁里三巷14号、兴仁里三巷13号、兴仁里三巷12号、兴仁里三巷5号、兴仁里三巷3号、兴仁里三巷2号、兴仁里三巷1号、兴仁里四巷1号、兴仁里四巷10号、兴仁里四巷25号、兴仁里四巷18号、兴仁里六巷8号右1、兴仁里六巷8号右2、江边围中二巷21号、江边围中二巷19号、江边围面路6号之二、花厅巷12号、花厅巷13号、菊轩公祠西、江边围中二巷56号、江边围中二巷55号、江边围中二巷48号、江边围中二巷45-46号、江边围中一巷1- 2号、江边围中一巷10号、江边围中一巷9号、正南门五巷6号、正南门五巷1号、正南门五巷19-21号、兴仁里一巷22号、兴仁里东一巷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Align w:val="center"/>
          </w:tcPr>
          <w:p>
            <w:pPr>
              <w:jc w:val="center"/>
              <w:rPr>
                <w:rFonts w:hint="eastAsia" w:ascii="楷体" w:hAnsi="楷体" w:eastAsia="楷体" w:cs="楷体"/>
                <w:kern w:val="0"/>
                <w:sz w:val="18"/>
                <w:szCs w:val="18"/>
              </w:rPr>
            </w:pPr>
            <w:r>
              <w:rPr>
                <w:rFonts w:hint="eastAsia" w:ascii="楷体" w:hAnsi="楷体" w:eastAsia="楷体" w:cs="楷体"/>
                <w:kern w:val="0"/>
                <w:sz w:val="18"/>
                <w:szCs w:val="18"/>
              </w:rPr>
              <w:t>传统巷道</w:t>
            </w:r>
          </w:p>
          <w:p>
            <w:pPr>
              <w:jc w:val="center"/>
              <w:rPr>
                <w:rFonts w:ascii="楷体" w:hAnsi="楷体" w:eastAsia="楷体" w:cs="楷体"/>
                <w:kern w:val="0"/>
                <w:sz w:val="18"/>
                <w:szCs w:val="18"/>
              </w:rPr>
            </w:pPr>
            <w:r>
              <w:rPr>
                <w:rFonts w:hint="eastAsia" w:ascii="楷体" w:hAnsi="楷体" w:eastAsia="楷体" w:cs="楷体"/>
                <w:kern w:val="0"/>
                <w:sz w:val="18"/>
                <w:szCs w:val="18"/>
              </w:rPr>
              <w:t>（23处）</w:t>
            </w:r>
          </w:p>
        </w:tc>
        <w:tc>
          <w:tcPr>
            <w:tcW w:w="6730" w:type="dxa"/>
            <w:gridSpan w:val="2"/>
            <w:vAlign w:val="center"/>
          </w:tcPr>
          <w:p>
            <w:pPr>
              <w:pStyle w:val="3"/>
              <w:widowControl w:val="0"/>
              <w:jc w:val="both"/>
              <w:rPr>
                <w:rFonts w:ascii="楷体" w:hAnsi="楷体" w:eastAsia="楷体" w:cs="楷体"/>
                <w:b/>
                <w:bCs/>
                <w:kern w:val="0"/>
                <w:sz w:val="18"/>
                <w:szCs w:val="18"/>
              </w:rPr>
            </w:pPr>
            <w:r>
              <w:rPr>
                <w:rFonts w:hint="eastAsia" w:ascii="楷体" w:hAnsi="楷体" w:eastAsia="楷体" w:cs="楷体"/>
                <w:kern w:val="0"/>
                <w:sz w:val="18"/>
                <w:szCs w:val="18"/>
              </w:rPr>
              <w:t>兴仁里东一巷、兴仁里一巷</w:t>
            </w:r>
            <w:r>
              <w:rPr>
                <w:rFonts w:hint="eastAsia" w:ascii="微软雅黑" w:hAnsi="微软雅黑" w:cs="楷体"/>
                <w:kern w:val="0"/>
                <w:sz w:val="18"/>
                <w:szCs w:val="18"/>
              </w:rPr>
              <w:t>~</w:t>
            </w:r>
            <w:r>
              <w:rPr>
                <w:rFonts w:hint="eastAsia" w:ascii="楷体" w:hAnsi="楷体" w:eastAsia="楷体" w:cs="楷体"/>
                <w:kern w:val="0"/>
                <w:sz w:val="18"/>
                <w:szCs w:val="18"/>
              </w:rPr>
              <w:t>六巷、围中一巷、围中二巷、花厅巷、花厅一巷</w:t>
            </w:r>
            <w:r>
              <w:rPr>
                <w:rFonts w:hint="eastAsia" w:ascii="微软雅黑" w:hAnsi="微软雅黑" w:cs="楷体"/>
                <w:kern w:val="0"/>
                <w:sz w:val="18"/>
                <w:szCs w:val="18"/>
              </w:rPr>
              <w:t>~</w:t>
            </w:r>
            <w:r>
              <w:rPr>
                <w:rFonts w:hint="eastAsia" w:ascii="楷体" w:hAnsi="楷体" w:eastAsia="楷体" w:cs="楷体"/>
                <w:kern w:val="0"/>
                <w:sz w:val="18"/>
                <w:szCs w:val="18"/>
              </w:rPr>
              <w:t>五巷、花厚德巷、甲塘一巷、正南门巷、正南门一巷</w:t>
            </w:r>
            <w:r>
              <w:rPr>
                <w:rFonts w:hint="eastAsia" w:ascii="微软雅黑" w:hAnsi="微软雅黑" w:cs="楷体"/>
                <w:kern w:val="0"/>
                <w:sz w:val="18"/>
                <w:szCs w:val="18"/>
              </w:rPr>
              <w:t>~</w:t>
            </w:r>
            <w:r>
              <w:rPr>
                <w:rFonts w:hint="eastAsia" w:ascii="楷体" w:hAnsi="楷体" w:eastAsia="楷体" w:cs="楷体"/>
                <w:kern w:val="0"/>
                <w:sz w:val="18"/>
                <w:szCs w:val="18"/>
              </w:rPr>
              <w:t>五巷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Merge w:val="restart"/>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历史环境要素（42处）</w:t>
            </w:r>
          </w:p>
        </w:tc>
        <w:tc>
          <w:tcPr>
            <w:tcW w:w="993"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古树名木（12棵）</w:t>
            </w:r>
          </w:p>
        </w:tc>
        <w:tc>
          <w:tcPr>
            <w:tcW w:w="5737" w:type="dxa"/>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细叶榕树：甲塘2棵、甲塘隔塘队2棵、正南门1棵、新围塘仔1棵、旧江边小学内1棵、校前旧围1棵、校前围仔1棵、鸭头湖1棵、新围队1棵、江边山基1棵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Merge w:val="continue"/>
            <w:vAlign w:val="center"/>
          </w:tcPr>
          <w:p>
            <w:pPr>
              <w:ind w:firstLine="360"/>
              <w:jc w:val="center"/>
              <w:rPr>
                <w:rFonts w:ascii="楷体" w:hAnsi="楷体" w:eastAsia="楷体" w:cs="楷体"/>
                <w:kern w:val="0"/>
                <w:sz w:val="18"/>
                <w:szCs w:val="18"/>
              </w:rPr>
            </w:pPr>
          </w:p>
        </w:tc>
        <w:tc>
          <w:tcPr>
            <w:tcW w:w="993" w:type="dxa"/>
            <w:vAlign w:val="center"/>
          </w:tcPr>
          <w:p>
            <w:pPr>
              <w:jc w:val="center"/>
              <w:rPr>
                <w:rFonts w:hint="default" w:ascii="楷体" w:hAnsi="楷体" w:eastAsia="楷体" w:cs="楷体"/>
                <w:kern w:val="0"/>
                <w:sz w:val="18"/>
                <w:szCs w:val="18"/>
                <w:lang w:val="en-US" w:eastAsia="zh-CN"/>
              </w:rPr>
            </w:pPr>
            <w:r>
              <w:rPr>
                <w:rFonts w:hint="eastAsia" w:ascii="楷体" w:hAnsi="楷体" w:eastAsia="楷体" w:cs="楷体"/>
                <w:kern w:val="0"/>
                <w:sz w:val="18"/>
                <w:szCs w:val="18"/>
              </w:rPr>
              <w:t>推荐古树</w:t>
            </w:r>
            <w:r>
              <w:rPr>
                <w:rFonts w:hint="eastAsia" w:ascii="楷体" w:hAnsi="楷体" w:eastAsia="楷体" w:cs="楷体"/>
                <w:kern w:val="0"/>
                <w:sz w:val="18"/>
                <w:szCs w:val="18"/>
                <w:lang w:val="en-US" w:eastAsia="zh-CN"/>
              </w:rPr>
              <w:t>后备资源</w:t>
            </w:r>
          </w:p>
          <w:p>
            <w:pPr>
              <w:jc w:val="center"/>
              <w:rPr>
                <w:rFonts w:ascii="楷体" w:hAnsi="楷体" w:eastAsia="楷体" w:cs="楷体"/>
                <w:kern w:val="0"/>
                <w:sz w:val="18"/>
                <w:szCs w:val="18"/>
              </w:rPr>
            </w:pPr>
            <w:r>
              <w:rPr>
                <w:rFonts w:hint="eastAsia" w:ascii="楷体" w:hAnsi="楷体" w:eastAsia="楷体" w:cs="楷体"/>
                <w:kern w:val="0"/>
                <w:sz w:val="18"/>
                <w:szCs w:val="18"/>
              </w:rPr>
              <w:t>（2棵）</w:t>
            </w:r>
          </w:p>
        </w:tc>
        <w:tc>
          <w:tcPr>
            <w:tcW w:w="5737" w:type="dxa"/>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鸡蛋花树：花厚德巷2棵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Merge w:val="continue"/>
            <w:vAlign w:val="center"/>
          </w:tcPr>
          <w:p>
            <w:pPr>
              <w:ind w:firstLine="360"/>
              <w:jc w:val="center"/>
              <w:rPr>
                <w:rFonts w:ascii="楷体" w:hAnsi="楷体" w:eastAsia="楷体" w:cs="楷体"/>
                <w:kern w:val="0"/>
                <w:sz w:val="18"/>
                <w:szCs w:val="18"/>
              </w:rPr>
            </w:pPr>
          </w:p>
        </w:tc>
        <w:tc>
          <w:tcPr>
            <w:tcW w:w="993" w:type="dxa"/>
            <w:vAlign w:val="center"/>
          </w:tcPr>
          <w:p>
            <w:pPr>
              <w:jc w:val="center"/>
              <w:rPr>
                <w:rFonts w:hint="eastAsia" w:ascii="楷体" w:hAnsi="楷体" w:eastAsia="楷体" w:cs="楷体"/>
                <w:kern w:val="0"/>
                <w:sz w:val="18"/>
                <w:szCs w:val="18"/>
              </w:rPr>
            </w:pPr>
            <w:r>
              <w:rPr>
                <w:rFonts w:hint="eastAsia" w:ascii="楷体" w:hAnsi="楷体" w:eastAsia="楷体" w:cs="楷体"/>
                <w:kern w:val="0"/>
                <w:sz w:val="18"/>
                <w:szCs w:val="18"/>
              </w:rPr>
              <w:t>古井</w:t>
            </w:r>
          </w:p>
          <w:p>
            <w:pPr>
              <w:jc w:val="center"/>
              <w:rPr>
                <w:rFonts w:ascii="楷体" w:hAnsi="楷体" w:eastAsia="楷体" w:cs="楷体"/>
                <w:kern w:val="0"/>
                <w:sz w:val="18"/>
                <w:szCs w:val="18"/>
              </w:rPr>
            </w:pPr>
            <w:r>
              <w:rPr>
                <w:rFonts w:hint="eastAsia" w:ascii="楷体" w:hAnsi="楷体" w:eastAsia="楷体" w:cs="楷体"/>
                <w:kern w:val="0"/>
                <w:sz w:val="18"/>
                <w:szCs w:val="18"/>
              </w:rPr>
              <w:t>（13</w:t>
            </w:r>
            <w:r>
              <w:rPr>
                <w:rFonts w:hint="eastAsia" w:ascii="楷体" w:hAnsi="楷体" w:eastAsia="楷体" w:cs="楷体"/>
                <w:kern w:val="0"/>
                <w:sz w:val="18"/>
                <w:szCs w:val="18"/>
                <w:lang w:val="en-US" w:eastAsia="zh-CN"/>
              </w:rPr>
              <w:t>口</w:t>
            </w:r>
            <w:r>
              <w:rPr>
                <w:rFonts w:hint="eastAsia" w:ascii="楷体" w:hAnsi="楷体" w:eastAsia="楷体" w:cs="楷体"/>
                <w:kern w:val="0"/>
                <w:sz w:val="18"/>
                <w:szCs w:val="18"/>
              </w:rPr>
              <w:t>）</w:t>
            </w:r>
          </w:p>
        </w:tc>
        <w:tc>
          <w:tcPr>
            <w:tcW w:w="5737" w:type="dxa"/>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红砂岩井沿1口、麻石井沿7口、砖混井沿5口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Merge w:val="continue"/>
            <w:vAlign w:val="center"/>
          </w:tcPr>
          <w:p>
            <w:pPr>
              <w:ind w:firstLine="360"/>
              <w:jc w:val="center"/>
              <w:rPr>
                <w:rFonts w:ascii="楷体" w:hAnsi="楷体" w:eastAsia="楷体" w:cs="楷体"/>
                <w:kern w:val="0"/>
                <w:sz w:val="18"/>
                <w:szCs w:val="18"/>
              </w:rPr>
            </w:pPr>
          </w:p>
        </w:tc>
        <w:tc>
          <w:tcPr>
            <w:tcW w:w="993" w:type="dxa"/>
            <w:vAlign w:val="center"/>
          </w:tcPr>
          <w:p>
            <w:pPr>
              <w:jc w:val="center"/>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明</w:t>
            </w:r>
            <w:r>
              <w:rPr>
                <w:rFonts w:hint="eastAsia" w:ascii="楷体" w:hAnsi="楷体" w:eastAsia="楷体" w:cs="楷体"/>
                <w:kern w:val="0"/>
                <w:sz w:val="18"/>
                <w:szCs w:val="18"/>
              </w:rPr>
              <w:t>围墙</w:t>
            </w:r>
          </w:p>
          <w:p>
            <w:pPr>
              <w:jc w:val="center"/>
              <w:rPr>
                <w:rFonts w:ascii="楷体" w:hAnsi="楷体" w:eastAsia="楷体" w:cs="楷体"/>
                <w:kern w:val="0"/>
                <w:sz w:val="18"/>
                <w:szCs w:val="18"/>
              </w:rPr>
            </w:pPr>
            <w:r>
              <w:rPr>
                <w:rFonts w:hint="eastAsia" w:ascii="楷体" w:hAnsi="楷体" w:eastAsia="楷体" w:cs="楷体"/>
                <w:kern w:val="0"/>
                <w:sz w:val="18"/>
                <w:szCs w:val="18"/>
              </w:rPr>
              <w:t>（</w:t>
            </w:r>
            <w:r>
              <w:rPr>
                <w:rFonts w:ascii="楷体" w:hAnsi="楷体" w:eastAsia="楷体" w:cs="楷体"/>
                <w:kern w:val="0"/>
                <w:sz w:val="18"/>
                <w:szCs w:val="18"/>
              </w:rPr>
              <w:t>4</w:t>
            </w:r>
            <w:r>
              <w:rPr>
                <w:rFonts w:hint="eastAsia" w:ascii="楷体" w:hAnsi="楷体" w:eastAsia="楷体" w:cs="楷体"/>
                <w:kern w:val="0"/>
                <w:sz w:val="18"/>
                <w:szCs w:val="18"/>
              </w:rPr>
              <w:t>段）</w:t>
            </w:r>
          </w:p>
        </w:tc>
        <w:tc>
          <w:tcPr>
            <w:tcW w:w="5737" w:type="dxa"/>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兴仁里围门段、兴仁里土地庙段，聚贤坊土地庙段、纯叟家塾段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Merge w:val="continue"/>
            <w:vAlign w:val="center"/>
          </w:tcPr>
          <w:p>
            <w:pPr>
              <w:ind w:firstLine="360"/>
              <w:jc w:val="center"/>
              <w:rPr>
                <w:rFonts w:ascii="楷体" w:hAnsi="楷体" w:eastAsia="楷体" w:cs="楷体"/>
                <w:kern w:val="0"/>
                <w:sz w:val="18"/>
                <w:szCs w:val="18"/>
              </w:rPr>
            </w:pPr>
          </w:p>
        </w:tc>
        <w:tc>
          <w:tcPr>
            <w:tcW w:w="993" w:type="dxa"/>
            <w:vAlign w:val="center"/>
          </w:tcPr>
          <w:p>
            <w:pPr>
              <w:jc w:val="center"/>
              <w:rPr>
                <w:rFonts w:hint="eastAsia" w:ascii="楷体" w:hAnsi="楷体" w:eastAsia="楷体" w:cs="楷体"/>
                <w:kern w:val="0"/>
                <w:sz w:val="18"/>
                <w:szCs w:val="18"/>
              </w:rPr>
            </w:pPr>
            <w:r>
              <w:rPr>
                <w:rFonts w:hint="eastAsia" w:ascii="楷体" w:hAnsi="楷体" w:eastAsia="楷体" w:cs="楷体"/>
                <w:kern w:val="0"/>
                <w:sz w:val="18"/>
                <w:szCs w:val="18"/>
              </w:rPr>
              <w:t>土地庙</w:t>
            </w:r>
          </w:p>
          <w:p>
            <w:pPr>
              <w:jc w:val="center"/>
              <w:rPr>
                <w:rFonts w:ascii="楷体" w:hAnsi="楷体" w:eastAsia="楷体" w:cs="楷体"/>
                <w:kern w:val="0"/>
                <w:sz w:val="18"/>
                <w:szCs w:val="18"/>
              </w:rPr>
            </w:pPr>
            <w:r>
              <w:rPr>
                <w:rFonts w:hint="eastAsia" w:ascii="楷体" w:hAnsi="楷体" w:eastAsia="楷体" w:cs="楷体"/>
                <w:kern w:val="0"/>
                <w:sz w:val="18"/>
                <w:szCs w:val="18"/>
              </w:rPr>
              <w:t>（3处）</w:t>
            </w:r>
          </w:p>
        </w:tc>
        <w:tc>
          <w:tcPr>
            <w:tcW w:w="5737" w:type="dxa"/>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兴仁里围门旁1处、镇南门旁1处、聚贤坊遗址旁1处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Merge w:val="continue"/>
            <w:vAlign w:val="center"/>
          </w:tcPr>
          <w:p>
            <w:pPr>
              <w:ind w:firstLine="360"/>
              <w:jc w:val="center"/>
              <w:rPr>
                <w:rFonts w:ascii="楷体" w:hAnsi="楷体" w:eastAsia="楷体" w:cs="楷体"/>
                <w:kern w:val="0"/>
                <w:sz w:val="18"/>
                <w:szCs w:val="18"/>
              </w:rPr>
            </w:pPr>
          </w:p>
        </w:tc>
        <w:tc>
          <w:tcPr>
            <w:tcW w:w="993"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历史遗址（</w:t>
            </w:r>
            <w:r>
              <w:rPr>
                <w:rFonts w:ascii="楷体" w:hAnsi="楷体" w:eastAsia="楷体" w:cs="楷体"/>
                <w:kern w:val="0"/>
                <w:sz w:val="18"/>
                <w:szCs w:val="18"/>
              </w:rPr>
              <w:t>8</w:t>
            </w:r>
            <w:r>
              <w:rPr>
                <w:rFonts w:hint="eastAsia" w:ascii="楷体" w:hAnsi="楷体" w:eastAsia="楷体" w:cs="楷体"/>
                <w:kern w:val="0"/>
                <w:sz w:val="18"/>
                <w:szCs w:val="18"/>
              </w:rPr>
              <w:t>处）</w:t>
            </w:r>
          </w:p>
        </w:tc>
        <w:tc>
          <w:tcPr>
            <w:tcW w:w="5737" w:type="dxa"/>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明万福庵遗址，明文圣君庙遗址，明余庆坊</w:t>
            </w:r>
            <w:r>
              <w:rPr>
                <w:rFonts w:hint="eastAsia" w:ascii="楷体" w:hAnsi="楷体" w:eastAsia="楷体" w:cs="楷体"/>
                <w:kern w:val="0"/>
                <w:sz w:val="18"/>
                <w:szCs w:val="18"/>
                <w:lang w:val="en-US" w:eastAsia="zh-CN"/>
              </w:rPr>
              <w:t>遗址，</w:t>
            </w:r>
            <w:r>
              <w:rPr>
                <w:rFonts w:hint="eastAsia" w:ascii="楷体" w:hAnsi="楷体" w:eastAsia="楷体" w:cs="楷体"/>
                <w:kern w:val="0"/>
                <w:sz w:val="18"/>
                <w:szCs w:val="18"/>
              </w:rPr>
              <w:t>明聚贤坊</w:t>
            </w:r>
            <w:r>
              <w:rPr>
                <w:rFonts w:hint="eastAsia" w:ascii="楷体" w:hAnsi="楷体" w:eastAsia="楷体" w:cs="楷体"/>
                <w:kern w:val="0"/>
                <w:sz w:val="18"/>
                <w:szCs w:val="18"/>
                <w:lang w:val="en-US" w:eastAsia="zh-CN"/>
              </w:rPr>
              <w:t>遗址，</w:t>
            </w:r>
            <w:r>
              <w:rPr>
                <w:rFonts w:hint="eastAsia" w:ascii="楷体" w:hAnsi="楷体" w:eastAsia="楷体" w:cs="楷体"/>
                <w:kern w:val="0"/>
                <w:sz w:val="18"/>
                <w:szCs w:val="18"/>
              </w:rPr>
              <w:t>清上贤坊古围门遗址，明魁星楼</w:t>
            </w:r>
            <w:r>
              <w:rPr>
                <w:rFonts w:hint="eastAsia" w:ascii="楷体" w:hAnsi="楷体" w:eastAsia="楷体" w:cs="楷体"/>
                <w:kern w:val="0"/>
                <w:sz w:val="18"/>
                <w:szCs w:val="18"/>
                <w:lang w:val="en-US" w:eastAsia="zh-CN"/>
              </w:rPr>
              <w:t>遗址，</w:t>
            </w:r>
            <w:r>
              <w:rPr>
                <w:rFonts w:hint="eastAsia" w:ascii="楷体" w:hAnsi="楷体" w:eastAsia="楷体" w:cs="楷体"/>
                <w:kern w:val="0"/>
                <w:sz w:val="18"/>
                <w:szCs w:val="18"/>
              </w:rPr>
              <w:t>江溪社学古书院遗址，清黄闰福故居遗址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88" w:type="dxa"/>
            <w:vMerge w:val="restart"/>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非物质文化遗产和优秀传统文化</w:t>
            </w: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历史人文</w:t>
            </w:r>
          </w:p>
        </w:tc>
        <w:tc>
          <w:tcPr>
            <w:tcW w:w="6730" w:type="dxa"/>
            <w:gridSpan w:val="2"/>
            <w:vAlign w:val="center"/>
          </w:tcPr>
          <w:p>
            <w:pPr>
              <w:jc w:val="both"/>
              <w:rPr>
                <w:rFonts w:hint="default" w:ascii="楷体" w:hAnsi="楷体" w:eastAsia="楷体" w:cs="楷体"/>
                <w:kern w:val="0"/>
                <w:sz w:val="18"/>
                <w:szCs w:val="18"/>
                <w:lang w:val="en-US" w:eastAsia="zh-CN"/>
              </w:rPr>
            </w:pPr>
            <w:r>
              <w:rPr>
                <w:rFonts w:hint="eastAsia" w:ascii="楷体" w:hAnsi="楷体" w:eastAsia="楷体" w:cs="楷体"/>
                <w:kern w:val="0"/>
                <w:sz w:val="18"/>
                <w:szCs w:val="18"/>
                <w:lang w:val="en-US" w:eastAsia="zh-CN"/>
              </w:rPr>
              <w:t>历史革命、海瑞与黄学伊典故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88" w:type="dxa"/>
            <w:vMerge w:val="continue"/>
            <w:vAlign w:val="center"/>
          </w:tcPr>
          <w:p>
            <w:pPr>
              <w:jc w:val="center"/>
              <w:rPr>
                <w:rFonts w:hint="eastAsia" w:ascii="楷体" w:hAnsi="楷体" w:eastAsia="楷体" w:cs="楷体"/>
                <w:kern w:val="0"/>
                <w:sz w:val="18"/>
                <w:szCs w:val="18"/>
              </w:rPr>
            </w:pPr>
          </w:p>
        </w:tc>
        <w:tc>
          <w:tcPr>
            <w:tcW w:w="1275" w:type="dxa"/>
            <w:vAlign w:val="center"/>
          </w:tcPr>
          <w:p>
            <w:pPr>
              <w:jc w:val="center"/>
              <w:rPr>
                <w:rFonts w:hint="eastAsia" w:ascii="楷体" w:hAnsi="楷体" w:eastAsia="楷体" w:cs="楷体"/>
                <w:kern w:val="0"/>
                <w:sz w:val="18"/>
                <w:szCs w:val="18"/>
              </w:rPr>
            </w:pPr>
            <w:r>
              <w:rPr>
                <w:rFonts w:hint="eastAsia" w:ascii="楷体" w:hAnsi="楷体" w:eastAsia="楷体" w:cs="楷体"/>
                <w:kern w:val="0"/>
                <w:sz w:val="18"/>
                <w:szCs w:val="18"/>
              </w:rPr>
              <w:t>堪舆文化</w:t>
            </w:r>
          </w:p>
        </w:tc>
        <w:tc>
          <w:tcPr>
            <w:tcW w:w="6730" w:type="dxa"/>
            <w:gridSpan w:val="2"/>
            <w:vAlign w:val="center"/>
          </w:tcPr>
          <w:p>
            <w:pPr>
              <w:jc w:val="both"/>
              <w:rPr>
                <w:rFonts w:hint="default" w:ascii="楷体" w:hAnsi="楷体" w:eastAsia="楷体" w:cs="楷体"/>
                <w:kern w:val="0"/>
                <w:sz w:val="18"/>
                <w:szCs w:val="18"/>
                <w:lang w:val="en-US" w:eastAsia="zh-CN"/>
              </w:rPr>
            </w:pPr>
            <w:r>
              <w:rPr>
                <w:rFonts w:hint="eastAsia" w:ascii="楷体" w:hAnsi="楷体" w:eastAsia="楷体" w:cs="楷体"/>
                <w:kern w:val="0"/>
                <w:sz w:val="18"/>
                <w:szCs w:val="18"/>
                <w:lang w:val="en-US" w:eastAsia="zh-CN"/>
              </w:rPr>
              <w:t>象龙选址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88" w:type="dxa"/>
            <w:vMerge w:val="continue"/>
            <w:vAlign w:val="center"/>
          </w:tcPr>
          <w:p>
            <w:pPr>
              <w:ind w:firstLine="360"/>
              <w:jc w:val="center"/>
              <w:rPr>
                <w:rFonts w:ascii="楷体" w:hAnsi="楷体" w:eastAsia="楷体" w:cs="楷体"/>
                <w:kern w:val="0"/>
                <w:sz w:val="18"/>
                <w:szCs w:val="18"/>
              </w:rPr>
            </w:pP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民间文学</w:t>
            </w:r>
          </w:p>
        </w:tc>
        <w:tc>
          <w:tcPr>
            <w:tcW w:w="6730" w:type="dxa"/>
            <w:gridSpan w:val="2"/>
            <w:vAlign w:val="center"/>
          </w:tcPr>
          <w:p>
            <w:pPr>
              <w:jc w:val="both"/>
              <w:rPr>
                <w:rFonts w:hint="eastAsia" w:ascii="楷体" w:hAnsi="楷体" w:eastAsia="微软雅黑" w:cs="楷体"/>
                <w:kern w:val="0"/>
                <w:sz w:val="18"/>
                <w:szCs w:val="18"/>
                <w:lang w:eastAsia="zh-CN"/>
              </w:rPr>
            </w:pPr>
            <w:r>
              <w:rPr>
                <w:rFonts w:hint="eastAsia" w:ascii="楷体" w:hAnsi="楷体" w:eastAsia="楷体" w:cs="楷体"/>
                <w:kern w:val="0"/>
                <w:sz w:val="18"/>
                <w:szCs w:val="18"/>
                <w:lang w:val="en-US" w:eastAsia="zh-CN"/>
              </w:rPr>
              <w:t>黄大仙传说、古楹联、童谣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传统技艺</w:t>
            </w:r>
          </w:p>
        </w:tc>
        <w:tc>
          <w:tcPr>
            <w:tcW w:w="6730"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江边水丸</w:t>
            </w:r>
            <w:r>
              <w:rPr>
                <w:rFonts w:hint="eastAsia" w:ascii="楷体" w:hAnsi="楷体" w:eastAsia="楷体" w:cs="楷体"/>
                <w:kern w:val="0"/>
                <w:sz w:val="18"/>
                <w:szCs w:val="18"/>
                <w:lang w:eastAsia="zh-CN"/>
              </w:rPr>
              <w:t>、</w:t>
            </w:r>
            <w:r>
              <w:rPr>
                <w:rFonts w:hint="eastAsia" w:ascii="楷体" w:hAnsi="楷体" w:eastAsia="楷体" w:cs="楷体"/>
                <w:kern w:val="0"/>
                <w:sz w:val="18"/>
                <w:szCs w:val="18"/>
              </w:rPr>
              <w:t>江边醒狮、江边福带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88" w:type="dxa"/>
            <w:vMerge w:val="continue"/>
            <w:vAlign w:val="center"/>
          </w:tcPr>
          <w:p>
            <w:pPr>
              <w:ind w:firstLine="361"/>
              <w:jc w:val="center"/>
              <w:rPr>
                <w:rFonts w:ascii="楷体" w:hAnsi="楷体" w:eastAsia="楷体" w:cs="楷体"/>
                <w:b/>
                <w:bCs/>
                <w:kern w:val="0"/>
                <w:sz w:val="18"/>
                <w:szCs w:val="18"/>
              </w:rPr>
            </w:pPr>
          </w:p>
        </w:tc>
        <w:tc>
          <w:tcPr>
            <w:tcW w:w="1275" w:type="dxa"/>
            <w:vAlign w:val="center"/>
          </w:tcPr>
          <w:p>
            <w:pPr>
              <w:jc w:val="center"/>
              <w:rPr>
                <w:rFonts w:hint="eastAsia" w:ascii="楷体" w:hAnsi="楷体" w:eastAsia="楷体" w:cs="楷体"/>
                <w:kern w:val="0"/>
                <w:sz w:val="18"/>
                <w:szCs w:val="18"/>
                <w:lang w:val="en-US" w:eastAsia="zh-CN"/>
              </w:rPr>
            </w:pPr>
            <w:r>
              <w:rPr>
                <w:rFonts w:hint="eastAsia" w:ascii="楷体" w:hAnsi="楷体" w:eastAsia="楷体" w:cs="楷体"/>
                <w:kern w:val="0"/>
                <w:sz w:val="18"/>
                <w:szCs w:val="18"/>
                <w:lang w:val="en-US" w:eastAsia="zh-CN"/>
              </w:rPr>
              <w:t>民俗</w:t>
            </w:r>
          </w:p>
        </w:tc>
        <w:tc>
          <w:tcPr>
            <w:tcW w:w="6730" w:type="dxa"/>
            <w:gridSpan w:val="2"/>
            <w:vAlign w:val="center"/>
          </w:tcPr>
          <w:p>
            <w:pPr>
              <w:jc w:val="both"/>
              <w:rPr>
                <w:rFonts w:hint="eastAsia" w:ascii="楷体" w:hAnsi="楷体" w:eastAsia="微软雅黑" w:cs="楷体"/>
                <w:kern w:val="0"/>
                <w:sz w:val="18"/>
                <w:szCs w:val="18"/>
                <w:lang w:eastAsia="zh-CN"/>
              </w:rPr>
            </w:pPr>
            <w:r>
              <w:rPr>
                <w:rFonts w:hint="eastAsia" w:ascii="楷体" w:hAnsi="楷体" w:eastAsia="楷体" w:cs="楷体"/>
                <w:kern w:val="0"/>
                <w:sz w:val="18"/>
                <w:szCs w:val="18"/>
                <w:lang w:val="en-US" w:eastAsia="zh-CN"/>
              </w:rPr>
              <w:t>黄大仙诞庙会、三月过宫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88" w:type="dxa"/>
            <w:vMerge w:val="continue"/>
            <w:vAlign w:val="center"/>
          </w:tcPr>
          <w:p>
            <w:pPr>
              <w:ind w:firstLine="360"/>
              <w:jc w:val="center"/>
              <w:rPr>
                <w:rFonts w:ascii="楷体" w:hAnsi="楷体" w:eastAsia="楷体" w:cs="楷体"/>
                <w:kern w:val="0"/>
                <w:sz w:val="18"/>
                <w:szCs w:val="18"/>
              </w:rPr>
            </w:pP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传统种植</w:t>
            </w:r>
          </w:p>
        </w:tc>
        <w:tc>
          <w:tcPr>
            <w:tcW w:w="6730"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江边荷花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988" w:type="dxa"/>
            <w:vMerge w:val="continue"/>
            <w:vAlign w:val="center"/>
          </w:tcPr>
          <w:p>
            <w:pPr>
              <w:ind w:firstLine="360"/>
              <w:jc w:val="center"/>
              <w:rPr>
                <w:rFonts w:ascii="楷体" w:hAnsi="楷体" w:eastAsia="楷体" w:cs="楷体"/>
                <w:kern w:val="0"/>
                <w:sz w:val="18"/>
                <w:szCs w:val="18"/>
              </w:rPr>
            </w:pPr>
          </w:p>
        </w:tc>
        <w:tc>
          <w:tcPr>
            <w:tcW w:w="12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地理人文</w:t>
            </w:r>
          </w:p>
        </w:tc>
        <w:tc>
          <w:tcPr>
            <w:tcW w:w="6730"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历史地名</w:t>
            </w:r>
          </w:p>
        </w:tc>
      </w:tr>
    </w:tbl>
    <w:p>
      <w:pPr>
        <w:ind w:firstLine="482"/>
        <w:rPr>
          <w:rFonts w:ascii="宋体" w:hAnsi="宋体" w:eastAsia="宋体" w:cs="宋体"/>
          <w:b/>
          <w:bCs/>
          <w:sz w:val="24"/>
          <w:szCs w:val="24"/>
        </w:rPr>
      </w:pPr>
    </w:p>
    <w:p>
      <w:pPr>
        <w:spacing w:line="360" w:lineRule="auto"/>
        <w:ind w:firstLine="482"/>
        <w:jc w:val="center"/>
        <w:rPr>
          <w:rFonts w:hint="eastAsia" w:ascii="楷体" w:hAnsi="楷体" w:eastAsia="楷体" w:cs="楷体"/>
          <w:b/>
          <w:bCs/>
          <w:sz w:val="24"/>
          <w:szCs w:val="24"/>
        </w:rPr>
      </w:pPr>
    </w:p>
    <w:p>
      <w:pPr>
        <w:spacing w:line="360" w:lineRule="auto"/>
        <w:ind w:firstLine="482"/>
        <w:jc w:val="center"/>
        <w:rPr>
          <w:rFonts w:ascii="楷体" w:hAnsi="楷体" w:eastAsia="楷体" w:cs="楷体"/>
          <w:sz w:val="24"/>
          <w:szCs w:val="24"/>
        </w:rPr>
      </w:pPr>
      <w:r>
        <w:rPr>
          <w:rFonts w:hint="eastAsia" w:ascii="楷体" w:hAnsi="楷体" w:eastAsia="楷体" w:cs="楷体"/>
          <w:b/>
          <w:bCs/>
          <w:sz w:val="24"/>
          <w:szCs w:val="24"/>
        </w:rPr>
        <w:t>附表2：历史文化保护管控一览表</w:t>
      </w:r>
    </w:p>
    <w:tbl>
      <w:tblPr>
        <w:tblStyle w:val="8"/>
        <w:tblW w:w="898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575"/>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409" w:type="dxa"/>
            <w:shd w:val="clear" w:color="auto" w:fill="E7E6E6" w:themeFill="background2"/>
            <w:vAlign w:val="center"/>
          </w:tcPr>
          <w:p>
            <w:pPr>
              <w:jc w:val="center"/>
              <w:rPr>
                <w:rFonts w:ascii="楷体" w:hAnsi="楷体" w:eastAsia="楷体" w:cs="楷体"/>
                <w:b/>
                <w:bCs/>
                <w:kern w:val="0"/>
                <w:sz w:val="18"/>
                <w:szCs w:val="18"/>
              </w:rPr>
            </w:pPr>
            <w:r>
              <w:rPr>
                <w:rFonts w:hint="eastAsia" w:ascii="楷体" w:hAnsi="楷体" w:eastAsia="楷体" w:cs="楷体"/>
                <w:b/>
                <w:bCs/>
                <w:kern w:val="0"/>
                <w:sz w:val="18"/>
                <w:szCs w:val="18"/>
              </w:rPr>
              <w:t>管控层次</w:t>
            </w:r>
          </w:p>
        </w:tc>
        <w:tc>
          <w:tcPr>
            <w:tcW w:w="7576" w:type="dxa"/>
            <w:gridSpan w:val="2"/>
            <w:shd w:val="clear" w:color="auto" w:fill="E7E6E6" w:themeFill="background2"/>
            <w:vAlign w:val="center"/>
          </w:tcPr>
          <w:p>
            <w:pPr>
              <w:ind w:firstLine="361"/>
              <w:jc w:val="center"/>
              <w:rPr>
                <w:rFonts w:ascii="楷体" w:hAnsi="楷体" w:eastAsia="楷体" w:cs="楷体"/>
                <w:kern w:val="0"/>
                <w:sz w:val="18"/>
                <w:szCs w:val="18"/>
              </w:rPr>
            </w:pPr>
            <w:r>
              <w:rPr>
                <w:rFonts w:hint="eastAsia" w:ascii="楷体" w:hAnsi="楷体" w:eastAsia="楷体" w:cs="楷体"/>
                <w:b/>
                <w:bCs/>
                <w:kern w:val="0"/>
                <w:sz w:val="18"/>
                <w:szCs w:val="18"/>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09"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自然景观环境</w:t>
            </w:r>
          </w:p>
        </w:tc>
        <w:tc>
          <w:tcPr>
            <w:tcW w:w="7576"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江边古村建于罗屋岭缓坡，坐南面北，村前水系良田交织，山、水、田、村的自然格局共同组成岭南鱼米之乡的典型村落特色风貌。全面保护古村各个自然环境要素，保护原有空间环境条件和古村自然地形地貌，保护山体植被，保护水域面积不缩减，保护水域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09"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传统空间格局</w:t>
            </w:r>
          </w:p>
        </w:tc>
        <w:tc>
          <w:tcPr>
            <w:tcW w:w="7576" w:type="dxa"/>
            <w:gridSpan w:val="2"/>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保护古村“三纵十五横”传统巷道、围门、围墙，已坍塌的围门、围墙应保留原址，明古围墙路线详见图集。保护村前莲湖塘、墨砚汀周边的开敞空间地带，该地带周边的建筑应严格控制不得加建。保护万福庵古庙遗址、文圣君古庙遗址和其他书院文化遗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09"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传统巷道</w:t>
            </w:r>
          </w:p>
        </w:tc>
        <w:tc>
          <w:tcPr>
            <w:tcW w:w="7576" w:type="dxa"/>
            <w:gridSpan w:val="2"/>
            <w:vAlign w:val="center"/>
          </w:tcPr>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1.</w:t>
            </w:r>
            <w:r>
              <w:rPr>
                <w:rFonts w:hint="eastAsia" w:ascii="楷体" w:hAnsi="楷体" w:eastAsia="楷体" w:cs="楷体"/>
                <w:kern w:val="0"/>
                <w:sz w:val="18"/>
                <w:szCs w:val="18"/>
              </w:rPr>
              <w:t>保存完好的巷道：采取现状保护，日常维护的保护措施；</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2.</w:t>
            </w:r>
            <w:r>
              <w:rPr>
                <w:rFonts w:hint="eastAsia" w:ascii="楷体" w:hAnsi="楷体" w:eastAsia="楷体" w:cs="楷体"/>
                <w:kern w:val="0"/>
                <w:sz w:val="18"/>
                <w:szCs w:val="18"/>
              </w:rPr>
              <w:t>保存一般的巷道：采取现状修整的保护措施，使用传统建筑材料和工艺，禁止使用磨光石板、水泥砂浆或其它现代材料铺砌。</w:t>
            </w:r>
          </w:p>
          <w:p>
            <w:pPr>
              <w:jc w:val="both"/>
              <w:rPr>
                <w:rFonts w:ascii="楷体" w:hAnsi="楷体" w:eastAsia="楷体" w:cs="楷体"/>
                <w:kern w:val="0"/>
                <w:sz w:val="18"/>
                <w:szCs w:val="18"/>
              </w:rPr>
            </w:pPr>
            <w:r>
              <w:rPr>
                <w:rFonts w:hint="eastAsia" w:ascii="楷体" w:hAnsi="楷体" w:eastAsia="楷体" w:cs="楷体"/>
                <w:kern w:val="0"/>
                <w:sz w:val="18"/>
                <w:szCs w:val="18"/>
                <w:lang w:val="en-US" w:eastAsia="zh-CN"/>
              </w:rPr>
              <w:t>3.</w:t>
            </w:r>
            <w:r>
              <w:rPr>
                <w:rFonts w:hint="eastAsia" w:ascii="楷体" w:hAnsi="楷体" w:eastAsia="楷体" w:cs="楷体"/>
                <w:kern w:val="0"/>
                <w:sz w:val="18"/>
                <w:szCs w:val="18"/>
              </w:rPr>
              <w:t>损毁或面层已铺装水泥砂浆等现代材料的巷道：采取复原的保护措施，参照保存完好的巷道做法、材质及工艺进行复原，恢复为石板、灰砂土或青砖等的传统材料。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09" w:type="dxa"/>
            <w:vAlign w:val="center"/>
          </w:tcPr>
          <w:p>
            <w:pPr>
              <w:jc w:val="center"/>
              <w:rPr>
                <w:rFonts w:ascii="Times New Roman" w:hAnsi="Times New Roman" w:eastAsia="宋体" w:cs="Times New Roman"/>
              </w:rPr>
            </w:pPr>
            <w:r>
              <w:rPr>
                <w:rFonts w:hint="eastAsia" w:ascii="楷体" w:hAnsi="楷体" w:eastAsia="楷体" w:cs="楷体"/>
                <w:kern w:val="0"/>
                <w:sz w:val="18"/>
                <w:szCs w:val="18"/>
              </w:rPr>
              <w:t>绿化景观</w:t>
            </w:r>
          </w:p>
        </w:tc>
        <w:tc>
          <w:tcPr>
            <w:tcW w:w="7576" w:type="dxa"/>
            <w:gridSpan w:val="2"/>
            <w:vAlign w:val="center"/>
          </w:tcPr>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1.</w:t>
            </w:r>
            <w:r>
              <w:rPr>
                <w:rFonts w:hint="eastAsia" w:ascii="楷体" w:hAnsi="楷体" w:eastAsia="楷体" w:cs="楷体"/>
                <w:kern w:val="0"/>
                <w:sz w:val="18"/>
                <w:szCs w:val="18"/>
              </w:rPr>
              <w:t>保护12棵古树、2棵推荐古树后备资源，及周边环境组成要素。</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2.</w:t>
            </w:r>
            <w:r>
              <w:rPr>
                <w:rFonts w:hint="eastAsia" w:ascii="楷体" w:hAnsi="楷体" w:eastAsia="楷体" w:cs="楷体"/>
                <w:kern w:val="0"/>
                <w:sz w:val="18"/>
                <w:szCs w:val="18"/>
              </w:rPr>
              <w:t>定期维护开敞空间、古村内部庭院的绿化等，保持环境整齐美观。</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3.</w:t>
            </w:r>
            <w:r>
              <w:rPr>
                <w:rFonts w:hint="eastAsia" w:ascii="楷体" w:hAnsi="楷体" w:eastAsia="楷体" w:cs="楷体"/>
                <w:kern w:val="0"/>
                <w:sz w:val="18"/>
                <w:szCs w:val="18"/>
              </w:rPr>
              <w:t>清理古村内部的坍塌建筑地台，活化为庭院绿化空间。</w:t>
            </w:r>
          </w:p>
          <w:p>
            <w:pPr>
              <w:jc w:val="both"/>
              <w:rPr>
                <w:rFonts w:ascii="楷体" w:hAnsi="楷体" w:eastAsia="楷体" w:cs="楷体"/>
                <w:kern w:val="0"/>
                <w:sz w:val="18"/>
                <w:szCs w:val="18"/>
              </w:rPr>
            </w:pPr>
            <w:r>
              <w:rPr>
                <w:rFonts w:hint="eastAsia" w:ascii="楷体" w:hAnsi="楷体" w:eastAsia="楷体" w:cs="楷体"/>
                <w:kern w:val="0"/>
                <w:sz w:val="18"/>
                <w:szCs w:val="18"/>
                <w:lang w:val="en-US" w:eastAsia="zh-CN"/>
              </w:rPr>
              <w:t>4.</w:t>
            </w:r>
            <w:r>
              <w:rPr>
                <w:rFonts w:hint="eastAsia" w:ascii="楷体" w:hAnsi="楷体" w:eastAsia="楷体" w:cs="楷体"/>
                <w:kern w:val="0"/>
                <w:sz w:val="18"/>
                <w:szCs w:val="18"/>
              </w:rPr>
              <w:t>保护既有的乡土植物种植，新增绿化种植应优先选用荷花、龙眼树、荔枝树、芒果树、鸡蛋花树、秋枫等乡土植物。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景观视廊</w:t>
            </w:r>
          </w:p>
        </w:tc>
        <w:tc>
          <w:tcPr>
            <w:tcW w:w="7576" w:type="dxa"/>
            <w:gridSpan w:val="2"/>
            <w:vAlign w:val="center"/>
          </w:tcPr>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1.</w:t>
            </w:r>
            <w:r>
              <w:rPr>
                <w:rFonts w:hint="eastAsia" w:ascii="楷体" w:hAnsi="楷体" w:eastAsia="楷体" w:cs="楷体"/>
                <w:kern w:val="0"/>
                <w:sz w:val="18"/>
                <w:szCs w:val="18"/>
              </w:rPr>
              <w:t>保护墨砚汀—古村—罗屋岭组成的景观中轴线和视线通廊。</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2.</w:t>
            </w:r>
            <w:r>
              <w:rPr>
                <w:rFonts w:hint="eastAsia" w:ascii="楷体" w:hAnsi="楷体" w:eastAsia="楷体" w:cs="楷体"/>
                <w:kern w:val="0"/>
                <w:sz w:val="18"/>
                <w:szCs w:val="18"/>
              </w:rPr>
              <w:t>墨砚汀—古村—罗屋岭视线通廊范围内古村周边新建、改建、扩建建筑高度、体量、风格不得显著影响罗屋岭自然天际线和古建筑群的背景轮廓线风貌。</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3.</w:t>
            </w:r>
            <w:r>
              <w:rPr>
                <w:rFonts w:hint="eastAsia" w:ascii="楷体" w:hAnsi="楷体" w:eastAsia="楷体" w:cs="楷体"/>
                <w:kern w:val="0"/>
                <w:sz w:val="18"/>
                <w:szCs w:val="18"/>
              </w:rPr>
              <w:t>保护站在古村内部向外观望时，古村外围建筑高度不应高于古村屋脊线的景观视廊。</w:t>
            </w:r>
          </w:p>
          <w:p>
            <w:pPr>
              <w:jc w:val="both"/>
              <w:rPr>
                <w:rFonts w:ascii="楷体" w:hAnsi="楷体" w:eastAsia="楷体" w:cs="楷体"/>
                <w:kern w:val="0"/>
                <w:sz w:val="18"/>
                <w:szCs w:val="18"/>
              </w:rPr>
            </w:pPr>
            <w:r>
              <w:rPr>
                <w:rFonts w:hint="eastAsia" w:ascii="楷体" w:hAnsi="楷体" w:eastAsia="楷体" w:cs="楷体"/>
                <w:kern w:val="0"/>
                <w:sz w:val="18"/>
                <w:szCs w:val="18"/>
                <w:lang w:val="en-US" w:eastAsia="zh-CN"/>
              </w:rPr>
              <w:t>4.</w:t>
            </w:r>
            <w:r>
              <w:rPr>
                <w:rFonts w:hint="eastAsia" w:ascii="楷体" w:hAnsi="楷体" w:eastAsia="楷体" w:cs="楷体"/>
                <w:kern w:val="0"/>
                <w:sz w:val="18"/>
                <w:szCs w:val="18"/>
              </w:rPr>
              <w:t>保护罗屋岭与东江、罗浮山双峰的视线联系。罗屋岭—东江的视线通廊范围内建筑高度不应大于33米，其中东江大道南侧地面标高持平东江大道段建筑高度不应大于22米。罗屋岭—罗浮山视线通廊范围内，新江路以南宅基地新建、扩建、改建建筑高度不应大于15米，新江路以北建筑高度不应大于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vMerge w:val="restart"/>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风貌控制引导</w:t>
            </w:r>
          </w:p>
        </w:tc>
        <w:tc>
          <w:tcPr>
            <w:tcW w:w="15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核心保护范围</w:t>
            </w:r>
          </w:p>
        </w:tc>
        <w:tc>
          <w:tcPr>
            <w:tcW w:w="6001" w:type="dxa"/>
            <w:vAlign w:val="center"/>
          </w:tcPr>
          <w:p>
            <w:pPr>
              <w:jc w:val="both"/>
              <w:rPr>
                <w:rFonts w:ascii="楷体" w:hAnsi="楷体" w:eastAsia="楷体" w:cs="楷体"/>
                <w:kern w:val="0"/>
                <w:sz w:val="18"/>
                <w:szCs w:val="18"/>
              </w:rPr>
            </w:pPr>
            <w:r>
              <w:rPr>
                <w:rFonts w:hint="eastAsia" w:ascii="楷体" w:hAnsi="楷体" w:eastAsia="楷体" w:cs="楷体"/>
                <w:kern w:val="0"/>
                <w:sz w:val="18"/>
                <w:szCs w:val="18"/>
              </w:rPr>
              <w:t>核心保护范围内建（构）筑物整治改造或新建、改建、扩建基础设施和公共服务设施，应采用青砖、红砂岩、麻石、石灰砂浆等传统建筑材料和施工工艺，建筑风格要与历史风貌协调。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vMerge w:val="continue"/>
            <w:vAlign w:val="center"/>
          </w:tcPr>
          <w:p>
            <w:pPr>
              <w:ind w:firstLine="361"/>
              <w:jc w:val="center"/>
              <w:rPr>
                <w:rFonts w:ascii="楷体" w:hAnsi="楷体" w:eastAsia="楷体" w:cs="楷体"/>
                <w:kern w:val="0"/>
                <w:sz w:val="18"/>
                <w:szCs w:val="18"/>
              </w:rPr>
            </w:pPr>
          </w:p>
        </w:tc>
        <w:tc>
          <w:tcPr>
            <w:tcW w:w="15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建设控制地带</w:t>
            </w:r>
          </w:p>
        </w:tc>
        <w:tc>
          <w:tcPr>
            <w:tcW w:w="6001" w:type="dxa"/>
            <w:vAlign w:val="center"/>
          </w:tcPr>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1.</w:t>
            </w:r>
            <w:r>
              <w:rPr>
                <w:rFonts w:hint="eastAsia" w:ascii="楷体" w:hAnsi="楷体" w:eastAsia="楷体" w:cs="楷体"/>
                <w:kern w:val="0"/>
                <w:sz w:val="18"/>
                <w:szCs w:val="18"/>
              </w:rPr>
              <w:t>建设控制地带I区</w:t>
            </w:r>
          </w:p>
          <w:p>
            <w:pPr>
              <w:ind w:firstLine="360" w:firstLineChars="200"/>
              <w:jc w:val="both"/>
              <w:rPr>
                <w:rFonts w:hint="eastAsia" w:ascii="楷体" w:hAnsi="楷体" w:eastAsia="楷体" w:cs="楷体"/>
                <w:kern w:val="0"/>
                <w:sz w:val="18"/>
                <w:szCs w:val="18"/>
              </w:rPr>
            </w:pPr>
            <w:r>
              <w:rPr>
                <w:rFonts w:hint="eastAsia" w:ascii="楷体" w:hAnsi="楷体" w:eastAsia="楷体" w:cs="楷体"/>
                <w:kern w:val="0"/>
                <w:sz w:val="18"/>
                <w:szCs w:val="18"/>
              </w:rPr>
              <w:t>以古村传统民居特色为参考依据，对新建、改建、扩建建筑提出以下建设引导：提倡屋顶采用古村特色的人字山墙形式，采用坡屋面形式的建议采用传统平瓦屋面；墙面宜采用烧结青砖贴片白缝，宜结合红砂岩装饰元素；提倡门框或窗过梁采用红砂岩；建议门窗采用偏暗色实木或仿木漆金属门框、窗框、门扇，不应使用不锈钢材质；外立面裸露的落水管等宜采用低饱和度陶土色，优先选用陶瓷落水筒，空调外机需要有低饱和度色系色调框架遮挡。栏杆、窗花、外立面宜结合古村特色图案、文化元素。</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2.</w:t>
            </w:r>
            <w:r>
              <w:rPr>
                <w:rFonts w:hint="eastAsia" w:ascii="楷体" w:hAnsi="楷体" w:eastAsia="楷体" w:cs="楷体"/>
                <w:kern w:val="0"/>
                <w:sz w:val="18"/>
                <w:szCs w:val="18"/>
              </w:rPr>
              <w:t>建设控制地带II区</w:t>
            </w:r>
          </w:p>
          <w:p>
            <w:pPr>
              <w:ind w:firstLine="360" w:firstLineChars="200"/>
              <w:jc w:val="both"/>
              <w:rPr>
                <w:rFonts w:ascii="楷体" w:hAnsi="楷体" w:eastAsia="楷体" w:cs="楷体"/>
                <w:kern w:val="0"/>
                <w:sz w:val="18"/>
                <w:szCs w:val="18"/>
              </w:rPr>
            </w:pPr>
            <w:r>
              <w:rPr>
                <w:rFonts w:hint="eastAsia" w:ascii="楷体" w:hAnsi="楷体" w:eastAsia="楷体" w:cs="楷体"/>
                <w:kern w:val="0"/>
                <w:sz w:val="18"/>
                <w:szCs w:val="18"/>
              </w:rPr>
              <w:t>新建、改建、扩建建筑风貌引导：墙面倡议采用青砖贴片或仿青砖哑光瓷砖，外立面裸露的落水管等建议采用低饱和度陶土色；其余引导同建设控制地带I区要求。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vMerge w:val="continue"/>
            <w:vAlign w:val="center"/>
          </w:tcPr>
          <w:p>
            <w:pPr>
              <w:ind w:firstLine="361"/>
              <w:jc w:val="center"/>
              <w:rPr>
                <w:rFonts w:ascii="楷体" w:hAnsi="楷体" w:eastAsia="楷体" w:cs="楷体"/>
                <w:kern w:val="0"/>
                <w:sz w:val="18"/>
                <w:szCs w:val="18"/>
              </w:rPr>
            </w:pPr>
          </w:p>
        </w:tc>
        <w:tc>
          <w:tcPr>
            <w:tcW w:w="1575"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重点空间展示面</w:t>
            </w:r>
          </w:p>
        </w:tc>
        <w:tc>
          <w:tcPr>
            <w:tcW w:w="6001" w:type="dxa"/>
            <w:vAlign w:val="center"/>
          </w:tcPr>
          <w:p>
            <w:pPr>
              <w:jc w:val="both"/>
              <w:rPr>
                <w:rFonts w:hint="eastAsia" w:ascii="楷体" w:hAnsi="楷体" w:eastAsia="楷体" w:cs="楷体"/>
                <w:kern w:val="0"/>
                <w:sz w:val="18"/>
                <w:szCs w:val="18"/>
              </w:rPr>
            </w:pPr>
            <w:r>
              <w:rPr>
                <w:rFonts w:hint="eastAsia" w:ascii="楷体" w:hAnsi="楷体" w:eastAsia="楷体" w:cs="楷体"/>
                <w:kern w:val="0"/>
                <w:sz w:val="18"/>
                <w:szCs w:val="18"/>
              </w:rPr>
              <w:t xml:space="preserve">重点空间展示带包括墨砚汀、莲湖塘的周边地带。 </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1.</w:t>
            </w:r>
            <w:r>
              <w:rPr>
                <w:rFonts w:hint="eastAsia" w:ascii="楷体" w:hAnsi="楷体" w:eastAsia="楷体" w:cs="楷体"/>
                <w:kern w:val="0"/>
                <w:sz w:val="18"/>
                <w:szCs w:val="18"/>
              </w:rPr>
              <w:t>建筑外观风貌应采用江边村特色的民居风格，推荐应用人字硬山山墙、红砂岩门框、传统青砖或传统青砖贴片墙面、传统陶瓦屋面等。不应使用豆青色烧结瓷砖代替传统青砖贴片。</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2.</w:t>
            </w:r>
            <w:r>
              <w:rPr>
                <w:rFonts w:hint="eastAsia" w:ascii="楷体" w:hAnsi="楷体" w:eastAsia="楷体" w:cs="楷体"/>
                <w:kern w:val="0"/>
                <w:sz w:val="18"/>
                <w:szCs w:val="18"/>
              </w:rPr>
              <w:t>新建、改建、扩建的建筑色彩应以豆青色为主色调，灰、白色为辅色，避免采用红砂岩自然色彩以外的红、蓝、黄等高饱和度色彩。</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3.</w:t>
            </w:r>
            <w:r>
              <w:rPr>
                <w:rFonts w:hint="eastAsia" w:ascii="楷体" w:hAnsi="楷体" w:eastAsia="楷体" w:cs="楷体"/>
                <w:kern w:val="0"/>
                <w:sz w:val="18"/>
                <w:szCs w:val="18"/>
              </w:rPr>
              <w:t>外观设计不应采用高反光材料，不应采用树脂瓦、原色铝合金门窗、不锈钢栏杆、门、防盗网和铝板等现代建筑材料。</w:t>
            </w:r>
          </w:p>
          <w:p>
            <w:pPr>
              <w:jc w:val="both"/>
              <w:rPr>
                <w:rFonts w:ascii="楷体" w:hAnsi="楷体" w:eastAsia="楷体" w:cs="楷体"/>
                <w:kern w:val="0"/>
                <w:sz w:val="18"/>
                <w:szCs w:val="18"/>
              </w:rPr>
            </w:pPr>
            <w:r>
              <w:rPr>
                <w:rFonts w:hint="eastAsia" w:ascii="楷体" w:hAnsi="楷体" w:eastAsia="楷体" w:cs="楷体"/>
                <w:kern w:val="0"/>
                <w:sz w:val="18"/>
                <w:szCs w:val="18"/>
                <w:lang w:val="en-US" w:eastAsia="zh-CN"/>
              </w:rPr>
              <w:t>4.</w:t>
            </w:r>
            <w:r>
              <w:rPr>
                <w:rFonts w:hint="eastAsia" w:ascii="楷体" w:hAnsi="楷体" w:eastAsia="楷体" w:cs="楷体"/>
                <w:kern w:val="0"/>
                <w:sz w:val="18"/>
                <w:szCs w:val="18"/>
              </w:rPr>
              <w:t>新增民房以外的建（构）筑物或大型商业元素，其布局、体量、色彩等应与古村的风貌协调，并应进行论证和报送</w:t>
            </w:r>
            <w:r>
              <w:rPr>
                <w:rFonts w:hint="eastAsia" w:ascii="楷体" w:hAnsi="楷体" w:eastAsia="楷体" w:cs="楷体"/>
                <w:kern w:val="0"/>
                <w:sz w:val="18"/>
                <w:szCs w:val="18"/>
                <w:lang w:val="en-US" w:eastAsia="zh-CN"/>
              </w:rPr>
              <w:t>住房城乡建设</w:t>
            </w:r>
            <w:r>
              <w:rPr>
                <w:rFonts w:hint="eastAsia" w:ascii="楷体" w:hAnsi="楷体" w:eastAsia="楷体" w:cs="楷体"/>
                <w:kern w:val="0"/>
                <w:sz w:val="18"/>
                <w:szCs w:val="18"/>
              </w:rPr>
              <w:t>主管部门批准。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 w:type="dxa"/>
            <w:vAlign w:val="center"/>
          </w:tcPr>
          <w:p>
            <w:pPr>
              <w:jc w:val="center"/>
              <w:rPr>
                <w:rFonts w:ascii="楷体" w:hAnsi="楷体" w:eastAsia="楷体" w:cs="楷体"/>
                <w:kern w:val="0"/>
                <w:sz w:val="18"/>
                <w:szCs w:val="18"/>
              </w:rPr>
            </w:pPr>
            <w:r>
              <w:rPr>
                <w:rFonts w:hint="eastAsia" w:ascii="楷体" w:hAnsi="楷体" w:eastAsia="楷体" w:cs="楷体"/>
                <w:kern w:val="0"/>
                <w:sz w:val="18"/>
                <w:szCs w:val="18"/>
              </w:rPr>
              <w:t>建筑高度</w:t>
            </w:r>
          </w:p>
        </w:tc>
        <w:tc>
          <w:tcPr>
            <w:tcW w:w="7576" w:type="dxa"/>
            <w:gridSpan w:val="2"/>
            <w:vAlign w:val="center"/>
          </w:tcPr>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1.</w:t>
            </w:r>
            <w:r>
              <w:rPr>
                <w:rFonts w:hint="eastAsia" w:ascii="楷体" w:hAnsi="楷体" w:eastAsia="楷体" w:cs="楷体"/>
                <w:kern w:val="0"/>
                <w:sz w:val="18"/>
                <w:szCs w:val="18"/>
              </w:rPr>
              <w:t>不可移动文物、历史建筑、推荐历史建筑、推荐传统风貌建筑维持原有高度。</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2.</w:t>
            </w:r>
            <w:r>
              <w:rPr>
                <w:rFonts w:hint="eastAsia" w:ascii="楷体" w:hAnsi="楷体" w:eastAsia="楷体" w:cs="楷体"/>
                <w:kern w:val="0"/>
                <w:sz w:val="18"/>
                <w:szCs w:val="18"/>
              </w:rPr>
              <w:t>核心保护范围内，一般建（构）筑物的危破房重建及新建、改扩建必要的建筑附属设施、基础设施和公共服务设施，在不突破原有建筑高度基础上须同时满足≤8米，檐口高度不高于6.5米。</w:t>
            </w:r>
          </w:p>
          <w:p>
            <w:pPr>
              <w:jc w:val="both"/>
              <w:rPr>
                <w:rFonts w:hint="eastAsia" w:ascii="楷体" w:hAnsi="楷体" w:eastAsia="楷体" w:cs="楷体"/>
                <w:kern w:val="0"/>
                <w:sz w:val="18"/>
                <w:szCs w:val="18"/>
              </w:rPr>
            </w:pPr>
            <w:r>
              <w:rPr>
                <w:rFonts w:hint="eastAsia" w:ascii="楷体" w:hAnsi="楷体" w:eastAsia="楷体" w:cs="楷体"/>
                <w:kern w:val="0"/>
                <w:sz w:val="18"/>
                <w:szCs w:val="18"/>
                <w:lang w:val="en-US" w:eastAsia="zh-CN"/>
              </w:rPr>
              <w:t>3.</w:t>
            </w:r>
            <w:r>
              <w:rPr>
                <w:rFonts w:hint="eastAsia" w:ascii="楷体" w:hAnsi="楷体" w:eastAsia="楷体" w:cs="楷体"/>
                <w:kern w:val="0"/>
                <w:sz w:val="18"/>
                <w:szCs w:val="18"/>
              </w:rPr>
              <w:t>建设控制地带范围内，新建、改建及扩建建筑高度在不突破原建筑高度的基础上，建设控制地带I区新建、改建及扩建建筑高度不得超过10米，层数不超过3层；建设控制地带II区建筑高度不得超过15米。</w:t>
            </w:r>
          </w:p>
          <w:p>
            <w:pPr>
              <w:jc w:val="both"/>
              <w:rPr>
                <w:rFonts w:ascii="楷体" w:hAnsi="楷体" w:eastAsia="楷体" w:cs="楷体"/>
                <w:kern w:val="0"/>
                <w:sz w:val="18"/>
                <w:szCs w:val="18"/>
              </w:rPr>
            </w:pPr>
            <w:r>
              <w:rPr>
                <w:rFonts w:hint="eastAsia" w:ascii="楷体" w:hAnsi="楷体" w:eastAsia="楷体" w:cs="楷体"/>
                <w:kern w:val="0"/>
                <w:sz w:val="18"/>
                <w:szCs w:val="18"/>
                <w:lang w:val="en-US" w:eastAsia="zh-CN"/>
              </w:rPr>
              <w:t>4.</w:t>
            </w:r>
            <w:r>
              <w:rPr>
                <w:rFonts w:hint="eastAsia" w:ascii="楷体" w:hAnsi="楷体" w:eastAsia="楷体" w:cs="楷体"/>
                <w:kern w:val="0"/>
                <w:sz w:val="18"/>
                <w:szCs w:val="18"/>
              </w:rPr>
              <w:t>建设控制地带范围以外至罗屋岭、新江路地带的宅基地新建、扩建、改建建筑高度不得超过15米。</w:t>
            </w:r>
          </w:p>
        </w:tc>
      </w:tr>
    </w:tbl>
    <w:p>
      <w:pPr>
        <w:spacing w:line="360" w:lineRule="auto"/>
        <w:ind w:firstLine="643"/>
        <w:rPr>
          <w:rFonts w:ascii="宋体" w:hAnsi="宋体" w:eastAsia="宋体" w:cs="宋体"/>
          <w:b/>
          <w:bCs/>
          <w:sz w:val="32"/>
          <w:szCs w:val="32"/>
        </w:rPr>
      </w:pPr>
    </w:p>
    <w:p>
      <w:pPr>
        <w:spacing w:line="360" w:lineRule="auto"/>
        <w:ind w:firstLine="643"/>
        <w:rPr>
          <w:rFonts w:ascii="宋体" w:hAnsi="宋体" w:eastAsia="宋体" w:cs="宋体"/>
          <w:b/>
          <w:bCs/>
          <w:sz w:val="32"/>
          <w:szCs w:val="32"/>
        </w:rPr>
      </w:pPr>
    </w:p>
    <w:p>
      <w:pPr>
        <w:spacing w:line="360" w:lineRule="auto"/>
        <w:ind w:firstLine="643"/>
        <w:rPr>
          <w:rFonts w:ascii="宋体" w:hAnsi="宋体" w:eastAsia="宋体" w:cs="宋体"/>
          <w:b/>
          <w:bCs/>
          <w:sz w:val="32"/>
          <w:szCs w:val="32"/>
        </w:rPr>
      </w:pPr>
    </w:p>
    <w:p>
      <w:pPr>
        <w:ind w:firstLine="420"/>
      </w:pPr>
    </w:p>
    <w:sectPr>
      <w:footerReference r:id="rId3" w:type="default"/>
      <w:pgSz w:w="11906" w:h="16838"/>
      <w:pgMar w:top="1797"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细黑"/>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343490"/>
    </w:sdtPr>
    <w:sdtContent>
      <w:p>
        <w:pPr>
          <w:pStyle w:val="4"/>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jODg1YmJhOWJiYzg4N2NiOTEwMTRlM2IwMmQ0ZjMifQ=="/>
  </w:docVars>
  <w:rsids>
    <w:rsidRoot w:val="00EB1208"/>
    <w:rsid w:val="00003200"/>
    <w:rsid w:val="00017465"/>
    <w:rsid w:val="0002191E"/>
    <w:rsid w:val="0002273A"/>
    <w:rsid w:val="0003261D"/>
    <w:rsid w:val="00042C64"/>
    <w:rsid w:val="000505A8"/>
    <w:rsid w:val="00056687"/>
    <w:rsid w:val="00075EAF"/>
    <w:rsid w:val="00090276"/>
    <w:rsid w:val="000B3CEE"/>
    <w:rsid w:val="000B78FE"/>
    <w:rsid w:val="000C1C47"/>
    <w:rsid w:val="000D2687"/>
    <w:rsid w:val="000D2979"/>
    <w:rsid w:val="000E28D6"/>
    <w:rsid w:val="000E41CD"/>
    <w:rsid w:val="000E4C91"/>
    <w:rsid w:val="000F603B"/>
    <w:rsid w:val="000F6958"/>
    <w:rsid w:val="00106068"/>
    <w:rsid w:val="001242A4"/>
    <w:rsid w:val="00133BFC"/>
    <w:rsid w:val="001366D6"/>
    <w:rsid w:val="00140EE9"/>
    <w:rsid w:val="0014613F"/>
    <w:rsid w:val="00153201"/>
    <w:rsid w:val="00181905"/>
    <w:rsid w:val="0019132B"/>
    <w:rsid w:val="001B011F"/>
    <w:rsid w:val="001C7CD0"/>
    <w:rsid w:val="001D5B6D"/>
    <w:rsid w:val="001E5FB0"/>
    <w:rsid w:val="001F139C"/>
    <w:rsid w:val="00207A83"/>
    <w:rsid w:val="00216297"/>
    <w:rsid w:val="0022299E"/>
    <w:rsid w:val="00222BA0"/>
    <w:rsid w:val="00227B4D"/>
    <w:rsid w:val="00236B20"/>
    <w:rsid w:val="0025341C"/>
    <w:rsid w:val="00257287"/>
    <w:rsid w:val="00261E88"/>
    <w:rsid w:val="00262FEB"/>
    <w:rsid w:val="002724EC"/>
    <w:rsid w:val="00273CA2"/>
    <w:rsid w:val="00283D8C"/>
    <w:rsid w:val="0029357C"/>
    <w:rsid w:val="002939D0"/>
    <w:rsid w:val="002965DE"/>
    <w:rsid w:val="002B4F55"/>
    <w:rsid w:val="002C1779"/>
    <w:rsid w:val="002C1CDB"/>
    <w:rsid w:val="002E3FB7"/>
    <w:rsid w:val="00304787"/>
    <w:rsid w:val="00304F9A"/>
    <w:rsid w:val="0031440C"/>
    <w:rsid w:val="003212E9"/>
    <w:rsid w:val="00333145"/>
    <w:rsid w:val="00335C8B"/>
    <w:rsid w:val="00335EB7"/>
    <w:rsid w:val="00352F94"/>
    <w:rsid w:val="003552CB"/>
    <w:rsid w:val="003670F5"/>
    <w:rsid w:val="00367830"/>
    <w:rsid w:val="00373B59"/>
    <w:rsid w:val="003750AE"/>
    <w:rsid w:val="003861B7"/>
    <w:rsid w:val="003A20DF"/>
    <w:rsid w:val="003B2F1C"/>
    <w:rsid w:val="003B6A8E"/>
    <w:rsid w:val="003E3A6E"/>
    <w:rsid w:val="00403027"/>
    <w:rsid w:val="0040561E"/>
    <w:rsid w:val="004233C0"/>
    <w:rsid w:val="00435032"/>
    <w:rsid w:val="00440A22"/>
    <w:rsid w:val="00444D63"/>
    <w:rsid w:val="0046087F"/>
    <w:rsid w:val="00470B91"/>
    <w:rsid w:val="00472F49"/>
    <w:rsid w:val="00475DB4"/>
    <w:rsid w:val="00485438"/>
    <w:rsid w:val="00491093"/>
    <w:rsid w:val="0049329F"/>
    <w:rsid w:val="00493DED"/>
    <w:rsid w:val="00494E12"/>
    <w:rsid w:val="004B11CA"/>
    <w:rsid w:val="004B3B76"/>
    <w:rsid w:val="004B5213"/>
    <w:rsid w:val="004C0813"/>
    <w:rsid w:val="004C4EA4"/>
    <w:rsid w:val="004D2DC3"/>
    <w:rsid w:val="004E3ACB"/>
    <w:rsid w:val="004E3BF2"/>
    <w:rsid w:val="004E41C2"/>
    <w:rsid w:val="004E5640"/>
    <w:rsid w:val="004F37E2"/>
    <w:rsid w:val="0050227D"/>
    <w:rsid w:val="00502332"/>
    <w:rsid w:val="005124C5"/>
    <w:rsid w:val="005158EB"/>
    <w:rsid w:val="00545919"/>
    <w:rsid w:val="00550558"/>
    <w:rsid w:val="00550DD7"/>
    <w:rsid w:val="00551F38"/>
    <w:rsid w:val="00557FAE"/>
    <w:rsid w:val="005630CC"/>
    <w:rsid w:val="00563BB4"/>
    <w:rsid w:val="005737A0"/>
    <w:rsid w:val="00594E81"/>
    <w:rsid w:val="005B3585"/>
    <w:rsid w:val="005D5EFE"/>
    <w:rsid w:val="005E258A"/>
    <w:rsid w:val="005E4A2B"/>
    <w:rsid w:val="005F0341"/>
    <w:rsid w:val="00602235"/>
    <w:rsid w:val="00602D7D"/>
    <w:rsid w:val="00613FB2"/>
    <w:rsid w:val="00633785"/>
    <w:rsid w:val="00643217"/>
    <w:rsid w:val="00643544"/>
    <w:rsid w:val="00650F38"/>
    <w:rsid w:val="00654BE2"/>
    <w:rsid w:val="006744FA"/>
    <w:rsid w:val="00682A02"/>
    <w:rsid w:val="0068771D"/>
    <w:rsid w:val="00687FF0"/>
    <w:rsid w:val="00691B9E"/>
    <w:rsid w:val="006A1CF5"/>
    <w:rsid w:val="006B204F"/>
    <w:rsid w:val="006B2370"/>
    <w:rsid w:val="006D2AB0"/>
    <w:rsid w:val="006E102F"/>
    <w:rsid w:val="006E7F3B"/>
    <w:rsid w:val="00700B36"/>
    <w:rsid w:val="00703867"/>
    <w:rsid w:val="00722642"/>
    <w:rsid w:val="0072434A"/>
    <w:rsid w:val="00724F61"/>
    <w:rsid w:val="007257BB"/>
    <w:rsid w:val="00731858"/>
    <w:rsid w:val="007458AB"/>
    <w:rsid w:val="007637ED"/>
    <w:rsid w:val="00773A43"/>
    <w:rsid w:val="0078689A"/>
    <w:rsid w:val="00792189"/>
    <w:rsid w:val="00794D5F"/>
    <w:rsid w:val="007A33CC"/>
    <w:rsid w:val="007C0F98"/>
    <w:rsid w:val="008113B6"/>
    <w:rsid w:val="0081363D"/>
    <w:rsid w:val="00822C9A"/>
    <w:rsid w:val="00824752"/>
    <w:rsid w:val="00825DA3"/>
    <w:rsid w:val="00826D4D"/>
    <w:rsid w:val="00833597"/>
    <w:rsid w:val="00834598"/>
    <w:rsid w:val="0084638E"/>
    <w:rsid w:val="00855253"/>
    <w:rsid w:val="0086395C"/>
    <w:rsid w:val="00867D13"/>
    <w:rsid w:val="00884E76"/>
    <w:rsid w:val="00886E8B"/>
    <w:rsid w:val="00893A90"/>
    <w:rsid w:val="00894FCB"/>
    <w:rsid w:val="0089508B"/>
    <w:rsid w:val="008A32F4"/>
    <w:rsid w:val="008B524D"/>
    <w:rsid w:val="008D33A3"/>
    <w:rsid w:val="008E257B"/>
    <w:rsid w:val="008E3581"/>
    <w:rsid w:val="00900096"/>
    <w:rsid w:val="0090130E"/>
    <w:rsid w:val="00902663"/>
    <w:rsid w:val="00903825"/>
    <w:rsid w:val="00904B7A"/>
    <w:rsid w:val="00917B09"/>
    <w:rsid w:val="00926047"/>
    <w:rsid w:val="00927800"/>
    <w:rsid w:val="009343CB"/>
    <w:rsid w:val="00937F70"/>
    <w:rsid w:val="00940EAA"/>
    <w:rsid w:val="00964036"/>
    <w:rsid w:val="009717BB"/>
    <w:rsid w:val="009832EF"/>
    <w:rsid w:val="00995F5D"/>
    <w:rsid w:val="009A3B50"/>
    <w:rsid w:val="009B734B"/>
    <w:rsid w:val="009C2E8E"/>
    <w:rsid w:val="009C3F01"/>
    <w:rsid w:val="009C684B"/>
    <w:rsid w:val="00A14249"/>
    <w:rsid w:val="00A16ADF"/>
    <w:rsid w:val="00A249E1"/>
    <w:rsid w:val="00A26D96"/>
    <w:rsid w:val="00A32962"/>
    <w:rsid w:val="00A360E0"/>
    <w:rsid w:val="00A5739F"/>
    <w:rsid w:val="00A70892"/>
    <w:rsid w:val="00A712BD"/>
    <w:rsid w:val="00A765AF"/>
    <w:rsid w:val="00A90DEE"/>
    <w:rsid w:val="00A92B90"/>
    <w:rsid w:val="00A94618"/>
    <w:rsid w:val="00A95526"/>
    <w:rsid w:val="00A97DE4"/>
    <w:rsid w:val="00AA22D6"/>
    <w:rsid w:val="00AA7FCB"/>
    <w:rsid w:val="00AB4709"/>
    <w:rsid w:val="00AB6192"/>
    <w:rsid w:val="00AB7517"/>
    <w:rsid w:val="00AC4637"/>
    <w:rsid w:val="00AC6125"/>
    <w:rsid w:val="00AC7C10"/>
    <w:rsid w:val="00AD18E3"/>
    <w:rsid w:val="00AD6866"/>
    <w:rsid w:val="00AE4011"/>
    <w:rsid w:val="00B07408"/>
    <w:rsid w:val="00B11316"/>
    <w:rsid w:val="00B217CA"/>
    <w:rsid w:val="00B22E5A"/>
    <w:rsid w:val="00B3022B"/>
    <w:rsid w:val="00B35FA4"/>
    <w:rsid w:val="00B40057"/>
    <w:rsid w:val="00B43A0C"/>
    <w:rsid w:val="00B5255C"/>
    <w:rsid w:val="00B5398A"/>
    <w:rsid w:val="00B7669C"/>
    <w:rsid w:val="00B76F79"/>
    <w:rsid w:val="00B80153"/>
    <w:rsid w:val="00B824AE"/>
    <w:rsid w:val="00B84A45"/>
    <w:rsid w:val="00B86B9D"/>
    <w:rsid w:val="00B870B4"/>
    <w:rsid w:val="00BA0752"/>
    <w:rsid w:val="00BB16DB"/>
    <w:rsid w:val="00BC0442"/>
    <w:rsid w:val="00BC2DFF"/>
    <w:rsid w:val="00BC2F16"/>
    <w:rsid w:val="00BC3837"/>
    <w:rsid w:val="00BC6DE6"/>
    <w:rsid w:val="00BD2EE4"/>
    <w:rsid w:val="00C07A7D"/>
    <w:rsid w:val="00C10C13"/>
    <w:rsid w:val="00C10FE2"/>
    <w:rsid w:val="00C1610C"/>
    <w:rsid w:val="00C170D9"/>
    <w:rsid w:val="00C17AF3"/>
    <w:rsid w:val="00C2134A"/>
    <w:rsid w:val="00C30D26"/>
    <w:rsid w:val="00C33451"/>
    <w:rsid w:val="00C3450F"/>
    <w:rsid w:val="00C425DC"/>
    <w:rsid w:val="00C46518"/>
    <w:rsid w:val="00C47A6E"/>
    <w:rsid w:val="00C56587"/>
    <w:rsid w:val="00C81131"/>
    <w:rsid w:val="00C8179B"/>
    <w:rsid w:val="00C82EF4"/>
    <w:rsid w:val="00C96E0E"/>
    <w:rsid w:val="00CB074F"/>
    <w:rsid w:val="00CB4652"/>
    <w:rsid w:val="00CB5223"/>
    <w:rsid w:val="00CB61F0"/>
    <w:rsid w:val="00CC42E4"/>
    <w:rsid w:val="00CE3111"/>
    <w:rsid w:val="00CE3B67"/>
    <w:rsid w:val="00CE5678"/>
    <w:rsid w:val="00CE6EE8"/>
    <w:rsid w:val="00D01873"/>
    <w:rsid w:val="00D0557A"/>
    <w:rsid w:val="00D10AE1"/>
    <w:rsid w:val="00D10D1E"/>
    <w:rsid w:val="00D53BD7"/>
    <w:rsid w:val="00D6795F"/>
    <w:rsid w:val="00D81675"/>
    <w:rsid w:val="00D9408C"/>
    <w:rsid w:val="00DC1CBF"/>
    <w:rsid w:val="00DC2C23"/>
    <w:rsid w:val="00DD195E"/>
    <w:rsid w:val="00DD5126"/>
    <w:rsid w:val="00E25AA6"/>
    <w:rsid w:val="00E31C24"/>
    <w:rsid w:val="00E36809"/>
    <w:rsid w:val="00E40C7D"/>
    <w:rsid w:val="00E417D3"/>
    <w:rsid w:val="00E55384"/>
    <w:rsid w:val="00E56014"/>
    <w:rsid w:val="00E630BE"/>
    <w:rsid w:val="00E831FF"/>
    <w:rsid w:val="00E87ACE"/>
    <w:rsid w:val="00E91DFB"/>
    <w:rsid w:val="00E959BD"/>
    <w:rsid w:val="00E9760D"/>
    <w:rsid w:val="00EA4519"/>
    <w:rsid w:val="00EB1208"/>
    <w:rsid w:val="00ED4BF4"/>
    <w:rsid w:val="00ED4D14"/>
    <w:rsid w:val="00ED50AA"/>
    <w:rsid w:val="00EE1988"/>
    <w:rsid w:val="00EE7944"/>
    <w:rsid w:val="00EF0671"/>
    <w:rsid w:val="00EF1B4B"/>
    <w:rsid w:val="00F050BE"/>
    <w:rsid w:val="00F13CD2"/>
    <w:rsid w:val="00F20624"/>
    <w:rsid w:val="00F237B4"/>
    <w:rsid w:val="00F27BD8"/>
    <w:rsid w:val="00F41273"/>
    <w:rsid w:val="00F42E92"/>
    <w:rsid w:val="00F4356C"/>
    <w:rsid w:val="00F45F52"/>
    <w:rsid w:val="00F464A4"/>
    <w:rsid w:val="00F65C66"/>
    <w:rsid w:val="00F74798"/>
    <w:rsid w:val="00F777CD"/>
    <w:rsid w:val="00F8469A"/>
    <w:rsid w:val="00F90474"/>
    <w:rsid w:val="00F911EA"/>
    <w:rsid w:val="00FA39AD"/>
    <w:rsid w:val="00FB0E00"/>
    <w:rsid w:val="00FB3701"/>
    <w:rsid w:val="00FB6273"/>
    <w:rsid w:val="00FC716A"/>
    <w:rsid w:val="00FE103F"/>
    <w:rsid w:val="00FE1723"/>
    <w:rsid w:val="00FE7416"/>
    <w:rsid w:val="01761E20"/>
    <w:rsid w:val="068517DD"/>
    <w:rsid w:val="07121ECD"/>
    <w:rsid w:val="099F5C8C"/>
    <w:rsid w:val="0C397E5A"/>
    <w:rsid w:val="0C5B7962"/>
    <w:rsid w:val="0CB724D4"/>
    <w:rsid w:val="0D4B0002"/>
    <w:rsid w:val="0EEC62A2"/>
    <w:rsid w:val="122F55FA"/>
    <w:rsid w:val="12DE5A77"/>
    <w:rsid w:val="12E04937"/>
    <w:rsid w:val="137147FA"/>
    <w:rsid w:val="178B6F98"/>
    <w:rsid w:val="17C52D61"/>
    <w:rsid w:val="1AA14504"/>
    <w:rsid w:val="1CEC30FA"/>
    <w:rsid w:val="1E0060DB"/>
    <w:rsid w:val="20AD3D47"/>
    <w:rsid w:val="24550A29"/>
    <w:rsid w:val="25C90B7D"/>
    <w:rsid w:val="28027565"/>
    <w:rsid w:val="2A473AAA"/>
    <w:rsid w:val="2B617AAE"/>
    <w:rsid w:val="2C9D1ED0"/>
    <w:rsid w:val="36BD89E7"/>
    <w:rsid w:val="36D701E2"/>
    <w:rsid w:val="37272C76"/>
    <w:rsid w:val="37DE255E"/>
    <w:rsid w:val="38F90665"/>
    <w:rsid w:val="39D915C1"/>
    <w:rsid w:val="3A2F3CA6"/>
    <w:rsid w:val="3A6B5230"/>
    <w:rsid w:val="3F1C37ED"/>
    <w:rsid w:val="3FAA32AB"/>
    <w:rsid w:val="42D760AB"/>
    <w:rsid w:val="44E55B76"/>
    <w:rsid w:val="47CD4185"/>
    <w:rsid w:val="48285800"/>
    <w:rsid w:val="48370557"/>
    <w:rsid w:val="494843FE"/>
    <w:rsid w:val="4A0A14A3"/>
    <w:rsid w:val="4C0F12D9"/>
    <w:rsid w:val="4D396A5F"/>
    <w:rsid w:val="525D6FC8"/>
    <w:rsid w:val="55F61D5C"/>
    <w:rsid w:val="562D479A"/>
    <w:rsid w:val="56A628B7"/>
    <w:rsid w:val="584E1253"/>
    <w:rsid w:val="5DFF5C92"/>
    <w:rsid w:val="5F5226F9"/>
    <w:rsid w:val="5FEFF8A8"/>
    <w:rsid w:val="60144BDF"/>
    <w:rsid w:val="629C3B65"/>
    <w:rsid w:val="67073DC9"/>
    <w:rsid w:val="6742516C"/>
    <w:rsid w:val="67BC4C56"/>
    <w:rsid w:val="680259FD"/>
    <w:rsid w:val="684051B6"/>
    <w:rsid w:val="68837B3A"/>
    <w:rsid w:val="69B744D7"/>
    <w:rsid w:val="6A0A783C"/>
    <w:rsid w:val="6B4429AD"/>
    <w:rsid w:val="6D8D67D1"/>
    <w:rsid w:val="6DE5298B"/>
    <w:rsid w:val="6FA3261F"/>
    <w:rsid w:val="70A463CC"/>
    <w:rsid w:val="732D5E85"/>
    <w:rsid w:val="74B34C81"/>
    <w:rsid w:val="759F5B15"/>
    <w:rsid w:val="797747E5"/>
    <w:rsid w:val="7B2D1CCA"/>
    <w:rsid w:val="7BC51E3B"/>
    <w:rsid w:val="7BE21E4D"/>
    <w:rsid w:val="7C284E1D"/>
    <w:rsid w:val="7CF54DCF"/>
    <w:rsid w:val="7D720F1B"/>
    <w:rsid w:val="7DC07A2C"/>
    <w:rsid w:val="7FB7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ody Text"/>
    <w:next w:val="1"/>
    <w:link w:val="13"/>
    <w:qFormat/>
    <w:uiPriority w:val="0"/>
    <w:pPr>
      <w:jc w:val="center"/>
    </w:pPr>
    <w:rPr>
      <w:rFonts w:eastAsia="微软雅黑" w:cs="Times New Roman" w:asciiTheme="minorHAnsi" w:hAnsiTheme="minorHAnsi"/>
      <w:kern w:val="2"/>
      <w:sz w:val="24"/>
      <w:lang w:val="en-US" w:eastAsia="zh-CN"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0"/>
    <w:rPr>
      <w:sz w:val="18"/>
      <w:szCs w:val="18"/>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3"/>
    <w:qFormat/>
    <w:uiPriority w:val="0"/>
    <w:rPr>
      <w:rFonts w:eastAsia="微软雅黑" w:cs="Times New Roman"/>
      <w:sz w:val="24"/>
      <w:szCs w:val="20"/>
    </w:rPr>
  </w:style>
  <w:style w:type="character" w:customStyle="1" w:styleId="14">
    <w:name w:val="批注文字 字符"/>
    <w:basedOn w:val="9"/>
    <w:link w:val="2"/>
    <w:qFormat/>
    <w:uiPriority w:val="99"/>
    <w:rPr>
      <w:kern w:val="2"/>
      <w:sz w:val="21"/>
      <w:szCs w:val="21"/>
    </w:rPr>
  </w:style>
  <w:style w:type="character" w:customStyle="1" w:styleId="15">
    <w:name w:val="批注主题 字符"/>
    <w:basedOn w:val="14"/>
    <w:link w:val="6"/>
    <w:semiHidden/>
    <w:qFormat/>
    <w:uiPriority w:val="99"/>
    <w:rPr>
      <w:b/>
      <w:bCs/>
      <w:kern w:val="2"/>
      <w:sz w:val="21"/>
      <w:szCs w:val="21"/>
    </w:rPr>
  </w:style>
  <w:style w:type="paragraph" w:styleId="16">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3069</Words>
  <Characters>3208</Characters>
  <Lines>35</Lines>
  <Paragraphs>10</Paragraphs>
  <TotalTime>15</TotalTime>
  <ScaleCrop>false</ScaleCrop>
  <LinksUpToDate>false</LinksUpToDate>
  <CharactersWithSpaces>3211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2024-01-10T03:47:00Z</dcterms:created>
  <dc:creator>俊超 杨</dc:creator>
  <cp:lastModifiedBy>huawei</cp:lastModifiedBy>
  <cp:lastPrinted>2024-01-23T19:36:00Z</cp:lastPrinted>
  <dcterms:modified xsi:type="dcterms:W3CDTF">2026-02-03T15:51:22Z</dcterms:modified>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E9563A3EF58B4342B0FA8BC7F3FBC951_13</vt:lpwstr>
  </property>
  <property fmtid="{D5CDD505-2E9C-101B-9397-08002B2CF9AE}" pid="4" name="KSOTemplateDocerSaveRecord">
    <vt:lpwstr>eyJoZGlkIjoiMWVjODg1YmJhOWJiYzg4N2NiOTEwMTRlM2IwMmQ0ZjMiLCJ1c2VySWQiOiIzODg2MTE5NjYifQ==</vt:lpwstr>
  </property>
</Properties>
</file>