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48"/>
          <w:szCs w:val="48"/>
          <w:lang w:eastAsia="zh-CN"/>
        </w:rPr>
      </w:pPr>
      <w:r>
        <w:rPr>
          <w:rFonts w:hint="eastAsia" w:ascii="仿宋_GB2312" w:hAnsi="仿宋_GB2312" w:eastAsia="仿宋_GB2312" w:cs="仿宋_GB2312"/>
          <w:b/>
          <w:bCs/>
          <w:color w:val="000000"/>
          <w:sz w:val="48"/>
          <w:szCs w:val="48"/>
        </w:rPr>
        <w:t>东莞市</w:t>
      </w:r>
      <w:r>
        <w:rPr>
          <w:rFonts w:hint="eastAsia" w:ascii="仿宋_GB2312" w:hAnsi="仿宋_GB2312" w:eastAsia="仿宋_GB2312" w:cs="仿宋_GB2312"/>
          <w:b/>
          <w:bCs/>
          <w:color w:val="000000"/>
          <w:sz w:val="48"/>
          <w:szCs w:val="48"/>
          <w:lang w:eastAsia="zh-CN"/>
        </w:rPr>
        <w:t>谢岗镇</w:t>
      </w:r>
      <w:r>
        <w:rPr>
          <w:rFonts w:hint="eastAsia" w:ascii="仿宋_GB2312" w:hAnsi="仿宋_GB2312" w:eastAsia="仿宋_GB2312" w:cs="仿宋_GB2312"/>
          <w:b/>
          <w:bCs/>
          <w:color w:val="000000"/>
          <w:sz w:val="48"/>
          <w:szCs w:val="48"/>
        </w:rPr>
        <w:t>社区卫生服务中心202</w:t>
      </w:r>
      <w:r>
        <w:rPr>
          <w:rFonts w:hint="eastAsia" w:ascii="仿宋_GB2312" w:hAnsi="仿宋_GB2312" w:eastAsia="仿宋_GB2312" w:cs="仿宋_GB2312"/>
          <w:b/>
          <w:bCs/>
          <w:color w:val="000000"/>
          <w:sz w:val="48"/>
          <w:szCs w:val="48"/>
          <w:lang w:val="en-US" w:eastAsia="zh-CN"/>
        </w:rPr>
        <w:t>6</w:t>
      </w:r>
      <w:r>
        <w:rPr>
          <w:rFonts w:hint="eastAsia" w:ascii="仿宋_GB2312" w:hAnsi="仿宋_GB2312" w:eastAsia="仿宋_GB2312" w:cs="仿宋_GB2312"/>
          <w:b/>
          <w:bCs/>
          <w:color w:val="000000"/>
          <w:sz w:val="48"/>
          <w:szCs w:val="48"/>
        </w:rPr>
        <w:t>年招聘</w:t>
      </w:r>
      <w:r>
        <w:rPr>
          <w:rFonts w:hint="eastAsia" w:ascii="仿宋_GB2312" w:hAnsi="仿宋_GB2312" w:eastAsia="仿宋_GB2312" w:cs="仿宋_GB2312"/>
          <w:b/>
          <w:bCs/>
          <w:sz w:val="48"/>
          <w:szCs w:val="48"/>
          <w:lang w:eastAsia="zh-CN"/>
        </w:rPr>
        <w:t>纳入岗位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sz w:val="48"/>
          <w:szCs w:val="48"/>
        </w:rPr>
      </w:pPr>
      <w:r>
        <w:rPr>
          <w:rFonts w:hint="eastAsia" w:ascii="仿宋_GB2312" w:hAnsi="仿宋_GB2312" w:eastAsia="仿宋_GB2312" w:cs="仿宋_GB2312"/>
          <w:b/>
          <w:bCs/>
          <w:sz w:val="48"/>
          <w:szCs w:val="48"/>
          <w:lang w:eastAsia="zh-CN"/>
        </w:rPr>
        <w:t>管理的编</w:t>
      </w:r>
      <w:r>
        <w:rPr>
          <w:rFonts w:hint="eastAsia" w:ascii="仿宋_GB2312" w:hAnsi="仿宋_GB2312" w:eastAsia="仿宋_GB2312" w:cs="仿宋_GB2312"/>
          <w:b/>
          <w:bCs/>
          <w:sz w:val="48"/>
          <w:szCs w:val="48"/>
        </w:rPr>
        <w:t>制外人员</w:t>
      </w:r>
      <w:r>
        <w:rPr>
          <w:rFonts w:hint="eastAsia" w:ascii="仿宋_GB2312" w:hAnsi="仿宋_GB2312" w:eastAsia="仿宋_GB2312" w:cs="仿宋_GB2312"/>
          <w:b/>
          <w:bCs/>
          <w:sz w:val="48"/>
          <w:szCs w:val="48"/>
          <w:lang w:eastAsia="zh-CN"/>
        </w:rPr>
        <w:t>岗位表</w:t>
      </w:r>
    </w:p>
    <w:tbl>
      <w:tblPr>
        <w:tblStyle w:val="9"/>
        <w:tblpPr w:leftFromText="180" w:rightFromText="180" w:vertAnchor="page" w:horzAnchor="page" w:tblpX="757" w:tblpY="3702"/>
        <w:tblW w:w="148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5"/>
        <w:gridCol w:w="873"/>
        <w:gridCol w:w="1241"/>
        <w:gridCol w:w="1268"/>
        <w:gridCol w:w="755"/>
        <w:gridCol w:w="738"/>
        <w:gridCol w:w="2611"/>
        <w:gridCol w:w="1691"/>
        <w:gridCol w:w="1600"/>
        <w:gridCol w:w="31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845"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pacing w:val="20"/>
                <w:sz w:val="21"/>
                <w:szCs w:val="21"/>
              </w:rPr>
            </w:pPr>
            <w:r>
              <w:rPr>
                <w:rFonts w:eastAsia="仿宋_GB2312"/>
                <w:b/>
                <w:spacing w:val="20"/>
                <w:sz w:val="21"/>
                <w:szCs w:val="21"/>
              </w:rPr>
              <w:t>序号</w:t>
            </w:r>
          </w:p>
        </w:tc>
        <w:tc>
          <w:tcPr>
            <w:tcW w:w="873"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z w:val="21"/>
                <w:szCs w:val="21"/>
              </w:rPr>
            </w:pPr>
            <w:r>
              <w:rPr>
                <w:rFonts w:eastAsia="仿宋_GB2312"/>
                <w:b/>
                <w:sz w:val="21"/>
                <w:szCs w:val="21"/>
              </w:rPr>
              <w:t>岗位</w:t>
            </w:r>
            <w:r>
              <w:rPr>
                <w:rFonts w:hint="eastAsia" w:eastAsia="仿宋_GB2312"/>
                <w:b/>
                <w:sz w:val="21"/>
                <w:szCs w:val="21"/>
                <w:lang w:val="en-US" w:eastAsia="zh-CN"/>
              </w:rPr>
              <w:t xml:space="preserve"> </w:t>
            </w:r>
            <w:r>
              <w:rPr>
                <w:rFonts w:eastAsia="仿宋_GB2312"/>
                <w:b/>
                <w:sz w:val="21"/>
                <w:szCs w:val="21"/>
              </w:rPr>
              <w:t>名称</w:t>
            </w:r>
          </w:p>
        </w:tc>
        <w:tc>
          <w:tcPr>
            <w:tcW w:w="124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z w:val="21"/>
                <w:szCs w:val="21"/>
              </w:rPr>
            </w:pPr>
            <w:r>
              <w:rPr>
                <w:rFonts w:eastAsia="仿宋_GB2312"/>
                <w:b/>
                <w:sz w:val="21"/>
                <w:szCs w:val="21"/>
              </w:rPr>
              <w:t>岗位</w:t>
            </w:r>
            <w:r>
              <w:rPr>
                <w:rFonts w:hint="eastAsia" w:eastAsia="仿宋_GB2312"/>
                <w:b/>
                <w:sz w:val="21"/>
                <w:szCs w:val="21"/>
              </w:rPr>
              <w:t>类别</w:t>
            </w:r>
          </w:p>
        </w:tc>
        <w:tc>
          <w:tcPr>
            <w:tcW w:w="1268"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z w:val="21"/>
                <w:szCs w:val="21"/>
              </w:rPr>
            </w:pPr>
            <w:r>
              <w:rPr>
                <w:rFonts w:hint="eastAsia" w:eastAsia="仿宋_GB2312"/>
                <w:b/>
                <w:sz w:val="21"/>
                <w:szCs w:val="21"/>
              </w:rPr>
              <w:t>岗位等级</w:t>
            </w:r>
          </w:p>
        </w:tc>
        <w:tc>
          <w:tcPr>
            <w:tcW w:w="75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z w:val="21"/>
                <w:szCs w:val="21"/>
              </w:rPr>
            </w:pPr>
            <w:r>
              <w:rPr>
                <w:rFonts w:eastAsia="仿宋_GB2312"/>
                <w:b/>
                <w:sz w:val="21"/>
                <w:szCs w:val="21"/>
              </w:rPr>
              <w:t>岗位</w:t>
            </w:r>
            <w:r>
              <w:rPr>
                <w:rFonts w:hint="eastAsia" w:eastAsia="仿宋_GB2312"/>
                <w:b/>
                <w:sz w:val="21"/>
                <w:szCs w:val="21"/>
                <w:lang w:val="en-US" w:eastAsia="zh-CN"/>
              </w:rPr>
              <w:t xml:space="preserve">   </w:t>
            </w:r>
            <w:r>
              <w:rPr>
                <w:rFonts w:eastAsia="仿宋_GB2312"/>
                <w:b/>
                <w:sz w:val="21"/>
                <w:szCs w:val="21"/>
              </w:rPr>
              <w:t>代码</w:t>
            </w:r>
          </w:p>
        </w:tc>
        <w:tc>
          <w:tcPr>
            <w:tcW w:w="738"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pacing w:val="20"/>
                <w:sz w:val="21"/>
                <w:szCs w:val="21"/>
              </w:rPr>
            </w:pPr>
            <w:r>
              <w:rPr>
                <w:rFonts w:eastAsia="仿宋_GB2312"/>
                <w:b/>
                <w:spacing w:val="20"/>
                <w:sz w:val="21"/>
                <w:szCs w:val="21"/>
              </w:rPr>
              <w:t>招聘人数</w:t>
            </w:r>
          </w:p>
        </w:tc>
        <w:tc>
          <w:tcPr>
            <w:tcW w:w="261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pacing w:val="20"/>
                <w:sz w:val="21"/>
                <w:szCs w:val="21"/>
              </w:rPr>
            </w:pPr>
            <w:r>
              <w:rPr>
                <w:rFonts w:eastAsia="仿宋_GB2312"/>
                <w:b/>
                <w:spacing w:val="20"/>
                <w:sz w:val="21"/>
                <w:szCs w:val="21"/>
              </w:rPr>
              <w:t>专业</w:t>
            </w:r>
          </w:p>
        </w:tc>
        <w:tc>
          <w:tcPr>
            <w:tcW w:w="169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pacing w:val="20"/>
                <w:sz w:val="21"/>
                <w:szCs w:val="21"/>
              </w:rPr>
            </w:pPr>
            <w:r>
              <w:rPr>
                <w:rFonts w:eastAsia="仿宋_GB2312"/>
                <w:b/>
                <w:spacing w:val="20"/>
                <w:sz w:val="21"/>
                <w:szCs w:val="21"/>
              </w:rPr>
              <w:t>学历学位</w:t>
            </w:r>
          </w:p>
        </w:tc>
        <w:tc>
          <w:tcPr>
            <w:tcW w:w="160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pacing w:val="20"/>
                <w:sz w:val="21"/>
                <w:szCs w:val="21"/>
              </w:rPr>
            </w:pPr>
            <w:r>
              <w:rPr>
                <w:rFonts w:eastAsia="仿宋_GB2312"/>
                <w:b/>
                <w:spacing w:val="20"/>
                <w:sz w:val="21"/>
                <w:szCs w:val="21"/>
              </w:rPr>
              <w:t>职称</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pacing w:val="20"/>
                <w:sz w:val="21"/>
                <w:szCs w:val="21"/>
              </w:rPr>
            </w:pPr>
            <w:r>
              <w:rPr>
                <w:rFonts w:hint="eastAsia" w:eastAsia="仿宋_GB2312"/>
                <w:b/>
                <w:spacing w:val="20"/>
                <w:sz w:val="21"/>
                <w:szCs w:val="21"/>
              </w:rPr>
              <w:t>技能</w:t>
            </w:r>
          </w:p>
        </w:tc>
        <w:tc>
          <w:tcPr>
            <w:tcW w:w="3187"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b/>
                <w:sz w:val="21"/>
                <w:szCs w:val="21"/>
              </w:rPr>
            </w:pPr>
            <w:r>
              <w:rPr>
                <w:rFonts w:eastAsia="仿宋_GB2312"/>
                <w:b/>
                <w:sz w:val="21"/>
                <w:szCs w:val="21"/>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845"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873" w:type="dxa"/>
            <w:tcBorders>
              <w:top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全科</w:t>
            </w:r>
          </w:p>
          <w:p>
            <w:pPr>
              <w:widowControl/>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医生</w:t>
            </w:r>
          </w:p>
        </w:tc>
        <w:tc>
          <w:tcPr>
            <w:tcW w:w="1241" w:type="dxa"/>
            <w:tcBorders>
              <w:top w:val="single" w:color="auto" w:sz="4" w:space="0"/>
            </w:tcBorders>
            <w:noWrap w:val="0"/>
            <w:vAlign w:val="center"/>
          </w:tcPr>
          <w:p>
            <w:pPr>
              <w:spacing w:line="3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专业技术岗位</w:t>
            </w:r>
          </w:p>
        </w:tc>
        <w:tc>
          <w:tcPr>
            <w:tcW w:w="1268" w:type="dxa"/>
            <w:tcBorders>
              <w:top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专业技术十二级以上</w:t>
            </w:r>
          </w:p>
        </w:tc>
        <w:tc>
          <w:tcPr>
            <w:tcW w:w="755" w:type="dxa"/>
            <w:tcBorders>
              <w:top w:val="single" w:color="auto" w:sz="4" w:space="0"/>
            </w:tcBorders>
            <w:noWrap w:val="0"/>
            <w:vAlign w:val="center"/>
          </w:tcPr>
          <w:p>
            <w:pPr>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001</w:t>
            </w:r>
          </w:p>
        </w:tc>
        <w:tc>
          <w:tcPr>
            <w:tcW w:w="738" w:type="dxa"/>
            <w:tcBorders>
              <w:top w:val="single" w:color="auto" w:sz="4" w:space="0"/>
            </w:tcBorders>
            <w:noWrap w:val="0"/>
            <w:vAlign w:val="center"/>
          </w:tcPr>
          <w:p>
            <w:pPr>
              <w:widowControl/>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2611" w:type="dxa"/>
            <w:tcBorders>
              <w:top w:val="single" w:color="auto" w:sz="4" w:space="0"/>
            </w:tcBorders>
            <w:noWrap w:val="0"/>
            <w:vAlign w:val="center"/>
          </w:tcPr>
          <w:p>
            <w:pPr>
              <w:tabs>
                <w:tab w:val="right" w:pos="1325"/>
              </w:tabs>
              <w:spacing w:line="340" w:lineRule="exact"/>
              <w:ind w:left="240" w:leftChars="0" w:hanging="240" w:hangingChars="10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内科学   （A100201）                  临床医学（B100301)</w:t>
            </w:r>
          </w:p>
        </w:tc>
        <w:tc>
          <w:tcPr>
            <w:tcW w:w="1691" w:type="dxa"/>
            <w:tcBorders>
              <w:top w:val="single" w:color="auto" w:sz="4" w:space="0"/>
            </w:tcBorders>
            <w:noWrap w:val="0"/>
            <w:vAlign w:val="center"/>
          </w:tcPr>
          <w:p>
            <w:pPr>
              <w:spacing w:line="34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本科及以上,学士学位及以上</w:t>
            </w:r>
          </w:p>
        </w:tc>
        <w:tc>
          <w:tcPr>
            <w:tcW w:w="1600" w:type="dxa"/>
            <w:tcBorders>
              <w:top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执业医师以上职称</w:t>
            </w:r>
          </w:p>
        </w:tc>
        <w:tc>
          <w:tcPr>
            <w:tcW w:w="3187" w:type="dxa"/>
            <w:tcBorders>
              <w:top w:val="single" w:color="auto" w:sz="4" w:space="0"/>
              <w:right w:val="single" w:color="auto" w:sz="4" w:space="0"/>
            </w:tcBorders>
            <w:noWrap w:val="0"/>
            <w:vAlign w:val="center"/>
          </w:tcPr>
          <w:p>
            <w:pPr>
              <w:numPr>
                <w:ilvl w:val="0"/>
                <w:numId w:val="0"/>
              </w:numPr>
              <w:spacing w:line="3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1.取得执业医师证；</w:t>
            </w:r>
          </w:p>
          <w:p>
            <w:pPr>
              <w:numPr>
                <w:ilvl w:val="0"/>
                <w:numId w:val="0"/>
              </w:numPr>
              <w:spacing w:line="3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2.年龄35周岁及以下,中级及以上职称年龄可放宽至45周岁及以下;</w:t>
            </w:r>
          </w:p>
          <w:p>
            <w:pPr>
              <w:numPr>
                <w:ilvl w:val="0"/>
                <w:numId w:val="0"/>
              </w:numPr>
              <w:spacing w:line="3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3.从事全科诊疗工作2年及以上；                 </w:t>
            </w:r>
          </w:p>
          <w:p>
            <w:pPr>
              <w:numPr>
                <w:ilvl w:val="0"/>
                <w:numId w:val="0"/>
              </w:numPr>
              <w:spacing w:line="340" w:lineRule="exact"/>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4.已注册为全科专业的人员。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845"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873"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妇科</w:t>
            </w:r>
            <w:r>
              <w:rPr>
                <w:rFonts w:hint="eastAsia" w:ascii="仿宋_GB2312" w:hAnsi="仿宋_GB2312" w:eastAsia="仿宋_GB2312" w:cs="仿宋_GB2312"/>
                <w:color w:val="000000"/>
                <w:kern w:val="0"/>
                <w:sz w:val="24"/>
                <w:szCs w:val="24"/>
              </w:rPr>
              <w:t>医生</w:t>
            </w:r>
          </w:p>
        </w:tc>
        <w:tc>
          <w:tcPr>
            <w:tcW w:w="1241"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专业技术岗位</w:t>
            </w:r>
          </w:p>
        </w:tc>
        <w:tc>
          <w:tcPr>
            <w:tcW w:w="1268"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专业技术十二级以上</w:t>
            </w:r>
          </w:p>
        </w:tc>
        <w:tc>
          <w:tcPr>
            <w:tcW w:w="755" w:type="dxa"/>
            <w:tcBorders>
              <w:bottom w:val="single" w:color="auto" w:sz="4" w:space="0"/>
            </w:tcBorders>
            <w:noWrap w:val="0"/>
            <w:vAlign w:val="center"/>
          </w:tcPr>
          <w:p>
            <w:pPr>
              <w:spacing w:line="34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002</w:t>
            </w:r>
          </w:p>
        </w:tc>
        <w:tc>
          <w:tcPr>
            <w:tcW w:w="738" w:type="dxa"/>
            <w:tcBorders>
              <w:bottom w:val="single" w:color="auto" w:sz="4" w:space="0"/>
            </w:tcBorders>
            <w:noWrap w:val="0"/>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highlight w:val="none"/>
                <w:lang w:val="en-US" w:eastAsia="zh-CN"/>
              </w:rPr>
              <w:t>1</w:t>
            </w:r>
          </w:p>
        </w:tc>
        <w:tc>
          <w:tcPr>
            <w:tcW w:w="2611" w:type="dxa"/>
            <w:tcBorders>
              <w:bottom w:val="single" w:color="auto" w:sz="4" w:space="0"/>
            </w:tcBorders>
            <w:noWrap w:val="0"/>
            <w:vAlign w:val="center"/>
          </w:tcPr>
          <w:p>
            <w:pPr>
              <w:tabs>
                <w:tab w:val="right" w:pos="1325"/>
              </w:tabs>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rPr>
              <w:t>内科学（A100201）       妇产科学（A100211）     临床医学（B100301</w:t>
            </w:r>
            <w:r>
              <w:rPr>
                <w:rFonts w:hint="eastAsia" w:ascii="仿宋_GB2312" w:hAnsi="仿宋_GB2312" w:eastAsia="仿宋_GB2312" w:cs="仿宋_GB2312"/>
                <w:color w:val="000000"/>
                <w:sz w:val="24"/>
                <w:szCs w:val="24"/>
                <w:lang w:eastAsia="zh-CN"/>
              </w:rPr>
              <w:t>）</w:t>
            </w:r>
          </w:p>
        </w:tc>
        <w:tc>
          <w:tcPr>
            <w:tcW w:w="1691"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本科及以上,学士学位及以上</w:t>
            </w:r>
          </w:p>
        </w:tc>
        <w:tc>
          <w:tcPr>
            <w:tcW w:w="1600"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执业医师以上职称</w:t>
            </w:r>
          </w:p>
        </w:tc>
        <w:tc>
          <w:tcPr>
            <w:tcW w:w="3187" w:type="dxa"/>
            <w:tcBorders>
              <w:bottom w:val="single" w:color="auto" w:sz="4" w:space="0"/>
              <w:right w:val="single" w:color="auto" w:sz="4" w:space="0"/>
            </w:tcBorders>
            <w:noWrap w:val="0"/>
            <w:vAlign w:val="center"/>
          </w:tcPr>
          <w:p>
            <w:pPr>
              <w:numPr>
                <w:ilvl w:val="0"/>
                <w:numId w:val="0"/>
              </w:numPr>
              <w:spacing w:line="340" w:lineRule="exact"/>
              <w:rPr>
                <w:rFonts w:hint="eastAsia"/>
                <w:sz w:val="24"/>
                <w:szCs w:val="24"/>
                <w:lang w:val="en-US" w:eastAsia="zh-CN"/>
              </w:rPr>
            </w:pPr>
            <w:r>
              <w:rPr>
                <w:rFonts w:hint="eastAsia" w:ascii="仿宋_GB2312" w:hAnsi="仿宋_GB2312" w:eastAsia="仿宋_GB2312" w:cs="仿宋_GB2312"/>
                <w:sz w:val="24"/>
                <w:szCs w:val="24"/>
                <w:lang w:val="en-US" w:eastAsia="zh-CN"/>
              </w:rPr>
              <w:t>1.取得执业医师证；</w:t>
            </w:r>
          </w:p>
          <w:p>
            <w:pPr>
              <w:pStyle w:val="7"/>
              <w:ind w:left="0" w:leftChars="0" w:firstLine="0" w:firstLineChars="0"/>
              <w:rPr>
                <w:rFonts w:hint="eastAsia"/>
                <w:sz w:val="24"/>
                <w:szCs w:val="24"/>
                <w:lang w:val="en-US" w:eastAsia="zh-CN"/>
              </w:rPr>
            </w:pPr>
            <w:r>
              <w:rPr>
                <w:rFonts w:hint="eastAsia" w:ascii="仿宋_GB2312" w:hAnsi="仿宋_GB2312" w:eastAsia="仿宋_GB2312" w:cs="仿宋_GB2312"/>
                <w:sz w:val="24"/>
                <w:szCs w:val="24"/>
                <w:lang w:val="en-US" w:eastAsia="zh-CN"/>
              </w:rPr>
              <w:t xml:space="preserve">2.年龄35周岁及以下,中级及以上职称年龄可放宽至45周岁及以下;  </w:t>
            </w:r>
          </w:p>
          <w:p>
            <w:pPr>
              <w:numPr>
                <w:ilvl w:val="0"/>
                <w:numId w:val="0"/>
              </w:numPr>
              <w:spacing w:line="340" w:lineRule="exact"/>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3.从事妇科诊疗工作2年及以上。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3" w:hRule="atLeast"/>
          <w:jc w:val="center"/>
        </w:trPr>
        <w:tc>
          <w:tcPr>
            <w:tcW w:w="845"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873"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B超</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lang w:eastAsia="zh-CN"/>
              </w:rPr>
              <w:t>医生</w:t>
            </w:r>
          </w:p>
        </w:tc>
        <w:tc>
          <w:tcPr>
            <w:tcW w:w="1241"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专业技术岗位</w:t>
            </w:r>
          </w:p>
        </w:tc>
        <w:tc>
          <w:tcPr>
            <w:tcW w:w="1268"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专业技术十二级以上</w:t>
            </w:r>
          </w:p>
        </w:tc>
        <w:tc>
          <w:tcPr>
            <w:tcW w:w="755" w:type="dxa"/>
            <w:tcBorders>
              <w:bottom w:val="single" w:color="auto" w:sz="4" w:space="0"/>
            </w:tcBorders>
            <w:noWrap w:val="0"/>
            <w:vAlign w:val="center"/>
          </w:tcPr>
          <w:p>
            <w:pPr>
              <w:spacing w:line="34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003</w:t>
            </w:r>
          </w:p>
        </w:tc>
        <w:tc>
          <w:tcPr>
            <w:tcW w:w="738" w:type="dxa"/>
            <w:tcBorders>
              <w:bottom w:val="single" w:color="auto" w:sz="4" w:space="0"/>
            </w:tcBorders>
            <w:noWrap w:val="0"/>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611" w:type="dxa"/>
            <w:tcBorders>
              <w:bottom w:val="single" w:color="auto" w:sz="4" w:space="0"/>
            </w:tcBorders>
            <w:noWrap w:val="0"/>
            <w:vAlign w:val="center"/>
          </w:tcPr>
          <w:p>
            <w:pPr>
              <w:tabs>
                <w:tab w:val="right" w:pos="1325"/>
              </w:tabs>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rPr>
              <w:t>医学影像学（B100303）</w:t>
            </w:r>
          </w:p>
        </w:tc>
        <w:tc>
          <w:tcPr>
            <w:tcW w:w="1691"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本科及以上,学士学位及以上</w:t>
            </w:r>
          </w:p>
        </w:tc>
        <w:tc>
          <w:tcPr>
            <w:tcW w:w="1600"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执业医师以上职称</w:t>
            </w:r>
          </w:p>
        </w:tc>
        <w:tc>
          <w:tcPr>
            <w:tcW w:w="3187" w:type="dxa"/>
            <w:tcBorders>
              <w:bottom w:val="single" w:color="auto" w:sz="4" w:space="0"/>
              <w:right w:val="single" w:color="auto" w:sz="4" w:space="0"/>
            </w:tcBorders>
            <w:noWrap w:val="0"/>
            <w:vAlign w:val="center"/>
          </w:tcPr>
          <w:p>
            <w:pPr>
              <w:numPr>
                <w:ilvl w:val="0"/>
                <w:numId w:val="0"/>
              </w:numPr>
              <w:spacing w:line="3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1.取得执业医师证；</w:t>
            </w:r>
          </w:p>
          <w:p>
            <w:pPr>
              <w:pStyle w:val="7"/>
              <w:numPr>
                <w:ilvl w:val="0"/>
                <w:numId w:val="0"/>
              </w:numPr>
              <w:rPr>
                <w:rFonts w:hint="eastAsia"/>
                <w:sz w:val="24"/>
                <w:szCs w:val="24"/>
                <w:lang w:val="en-US" w:eastAsia="zh-CN"/>
              </w:rPr>
            </w:pPr>
            <w:r>
              <w:rPr>
                <w:rFonts w:hint="eastAsia" w:ascii="仿宋_GB2312" w:hAnsi="仿宋_GB2312" w:eastAsia="仿宋_GB2312" w:cs="仿宋_GB2312"/>
                <w:sz w:val="24"/>
                <w:szCs w:val="24"/>
                <w:lang w:val="en-US" w:eastAsia="zh-CN"/>
              </w:rPr>
              <w:t>2.年龄35周岁及以下,中级及以上职称年龄可放宽至45周岁及以下;</w:t>
            </w:r>
          </w:p>
          <w:p>
            <w:pPr>
              <w:numPr>
                <w:ilvl w:val="0"/>
                <w:numId w:val="0"/>
              </w:numPr>
              <w:spacing w:line="340" w:lineRule="exact"/>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.从事B超</w:t>
            </w:r>
            <w:r>
              <w:rPr>
                <w:rFonts w:hint="eastAsia" w:ascii="仿宋_GB2312" w:hAnsi="仿宋_GB2312" w:eastAsia="仿宋_GB2312" w:cs="仿宋_GB2312"/>
                <w:sz w:val="24"/>
                <w:szCs w:val="24"/>
                <w:lang w:eastAsia="zh-CN"/>
              </w:rPr>
              <w:t>检查</w:t>
            </w:r>
            <w:r>
              <w:rPr>
                <w:rFonts w:hint="eastAsia" w:ascii="仿宋_GB2312" w:hAnsi="仿宋_GB2312" w:eastAsia="仿宋_GB2312" w:cs="仿宋_GB2312"/>
                <w:sz w:val="24"/>
                <w:szCs w:val="24"/>
              </w:rPr>
              <w:t>工作2年</w:t>
            </w:r>
            <w:r>
              <w:rPr>
                <w:rFonts w:hint="eastAsia" w:ascii="仿宋_GB2312" w:hAnsi="仿宋_GB2312" w:eastAsia="仿宋_GB2312" w:cs="仿宋_GB2312"/>
                <w:sz w:val="24"/>
                <w:szCs w:val="24"/>
                <w:lang w:eastAsia="zh-CN"/>
              </w:rPr>
              <w:t>及</w:t>
            </w:r>
            <w:r>
              <w:rPr>
                <w:rFonts w:hint="eastAsia" w:ascii="仿宋_GB2312" w:hAnsi="仿宋_GB2312" w:eastAsia="仿宋_GB2312" w:cs="仿宋_GB2312"/>
                <w:sz w:val="24"/>
                <w:szCs w:val="24"/>
              </w:rPr>
              <w:t>以上</w:t>
            </w:r>
            <w:r>
              <w:rPr>
                <w:rFonts w:hint="eastAsia" w:ascii="仿宋_GB2312" w:hAnsi="仿宋_GB2312" w:eastAsia="仿宋_GB2312" w:cs="仿宋_GB2312"/>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845"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873"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中医生</w:t>
            </w:r>
          </w:p>
        </w:tc>
        <w:tc>
          <w:tcPr>
            <w:tcW w:w="1241"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专业技术岗位</w:t>
            </w:r>
          </w:p>
        </w:tc>
        <w:tc>
          <w:tcPr>
            <w:tcW w:w="1268"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专业技术十二级以上</w:t>
            </w:r>
          </w:p>
        </w:tc>
        <w:tc>
          <w:tcPr>
            <w:tcW w:w="755" w:type="dxa"/>
            <w:tcBorders>
              <w:bottom w:val="single" w:color="auto" w:sz="4" w:space="0"/>
            </w:tcBorders>
            <w:noWrap w:val="0"/>
            <w:vAlign w:val="center"/>
          </w:tcPr>
          <w:p>
            <w:pPr>
              <w:spacing w:line="34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004</w:t>
            </w:r>
          </w:p>
        </w:tc>
        <w:tc>
          <w:tcPr>
            <w:tcW w:w="738" w:type="dxa"/>
            <w:tcBorders>
              <w:bottom w:val="single" w:color="auto" w:sz="4" w:space="0"/>
            </w:tcBorders>
            <w:noWrap w:val="0"/>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611" w:type="dxa"/>
            <w:tcBorders>
              <w:bottom w:val="single" w:color="auto" w:sz="4" w:space="0"/>
            </w:tcBorders>
            <w:noWrap w:val="0"/>
            <w:vAlign w:val="center"/>
          </w:tcPr>
          <w:p>
            <w:pPr>
              <w:tabs>
                <w:tab w:val="right" w:pos="1325"/>
              </w:tabs>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中医内科学（A100506）     中医骨伤科学（A100508）              中医儿科学（A100510）         中医学（B100801）</w:t>
            </w:r>
          </w:p>
          <w:p>
            <w:pPr>
              <w:tabs>
                <w:tab w:val="right" w:pos="1325"/>
              </w:tabs>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针灸推拿学（B100802）</w:t>
            </w:r>
          </w:p>
          <w:p>
            <w:pPr>
              <w:tabs>
                <w:tab w:val="right" w:pos="1325"/>
              </w:tabs>
              <w:spacing w:line="340" w:lineRule="exact"/>
              <w:jc w:val="center"/>
              <w:rPr>
                <w:rFonts w:hint="default"/>
                <w:sz w:val="24"/>
                <w:szCs w:val="24"/>
                <w:lang w:val="en-US" w:eastAsia="zh-CN"/>
              </w:rPr>
            </w:pPr>
            <w:r>
              <w:rPr>
                <w:rFonts w:hint="default" w:ascii="仿宋_GB2312" w:hAnsi="仿宋_GB2312" w:eastAsia="仿宋_GB2312" w:cs="仿宋_GB2312"/>
                <w:sz w:val="24"/>
                <w:szCs w:val="24"/>
                <w:lang w:val="en-US" w:eastAsia="zh-CN"/>
              </w:rPr>
              <w:t>中西医结合临床（A100602）</w:t>
            </w:r>
          </w:p>
        </w:tc>
        <w:tc>
          <w:tcPr>
            <w:tcW w:w="1691"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本科及以上,学士学位及以上</w:t>
            </w:r>
          </w:p>
        </w:tc>
        <w:tc>
          <w:tcPr>
            <w:tcW w:w="1600"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执业医师以上职称</w:t>
            </w:r>
          </w:p>
        </w:tc>
        <w:tc>
          <w:tcPr>
            <w:tcW w:w="3187" w:type="dxa"/>
            <w:tcBorders>
              <w:bottom w:val="single" w:color="auto" w:sz="4" w:space="0"/>
              <w:right w:val="single" w:color="auto" w:sz="4" w:space="0"/>
            </w:tcBorders>
            <w:noWrap w:val="0"/>
            <w:vAlign w:val="center"/>
          </w:tcPr>
          <w:p>
            <w:pPr>
              <w:numPr>
                <w:ilvl w:val="0"/>
                <w:numId w:val="0"/>
              </w:numPr>
              <w:spacing w:line="3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1.取得执业医师证;</w:t>
            </w:r>
          </w:p>
          <w:p>
            <w:pPr>
              <w:numPr>
                <w:ilvl w:val="0"/>
                <w:numId w:val="0"/>
              </w:numPr>
              <w:spacing w:line="3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2.年龄35周岁及以下,中级及以上职称年龄可放宽至45周岁及以下;</w:t>
            </w:r>
          </w:p>
          <w:p>
            <w:pPr>
              <w:numPr>
                <w:ilvl w:val="0"/>
                <w:numId w:val="0"/>
              </w:numPr>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.从事中医诊疗工作2年</w:t>
            </w:r>
            <w:r>
              <w:rPr>
                <w:rFonts w:hint="eastAsia" w:ascii="仿宋_GB2312" w:hAnsi="仿宋_GB2312" w:eastAsia="仿宋_GB2312" w:cs="仿宋_GB2312"/>
                <w:sz w:val="24"/>
                <w:szCs w:val="24"/>
                <w:lang w:eastAsia="zh-CN"/>
              </w:rPr>
              <w:t>及</w:t>
            </w:r>
            <w:r>
              <w:rPr>
                <w:rFonts w:hint="eastAsia" w:ascii="仿宋_GB2312" w:hAnsi="仿宋_GB2312" w:eastAsia="仿宋_GB2312" w:cs="仿宋_GB2312"/>
                <w:sz w:val="24"/>
                <w:szCs w:val="24"/>
              </w:rPr>
              <w:t>以上</w:t>
            </w:r>
            <w:r>
              <w:rPr>
                <w:rFonts w:hint="eastAsia" w:ascii="仿宋_GB2312" w:hAnsi="仿宋_GB2312" w:eastAsia="仿宋_GB2312" w:cs="仿宋_GB2312"/>
                <w:sz w:val="24"/>
                <w:szCs w:val="24"/>
                <w:lang w:eastAsia="zh-CN"/>
              </w:rPr>
              <w:t>。</w:t>
            </w:r>
          </w:p>
          <w:p>
            <w:pPr>
              <w:numPr>
                <w:ilvl w:val="0"/>
                <w:numId w:val="0"/>
              </w:numPr>
              <w:spacing w:line="340" w:lineRule="exact"/>
              <w:ind w:left="0" w:leftChars="0" w:firstLine="0" w:firstLineChars="0"/>
              <w:rPr>
                <w:rFonts w:hint="default"/>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84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873" w:type="dxa"/>
            <w:noWrap w:val="0"/>
            <w:vAlign w:val="center"/>
          </w:tcPr>
          <w:p>
            <w:pPr>
              <w:widowControl/>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儿科医生</w:t>
            </w:r>
          </w:p>
        </w:tc>
        <w:tc>
          <w:tcPr>
            <w:tcW w:w="1241" w:type="dxa"/>
            <w:noWrap w:val="0"/>
            <w:vAlign w:val="center"/>
          </w:tcPr>
          <w:p>
            <w:pPr>
              <w:spacing w:line="3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专业技术岗位</w:t>
            </w:r>
          </w:p>
        </w:tc>
        <w:tc>
          <w:tcPr>
            <w:tcW w:w="1268"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专业技术十二级以上</w:t>
            </w:r>
          </w:p>
        </w:tc>
        <w:tc>
          <w:tcPr>
            <w:tcW w:w="755" w:type="dxa"/>
            <w:noWrap w:val="0"/>
            <w:vAlign w:val="center"/>
          </w:tcPr>
          <w:p>
            <w:pPr>
              <w:spacing w:line="34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005</w:t>
            </w:r>
          </w:p>
        </w:tc>
        <w:tc>
          <w:tcPr>
            <w:tcW w:w="738" w:type="dxa"/>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611" w:type="dxa"/>
            <w:noWrap w:val="0"/>
            <w:vAlign w:val="center"/>
          </w:tcPr>
          <w:p>
            <w:pPr>
              <w:pStyle w:val="7"/>
              <w:ind w:left="0" w:leftChars="0" w:firstLine="0" w:firstLineChars="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儿科学</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A100202</w:t>
            </w:r>
            <w:r>
              <w:rPr>
                <w:rFonts w:hint="eastAsia" w:ascii="仿宋_GB2312" w:hAnsi="仿宋_GB2312" w:eastAsia="仿宋_GB2312" w:cs="仿宋_GB2312"/>
                <w:sz w:val="24"/>
                <w:szCs w:val="24"/>
                <w:lang w:val="en-US" w:eastAsia="zh-CN"/>
              </w:rPr>
              <w:t>）</w:t>
            </w:r>
          </w:p>
          <w:p>
            <w:pPr>
              <w:pStyle w:val="7"/>
              <w:ind w:left="0" w:leftChars="0" w:firstLine="0" w:firstLineChars="0"/>
              <w:jc w:val="center"/>
              <w:rPr>
                <w:rFonts w:hint="eastAsia"/>
                <w:sz w:val="24"/>
                <w:szCs w:val="24"/>
                <w:lang w:val="en-US" w:eastAsia="zh-CN"/>
              </w:rPr>
            </w:pPr>
            <w:r>
              <w:rPr>
                <w:rFonts w:hint="default" w:ascii="仿宋_GB2312" w:hAnsi="仿宋_GB2312" w:eastAsia="仿宋_GB2312" w:cs="仿宋_GB2312"/>
                <w:sz w:val="24"/>
                <w:szCs w:val="24"/>
                <w:lang w:val="en-US" w:eastAsia="zh-CN"/>
              </w:rPr>
              <w:t>儿科医学（B100301）</w:t>
            </w:r>
          </w:p>
          <w:p>
            <w:pPr>
              <w:pStyle w:val="7"/>
              <w:ind w:left="0" w:leftChars="0" w:firstLine="0" w:firstLineChars="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临床医学（B100301)</w:t>
            </w:r>
          </w:p>
        </w:tc>
        <w:tc>
          <w:tcPr>
            <w:tcW w:w="1691" w:type="dxa"/>
            <w:noWrap w:val="0"/>
            <w:vAlign w:val="center"/>
          </w:tcPr>
          <w:p>
            <w:pPr>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本科及以上</w:t>
            </w:r>
            <w:r>
              <w:rPr>
                <w:rFonts w:hint="eastAsia" w:ascii="仿宋_GB2312" w:hAnsi="仿宋_GB2312" w:eastAsia="仿宋_GB2312" w:cs="仿宋_GB2312"/>
                <w:color w:val="000000"/>
                <w:sz w:val="24"/>
                <w:szCs w:val="24"/>
                <w:lang w:val="en-US" w:eastAsia="zh-CN"/>
              </w:rPr>
              <w:t>,学士学位及以上</w:t>
            </w:r>
          </w:p>
        </w:tc>
        <w:tc>
          <w:tcPr>
            <w:tcW w:w="1600" w:type="dxa"/>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执业医师以上职称</w:t>
            </w:r>
          </w:p>
        </w:tc>
        <w:tc>
          <w:tcPr>
            <w:tcW w:w="3187" w:type="dxa"/>
            <w:tcBorders>
              <w:right w:val="single" w:color="auto" w:sz="4" w:space="0"/>
            </w:tcBorders>
            <w:noWrap w:val="0"/>
            <w:vAlign w:val="center"/>
          </w:tcPr>
          <w:p>
            <w:pPr>
              <w:numPr>
                <w:ilvl w:val="0"/>
                <w:numId w:val="0"/>
              </w:numPr>
              <w:spacing w:line="3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1.取得执业医师证；</w:t>
            </w:r>
          </w:p>
          <w:p>
            <w:pPr>
              <w:pStyle w:val="7"/>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2.年龄35周岁及以下,中级及以上职称年龄可放宽至45周岁及以下;</w:t>
            </w:r>
          </w:p>
          <w:p>
            <w:pPr>
              <w:numPr>
                <w:ilvl w:val="0"/>
                <w:numId w:val="0"/>
              </w:numPr>
              <w:spacing w:line="340" w:lineRule="exact"/>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3.从事儿科诊疗工作2年及以上；</w:t>
            </w:r>
          </w:p>
          <w:p>
            <w:pPr>
              <w:pStyle w:val="7"/>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4.已注册为儿科专业的人员。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84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仿宋_GB2312" w:hAnsi="仿宋_GB2312" w:eastAsia="仿宋_GB2312" w:cs="仿宋_GB2312"/>
                <w:color w:val="auto"/>
                <w:sz w:val="24"/>
                <w:szCs w:val="24"/>
                <w:highlight w:val="none"/>
                <w:lang w:val="en-US" w:eastAsia="zh-CN" w:bidi="zh-TW"/>
              </w:rPr>
            </w:pPr>
            <w:r>
              <w:rPr>
                <w:rFonts w:hint="eastAsia" w:ascii="仿宋_GB2312" w:hAnsi="仿宋_GB2312" w:eastAsia="仿宋_GB2312" w:cs="仿宋_GB2312"/>
                <w:color w:val="auto"/>
                <w:sz w:val="24"/>
                <w:szCs w:val="24"/>
                <w:highlight w:val="none"/>
                <w:lang w:val="en-US" w:eastAsia="zh-CN"/>
              </w:rPr>
              <w:t>6</w:t>
            </w:r>
          </w:p>
        </w:tc>
        <w:tc>
          <w:tcPr>
            <w:tcW w:w="873" w:type="dxa"/>
            <w:noWrap w:val="0"/>
            <w:vAlign w:val="center"/>
          </w:tcPr>
          <w:p>
            <w:pPr>
              <w:widowControl/>
              <w:jc w:val="center"/>
              <w:textAlignment w:val="center"/>
              <w:rPr>
                <w:rFonts w:hint="eastAsia" w:ascii="仿宋_GB2312" w:hAnsi="仿宋_GB2312" w:eastAsia="仿宋_GB2312" w:cs="仿宋_GB2312"/>
                <w:color w:val="000000"/>
                <w:kern w:val="0"/>
                <w:sz w:val="24"/>
                <w:szCs w:val="24"/>
                <w:lang w:val="zh-TW" w:eastAsia="zh-CN" w:bidi="zh-TW"/>
              </w:rPr>
            </w:pPr>
            <w:r>
              <w:rPr>
                <w:rFonts w:hint="eastAsia" w:ascii="仿宋_GB2312" w:hAnsi="仿宋_GB2312" w:eastAsia="仿宋_GB2312" w:cs="仿宋_GB2312"/>
                <w:color w:val="000000"/>
                <w:kern w:val="0"/>
                <w:sz w:val="24"/>
                <w:szCs w:val="24"/>
                <w:lang w:eastAsia="zh-CN"/>
              </w:rPr>
              <w:t>口腔医生</w:t>
            </w:r>
          </w:p>
        </w:tc>
        <w:tc>
          <w:tcPr>
            <w:tcW w:w="1241" w:type="dxa"/>
            <w:noWrap w:val="0"/>
            <w:vAlign w:val="center"/>
          </w:tcPr>
          <w:p>
            <w:pPr>
              <w:spacing w:line="340" w:lineRule="exact"/>
              <w:jc w:val="center"/>
              <w:rPr>
                <w:rFonts w:hint="eastAsia" w:ascii="仿宋_GB2312" w:hAnsi="仿宋_GB2312" w:eastAsia="仿宋_GB2312" w:cs="仿宋_GB2312"/>
                <w:color w:val="000000"/>
                <w:kern w:val="0"/>
                <w:sz w:val="24"/>
                <w:szCs w:val="24"/>
                <w:lang w:val="zh-TW" w:eastAsia="zh-TW" w:bidi="zh-TW"/>
              </w:rPr>
            </w:pPr>
            <w:r>
              <w:rPr>
                <w:rFonts w:hint="eastAsia" w:ascii="仿宋_GB2312" w:hAnsi="仿宋_GB2312" w:eastAsia="仿宋_GB2312" w:cs="仿宋_GB2312"/>
                <w:color w:val="000000"/>
                <w:kern w:val="0"/>
                <w:sz w:val="24"/>
                <w:szCs w:val="24"/>
              </w:rPr>
              <w:t>专业技术岗位</w:t>
            </w:r>
          </w:p>
        </w:tc>
        <w:tc>
          <w:tcPr>
            <w:tcW w:w="1268" w:type="dxa"/>
            <w:noWrap w:val="0"/>
            <w:vAlign w:val="center"/>
          </w:tcPr>
          <w:p>
            <w:pPr>
              <w:widowControl/>
              <w:jc w:val="center"/>
              <w:textAlignment w:val="center"/>
              <w:rPr>
                <w:rFonts w:hint="eastAsia" w:ascii="仿宋_GB2312" w:hAnsi="仿宋_GB2312" w:eastAsia="仿宋_GB2312" w:cs="仿宋_GB2312"/>
                <w:color w:val="000000"/>
                <w:kern w:val="0"/>
                <w:sz w:val="24"/>
                <w:szCs w:val="24"/>
                <w:lang w:val="zh-TW" w:eastAsia="zh-TW" w:bidi="zh-TW"/>
              </w:rPr>
            </w:pPr>
            <w:r>
              <w:rPr>
                <w:rFonts w:hint="eastAsia" w:ascii="仿宋_GB2312" w:hAnsi="仿宋_GB2312" w:eastAsia="仿宋_GB2312" w:cs="仿宋_GB2312"/>
                <w:color w:val="000000"/>
                <w:kern w:val="0"/>
                <w:sz w:val="24"/>
                <w:szCs w:val="24"/>
              </w:rPr>
              <w:t>专业技术十二级以上</w:t>
            </w:r>
          </w:p>
        </w:tc>
        <w:tc>
          <w:tcPr>
            <w:tcW w:w="755" w:type="dxa"/>
            <w:noWrap w:val="0"/>
            <w:vAlign w:val="center"/>
          </w:tcPr>
          <w:p>
            <w:pPr>
              <w:spacing w:line="340" w:lineRule="exact"/>
              <w:jc w:val="center"/>
              <w:rPr>
                <w:rFonts w:hint="eastAsia" w:ascii="仿宋_GB2312" w:hAnsi="仿宋_GB2312" w:eastAsia="仿宋_GB2312" w:cs="仿宋_GB2312"/>
                <w:color w:val="000000"/>
                <w:sz w:val="24"/>
                <w:szCs w:val="24"/>
                <w:lang w:val="en-US" w:eastAsia="zh-CN" w:bidi="zh-TW"/>
              </w:rPr>
            </w:pPr>
            <w:r>
              <w:rPr>
                <w:rFonts w:hint="eastAsia" w:ascii="仿宋_GB2312" w:hAnsi="仿宋_GB2312" w:eastAsia="仿宋_GB2312" w:cs="仿宋_GB2312"/>
                <w:color w:val="000000"/>
                <w:sz w:val="24"/>
                <w:szCs w:val="24"/>
                <w:lang w:val="en-US" w:eastAsia="zh-CN"/>
              </w:rPr>
              <w:t>006</w:t>
            </w:r>
          </w:p>
        </w:tc>
        <w:tc>
          <w:tcPr>
            <w:tcW w:w="738" w:type="dxa"/>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bidi="zh-TW"/>
              </w:rPr>
            </w:pPr>
            <w:r>
              <w:rPr>
                <w:rFonts w:hint="eastAsia" w:ascii="仿宋_GB2312" w:hAnsi="仿宋_GB2312" w:eastAsia="仿宋_GB2312" w:cs="仿宋_GB2312"/>
                <w:color w:val="000000"/>
                <w:sz w:val="24"/>
                <w:szCs w:val="24"/>
                <w:lang w:val="en-US" w:eastAsia="zh-CN"/>
              </w:rPr>
              <w:t>1</w:t>
            </w:r>
          </w:p>
        </w:tc>
        <w:tc>
          <w:tcPr>
            <w:tcW w:w="2611" w:type="dxa"/>
            <w:noWrap w:val="0"/>
            <w:vAlign w:val="center"/>
          </w:tcPr>
          <w:p>
            <w:pPr>
              <w:pStyle w:val="7"/>
              <w:ind w:left="0" w:leftChars="0" w:firstLine="0" w:firstLineChars="0"/>
              <w:jc w:val="center"/>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口腔基础医学</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A100301</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 xml:space="preserve">            口腔临床医学</w:t>
            </w:r>
            <w:r>
              <w:rPr>
                <w:rFonts w:hint="eastAsia"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lang w:val="en-US" w:eastAsia="zh-CN"/>
              </w:rPr>
              <w:t>A100302</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 xml:space="preserve">             口腔医学</w:t>
            </w:r>
          </w:p>
          <w:p>
            <w:pPr>
              <w:pStyle w:val="7"/>
              <w:ind w:left="0" w:leftChars="0" w:firstLine="0" w:firstLineChars="0"/>
              <w:jc w:val="center"/>
              <w:rPr>
                <w:rFonts w:hint="eastAsia"/>
                <w:sz w:val="24"/>
                <w:szCs w:val="24"/>
                <w:lang w:val="en-US" w:eastAsia="zh-CN"/>
              </w:rPr>
            </w:pP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B100601</w:t>
            </w:r>
            <w:r>
              <w:rPr>
                <w:rFonts w:hint="eastAsia" w:ascii="仿宋_GB2312" w:hAnsi="仿宋_GB2312" w:eastAsia="仿宋_GB2312" w:cs="仿宋_GB2312"/>
                <w:sz w:val="24"/>
                <w:szCs w:val="24"/>
                <w:lang w:val="en-US" w:eastAsia="zh-CN"/>
              </w:rPr>
              <w:t>）</w:t>
            </w:r>
          </w:p>
          <w:p>
            <w:pPr>
              <w:pStyle w:val="7"/>
              <w:ind w:left="480" w:leftChars="200"/>
              <w:jc w:val="center"/>
              <w:rPr>
                <w:rFonts w:hint="default" w:ascii="仿宋_GB2312" w:hAnsi="仿宋_GB2312" w:eastAsia="仿宋_GB2312" w:cs="仿宋_GB2312"/>
                <w:color w:val="000000"/>
                <w:sz w:val="24"/>
                <w:szCs w:val="24"/>
                <w:lang w:val="en-US" w:eastAsia="zh-CN" w:bidi="zh-TW"/>
              </w:rPr>
            </w:pPr>
          </w:p>
        </w:tc>
        <w:tc>
          <w:tcPr>
            <w:tcW w:w="1691" w:type="dxa"/>
            <w:noWrap w:val="0"/>
            <w:vAlign w:val="center"/>
          </w:tcPr>
          <w:p>
            <w:pPr>
              <w:spacing w:line="340" w:lineRule="exact"/>
              <w:jc w:val="center"/>
              <w:rPr>
                <w:rFonts w:hint="eastAsia" w:ascii="仿宋_GB2312" w:hAnsi="仿宋_GB2312" w:eastAsia="仿宋_GB2312" w:cs="仿宋_GB2312"/>
                <w:color w:val="000000"/>
                <w:sz w:val="24"/>
                <w:szCs w:val="24"/>
                <w:lang w:val="zh-TW" w:eastAsia="zh-CN" w:bidi="zh-TW"/>
              </w:rPr>
            </w:pPr>
            <w:r>
              <w:rPr>
                <w:rFonts w:hint="eastAsia" w:ascii="仿宋_GB2312" w:hAnsi="仿宋_GB2312" w:eastAsia="仿宋_GB2312" w:cs="仿宋_GB2312"/>
                <w:color w:val="000000"/>
                <w:sz w:val="24"/>
                <w:szCs w:val="24"/>
                <w:lang w:eastAsia="zh-CN"/>
              </w:rPr>
              <w:t>本科及以上</w:t>
            </w:r>
            <w:r>
              <w:rPr>
                <w:rFonts w:hint="eastAsia" w:ascii="仿宋_GB2312" w:hAnsi="仿宋_GB2312" w:eastAsia="仿宋_GB2312" w:cs="仿宋_GB2312"/>
                <w:color w:val="000000"/>
                <w:sz w:val="24"/>
                <w:szCs w:val="24"/>
                <w:lang w:val="en-US" w:eastAsia="zh-CN"/>
              </w:rPr>
              <w:t>,学士学位及以上</w:t>
            </w:r>
          </w:p>
        </w:tc>
        <w:tc>
          <w:tcPr>
            <w:tcW w:w="1600" w:type="dxa"/>
            <w:noWrap w:val="0"/>
            <w:vAlign w:val="center"/>
          </w:tcPr>
          <w:p>
            <w:pPr>
              <w:spacing w:line="340" w:lineRule="exact"/>
              <w:jc w:val="center"/>
              <w:rPr>
                <w:rFonts w:hint="eastAsia" w:ascii="仿宋_GB2312" w:hAnsi="仿宋_GB2312" w:eastAsia="仿宋_GB2312" w:cs="仿宋_GB2312"/>
                <w:color w:val="000000"/>
                <w:sz w:val="24"/>
                <w:szCs w:val="24"/>
                <w:lang w:val="zh-TW" w:eastAsia="zh-TW" w:bidi="zh-TW"/>
              </w:rPr>
            </w:pPr>
            <w:r>
              <w:rPr>
                <w:rFonts w:hint="eastAsia" w:ascii="仿宋_GB2312" w:hAnsi="仿宋_GB2312" w:eastAsia="仿宋_GB2312" w:cs="仿宋_GB2312"/>
                <w:color w:val="000000"/>
                <w:sz w:val="24"/>
                <w:szCs w:val="24"/>
              </w:rPr>
              <w:t>执业医师以上职称</w:t>
            </w:r>
          </w:p>
        </w:tc>
        <w:tc>
          <w:tcPr>
            <w:tcW w:w="3187" w:type="dxa"/>
            <w:tcBorders>
              <w:right w:val="single" w:color="auto" w:sz="4" w:space="0"/>
            </w:tcBorders>
            <w:noWrap w:val="0"/>
            <w:vAlign w:val="center"/>
          </w:tcPr>
          <w:p>
            <w:pPr>
              <w:numPr>
                <w:ilvl w:val="0"/>
                <w:numId w:val="0"/>
              </w:numPr>
              <w:spacing w:line="3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1.取得执业医师证；</w:t>
            </w:r>
          </w:p>
          <w:p>
            <w:pPr>
              <w:pStyle w:val="7"/>
              <w:numPr>
                <w:ilvl w:val="0"/>
                <w:numId w:val="0"/>
              </w:numPr>
              <w:rPr>
                <w:rFonts w:hint="eastAsia"/>
                <w:sz w:val="24"/>
                <w:szCs w:val="24"/>
                <w:lang w:val="en-US" w:eastAsia="zh-CN"/>
              </w:rPr>
            </w:pPr>
            <w:r>
              <w:rPr>
                <w:rFonts w:hint="eastAsia" w:ascii="仿宋_GB2312" w:hAnsi="仿宋_GB2312" w:eastAsia="仿宋_GB2312" w:cs="仿宋_GB2312"/>
                <w:sz w:val="24"/>
                <w:szCs w:val="24"/>
                <w:lang w:val="en-US" w:eastAsia="zh-CN"/>
              </w:rPr>
              <w:t>2.年龄35周岁及以下,中级及以上职称年龄可放宽至45周岁及以下;</w:t>
            </w:r>
          </w:p>
          <w:p>
            <w:pPr>
              <w:numPr>
                <w:ilvl w:val="0"/>
                <w:numId w:val="0"/>
              </w:numPr>
              <w:spacing w:line="340" w:lineRule="exact"/>
              <w:ind w:left="0" w:leftChars="0" w:firstLine="0" w:firstLineChars="0"/>
              <w:rPr>
                <w:rFonts w:hint="eastAsia" w:ascii="仿宋_GB2312" w:hAnsi="仿宋_GB2312" w:eastAsia="仿宋_GB2312" w:cs="仿宋_GB2312"/>
                <w:color w:val="000000"/>
                <w:sz w:val="24"/>
                <w:szCs w:val="24"/>
                <w:lang w:val="en-US" w:eastAsia="zh-CN" w:bidi="zh-TW"/>
              </w:rPr>
            </w:pPr>
            <w:r>
              <w:rPr>
                <w:rFonts w:hint="eastAsia" w:ascii="仿宋_GB2312" w:hAnsi="仿宋_GB2312" w:eastAsia="仿宋_GB2312" w:cs="仿宋_GB2312"/>
                <w:sz w:val="24"/>
                <w:szCs w:val="24"/>
                <w:lang w:val="en-US" w:eastAsia="zh-CN"/>
              </w:rPr>
              <w:t>3.从事口腔诊疗工作2年及以上。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84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仿宋_GB2312" w:hAnsi="仿宋_GB2312" w:eastAsia="仿宋_GB2312" w:cs="仿宋_GB2312"/>
                <w:color w:val="auto"/>
                <w:sz w:val="24"/>
                <w:szCs w:val="24"/>
                <w:highlight w:val="none"/>
                <w:lang w:val="en-US" w:eastAsia="zh-CN" w:bidi="zh-TW"/>
              </w:rPr>
            </w:pPr>
            <w:r>
              <w:rPr>
                <w:rFonts w:hint="eastAsia" w:ascii="仿宋_GB2312" w:hAnsi="仿宋_GB2312" w:eastAsia="仿宋_GB2312" w:cs="仿宋_GB2312"/>
                <w:color w:val="auto"/>
                <w:sz w:val="24"/>
                <w:szCs w:val="24"/>
                <w:highlight w:val="none"/>
                <w:lang w:val="en-US" w:eastAsia="zh-CN"/>
              </w:rPr>
              <w:t>7</w:t>
            </w:r>
          </w:p>
        </w:tc>
        <w:tc>
          <w:tcPr>
            <w:tcW w:w="873" w:type="dxa"/>
            <w:noWrap w:val="0"/>
            <w:vAlign w:val="center"/>
          </w:tcPr>
          <w:p>
            <w:pPr>
              <w:widowControl/>
              <w:jc w:val="center"/>
              <w:textAlignment w:val="center"/>
              <w:rPr>
                <w:rFonts w:hint="eastAsia" w:ascii="仿宋_GB2312" w:hAnsi="仿宋_GB2312" w:eastAsia="仿宋_GB2312" w:cs="仿宋_GB2312"/>
                <w:color w:val="000000"/>
                <w:kern w:val="0"/>
                <w:sz w:val="24"/>
                <w:szCs w:val="24"/>
                <w:lang w:val="zh-TW" w:eastAsia="zh-CN" w:bidi="zh-TW"/>
              </w:rPr>
            </w:pPr>
            <w:r>
              <w:rPr>
                <w:rFonts w:hint="eastAsia" w:ascii="仿宋_GB2312" w:hAnsi="仿宋_GB2312" w:eastAsia="仿宋_GB2312" w:cs="仿宋_GB2312"/>
                <w:color w:val="000000"/>
                <w:kern w:val="0"/>
                <w:sz w:val="24"/>
                <w:szCs w:val="24"/>
                <w:lang w:eastAsia="zh-CN"/>
              </w:rPr>
              <w:t>公卫医生</w:t>
            </w:r>
          </w:p>
        </w:tc>
        <w:tc>
          <w:tcPr>
            <w:tcW w:w="1241" w:type="dxa"/>
            <w:noWrap w:val="0"/>
            <w:vAlign w:val="center"/>
          </w:tcPr>
          <w:p>
            <w:pPr>
              <w:spacing w:line="340" w:lineRule="exact"/>
              <w:jc w:val="center"/>
              <w:rPr>
                <w:rFonts w:hint="eastAsia" w:ascii="仿宋_GB2312" w:hAnsi="仿宋_GB2312" w:eastAsia="仿宋_GB2312" w:cs="仿宋_GB2312"/>
                <w:color w:val="000000"/>
                <w:kern w:val="0"/>
                <w:sz w:val="24"/>
                <w:szCs w:val="24"/>
                <w:lang w:val="zh-TW" w:eastAsia="zh-TW" w:bidi="zh-TW"/>
              </w:rPr>
            </w:pPr>
            <w:r>
              <w:rPr>
                <w:rFonts w:hint="eastAsia" w:ascii="仿宋_GB2312" w:hAnsi="仿宋_GB2312" w:eastAsia="仿宋_GB2312" w:cs="仿宋_GB2312"/>
                <w:color w:val="000000"/>
                <w:kern w:val="0"/>
                <w:sz w:val="24"/>
                <w:szCs w:val="24"/>
              </w:rPr>
              <w:t>专</w:t>
            </w:r>
            <w:bookmarkStart w:id="0" w:name="_GoBack"/>
            <w:bookmarkEnd w:id="0"/>
            <w:r>
              <w:rPr>
                <w:rFonts w:hint="eastAsia" w:ascii="仿宋_GB2312" w:hAnsi="仿宋_GB2312" w:eastAsia="仿宋_GB2312" w:cs="仿宋_GB2312"/>
                <w:color w:val="000000"/>
                <w:kern w:val="0"/>
                <w:sz w:val="24"/>
                <w:szCs w:val="24"/>
              </w:rPr>
              <w:t>业技术岗位</w:t>
            </w:r>
          </w:p>
        </w:tc>
        <w:tc>
          <w:tcPr>
            <w:tcW w:w="1268" w:type="dxa"/>
            <w:noWrap w:val="0"/>
            <w:vAlign w:val="center"/>
          </w:tcPr>
          <w:p>
            <w:pPr>
              <w:widowControl/>
              <w:jc w:val="center"/>
              <w:textAlignment w:val="center"/>
              <w:rPr>
                <w:rFonts w:hint="eastAsia" w:ascii="仿宋_GB2312" w:hAnsi="仿宋_GB2312" w:eastAsia="仿宋_GB2312" w:cs="仿宋_GB2312"/>
                <w:color w:val="000000"/>
                <w:kern w:val="0"/>
                <w:sz w:val="24"/>
                <w:szCs w:val="24"/>
                <w:lang w:val="zh-TW" w:eastAsia="zh-TW" w:bidi="zh-TW"/>
              </w:rPr>
            </w:pPr>
            <w:r>
              <w:rPr>
                <w:rFonts w:hint="eastAsia" w:ascii="仿宋_GB2312" w:hAnsi="仿宋_GB2312" w:eastAsia="仿宋_GB2312" w:cs="仿宋_GB2312"/>
                <w:color w:val="000000"/>
                <w:kern w:val="0"/>
                <w:sz w:val="24"/>
                <w:szCs w:val="24"/>
              </w:rPr>
              <w:t>专业技术十二级以上</w:t>
            </w:r>
          </w:p>
        </w:tc>
        <w:tc>
          <w:tcPr>
            <w:tcW w:w="755" w:type="dxa"/>
            <w:noWrap w:val="0"/>
            <w:vAlign w:val="center"/>
          </w:tcPr>
          <w:p>
            <w:pPr>
              <w:spacing w:line="340" w:lineRule="exact"/>
              <w:jc w:val="center"/>
              <w:rPr>
                <w:rFonts w:hint="eastAsia" w:ascii="仿宋_GB2312" w:hAnsi="仿宋_GB2312" w:eastAsia="仿宋_GB2312" w:cs="仿宋_GB2312"/>
                <w:color w:val="000000"/>
                <w:sz w:val="24"/>
                <w:szCs w:val="24"/>
                <w:lang w:val="en-US" w:eastAsia="zh-CN" w:bidi="zh-TW"/>
              </w:rPr>
            </w:pPr>
            <w:r>
              <w:rPr>
                <w:rFonts w:hint="eastAsia" w:ascii="仿宋_GB2312" w:hAnsi="仿宋_GB2312" w:eastAsia="仿宋_GB2312" w:cs="仿宋_GB2312"/>
                <w:color w:val="000000"/>
                <w:sz w:val="24"/>
                <w:szCs w:val="24"/>
                <w:lang w:val="en-US" w:eastAsia="zh-CN"/>
              </w:rPr>
              <w:t>007</w:t>
            </w:r>
          </w:p>
        </w:tc>
        <w:tc>
          <w:tcPr>
            <w:tcW w:w="738" w:type="dxa"/>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bidi="zh-TW"/>
              </w:rPr>
            </w:pPr>
            <w:r>
              <w:rPr>
                <w:rFonts w:hint="eastAsia" w:ascii="仿宋_GB2312" w:hAnsi="仿宋_GB2312" w:eastAsia="仿宋_GB2312" w:cs="仿宋_GB2312"/>
                <w:color w:val="000000"/>
                <w:sz w:val="24"/>
                <w:szCs w:val="24"/>
                <w:lang w:val="en-US" w:eastAsia="zh-CN"/>
              </w:rPr>
              <w:t>1</w:t>
            </w:r>
          </w:p>
        </w:tc>
        <w:tc>
          <w:tcPr>
            <w:tcW w:w="2611" w:type="dxa"/>
            <w:noWrap w:val="0"/>
            <w:vAlign w:val="center"/>
          </w:tcPr>
          <w:p>
            <w:pPr>
              <w:pStyle w:val="7"/>
              <w:ind w:left="0" w:leftChars="0" w:firstLine="0" w:firstLineChars="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流行病与卫生统计学        （A100401）                劳动卫生与环境卫生学（A100402）                儿少卫生与妇幼保健学（A100404）</w:t>
            </w:r>
          </w:p>
          <w:p>
            <w:pPr>
              <w:pStyle w:val="7"/>
              <w:ind w:left="0" w:leftChars="0" w:firstLine="0" w:firstLineChars="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预防医学         （B100701</w:t>
            </w:r>
          </w:p>
          <w:p>
            <w:pPr>
              <w:pStyle w:val="7"/>
              <w:ind w:left="0" w:leftChars="0" w:firstLine="0" w:firstLineChars="0"/>
              <w:jc w:val="center"/>
              <w:rPr>
                <w:rFonts w:hint="default" w:ascii="仿宋_GB2312" w:hAnsi="仿宋_GB2312" w:eastAsia="仿宋_GB2312" w:cs="仿宋_GB2312"/>
                <w:color w:val="000000"/>
                <w:sz w:val="24"/>
                <w:szCs w:val="24"/>
                <w:lang w:val="en-US" w:eastAsia="zh-CN" w:bidi="zh-TW"/>
              </w:rPr>
            </w:pPr>
            <w:r>
              <w:rPr>
                <w:rFonts w:hint="default" w:ascii="仿宋_GB2312" w:hAnsi="仿宋_GB2312" w:eastAsia="仿宋_GB2312" w:cs="仿宋_GB2312"/>
                <w:sz w:val="24"/>
                <w:szCs w:val="24"/>
                <w:lang w:val="en-US" w:eastAsia="zh-CN"/>
              </w:rPr>
              <w:t>妇幼保健医学           （B100703）                卫生监督           （B100704）</w:t>
            </w:r>
          </w:p>
        </w:tc>
        <w:tc>
          <w:tcPr>
            <w:tcW w:w="1691" w:type="dxa"/>
            <w:noWrap w:val="0"/>
            <w:vAlign w:val="center"/>
          </w:tcPr>
          <w:p>
            <w:pPr>
              <w:spacing w:line="340" w:lineRule="exact"/>
              <w:jc w:val="center"/>
              <w:rPr>
                <w:rFonts w:hint="eastAsia" w:ascii="仿宋_GB2312" w:hAnsi="仿宋_GB2312" w:eastAsia="仿宋_GB2312" w:cs="仿宋_GB2312"/>
                <w:color w:val="000000"/>
                <w:sz w:val="24"/>
                <w:szCs w:val="24"/>
                <w:lang w:val="zh-TW" w:eastAsia="zh-CN" w:bidi="zh-TW"/>
              </w:rPr>
            </w:pPr>
            <w:r>
              <w:rPr>
                <w:rFonts w:hint="eastAsia" w:ascii="仿宋_GB2312" w:hAnsi="仿宋_GB2312" w:eastAsia="仿宋_GB2312" w:cs="仿宋_GB2312"/>
                <w:color w:val="000000"/>
                <w:sz w:val="24"/>
                <w:szCs w:val="24"/>
                <w:lang w:eastAsia="zh-CN"/>
              </w:rPr>
              <w:t>本科及以上</w:t>
            </w:r>
            <w:r>
              <w:rPr>
                <w:rFonts w:hint="eastAsia" w:ascii="仿宋_GB2312" w:hAnsi="仿宋_GB2312" w:eastAsia="仿宋_GB2312" w:cs="仿宋_GB2312"/>
                <w:color w:val="000000"/>
                <w:sz w:val="24"/>
                <w:szCs w:val="24"/>
                <w:lang w:val="en-US" w:eastAsia="zh-CN"/>
              </w:rPr>
              <w:t>,学士学位及以上</w:t>
            </w:r>
          </w:p>
        </w:tc>
        <w:tc>
          <w:tcPr>
            <w:tcW w:w="1600" w:type="dxa"/>
            <w:noWrap w:val="0"/>
            <w:vAlign w:val="center"/>
          </w:tcPr>
          <w:p>
            <w:pPr>
              <w:spacing w:line="340" w:lineRule="exact"/>
              <w:jc w:val="center"/>
              <w:rPr>
                <w:rFonts w:hint="eastAsia" w:ascii="仿宋_GB2312" w:hAnsi="仿宋_GB2312" w:eastAsia="仿宋_GB2312" w:cs="仿宋_GB2312"/>
                <w:color w:val="000000"/>
                <w:sz w:val="24"/>
                <w:szCs w:val="24"/>
                <w:lang w:val="zh-TW" w:eastAsia="zh-TW" w:bidi="zh-TW"/>
              </w:rPr>
            </w:pPr>
            <w:r>
              <w:rPr>
                <w:rFonts w:hint="eastAsia" w:ascii="仿宋_GB2312" w:hAnsi="仿宋_GB2312" w:eastAsia="仿宋_GB2312" w:cs="仿宋_GB2312"/>
                <w:color w:val="000000"/>
                <w:sz w:val="24"/>
                <w:szCs w:val="24"/>
              </w:rPr>
              <w:t>执业医师以上职称</w:t>
            </w:r>
          </w:p>
        </w:tc>
        <w:tc>
          <w:tcPr>
            <w:tcW w:w="3187" w:type="dxa"/>
            <w:tcBorders>
              <w:right w:val="single" w:color="auto" w:sz="4" w:space="0"/>
            </w:tcBorders>
            <w:noWrap w:val="0"/>
            <w:vAlign w:val="center"/>
          </w:tcPr>
          <w:p>
            <w:pPr>
              <w:numPr>
                <w:ilvl w:val="0"/>
                <w:numId w:val="0"/>
              </w:numPr>
              <w:spacing w:line="3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1.取得执业医师证；</w:t>
            </w:r>
          </w:p>
          <w:p>
            <w:pPr>
              <w:pStyle w:val="7"/>
              <w:numPr>
                <w:ilvl w:val="0"/>
                <w:numId w:val="0"/>
              </w:numPr>
              <w:rPr>
                <w:rFonts w:hint="eastAsia"/>
                <w:sz w:val="24"/>
                <w:szCs w:val="24"/>
                <w:lang w:val="en-US" w:eastAsia="zh-CN"/>
              </w:rPr>
            </w:pPr>
            <w:r>
              <w:rPr>
                <w:rFonts w:hint="eastAsia" w:ascii="仿宋_GB2312" w:hAnsi="仿宋_GB2312" w:eastAsia="仿宋_GB2312" w:cs="仿宋_GB2312"/>
                <w:sz w:val="24"/>
                <w:szCs w:val="24"/>
                <w:lang w:val="en-US" w:eastAsia="zh-CN"/>
              </w:rPr>
              <w:t>2.年龄35周岁及以下,中级及以上职称年龄可放宽至45周岁及以下;</w:t>
            </w:r>
          </w:p>
          <w:p>
            <w:pPr>
              <w:numPr>
                <w:ilvl w:val="0"/>
                <w:numId w:val="0"/>
              </w:numPr>
              <w:spacing w:line="340" w:lineRule="exact"/>
              <w:ind w:left="0" w:leftChars="0" w:firstLine="0" w:firstLineChars="0"/>
              <w:rPr>
                <w:rFonts w:hint="eastAsia" w:ascii="仿宋_GB2312" w:hAnsi="仿宋_GB2312" w:eastAsia="仿宋_GB2312" w:cs="仿宋_GB2312"/>
                <w:color w:val="000000"/>
                <w:sz w:val="24"/>
                <w:szCs w:val="24"/>
                <w:lang w:val="en-US" w:eastAsia="zh-CN" w:bidi="zh-TW"/>
              </w:rPr>
            </w:pPr>
            <w:r>
              <w:rPr>
                <w:rFonts w:hint="eastAsia" w:ascii="仿宋_GB2312" w:hAnsi="仿宋_GB2312" w:eastAsia="仿宋_GB2312" w:cs="仿宋_GB2312"/>
                <w:sz w:val="24"/>
                <w:szCs w:val="24"/>
                <w:lang w:val="en-US" w:eastAsia="zh-CN"/>
              </w:rPr>
              <w:t>3.从事公共卫生工作2年及以上。</w:t>
            </w:r>
          </w:p>
        </w:tc>
      </w:tr>
    </w:tbl>
    <w:p>
      <w:pPr>
        <w:keepNext w:val="0"/>
        <w:keepLines w:val="0"/>
        <w:pageBreakBefore w:val="0"/>
        <w:kinsoku/>
        <w:wordWrap/>
        <w:overflowPunct/>
        <w:topLinePunct w:val="0"/>
        <w:autoSpaceDE/>
        <w:autoSpaceDN/>
        <w:bidi w:val="0"/>
        <w:spacing w:line="600" w:lineRule="exact"/>
        <w:textAlignment w:val="auto"/>
        <w:rPr>
          <w:rFonts w:hint="eastAsia"/>
          <w:sz w:val="24"/>
          <w:szCs w:val="24"/>
        </w:rPr>
      </w:pPr>
      <w:r>
        <w:rPr>
          <w:rFonts w:hint="eastAsia"/>
          <w:sz w:val="24"/>
          <w:szCs w:val="24"/>
        </w:rPr>
        <w:t>备注：1.年龄和工作年限时间计算截止到202</w:t>
      </w:r>
      <w:r>
        <w:rPr>
          <w:rFonts w:hint="eastAsia"/>
          <w:sz w:val="24"/>
          <w:szCs w:val="24"/>
          <w:lang w:val="en-US" w:eastAsia="zh-CN"/>
        </w:rPr>
        <w:t>6</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15</w:t>
      </w:r>
      <w:r>
        <w:rPr>
          <w:rFonts w:hint="eastAsia"/>
          <w:sz w:val="24"/>
          <w:szCs w:val="24"/>
        </w:rPr>
        <w:t>日</w:t>
      </w:r>
    </w:p>
    <w:p>
      <w:pPr>
        <w:keepNext w:val="0"/>
        <w:keepLines w:val="0"/>
        <w:pageBreakBefore w:val="0"/>
        <w:kinsoku/>
        <w:wordWrap/>
        <w:overflowPunct/>
        <w:topLinePunct w:val="0"/>
        <w:autoSpaceDE/>
        <w:autoSpaceDN/>
        <w:bidi w:val="0"/>
        <w:spacing w:line="600" w:lineRule="exact"/>
        <w:textAlignment w:val="auto"/>
        <w:rPr>
          <w:rFonts w:hint="eastAsia"/>
          <w:sz w:val="24"/>
          <w:szCs w:val="24"/>
        </w:rPr>
      </w:pPr>
      <w:r>
        <w:rPr>
          <w:rFonts w:hint="eastAsia"/>
          <w:sz w:val="24"/>
          <w:szCs w:val="24"/>
        </w:rPr>
        <w:t xml:space="preserve">      2.面向社会招收的住院医师如为普通高校应届毕业生的，其住培合格当年在医疗卫生机构就业，按当年应届毕业生同等对待；</w:t>
      </w:r>
    </w:p>
    <w:p>
      <w:pPr>
        <w:keepNext w:val="0"/>
        <w:keepLines w:val="0"/>
        <w:pageBreakBefore w:val="0"/>
        <w:kinsoku/>
        <w:wordWrap/>
        <w:overflowPunct/>
        <w:topLinePunct w:val="0"/>
        <w:autoSpaceDE/>
        <w:autoSpaceDN/>
        <w:bidi w:val="0"/>
        <w:spacing w:line="600" w:lineRule="exact"/>
        <w:textAlignment w:val="auto"/>
        <w:rPr>
          <w:rFonts w:hint="eastAsia"/>
          <w:sz w:val="24"/>
          <w:szCs w:val="24"/>
        </w:rPr>
      </w:pPr>
      <w:r>
        <w:rPr>
          <w:rFonts w:hint="eastAsia"/>
          <w:sz w:val="24"/>
          <w:szCs w:val="24"/>
        </w:rPr>
        <w:t xml:space="preserve">      3.经住培合格的本科学历临床医师，按临床医学、口腔医学、中医专业学位硕士研究生同等对待，并纳入岗位报考具体条件（其中，住培合格证书中的培训专业原则上应当与招聘岗位的专业或类别要求相一致）。</w:t>
      </w:r>
    </w:p>
    <w:p>
      <w:pPr>
        <w:keepNext w:val="0"/>
        <w:keepLines w:val="0"/>
        <w:pageBreakBefore w:val="0"/>
        <w:kinsoku/>
        <w:wordWrap/>
        <w:overflowPunct/>
        <w:topLinePunct w:val="0"/>
        <w:autoSpaceDE/>
        <w:autoSpaceDN/>
        <w:bidi w:val="0"/>
        <w:spacing w:line="600" w:lineRule="exact"/>
        <w:textAlignment w:val="auto"/>
        <w:rPr>
          <w:rFonts w:hint="default"/>
          <w:lang w:val="en-US" w:eastAsia="zh-CN"/>
        </w:rPr>
      </w:pPr>
      <w:r>
        <w:rPr>
          <w:rFonts w:hint="eastAsia"/>
          <w:sz w:val="24"/>
          <w:szCs w:val="24"/>
          <w:lang w:eastAsia="zh-CN"/>
        </w:rPr>
        <w:t>。</w:t>
      </w:r>
    </w:p>
    <w:sectPr>
      <w:pgSz w:w="16840" w:h="11900" w:orient="landscape"/>
      <w:pgMar w:top="850" w:right="1134" w:bottom="567" w:left="1134" w:header="0" w:footer="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NEU-BZ-S92">
    <w:altName w:val="AR PL UKai CN"/>
    <w:panose1 w:val="02020503000000020003"/>
    <w:charset w:val="00"/>
    <w:family w:val="roman"/>
    <w:pitch w:val="default"/>
    <w:sig w:usb0="E00002FF" w:usb1="5ACFECFE" w:usb2="05000016" w:usb3="00000000" w:csb0="003E0001" w:csb1="00000000"/>
  </w:font>
  <w:font w:name="华康简标题宋">
    <w:altName w:val="方正书宋_GBK"/>
    <w:panose1 w:val="02010609000101010101"/>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AR PL UKai CN">
    <w:panose1 w:val="02000503000000000000"/>
    <w:charset w:val="86"/>
    <w:family w:val="auto"/>
    <w:pitch w:val="default"/>
    <w:sig w:usb0="A00002FF" w:usb1="3ACFFDFF" w:usb2="00000036" w:usb3="00000000" w:csb0="2016009F" w:csb1="DFD7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3"/>
      <w:suff w:val="nothing"/>
      <w:lvlText w:val=""/>
      <w:lvlJc w:val="left"/>
    </w:lvl>
    <w:lvl w:ilvl="1" w:tentative="0">
      <w:start w:val="0"/>
      <w:numFmt w:val="decimal"/>
      <w:lvlText w:val="%2"/>
      <w:lvlJc w:val="left"/>
      <w:rPr>
        <w:rFonts w:hint="eastAsia" w:ascii="宋体" w:eastAsia="宋体"/>
      </w:rPr>
    </w:lvl>
    <w:lvl w:ilvl="2" w:tentative="0">
      <w:start w:val="0"/>
      <w:numFmt w:val="decimal"/>
      <w:lvlText w:val="%3"/>
      <w:lvlJc w:val="left"/>
      <w:rPr>
        <w:rFonts w:hint="eastAsia" w:ascii="宋体" w:eastAsia="宋体"/>
      </w:rPr>
    </w:lvl>
    <w:lvl w:ilvl="3" w:tentative="0">
      <w:start w:val="0"/>
      <w:numFmt w:val="decimal"/>
      <w:lvlText w:val="%4"/>
      <w:lvlJc w:val="left"/>
      <w:rPr>
        <w:rFonts w:hint="eastAsia" w:ascii="宋体" w:eastAsia="宋体"/>
      </w:rPr>
    </w:lvl>
    <w:lvl w:ilvl="4" w:tentative="0">
      <w:start w:val="0"/>
      <w:numFmt w:val="decimal"/>
      <w:lvlText w:val="%5"/>
      <w:lvlJc w:val="left"/>
      <w:rPr>
        <w:rFonts w:hint="eastAsia" w:ascii="宋体" w:eastAsia="宋体"/>
      </w:rPr>
    </w:lvl>
    <w:lvl w:ilvl="5" w:tentative="0">
      <w:start w:val="0"/>
      <w:numFmt w:val="decimal"/>
      <w:lvlText w:val="%6"/>
      <w:lvlJc w:val="left"/>
      <w:rPr>
        <w:rFonts w:hint="eastAsia" w:ascii="宋体" w:eastAsia="宋体"/>
      </w:rPr>
    </w:lvl>
    <w:lvl w:ilvl="6" w:tentative="0">
      <w:start w:val="0"/>
      <w:numFmt w:val="decimal"/>
      <w:lvlText w:val="%7"/>
      <w:lvlJc w:val="left"/>
      <w:rPr>
        <w:rFonts w:hint="eastAsia" w:ascii="宋体" w:eastAsia="宋体"/>
      </w:rPr>
    </w:lvl>
    <w:lvl w:ilvl="7" w:tentative="0">
      <w:start w:val="0"/>
      <w:numFmt w:val="decimal"/>
      <w:lvlText w:val="%8"/>
      <w:lvlJc w:val="left"/>
      <w:rPr>
        <w:rFonts w:hint="eastAsia" w:ascii="宋体" w:eastAsia="宋体"/>
      </w:rPr>
    </w:lvl>
    <w:lvl w:ilvl="8" w:tentative="0">
      <w:start w:val="0"/>
      <w:numFmt w:val="decimal"/>
      <w:lvlText w:val="%9"/>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HorizontalSpacing w:val="181"/>
  <w:drawingGridVerticalSpacing w:val="181"/>
  <w:displayHorizontalDrawingGridEvery w:val="1"/>
  <w:displayVerticalDrawingGridEvery w:val="1"/>
  <w:noPunctuationKerning w:val="true"/>
  <w:characterSpacingControl w:val="compressPunctuation"/>
  <w:footnotePr>
    <w:footnote w:id="0"/>
    <w:footnote w:id="1"/>
  </w:footnotePr>
  <w:endnotePr>
    <w:endnote w:id="0"/>
    <w:endnote w:id="1"/>
  </w:endnotePr>
  <w:compat>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NGEzZDM2ZTcxZTY0NzM5MjA1NWU2NjNmYzdmODUifQ=="/>
  </w:docVars>
  <w:rsids>
    <w:rsidRoot w:val="00B02BDA"/>
    <w:rsid w:val="000E66C0"/>
    <w:rsid w:val="001A4D4C"/>
    <w:rsid w:val="002558A1"/>
    <w:rsid w:val="00260C3C"/>
    <w:rsid w:val="0027385D"/>
    <w:rsid w:val="002F76EF"/>
    <w:rsid w:val="00357271"/>
    <w:rsid w:val="00397B00"/>
    <w:rsid w:val="00432877"/>
    <w:rsid w:val="004353E9"/>
    <w:rsid w:val="0049431C"/>
    <w:rsid w:val="004E6502"/>
    <w:rsid w:val="00521586"/>
    <w:rsid w:val="005558D7"/>
    <w:rsid w:val="00590C05"/>
    <w:rsid w:val="006051D2"/>
    <w:rsid w:val="00653664"/>
    <w:rsid w:val="0065707F"/>
    <w:rsid w:val="00676719"/>
    <w:rsid w:val="006C25D8"/>
    <w:rsid w:val="006D537F"/>
    <w:rsid w:val="006D6191"/>
    <w:rsid w:val="00712C42"/>
    <w:rsid w:val="00974D9E"/>
    <w:rsid w:val="009E0252"/>
    <w:rsid w:val="00A4184F"/>
    <w:rsid w:val="00A96ABF"/>
    <w:rsid w:val="00B02BDA"/>
    <w:rsid w:val="00B24952"/>
    <w:rsid w:val="00D23133"/>
    <w:rsid w:val="00D32E37"/>
    <w:rsid w:val="00DA1E53"/>
    <w:rsid w:val="00DA7D26"/>
    <w:rsid w:val="00DF1811"/>
    <w:rsid w:val="00E03A4A"/>
    <w:rsid w:val="00F04796"/>
    <w:rsid w:val="00F34E7B"/>
    <w:rsid w:val="00F71A35"/>
    <w:rsid w:val="016F6774"/>
    <w:rsid w:val="017D5BF6"/>
    <w:rsid w:val="01853F3D"/>
    <w:rsid w:val="01C47A5E"/>
    <w:rsid w:val="01FA0C36"/>
    <w:rsid w:val="02127FCC"/>
    <w:rsid w:val="02443CCC"/>
    <w:rsid w:val="024A6E4A"/>
    <w:rsid w:val="02AD6968"/>
    <w:rsid w:val="02F42D17"/>
    <w:rsid w:val="031741B6"/>
    <w:rsid w:val="031A536D"/>
    <w:rsid w:val="0334789D"/>
    <w:rsid w:val="03371D97"/>
    <w:rsid w:val="038D34AB"/>
    <w:rsid w:val="03D16FB7"/>
    <w:rsid w:val="04092CC3"/>
    <w:rsid w:val="04870EFF"/>
    <w:rsid w:val="04DC78F2"/>
    <w:rsid w:val="05020DDB"/>
    <w:rsid w:val="0546341B"/>
    <w:rsid w:val="056A57F8"/>
    <w:rsid w:val="056F4594"/>
    <w:rsid w:val="059C6FAE"/>
    <w:rsid w:val="06012786"/>
    <w:rsid w:val="06895857"/>
    <w:rsid w:val="0693405A"/>
    <w:rsid w:val="069E5F0D"/>
    <w:rsid w:val="06CB0AD0"/>
    <w:rsid w:val="078F59E9"/>
    <w:rsid w:val="07BD2C8A"/>
    <w:rsid w:val="07E5122F"/>
    <w:rsid w:val="07FB1392"/>
    <w:rsid w:val="088D56BF"/>
    <w:rsid w:val="08D7332A"/>
    <w:rsid w:val="08E97404"/>
    <w:rsid w:val="09093C92"/>
    <w:rsid w:val="091F2D9D"/>
    <w:rsid w:val="095962AF"/>
    <w:rsid w:val="09E33DCA"/>
    <w:rsid w:val="09E41074"/>
    <w:rsid w:val="0A270CFC"/>
    <w:rsid w:val="0A8A186E"/>
    <w:rsid w:val="0A971B60"/>
    <w:rsid w:val="0AAE354C"/>
    <w:rsid w:val="0B9D61FB"/>
    <w:rsid w:val="0C284335"/>
    <w:rsid w:val="0C310EB7"/>
    <w:rsid w:val="0C407204"/>
    <w:rsid w:val="0D0429D6"/>
    <w:rsid w:val="0D482A1A"/>
    <w:rsid w:val="0DBC5459"/>
    <w:rsid w:val="0DCC0241"/>
    <w:rsid w:val="0E2844A2"/>
    <w:rsid w:val="0E581AF0"/>
    <w:rsid w:val="0E8A3703"/>
    <w:rsid w:val="0EA96DEA"/>
    <w:rsid w:val="0EBC6CE3"/>
    <w:rsid w:val="0EF645A0"/>
    <w:rsid w:val="0F006D63"/>
    <w:rsid w:val="0F191BBB"/>
    <w:rsid w:val="0F256C33"/>
    <w:rsid w:val="0F3B24DF"/>
    <w:rsid w:val="0F520F73"/>
    <w:rsid w:val="0F6F4C9E"/>
    <w:rsid w:val="0F856FC5"/>
    <w:rsid w:val="0F942EC4"/>
    <w:rsid w:val="0FAE417E"/>
    <w:rsid w:val="10011FD0"/>
    <w:rsid w:val="10017C23"/>
    <w:rsid w:val="102B28CA"/>
    <w:rsid w:val="1033565A"/>
    <w:rsid w:val="104946D7"/>
    <w:rsid w:val="10603E89"/>
    <w:rsid w:val="111B7066"/>
    <w:rsid w:val="11372F4A"/>
    <w:rsid w:val="113E14E9"/>
    <w:rsid w:val="117A4969"/>
    <w:rsid w:val="119D7F03"/>
    <w:rsid w:val="123C363B"/>
    <w:rsid w:val="127A1B27"/>
    <w:rsid w:val="12A821FD"/>
    <w:rsid w:val="12BD36BD"/>
    <w:rsid w:val="138368FD"/>
    <w:rsid w:val="13987167"/>
    <w:rsid w:val="141B2EC9"/>
    <w:rsid w:val="14246A29"/>
    <w:rsid w:val="142873BF"/>
    <w:rsid w:val="148F4BB5"/>
    <w:rsid w:val="14AF515D"/>
    <w:rsid w:val="14BC791C"/>
    <w:rsid w:val="15173399"/>
    <w:rsid w:val="151B6B0E"/>
    <w:rsid w:val="15747FCD"/>
    <w:rsid w:val="157D50D3"/>
    <w:rsid w:val="162E121A"/>
    <w:rsid w:val="164105C0"/>
    <w:rsid w:val="169E37B6"/>
    <w:rsid w:val="16A3500D"/>
    <w:rsid w:val="16A913DF"/>
    <w:rsid w:val="17107AB0"/>
    <w:rsid w:val="175A3D2E"/>
    <w:rsid w:val="176135DC"/>
    <w:rsid w:val="177119DE"/>
    <w:rsid w:val="17EE0398"/>
    <w:rsid w:val="18153CE9"/>
    <w:rsid w:val="182908D4"/>
    <w:rsid w:val="187A48B0"/>
    <w:rsid w:val="1888270D"/>
    <w:rsid w:val="18B6269D"/>
    <w:rsid w:val="18F735D0"/>
    <w:rsid w:val="18FC19DE"/>
    <w:rsid w:val="19586F86"/>
    <w:rsid w:val="19B35515"/>
    <w:rsid w:val="19BE215E"/>
    <w:rsid w:val="19EA3606"/>
    <w:rsid w:val="1A044015"/>
    <w:rsid w:val="1A240213"/>
    <w:rsid w:val="1A447523"/>
    <w:rsid w:val="1AE9754B"/>
    <w:rsid w:val="1AEE533E"/>
    <w:rsid w:val="1B171B26"/>
    <w:rsid w:val="1B2748C1"/>
    <w:rsid w:val="1B570174"/>
    <w:rsid w:val="1C8A5D8A"/>
    <w:rsid w:val="1C980016"/>
    <w:rsid w:val="1C9F0025"/>
    <w:rsid w:val="1CA7621E"/>
    <w:rsid w:val="1CE66DE3"/>
    <w:rsid w:val="1D0B04C0"/>
    <w:rsid w:val="1D415BE6"/>
    <w:rsid w:val="1D5B33DA"/>
    <w:rsid w:val="1D7068E9"/>
    <w:rsid w:val="1D8111A2"/>
    <w:rsid w:val="1DDB13B4"/>
    <w:rsid w:val="1E2C7A47"/>
    <w:rsid w:val="1E334EC9"/>
    <w:rsid w:val="1E5435ED"/>
    <w:rsid w:val="1E745E4E"/>
    <w:rsid w:val="1E80304D"/>
    <w:rsid w:val="1E91094E"/>
    <w:rsid w:val="1E9144EE"/>
    <w:rsid w:val="1E9B616A"/>
    <w:rsid w:val="1ECE4F84"/>
    <w:rsid w:val="1EDC5093"/>
    <w:rsid w:val="1EE15065"/>
    <w:rsid w:val="1EE16F29"/>
    <w:rsid w:val="1F861148"/>
    <w:rsid w:val="1FB122A3"/>
    <w:rsid w:val="20347B86"/>
    <w:rsid w:val="206651A2"/>
    <w:rsid w:val="20B3409F"/>
    <w:rsid w:val="20CE75E8"/>
    <w:rsid w:val="20F87D04"/>
    <w:rsid w:val="219A3D86"/>
    <w:rsid w:val="221B313D"/>
    <w:rsid w:val="222A2045"/>
    <w:rsid w:val="224C766B"/>
    <w:rsid w:val="227710FC"/>
    <w:rsid w:val="22EA6FD0"/>
    <w:rsid w:val="23030C0A"/>
    <w:rsid w:val="23137BAD"/>
    <w:rsid w:val="233F6C44"/>
    <w:rsid w:val="23476D20"/>
    <w:rsid w:val="23766F79"/>
    <w:rsid w:val="24066BDB"/>
    <w:rsid w:val="242564D4"/>
    <w:rsid w:val="2460275E"/>
    <w:rsid w:val="248E16CA"/>
    <w:rsid w:val="24A3442A"/>
    <w:rsid w:val="24E539B3"/>
    <w:rsid w:val="2527578C"/>
    <w:rsid w:val="253F0DCC"/>
    <w:rsid w:val="25420BA8"/>
    <w:rsid w:val="25BA5CCE"/>
    <w:rsid w:val="25BB699A"/>
    <w:rsid w:val="26060EF3"/>
    <w:rsid w:val="26D20C5F"/>
    <w:rsid w:val="26EC7407"/>
    <w:rsid w:val="27360FB6"/>
    <w:rsid w:val="2741572B"/>
    <w:rsid w:val="276E3570"/>
    <w:rsid w:val="27837647"/>
    <w:rsid w:val="2790513A"/>
    <w:rsid w:val="27931FE7"/>
    <w:rsid w:val="27951758"/>
    <w:rsid w:val="27B8643F"/>
    <w:rsid w:val="27DC212D"/>
    <w:rsid w:val="280076E6"/>
    <w:rsid w:val="2827122C"/>
    <w:rsid w:val="286D689D"/>
    <w:rsid w:val="28FC286E"/>
    <w:rsid w:val="298576EA"/>
    <w:rsid w:val="29D77405"/>
    <w:rsid w:val="2A227879"/>
    <w:rsid w:val="2A3E62D1"/>
    <w:rsid w:val="2A7138AE"/>
    <w:rsid w:val="2A880A10"/>
    <w:rsid w:val="2A8C1F92"/>
    <w:rsid w:val="2ACF11FF"/>
    <w:rsid w:val="2B6631AE"/>
    <w:rsid w:val="2B6C762B"/>
    <w:rsid w:val="2BE27F2E"/>
    <w:rsid w:val="2C073AC8"/>
    <w:rsid w:val="2C3A1B18"/>
    <w:rsid w:val="2C422409"/>
    <w:rsid w:val="2C583D4C"/>
    <w:rsid w:val="2C5F5FE0"/>
    <w:rsid w:val="2D1C7463"/>
    <w:rsid w:val="2D253906"/>
    <w:rsid w:val="2DD903A0"/>
    <w:rsid w:val="2E136ED6"/>
    <w:rsid w:val="2EA73CE2"/>
    <w:rsid w:val="2EE21009"/>
    <w:rsid w:val="2F281C3A"/>
    <w:rsid w:val="2F4857DE"/>
    <w:rsid w:val="2F7D0404"/>
    <w:rsid w:val="2FFD29BB"/>
    <w:rsid w:val="308C0468"/>
    <w:rsid w:val="31270C69"/>
    <w:rsid w:val="317C6D20"/>
    <w:rsid w:val="31F97D80"/>
    <w:rsid w:val="321241B4"/>
    <w:rsid w:val="32290F68"/>
    <w:rsid w:val="325928E1"/>
    <w:rsid w:val="329657A8"/>
    <w:rsid w:val="330A4D86"/>
    <w:rsid w:val="33DE2C32"/>
    <w:rsid w:val="34A8693C"/>
    <w:rsid w:val="34AF5F96"/>
    <w:rsid w:val="34EC6D38"/>
    <w:rsid w:val="35500984"/>
    <w:rsid w:val="355D5A61"/>
    <w:rsid w:val="35720571"/>
    <w:rsid w:val="35BE3FA5"/>
    <w:rsid w:val="35DB59FB"/>
    <w:rsid w:val="361D1019"/>
    <w:rsid w:val="364E7750"/>
    <w:rsid w:val="365A60CA"/>
    <w:rsid w:val="367B5207"/>
    <w:rsid w:val="36857E34"/>
    <w:rsid w:val="36A36CE2"/>
    <w:rsid w:val="36D861B6"/>
    <w:rsid w:val="373E1111"/>
    <w:rsid w:val="375C0B95"/>
    <w:rsid w:val="37A54D33"/>
    <w:rsid w:val="37B779B6"/>
    <w:rsid w:val="37CC4A35"/>
    <w:rsid w:val="37F10113"/>
    <w:rsid w:val="38582EED"/>
    <w:rsid w:val="38B354C0"/>
    <w:rsid w:val="38D31DD8"/>
    <w:rsid w:val="38E250CA"/>
    <w:rsid w:val="38EC54A2"/>
    <w:rsid w:val="38F01653"/>
    <w:rsid w:val="3926586C"/>
    <w:rsid w:val="39D812D9"/>
    <w:rsid w:val="39E6689E"/>
    <w:rsid w:val="3A0A7941"/>
    <w:rsid w:val="3A246B35"/>
    <w:rsid w:val="3A3B78F8"/>
    <w:rsid w:val="3A6151AB"/>
    <w:rsid w:val="3A8907F6"/>
    <w:rsid w:val="3ADD65D9"/>
    <w:rsid w:val="3AFF5751"/>
    <w:rsid w:val="3B056E8C"/>
    <w:rsid w:val="3B620C81"/>
    <w:rsid w:val="3BC83D95"/>
    <w:rsid w:val="3BEC625F"/>
    <w:rsid w:val="3C0F56BC"/>
    <w:rsid w:val="3C7A50AA"/>
    <w:rsid w:val="3CAD12D9"/>
    <w:rsid w:val="3CDE50FA"/>
    <w:rsid w:val="3CFB6AD2"/>
    <w:rsid w:val="3D1E3304"/>
    <w:rsid w:val="3D5B07DF"/>
    <w:rsid w:val="3DF32167"/>
    <w:rsid w:val="3DFA3960"/>
    <w:rsid w:val="3E057ABF"/>
    <w:rsid w:val="3E456E0C"/>
    <w:rsid w:val="3EA42E21"/>
    <w:rsid w:val="3EC069D6"/>
    <w:rsid w:val="3ED748A0"/>
    <w:rsid w:val="3EE04663"/>
    <w:rsid w:val="3EF857D9"/>
    <w:rsid w:val="3F48755E"/>
    <w:rsid w:val="3F524368"/>
    <w:rsid w:val="3F5972B5"/>
    <w:rsid w:val="400C70BF"/>
    <w:rsid w:val="401A169C"/>
    <w:rsid w:val="405748B3"/>
    <w:rsid w:val="405863A2"/>
    <w:rsid w:val="40D4443A"/>
    <w:rsid w:val="40E8499D"/>
    <w:rsid w:val="425F1B5B"/>
    <w:rsid w:val="42B3200B"/>
    <w:rsid w:val="42D12454"/>
    <w:rsid w:val="42F73C1D"/>
    <w:rsid w:val="42FF1945"/>
    <w:rsid w:val="432C1C27"/>
    <w:rsid w:val="436E06E5"/>
    <w:rsid w:val="438D5AF1"/>
    <w:rsid w:val="43A85162"/>
    <w:rsid w:val="43B87996"/>
    <w:rsid w:val="43C006FD"/>
    <w:rsid w:val="447D65EE"/>
    <w:rsid w:val="44AB2ED5"/>
    <w:rsid w:val="453032DD"/>
    <w:rsid w:val="45B47483"/>
    <w:rsid w:val="45C73FC5"/>
    <w:rsid w:val="45C80108"/>
    <w:rsid w:val="45E423C8"/>
    <w:rsid w:val="46080AB5"/>
    <w:rsid w:val="475C47A8"/>
    <w:rsid w:val="47B40579"/>
    <w:rsid w:val="47CF7161"/>
    <w:rsid w:val="489C1C15"/>
    <w:rsid w:val="48A94A29"/>
    <w:rsid w:val="48AB0F4F"/>
    <w:rsid w:val="48C5796C"/>
    <w:rsid w:val="48FB3E4F"/>
    <w:rsid w:val="492741CE"/>
    <w:rsid w:val="494476DB"/>
    <w:rsid w:val="49953C3C"/>
    <w:rsid w:val="49995C78"/>
    <w:rsid w:val="4A7F4E6E"/>
    <w:rsid w:val="4A9025BD"/>
    <w:rsid w:val="4AAA7A11"/>
    <w:rsid w:val="4ACC6AB3"/>
    <w:rsid w:val="4B252177"/>
    <w:rsid w:val="4B28497A"/>
    <w:rsid w:val="4B6776B0"/>
    <w:rsid w:val="4B7A380F"/>
    <w:rsid w:val="4BA94184"/>
    <w:rsid w:val="4C1B3BE3"/>
    <w:rsid w:val="4C2D79E8"/>
    <w:rsid w:val="4C302F1E"/>
    <w:rsid w:val="4C4515BE"/>
    <w:rsid w:val="4C4707A4"/>
    <w:rsid w:val="4C6A56AA"/>
    <w:rsid w:val="4CAA1F4A"/>
    <w:rsid w:val="4D1C2184"/>
    <w:rsid w:val="4DCF419C"/>
    <w:rsid w:val="4DDF5C24"/>
    <w:rsid w:val="4E064150"/>
    <w:rsid w:val="4E1D37D1"/>
    <w:rsid w:val="4E4C2B12"/>
    <w:rsid w:val="4E6A1C84"/>
    <w:rsid w:val="4EB25AB7"/>
    <w:rsid w:val="4F594441"/>
    <w:rsid w:val="4F863BEA"/>
    <w:rsid w:val="4F9071D6"/>
    <w:rsid w:val="4FAE62A2"/>
    <w:rsid w:val="501273ED"/>
    <w:rsid w:val="50E53551"/>
    <w:rsid w:val="5115321C"/>
    <w:rsid w:val="51204D2E"/>
    <w:rsid w:val="5193062F"/>
    <w:rsid w:val="519D57F2"/>
    <w:rsid w:val="52171E30"/>
    <w:rsid w:val="527A416D"/>
    <w:rsid w:val="52825A68"/>
    <w:rsid w:val="52846505"/>
    <w:rsid w:val="52A97FB7"/>
    <w:rsid w:val="52D761F6"/>
    <w:rsid w:val="52EC6E19"/>
    <w:rsid w:val="533F4C61"/>
    <w:rsid w:val="535D7D17"/>
    <w:rsid w:val="53D40FEE"/>
    <w:rsid w:val="54414D09"/>
    <w:rsid w:val="54484F32"/>
    <w:rsid w:val="544A4D00"/>
    <w:rsid w:val="548D43C5"/>
    <w:rsid w:val="548F7294"/>
    <w:rsid w:val="549915FC"/>
    <w:rsid w:val="54AB4AB2"/>
    <w:rsid w:val="54C45F0C"/>
    <w:rsid w:val="54D97871"/>
    <w:rsid w:val="5529681B"/>
    <w:rsid w:val="556113E2"/>
    <w:rsid w:val="55711BD3"/>
    <w:rsid w:val="55894942"/>
    <w:rsid w:val="564A6814"/>
    <w:rsid w:val="56A8410A"/>
    <w:rsid w:val="56B45FA4"/>
    <w:rsid w:val="56C62C00"/>
    <w:rsid w:val="575B0BB0"/>
    <w:rsid w:val="57B1418D"/>
    <w:rsid w:val="57B36157"/>
    <w:rsid w:val="57C63B81"/>
    <w:rsid w:val="57CF6D09"/>
    <w:rsid w:val="57ED69B9"/>
    <w:rsid w:val="58020E8D"/>
    <w:rsid w:val="58550FBC"/>
    <w:rsid w:val="587A7641"/>
    <w:rsid w:val="589E2A41"/>
    <w:rsid w:val="58C44394"/>
    <w:rsid w:val="58F20F61"/>
    <w:rsid w:val="59534820"/>
    <w:rsid w:val="596F75E9"/>
    <w:rsid w:val="59976832"/>
    <w:rsid w:val="59B94700"/>
    <w:rsid w:val="59DB41D8"/>
    <w:rsid w:val="59F82547"/>
    <w:rsid w:val="5A122F1E"/>
    <w:rsid w:val="5A451454"/>
    <w:rsid w:val="5A503277"/>
    <w:rsid w:val="5A605D89"/>
    <w:rsid w:val="5A9E411B"/>
    <w:rsid w:val="5AB25A3A"/>
    <w:rsid w:val="5B215ACE"/>
    <w:rsid w:val="5B274ACC"/>
    <w:rsid w:val="5B932ECC"/>
    <w:rsid w:val="5BD05D58"/>
    <w:rsid w:val="5C046365"/>
    <w:rsid w:val="5C0D3413"/>
    <w:rsid w:val="5C2A6945"/>
    <w:rsid w:val="5C2F065C"/>
    <w:rsid w:val="5C5C073D"/>
    <w:rsid w:val="5CAA29B8"/>
    <w:rsid w:val="5D1F6672"/>
    <w:rsid w:val="5D2A7217"/>
    <w:rsid w:val="5D4968A5"/>
    <w:rsid w:val="5D7E7207"/>
    <w:rsid w:val="5DE61EC0"/>
    <w:rsid w:val="5E2409C8"/>
    <w:rsid w:val="5E3D76D3"/>
    <w:rsid w:val="5EAF5FAE"/>
    <w:rsid w:val="5F1119B5"/>
    <w:rsid w:val="5F431D4B"/>
    <w:rsid w:val="5FB045FF"/>
    <w:rsid w:val="5FCD4860"/>
    <w:rsid w:val="5FE70BDF"/>
    <w:rsid w:val="60196D73"/>
    <w:rsid w:val="60350A81"/>
    <w:rsid w:val="607D27F5"/>
    <w:rsid w:val="6089356E"/>
    <w:rsid w:val="608F5287"/>
    <w:rsid w:val="60AC22FC"/>
    <w:rsid w:val="60E24D71"/>
    <w:rsid w:val="60F335C2"/>
    <w:rsid w:val="6187086E"/>
    <w:rsid w:val="61A11C1F"/>
    <w:rsid w:val="61CC0616"/>
    <w:rsid w:val="62015123"/>
    <w:rsid w:val="620E5E75"/>
    <w:rsid w:val="6220088D"/>
    <w:rsid w:val="625838B6"/>
    <w:rsid w:val="62646DA1"/>
    <w:rsid w:val="62697035"/>
    <w:rsid w:val="62F56F33"/>
    <w:rsid w:val="6318336F"/>
    <w:rsid w:val="6374589A"/>
    <w:rsid w:val="63D15CEC"/>
    <w:rsid w:val="645F116F"/>
    <w:rsid w:val="64897B11"/>
    <w:rsid w:val="652B03BC"/>
    <w:rsid w:val="654B572D"/>
    <w:rsid w:val="65B26D04"/>
    <w:rsid w:val="65FE0EE5"/>
    <w:rsid w:val="66C35694"/>
    <w:rsid w:val="670A3ED7"/>
    <w:rsid w:val="6781272E"/>
    <w:rsid w:val="692421B5"/>
    <w:rsid w:val="6945727E"/>
    <w:rsid w:val="695259B5"/>
    <w:rsid w:val="6958090C"/>
    <w:rsid w:val="69640438"/>
    <w:rsid w:val="696B22FC"/>
    <w:rsid w:val="69BC36DC"/>
    <w:rsid w:val="69D6461B"/>
    <w:rsid w:val="69E84165"/>
    <w:rsid w:val="6A0740E0"/>
    <w:rsid w:val="6A5437CA"/>
    <w:rsid w:val="6BB43164"/>
    <w:rsid w:val="6BDB5825"/>
    <w:rsid w:val="6C1913ED"/>
    <w:rsid w:val="6C7434F8"/>
    <w:rsid w:val="6C74454E"/>
    <w:rsid w:val="6C791913"/>
    <w:rsid w:val="6D2250FD"/>
    <w:rsid w:val="6D9A0960"/>
    <w:rsid w:val="6DA95E85"/>
    <w:rsid w:val="6DB743EF"/>
    <w:rsid w:val="6EF94940"/>
    <w:rsid w:val="6FB540F7"/>
    <w:rsid w:val="6FCF208D"/>
    <w:rsid w:val="700A448F"/>
    <w:rsid w:val="70A01FD4"/>
    <w:rsid w:val="70CE7A90"/>
    <w:rsid w:val="70E45F62"/>
    <w:rsid w:val="70FA7094"/>
    <w:rsid w:val="71044CDB"/>
    <w:rsid w:val="71073A3E"/>
    <w:rsid w:val="71E33685"/>
    <w:rsid w:val="72470F58"/>
    <w:rsid w:val="7258473D"/>
    <w:rsid w:val="72925046"/>
    <w:rsid w:val="72960250"/>
    <w:rsid w:val="72B4356A"/>
    <w:rsid w:val="734258B2"/>
    <w:rsid w:val="73813156"/>
    <w:rsid w:val="73922000"/>
    <w:rsid w:val="73B13735"/>
    <w:rsid w:val="73BB2973"/>
    <w:rsid w:val="73E62FB9"/>
    <w:rsid w:val="73F506BF"/>
    <w:rsid w:val="73FC231D"/>
    <w:rsid w:val="73FC5DBD"/>
    <w:rsid w:val="749C08AC"/>
    <w:rsid w:val="74A53E14"/>
    <w:rsid w:val="75155254"/>
    <w:rsid w:val="753A180E"/>
    <w:rsid w:val="75554B50"/>
    <w:rsid w:val="75566793"/>
    <w:rsid w:val="759D71E8"/>
    <w:rsid w:val="75A2672D"/>
    <w:rsid w:val="76526C7D"/>
    <w:rsid w:val="76A5082B"/>
    <w:rsid w:val="76D00906"/>
    <w:rsid w:val="770835CB"/>
    <w:rsid w:val="77086BB2"/>
    <w:rsid w:val="771F1FDF"/>
    <w:rsid w:val="77336515"/>
    <w:rsid w:val="77D75A39"/>
    <w:rsid w:val="77D96FD5"/>
    <w:rsid w:val="77DA5308"/>
    <w:rsid w:val="77EF50E4"/>
    <w:rsid w:val="77FC0FFD"/>
    <w:rsid w:val="781C169F"/>
    <w:rsid w:val="78A551F0"/>
    <w:rsid w:val="78AA7D6B"/>
    <w:rsid w:val="78CA10FB"/>
    <w:rsid w:val="79175C35"/>
    <w:rsid w:val="791B5280"/>
    <w:rsid w:val="792C3B64"/>
    <w:rsid w:val="793B7445"/>
    <w:rsid w:val="79A409D4"/>
    <w:rsid w:val="79B70143"/>
    <w:rsid w:val="7A4A7F4D"/>
    <w:rsid w:val="7A5A0DC5"/>
    <w:rsid w:val="7A9E672F"/>
    <w:rsid w:val="7ACB3C4C"/>
    <w:rsid w:val="7AD87261"/>
    <w:rsid w:val="7B3311D9"/>
    <w:rsid w:val="7B4F58E7"/>
    <w:rsid w:val="7BC059E5"/>
    <w:rsid w:val="7BE349AD"/>
    <w:rsid w:val="7C2E63C0"/>
    <w:rsid w:val="7C724A57"/>
    <w:rsid w:val="7CA677E5"/>
    <w:rsid w:val="7CD920B4"/>
    <w:rsid w:val="7CDF3B15"/>
    <w:rsid w:val="7D00333D"/>
    <w:rsid w:val="7D7B1BC1"/>
    <w:rsid w:val="7D845D1C"/>
    <w:rsid w:val="7DE65421"/>
    <w:rsid w:val="7ECB34D7"/>
    <w:rsid w:val="7EE3486E"/>
    <w:rsid w:val="7EF665D7"/>
    <w:rsid w:val="7F1135E0"/>
    <w:rsid w:val="7F3E388B"/>
    <w:rsid w:val="7F58120E"/>
    <w:rsid w:val="7FE14E89"/>
    <w:rsid w:val="7FF41152"/>
    <w:rsid w:val="7FFC0955"/>
    <w:rsid w:val="BD4321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uiPriority w:val="0"/>
    <w:pPr>
      <w:widowControl w:val="0"/>
    </w:pPr>
    <w:rPr>
      <w:color w:val="000000"/>
      <w:sz w:val="24"/>
      <w:szCs w:val="24"/>
      <w:lang w:val="zh-TW" w:eastAsia="zh-TW" w:bidi="zh-TW"/>
    </w:rPr>
  </w:style>
  <w:style w:type="paragraph" w:styleId="3">
    <w:name w:val="heading 1"/>
    <w:basedOn w:val="1"/>
    <w:next w:val="1"/>
    <w:link w:val="13"/>
    <w:qFormat/>
    <w:uiPriority w:val="0"/>
    <w:pPr>
      <w:keepNext/>
      <w:keepLines/>
      <w:widowControl/>
      <w:numPr>
        <w:ilvl w:val="0"/>
        <w:numId w:val="1"/>
      </w:numPr>
      <w:adjustRightInd w:val="0"/>
      <w:spacing w:line="580" w:lineRule="atLeast"/>
      <w:ind w:left="1360" w:hanging="720"/>
      <w:jc w:val="center"/>
      <w:outlineLvl w:val="0"/>
    </w:pPr>
    <w:rPr>
      <w:rFonts w:ascii="NEU-BZ-S92" w:hAnsi="NEU-BZ-S92" w:eastAsia="华康简标题宋" w:cs="Times New Roman"/>
      <w:color w:val="auto"/>
      <w:spacing w:val="8"/>
      <w:kern w:val="44"/>
      <w:sz w:val="36"/>
      <w:szCs w:val="20"/>
      <w:lang w:val="en-US" w:eastAsia="zh-CN" w:bidi="ar-SA"/>
    </w:rPr>
  </w:style>
  <w:style w:type="character" w:default="1" w:styleId="11">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Date"/>
    <w:basedOn w:val="1"/>
    <w:next w:val="1"/>
    <w:link w:val="14"/>
    <w:unhideWhenUsed/>
    <w:uiPriority w:val="99"/>
    <w:pPr>
      <w:ind w:left="100" w:leftChars="2500"/>
    </w:pPr>
    <w:rPr>
      <w:rFonts w:cs="Times New Roman"/>
      <w:sz w:val="20"/>
      <w:szCs w:val="20"/>
      <w:lang w:bidi="ar-SA"/>
    </w:rPr>
  </w:style>
  <w:style w:type="paragraph" w:styleId="5">
    <w:name w:val="footer"/>
    <w:basedOn w:val="1"/>
    <w:link w:val="15"/>
    <w:unhideWhenUsed/>
    <w:uiPriority w:val="99"/>
    <w:pPr>
      <w:tabs>
        <w:tab w:val="center" w:pos="4153"/>
        <w:tab w:val="right" w:pos="8306"/>
      </w:tabs>
      <w:snapToGrid w:val="0"/>
    </w:pPr>
    <w:rPr>
      <w:rFonts w:cs="Times New Roman"/>
      <w:sz w:val="18"/>
      <w:szCs w:val="18"/>
      <w:lang w:bidi="ar-SA"/>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rFonts w:cs="Times New Roman"/>
      <w:sz w:val="18"/>
      <w:szCs w:val="18"/>
      <w:lang w:bidi="ar-SA"/>
    </w:rPr>
  </w:style>
  <w:style w:type="paragraph" w:styleId="7">
    <w:name w:val="toc 2"/>
    <w:basedOn w:val="1"/>
    <w:next w:val="1"/>
    <w:unhideWhenUsed/>
    <w:qFormat/>
    <w:uiPriority w:val="39"/>
    <w:pPr>
      <w:ind w:left="420" w:leftChars="200"/>
    </w:pPr>
  </w:style>
  <w:style w:type="paragraph" w:styleId="8">
    <w:name w:val="Normal (Web)"/>
    <w:basedOn w:val="1"/>
    <w:qFormat/>
    <w:uiPriority w:val="0"/>
    <w:pPr>
      <w:jc w:val="left"/>
    </w:pPr>
    <w:rPr>
      <w:kern w:val="0"/>
      <w:sz w:val="24"/>
      <w:szCs w:val="24"/>
    </w:rPr>
  </w:style>
  <w:style w:type="table" w:styleId="10">
    <w:name w:val="Table Grid"/>
    <w:basedOn w:val="9"/>
    <w:uiPriority w:val="39"/>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iPriority w:val="0"/>
    <w:rPr>
      <w:color w:val="0066CC"/>
      <w:u w:val="single"/>
    </w:rPr>
  </w:style>
  <w:style w:type="character" w:customStyle="1" w:styleId="13">
    <w:name w:val="标题 1 字符"/>
    <w:link w:val="3"/>
    <w:uiPriority w:val="0"/>
    <w:rPr>
      <w:rFonts w:ascii="NEU-BZ-S92" w:hAnsi="NEU-BZ-S92" w:eastAsia="华康简标题宋" w:cs="Times New Roman"/>
      <w:spacing w:val="8"/>
      <w:kern w:val="44"/>
      <w:sz w:val="36"/>
      <w:szCs w:val="20"/>
      <w:lang w:val="en-US" w:eastAsia="zh-CN" w:bidi="ar-SA"/>
    </w:rPr>
  </w:style>
  <w:style w:type="character" w:customStyle="1" w:styleId="14">
    <w:name w:val="日期 字符"/>
    <w:link w:val="4"/>
    <w:semiHidden/>
    <w:uiPriority w:val="99"/>
    <w:rPr>
      <w:color w:val="000000"/>
    </w:rPr>
  </w:style>
  <w:style w:type="character" w:customStyle="1" w:styleId="15">
    <w:name w:val="页脚 字符"/>
    <w:link w:val="5"/>
    <w:uiPriority w:val="99"/>
    <w:rPr>
      <w:color w:val="000000"/>
      <w:sz w:val="18"/>
      <w:szCs w:val="18"/>
    </w:rPr>
  </w:style>
  <w:style w:type="character" w:customStyle="1" w:styleId="16">
    <w:name w:val="页眉 字符"/>
    <w:link w:val="6"/>
    <w:uiPriority w:val="99"/>
    <w:rPr>
      <w:color w:val="000000"/>
      <w:sz w:val="18"/>
      <w:szCs w:val="18"/>
    </w:rPr>
  </w:style>
  <w:style w:type="character" w:customStyle="1" w:styleId="17">
    <w:name w:val="标题 #1_"/>
    <w:link w:val="18"/>
    <w:uiPriority w:val="0"/>
    <w:rPr>
      <w:rFonts w:ascii="宋体" w:hAnsi="宋体" w:eastAsia="宋体" w:cs="宋体"/>
      <w:w w:val="70"/>
      <w:sz w:val="82"/>
      <w:szCs w:val="82"/>
      <w:u w:val="none"/>
    </w:rPr>
  </w:style>
  <w:style w:type="paragraph" w:customStyle="1" w:styleId="18">
    <w:name w:val="标题 #1"/>
    <w:basedOn w:val="1"/>
    <w:link w:val="17"/>
    <w:uiPriority w:val="0"/>
    <w:pPr>
      <w:widowControl w:val="0"/>
      <w:shd w:val="clear" w:color="auto" w:fill="FFFFFF"/>
      <w:spacing w:after="1140" w:line="0" w:lineRule="atLeast"/>
      <w:outlineLvl w:val="0"/>
    </w:pPr>
    <w:rPr>
      <w:rFonts w:ascii="宋体" w:hAnsi="宋体" w:eastAsia="宋体" w:cs="Times New Roman"/>
      <w:color w:val="auto"/>
      <w:w w:val="70"/>
      <w:sz w:val="82"/>
      <w:szCs w:val="82"/>
      <w:lang w:bidi="ar-SA"/>
    </w:rPr>
  </w:style>
  <w:style w:type="character" w:customStyle="1" w:styleId="19">
    <w:name w:val="正文文本 (2)_"/>
    <w:link w:val="20"/>
    <w:uiPriority w:val="0"/>
    <w:rPr>
      <w:rFonts w:ascii="宋体" w:hAnsi="宋体" w:eastAsia="宋体" w:cs="宋体"/>
      <w:sz w:val="30"/>
      <w:szCs w:val="30"/>
      <w:u w:val="none"/>
    </w:rPr>
  </w:style>
  <w:style w:type="paragraph" w:customStyle="1" w:styleId="20">
    <w:name w:val="正文文本 (2)"/>
    <w:basedOn w:val="1"/>
    <w:link w:val="19"/>
    <w:uiPriority w:val="0"/>
    <w:pPr>
      <w:widowControl w:val="0"/>
      <w:shd w:val="clear" w:color="auto" w:fill="FFFFFF"/>
      <w:spacing w:before="1140" w:after="1380" w:line="0" w:lineRule="atLeast"/>
      <w:jc w:val="right"/>
    </w:pPr>
    <w:rPr>
      <w:rFonts w:ascii="宋体" w:hAnsi="宋体" w:eastAsia="宋体" w:cs="Times New Roman"/>
      <w:color w:val="auto"/>
      <w:sz w:val="30"/>
      <w:szCs w:val="30"/>
      <w:lang w:bidi="ar-SA"/>
    </w:rPr>
  </w:style>
  <w:style w:type="character" w:customStyle="1" w:styleId="21">
    <w:name w:val="标题 #2_"/>
    <w:link w:val="22"/>
    <w:uiPriority w:val="0"/>
    <w:rPr>
      <w:rFonts w:ascii="宋体" w:hAnsi="宋体" w:eastAsia="宋体" w:cs="宋体"/>
      <w:sz w:val="44"/>
      <w:szCs w:val="44"/>
      <w:u w:val="none"/>
    </w:rPr>
  </w:style>
  <w:style w:type="paragraph" w:customStyle="1" w:styleId="22">
    <w:name w:val="标题 #2"/>
    <w:basedOn w:val="1"/>
    <w:link w:val="21"/>
    <w:uiPriority w:val="0"/>
    <w:pPr>
      <w:widowControl w:val="0"/>
      <w:shd w:val="clear" w:color="auto" w:fill="FFFFFF"/>
      <w:spacing w:before="1380" w:after="540" w:line="600" w:lineRule="exact"/>
      <w:jc w:val="center"/>
      <w:outlineLvl w:val="1"/>
    </w:pPr>
    <w:rPr>
      <w:rFonts w:ascii="宋体" w:hAnsi="宋体" w:eastAsia="宋体" w:cs="Times New Roman"/>
      <w:color w:val="auto"/>
      <w:sz w:val="44"/>
      <w:szCs w:val="44"/>
      <w:lang w:bidi="ar-SA"/>
    </w:rPr>
  </w:style>
  <w:style w:type="character" w:customStyle="1" w:styleId="23">
    <w:name w:val="标题 #11"/>
    <w:uiPriority w:val="0"/>
    <w:rPr>
      <w:rFonts w:ascii="宋体" w:hAnsi="宋体" w:eastAsia="宋体" w:cs="宋体"/>
      <w:color w:val="000000"/>
      <w:spacing w:val="0"/>
      <w:w w:val="70"/>
      <w:position w:val="0"/>
      <w:sz w:val="82"/>
      <w:szCs w:val="82"/>
      <w:u w:val="none"/>
      <w:lang w:val="zh-TW" w:eastAsia="zh-TW" w:bidi="zh-TW"/>
    </w:rPr>
  </w:style>
  <w:style w:type="character" w:customStyle="1" w:styleId="24">
    <w:name w:val="MSG_EN_FONT_STYLE_NAME_TEMPLATE_ROLE_LEVEL MSG_EN_FONT_STYLE_NAME_BY_ROLE_HEADING 2_"/>
    <w:basedOn w:val="11"/>
    <w:link w:val="25"/>
    <w:uiPriority w:val="0"/>
    <w:rPr>
      <w:rFonts w:ascii="宋体" w:hAnsi="宋体" w:eastAsia="宋体" w:cs="宋体"/>
      <w:sz w:val="47"/>
      <w:szCs w:val="47"/>
      <w:u w:val="none"/>
    </w:rPr>
  </w:style>
  <w:style w:type="paragraph" w:customStyle="1" w:styleId="25">
    <w:name w:val="MSG_EN_FONT_STYLE_NAME_TEMPLATE_ROLE_LEVEL MSG_EN_FONT_STYLE_NAME_BY_ROLE_HEADING 2"/>
    <w:basedOn w:val="1"/>
    <w:link w:val="24"/>
    <w:uiPriority w:val="0"/>
    <w:pPr>
      <w:widowControl w:val="0"/>
      <w:shd w:val="clear" w:color="auto" w:fill="FFFFFF"/>
      <w:spacing w:before="960" w:after="960" w:line="0" w:lineRule="atLeast"/>
      <w:jc w:val="center"/>
      <w:outlineLvl w:val="1"/>
    </w:pPr>
    <w:rPr>
      <w:rFonts w:ascii="宋体" w:hAnsi="宋体" w:eastAsia="宋体" w:cs="宋体"/>
      <w:sz w:val="47"/>
      <w:szCs w:val="47"/>
      <w:u w:val="none"/>
    </w:rPr>
  </w:style>
  <w:style w:type="character" w:customStyle="1" w:styleId="26">
    <w:name w:val="MSG_EN_FONT_STYLE_NAME_TEMPLATE_ROLE MSG_EN_FONT_STYLE_NAME_BY_ROLE_TEXT"/>
    <w:basedOn w:val="27"/>
    <w:uiPriority w:val="0"/>
    <w:rPr>
      <w:color w:val="000000"/>
      <w:spacing w:val="0"/>
      <w:w w:val="100"/>
      <w:position w:val="0"/>
      <w:u w:val="single"/>
      <w:lang w:val="zh-CN"/>
    </w:rPr>
  </w:style>
  <w:style w:type="character" w:customStyle="1" w:styleId="27">
    <w:name w:val="MSG_EN_FONT_STYLE_NAME_TEMPLATE_ROLE MSG_EN_FONT_STYLE_NAME_BY_ROLE_TEXT_"/>
    <w:basedOn w:val="11"/>
    <w:link w:val="28"/>
    <w:uiPriority w:val="0"/>
    <w:rPr>
      <w:rFonts w:ascii="宋体" w:hAnsi="宋体" w:eastAsia="宋体" w:cs="宋体"/>
      <w:sz w:val="26"/>
      <w:szCs w:val="26"/>
      <w:u w:val="none"/>
    </w:rPr>
  </w:style>
  <w:style w:type="paragraph" w:customStyle="1" w:styleId="28">
    <w:name w:val="MSG_EN_FONT_STYLE_NAME_TEMPLATE_ROLE MSG_EN_FONT_STYLE_NAME_BY_ROLE_TEXT1"/>
    <w:basedOn w:val="1"/>
    <w:link w:val="27"/>
    <w:qFormat/>
    <w:uiPriority w:val="0"/>
    <w:pPr>
      <w:widowControl w:val="0"/>
      <w:shd w:val="clear" w:color="auto" w:fill="FFFFFF"/>
      <w:spacing w:before="960" w:line="886" w:lineRule="exact"/>
    </w:pPr>
    <w:rPr>
      <w:rFonts w:ascii="宋体" w:hAnsi="宋体" w:eastAsia="宋体" w:cs="宋体"/>
      <w:sz w:val="26"/>
      <w:szCs w:val="2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3401</Words>
  <Characters>3690</Characters>
  <Lines>1</Lines>
  <Paragraphs>1</Paragraphs>
  <TotalTime>2</TotalTime>
  <ScaleCrop>false</ScaleCrop>
  <LinksUpToDate>false</LinksUpToDate>
  <CharactersWithSpaces>3958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2019-09-26T11:42:00Z</dcterms:created>
  <dc:creator>TKM</dc:creator>
  <cp:lastModifiedBy> </cp:lastModifiedBy>
  <cp:lastPrinted>2025-11-07T17:21:01Z</cp:lastPrinted>
  <dcterms:modified xsi:type="dcterms:W3CDTF">2026-01-09T16:55:49Z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794EB4E42F194DEF95EE418F0CA379B5_13</vt:lpwstr>
  </property>
  <property fmtid="{D5CDD505-2E9C-101B-9397-08002B2CF9AE}" pid="4" name="KSOTemplateDocerSaveRecord">
    <vt:lpwstr>eyJoZGlkIjoiMjU2MTFhYjc3NTNjYjQzOGZlZmM4MGVmOTgwNTZkMGIiLCJ1c2VySWQiOiI3MzY0NjI3NzMifQ==</vt:lpwstr>
  </property>
</Properties>
</file>