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27" w:tblpY="176"/>
        <w:tblOverlap w:val="never"/>
        <w:tblW w:w="102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502"/>
        <w:gridCol w:w="2797"/>
        <w:gridCol w:w="1940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东莞市虎门港专职消防队2024年度镇级财政资金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绩效评价结果汇总表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162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自评等级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财政抽查复核结果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东莞市虎门港专职消防队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部门整体绩效评价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东莞市虎门港专职消防队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专用设备购置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东莞市虎门港专职消防队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编外人员经费（规模管控人员）后勤人员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167C3"/>
    <w:rsid w:val="08757386"/>
    <w:rsid w:val="1ACC055D"/>
    <w:rsid w:val="26012D7C"/>
    <w:rsid w:val="533167C3"/>
    <w:rsid w:val="5AF5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2025-12-29T01:14:00Z</dcterms:created>
  <dc:creator>   冰冰 </dc:creator>
  <cp:lastModifiedBy>特勤二</cp:lastModifiedBy>
  <dcterms:modified xsi:type="dcterms:W3CDTF">2025-12-31T07:35:14Z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