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23</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洪梅镇履行职责事项清单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2.配合履职事项清单.........................................................................................................................27</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3.上级部门收回事项清单.................................................................................................................114</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开展“十佳书记攻坚”、“十佳党员破题”、“奋进·思想汇”等项目，充分发挥党员先锋模范示范引领作用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健全以党组织为核心、多方共同参与的小区“共建议事会”制度，创新“党员楼栋长”、“一小区一品牌”等特色服务，构建党建引领小区治理格局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开展爱国主义教育宣传，做好莫萃华故居等爱国主义教育基地日常管理保护工作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发挥洪梅美术馆（百年国漫馆）等平台作用，推动洪梅潮玩产业建链、补链，打造水乡潮玩文化新地标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依托河西现代化产业园区等园区开发建设，打造产城人融合示范区，培育具有竞争力的特色产业集群，构建现代化产业体系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发展低空经济，依托洪梅飞场，推动洪梅低空经济产业集聚发展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推广电商经验模式，鼓励发展电子商务、“互联网+”、“流媒体+”等新产业、新业态、新商业模式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加快洪梅医院医养结合项目建设提标提质，推动“医养结合”国家级试点建设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推进平安建设，组织开展宣传和群防群治，筑牢“平安洪梅”防线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深入实施“百县千镇万村高质量发展工程”，立足洪梅镇发展基础和资源禀赋，构建“1339”典型引领体系，打造“百县千镇万村高质量发展工程”洪梅消薄典型样板，加强统筹谋划、顶层设计，推动高质量发展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打造设施农业基地和农业休闲观光点，做优“枣红糯”、“禾胎草”等特色农业产品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巩固美丽田园试点成果，推动金色水乡稻田公园建设，打造省绿色生态空间及绿美工程典型样板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挖掘村居特色资源，打造“一村一品牌”，建设和美乡村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打造洪屋涡水道一河两岸生活生态特色典型带，建设蓝绿交织水城共融绿美生态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优化镇容村貌，深化“行走洪梅”、“门前三包”等专项行动，建设美丽圩镇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加强“苍穹之上·莞”等基层公共文化设施设备建设管理，发展基层公共文化事业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健全文物保护机制，负责对“桂庐”等文物保护单位进行日常巡查和监督管理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举办“文化惠民展演”喜闻乐见的群众性文化活动，促进群众交往交流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创新建设新型公共文化空间，打造“相阅共成长”阅读品牌，优化公共文化服务和产品供给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塑造“粤式新潮流”广东文旅消费新业态热门场景，打造“动漫+产业”、“动漫+旅游”旅游精品线路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加大龙舟文化宣传力度，打造具有区域影响力的“水乡龙舟IP”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传承花灯文化，推动传统花灯技艺传播，做强洪梅“中国花灯之乡”品牌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推进数字政府建设，加强“一网统管”、“智慧城市运营中心”等系统平台应用，赋能洪梅综合智慧治理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39</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42</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79</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84</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十、城乡建设（31项）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92</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101</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十一、交通运输（10项）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140</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141</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FF77A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