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25</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常平镇履行职责事项清单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2.配合履职事项清单.........................................................................................................................28</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3.上级部门收回事项清单.................................................................................................................116</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落实党委理论学习中心组学习制度，组织党委理论学习中心组学习，发挥“常学堂”、“榕树下的声音”等平台作用，做强“两个示范”宣讲品牌，开展主题宣讲教育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推广建设“骑手友好社（街）区”等模式经验，强化对新业态新就业群体的引领和关爱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健全以党组织为核心、多方共同参与的小区“共建议事会”制度，创新“党员楼长制”、“党员楼嫂”、“党员服务日”等特色服务，构建党建引领小区治理格局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完善技能人才工作体系和体制机制，强化高技能人才培养，健全技能人才全链条服务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坚持党对外事工作的领导，依法依规管理涉外事务，促进民间外事交流，组织海外招商，协助企业拓展市场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加强社会工作和志愿服务，开展本级志愿服务工作的统筹规划、协调指导、督促检查，加强社会工作人才队伍建设，推动形成全民参与志愿服务良好格局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推广“专业社工+志愿服务”融合试点经验，擦亮“免费爱心粥”、“人人都是急救侠”、“火车莞家”、“我是你回家的航标”、“天使的翅膀”等志愿服务品牌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负责关心下一代成长工作，发挥“五老”（老干部、老战士、老专家、老教师、老模范）作用，组织“五老”开展关怀教育活动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开展爱国主义教育宣传，做好李任之故居、中共东莞县委机关旧址等爱国主义教育基地日常管理保护工作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推动现代化产业园区建设，打造一体化先进制造产业平台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推进优质企业梯度培育，做好专精特新企业、制造业单项冠军企业等培育工作，建立企业升规精准培育库，推动规模与效益倍增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打造生产性服务业集聚区，推动研发设计、数智赋能、科创金融、软件信息、现代物流等生产性服务业重点领域向专业化和价值链高端延伸，促进生产性服务业和制造业协同创新、集群发展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加强项目建设过程管理，建立“三库”（土地库、厂房库、项目库）台账，实现土地、人才、资金精准匹配、高效利用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建立以企业为主体、市场为导向、产学研用深度融合一体化创新平台，推动科技创新和产业创新一体发展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发挥政府投资等基金引导带动作用，加大扶持力度，优化投资方式，规范运作管理，促进资金赋能支柱性产业发展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推动镇村低效工业园升级改造，拓展产业发展空间，推动产业园建设，重塑产业格局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开展规范工业园区厂房“二手房东”常态化工作，强化政策规范与源头治理，优化产业生态与营商环境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实施提振消费专项行动，创新消费场景应用，优化“生产—消费”渠道环节和激励，提升消费能力、意愿和层级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活化闲置农房、老旧房屋等物业，发展朗洲村、横江厦村等乡村民宿庭院经济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健全扩大有效投资机制，支持纺织服装鞋帽行业、食品饮料行业等行业企业增资扩产，推动传统产业智能化数字化转型升级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加强公有资产交易管理，规范交易行为，提供交易服务，加强交易监管，促进公有资产保值增值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办好青少年宫特色教育，发展“暖教培”系统性特色办学理念，打造特色校外教育阵地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开展爱国卫生运动，做好病媒生物预防控制等工作，巩固国家卫生镇创建成果，倡导文明健康生活方式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加快基层卫生健康事业发展，打造高品质东部区域医疗中心，推进医疗机构扩容提质和精细化管理，规范医疗服务行为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推进平安建设，组织开展宣传和群防群治，筑牢“平安常平”防线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五、乡村振兴（29项）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深入实施“百县千镇万村高质量发展工程”，立足常平镇发展基础和资源禀赋，推动全域建设宜居宜业和美乡村，加强统筹谋划、顶层设计，推动高质量发展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推进省“百县千镇万村高质量发展工程”典型镇、典型村建设，以点带面推动全镇村（社区）整体跃升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落实乡村振兴责任制，加快乡村振兴项目建设，建设和美宜居乡村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做优做强“一镇一业、一村一品”专业村，培育荔枝、黄皮等乡村特色农业品牌</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深挖本地特色资源禀赋，打造休闲观光农业示范点和农业休闲观光点，提升休闲观光农业发展水平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开展农贸市场转型升级改造，推动农贸市场品质提升，殷实群众“菜篮子”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挖掘本地自然景观、历史遗迹、民俗文化等资源，带动文脉厚村、文化兴村，建设各具特色的和美乡村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负责耕地撂荒复种、高标准农田建设等工作，整治提升农田环境，保护农田质量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推进乡村人才队伍建设，规范新型职业农民认定，壮大乡村致富带头人、现代农业职业经理人等新型职业农业人才队伍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巩固提升农村集体产权制度改革成果，探索新发展路径，促进新型农村集体经济发展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开展古树名木保护宣传，做好古树名木养护工作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围绕“一河两岸”建设城市特色黄金水岸，打造河流生态修复和景观提升标杆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优化火车站站场建设，利用广深铁路、京九线、莞惠城际等轨道交通优势，打造“高铁+城际+地铁”一体化交通枢纽，擦亮“京九第一镇”名片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优化镇容村貌，深化“行走常平”、“门前三包”等专项行动，建设美丽圩镇</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加强物业管理活动监督管理，开展“加强物业管理共建美好家园”等服务提升活动，规范物业服务行为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加强“城市会客厅”、“绘本馆”基层公共文化设施设备建设管理，发展基层公共文化事业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承担镇域旅游资源普查开发和保护工作，编制实施文旅产业发展规划，健全文化旅游产业体系和市场体系，持续做强擦亮“七彩常平”名片，打造“文旅名镇”品牌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健全文物保护机制，负责对“周氏宗祠”、“浣薇书屋”等文物保护单位进行日常巡查和监督管理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擦亮“中国楹联文化之乡”、“中国硬笔书法名镇”、“广东省诗词之乡”等城市文化名片，依托常平小戏小品创作基地、广东摄影目的地等平台，推动艺术创作和发展，促进旅游演艺与产业发展相得益彰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举办“常平啤酒嘉年华”、“常平戏剧月”等喜闻乐见的群众性文化活动，充分发挥文艺协会作用，促进群众交往交流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创新建设新型公共文化空间，打造“·莞”空间文化品牌，培育“国学诵读”、“故事大王比赛”、“朗诵大赛”等本土特色阅读品牌，打造“家门口”公共阅读服务圈，优化公共文化服务和产品供给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发挥龙头企业引领带动作用，推动4A级景区旅游产品升级发展，创建“夜间经济+休闲娱乐+文旅打卡”旅游目的地，推动文旅项目开发和创新，丰富文旅消费供给，打造全省精品文旅龙头品牌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开展创建“‘粤式新潮流’广东文旅消费新业态热门场景”等活动，将景区、企业等资源串珠成链，构建工业旅游精品线路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探索乡村旅游与新消费业态融合发展路径，举办荔枝文化旅游节、黄皮节等乡土风情活动，有效活化利用乡村农文旅游资源</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丰富景区、科普基地、文化空间、商圈等场馆和特色文旅场景，打造“常平烧鹅”美食品牌，建设特色景区、打卡点，开展“十大美食评比”、“粤菜师傅”等活动，绘就“七彩旅游”文旅精美地图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完善公共文化服务体系，以常平美术馆为载体，打造东莞东部具有影响力和吸引力的文化艺术地标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盘活非物质文化遗产资源，加强“端午游旱木龙”、“田尾会景”等非物质文化遗产传承保护及活化利用，推动非遗项目和传统技艺传承、传授、传播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支持和保障“常平镇篮球联赛（CPBA）”等全民健身活动，落实公共体育场馆和设施申请、建设、投放、管理、维护工作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优化“体教融合”等模式，发展手球、排球项目，争创体育事业发展新佳绩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以斯诺克运动为载体，引进和举办高水平的斯诺克赛事，发展台球产业链，创办斯诺克特色课程，打造“斯诺克强镇”文化品牌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创新打造“常有礼”名手信品牌，丰富常平特色工业产品，促进创新发展能力强、具有行业代表性和影响力文化企业发展，推进特色文化产业发展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推进数字政府建设，加强“一网统管”、“智慧城市运营中心”等系统平台应用，赋能常平综合智慧治理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273</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274</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275</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276</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稀土使用管理</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1.负责稀土使用政策宣传。</w:t>
            </w:r>
            <w:r>
              <w:rPr>
                <w:rStyle w:val="11"/>
              </w:rPr>
              <w:br w:type="textWrapping"/>
            </w:r>
            <w:r>
              <w:rPr>
                <w:rStyle w:val="11"/>
              </w:rPr>
              <w:t>2.梳理下发全市涉稀土企业名单。</w:t>
            </w:r>
            <w:r>
              <w:rPr>
                <w:rStyle w:val="11"/>
              </w:rPr>
              <w:br w:type="textWrapping"/>
            </w:r>
            <w:r>
              <w:rPr>
                <w:rStyle w:val="11"/>
              </w:rPr>
              <w:t>3.制定整治稀土冶炼分离、资源综合利用企业、贸易企业违法违规行为专项行动方案并组织实施。</w:t>
            </w:r>
            <w:r>
              <w:rPr>
                <w:rStyle w:val="11"/>
              </w:rPr>
              <w:br w:type="textWrapping"/>
            </w:r>
            <w:r>
              <w:rPr>
                <w:rStyle w:val="11"/>
              </w:rPr>
              <w:t>4.汇总整治成果并上报。</w:t>
            </w:r>
          </w:p>
        </w:tc>
        <w:tc>
          <w:tcPr>
            <w:tcW w:w="3027" w:type="dxa"/>
            <w:tcMar>
              <w:top w:w="0" w:type="dxa"/>
              <w:left w:w="100" w:type="dxa"/>
              <w:bottom w:w="0" w:type="dxa"/>
              <w:right w:w="100" w:type="dxa"/>
            </w:tcMar>
            <w:vAlign w:val="center"/>
          </w:tcPr>
          <w:p>
            <w:pPr>
              <w:spacing w:line="210" w:lineRule="exact"/>
              <w:jc w:val="left"/>
            </w:pPr>
            <w:r>
              <w:rPr>
                <w:rStyle w:val="11"/>
              </w:rPr>
              <w:t>1.宣传稀土使用政策。</w:t>
            </w:r>
            <w:r>
              <w:rPr>
                <w:rStyle w:val="11"/>
              </w:rPr>
              <w:br w:type="textWrapping"/>
            </w:r>
            <w:r>
              <w:rPr>
                <w:rStyle w:val="11"/>
              </w:rPr>
              <w:t>2.按照涉稀土企业名单，开展稀土违法违规行为专项排查。</w:t>
            </w:r>
            <w:r>
              <w:rPr>
                <w:rStyle w:val="11"/>
              </w:rPr>
              <w:br w:type="textWrapping"/>
            </w:r>
            <w:r>
              <w:rPr>
                <w:rStyle w:val="11"/>
              </w:rPr>
              <w:t>3.参与专项整治行动，发现问题及时上报。</w:t>
            </w:r>
            <w:r>
              <w:rPr>
                <w:rStyle w:val="11"/>
              </w:rPr>
              <w:br w:type="textWrapping"/>
            </w:r>
            <w:r>
              <w:rPr>
                <w:rStyle w:val="11"/>
              </w:rPr>
              <w:t>4.督促企业整改落实。</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40</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43</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定点屠宰场（厂）管理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1.负责生猪（牛羊）定点屠宰场设置审查具体工作。</w:t>
            </w:r>
            <w:r>
              <w:rPr>
                <w:rStyle w:val="11"/>
              </w:rPr>
              <w:br w:type="textWrapping"/>
            </w:r>
            <w:r>
              <w:rPr>
                <w:rStyle w:val="11"/>
              </w:rPr>
              <w:t>2.负责生猪（牛羊）屠宰监督管理工作，及时协调、解决屠宰监督管理工作中的重大问题。</w:t>
            </w:r>
            <w:r>
              <w:rPr>
                <w:rStyle w:val="11"/>
              </w:rPr>
              <w:br w:type="textWrapping"/>
            </w:r>
            <w:r>
              <w:rPr>
                <w:rStyle w:val="11"/>
              </w:rPr>
              <w:t>3.负责屠宰环节病害猪无害化处理补贴工作。</w:t>
            </w:r>
            <w:r>
              <w:rPr>
                <w:rStyle w:val="11"/>
              </w:rPr>
              <w:br w:type="textWrapping"/>
            </w:r>
            <w:r>
              <w:rPr>
                <w:rStyle w:val="11"/>
              </w:rPr>
              <w:t>4.负责生猪（牛羊）定点屠宰场检疫监督管理工作。</w:t>
            </w:r>
          </w:p>
        </w:tc>
        <w:tc>
          <w:tcPr>
            <w:tcW w:w="3027" w:type="dxa"/>
            <w:tcMar>
              <w:top w:w="0" w:type="dxa"/>
              <w:left w:w="100" w:type="dxa"/>
              <w:bottom w:w="0" w:type="dxa"/>
              <w:right w:w="100" w:type="dxa"/>
            </w:tcMar>
            <w:vAlign w:val="center"/>
          </w:tcPr>
          <w:p>
            <w:pPr>
              <w:spacing w:line="210" w:lineRule="exact"/>
              <w:jc w:val="left"/>
            </w:pPr>
            <w:r>
              <w:rPr>
                <w:rStyle w:val="11"/>
              </w:rPr>
              <w:t>1.加强定点屠宰政策法规的宣传教育工作。</w:t>
            </w:r>
            <w:r>
              <w:rPr>
                <w:rStyle w:val="11"/>
              </w:rPr>
              <w:br w:type="textWrapping"/>
            </w:r>
            <w:r>
              <w:rPr>
                <w:rStyle w:val="11"/>
              </w:rPr>
              <w:t>2.做好定点屠宰场选址确认、驻场检疫人员派驻方案制定等工作。</w:t>
            </w:r>
            <w:r>
              <w:rPr>
                <w:rStyle w:val="11"/>
              </w:rPr>
              <w:br w:type="textWrapping"/>
            </w:r>
            <w:r>
              <w:rPr>
                <w:rStyle w:val="11"/>
              </w:rPr>
              <w:t>3.开展屠宰监督管理工作，包括日常监督检查、专项检查、质量安全风险监测、视频监控管理维护等工作。</w:t>
            </w:r>
            <w:r>
              <w:rPr>
                <w:rStyle w:val="11"/>
              </w:rPr>
              <w:br w:type="textWrapping"/>
            </w:r>
            <w:r>
              <w:rPr>
                <w:rStyle w:val="11"/>
              </w:rPr>
              <w:t>4.负责屠宰环节无害化处理补贴核实、年度补贴申请和补贴资金发放工作。</w:t>
            </w:r>
            <w:r>
              <w:rPr>
                <w:rStyle w:val="11"/>
              </w:rPr>
              <w:br w:type="textWrapping"/>
            </w:r>
            <w:r>
              <w:rPr>
                <w:rStyle w:val="11"/>
              </w:rPr>
              <w:t>5.督促屠宰企业做好动物疫病预防和控制。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81</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86</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生活垃圾填埋场整治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指导镇（街道）对生活垃圾填埋场开展日常管理、渗滤液处理及存量垃圾清理整治。</w:t>
            </w:r>
            <w:r>
              <w:rPr>
                <w:rStyle w:val="11"/>
              </w:rPr>
              <w:br w:type="textWrapping"/>
            </w:r>
            <w:r>
              <w:rPr>
                <w:rStyle w:val="11"/>
                <w:b/>
              </w:rPr>
              <w:t>城市管理综合执法分局：</w:t>
            </w:r>
            <w:r>
              <w:rPr>
                <w:rStyle w:val="11"/>
                <w:b/>
              </w:rPr>
              <w:br w:type="textWrapping"/>
            </w:r>
            <w:r>
              <w:rPr>
                <w:rStyle w:val="11"/>
              </w:rPr>
              <w:t>1.开展填埋场日常管理，检查现场覆膜、垃圾堆体、边坡、排水设施等工作。</w:t>
            </w:r>
            <w:r>
              <w:rPr>
                <w:rStyle w:val="11"/>
              </w:rPr>
              <w:br w:type="textWrapping"/>
            </w:r>
            <w:r>
              <w:rPr>
                <w:rStyle w:val="11"/>
              </w:rPr>
              <w:t>2.检查渗滤液处理项目的运行情况，每月统计渗滤液处理项目的处理量并进行结算。</w:t>
            </w:r>
            <w:r>
              <w:rPr>
                <w:rStyle w:val="11"/>
              </w:rPr>
              <w:br w:type="textWrapping"/>
            </w:r>
            <w:r>
              <w:rPr>
                <w:rStyle w:val="11"/>
              </w:rPr>
              <w:t>3.每月不定期对渗滤液处理项目的处理出水进行第三方监测。</w:t>
            </w:r>
            <w:r>
              <w:rPr>
                <w:rStyle w:val="11"/>
              </w:rPr>
              <w:br w:type="textWrapping"/>
            </w:r>
            <w:r>
              <w:rPr>
                <w:rStyle w:val="11"/>
              </w:rPr>
              <w:t>4.每季度对填埋场及其周边的地表水、地下水、气体进行第三方监测。</w:t>
            </w:r>
            <w:r>
              <w:rPr>
                <w:rStyle w:val="11"/>
              </w:rPr>
              <w:br w:type="textWrapping"/>
            </w:r>
            <w:r>
              <w:rPr>
                <w:rStyle w:val="11"/>
                <w:b/>
              </w:rPr>
              <w:t>市生态环境局：</w:t>
            </w:r>
            <w:r>
              <w:rPr>
                <w:rStyle w:val="11"/>
                <w:b/>
              </w:rPr>
              <w:br w:type="textWrapping"/>
            </w:r>
            <w:r>
              <w:rPr>
                <w:rStyle w:val="11"/>
              </w:rPr>
              <w:t>指导对垃圾填埋场污染物排放监测监管工作。</w:t>
            </w:r>
            <w:r>
              <w:rPr>
                <w:rStyle w:val="11"/>
              </w:rPr>
              <w:br w:type="textWrapping"/>
            </w:r>
            <w:r>
              <w:rPr>
                <w:rStyle w:val="11"/>
                <w:b/>
              </w:rPr>
              <w:t>生态环境分局：</w:t>
            </w:r>
            <w:r>
              <w:rPr>
                <w:rStyle w:val="11"/>
                <w:b/>
              </w:rPr>
              <w:br w:type="textWrapping"/>
            </w:r>
            <w:r>
              <w:rPr>
                <w:rStyle w:val="11"/>
              </w:rPr>
              <w:t>对垃圾填埋场污染物排放进行环境监测和监管。</w:t>
            </w:r>
          </w:p>
        </w:tc>
        <w:tc>
          <w:tcPr>
            <w:tcW w:w="3027" w:type="dxa"/>
            <w:tcMar>
              <w:top w:w="0" w:type="dxa"/>
              <w:left w:w="100" w:type="dxa"/>
              <w:bottom w:w="0" w:type="dxa"/>
              <w:right w:w="100" w:type="dxa"/>
            </w:tcMar>
            <w:vAlign w:val="center"/>
          </w:tcPr>
          <w:p>
            <w:pPr>
              <w:spacing w:line="210" w:lineRule="exact"/>
              <w:jc w:val="left"/>
            </w:pPr>
            <w:r>
              <w:rPr>
                <w:rStyle w:val="11"/>
              </w:rPr>
              <w:t>1.开展填埋场日常管理，包括填埋场日常运营维护、相关设施修缮、渗滤液等其他污染物处理、检测及对比分析、安全生产及智慧化管理等。</w:t>
            </w:r>
            <w:r>
              <w:rPr>
                <w:rStyle w:val="11"/>
              </w:rPr>
              <w:br w:type="textWrapping"/>
            </w:r>
            <w:r>
              <w:rPr>
                <w:rStyle w:val="11"/>
              </w:rPr>
              <w:t>2.制定填埋场存量垃圾清理整治具体的实施方案并组织实施，并落实项目实施过程中的施工现场管理、环境污染控制、检测及对比分析、各类产物处理、渗滤液及污水收集处理、土地综合利用、安全生产等工作。</w:t>
            </w:r>
            <w:r>
              <w:rPr>
                <w:rStyle w:val="11"/>
              </w:rPr>
              <w:br w:type="textWrapping"/>
            </w:r>
            <w:r>
              <w:rPr>
                <w:rStyle w:val="11"/>
              </w:rPr>
              <w:t>3.对发现问题落实整改，并报送整改情况。</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95</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96</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105</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106</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144</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145</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154</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F370B6C"/>
    <w:rsid w:val="7FDB765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2025-12-09T17:41:18Z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