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rPr>
          <w:rFonts w:ascii="Times New Roman" w:hAnsi="Times New Roman" w:eastAsia="黑体"/>
          <w:sz w:val="32"/>
          <w:szCs w:val="32"/>
        </w:rPr>
      </w:pPr>
      <w:bookmarkStart w:id="0" w:name="_GoBack"/>
      <w:bookmarkEnd w:id="0"/>
      <w:r>
        <w:rPr>
          <w:rFonts w:ascii="Times New Roman" w:hAnsi="Times New Roman" w:eastAsia="黑体"/>
          <w:sz w:val="32"/>
          <w:szCs w:val="32"/>
        </w:rPr>
        <w:t>附件1</w:t>
      </w:r>
    </w:p>
    <w:p>
      <w:pPr>
        <w:spacing w:line="580" w:lineRule="exact"/>
        <w:rPr>
          <w:rFonts w:ascii="Times New Roman" w:hAnsi="Times New Roman" w:eastAsia="黑体"/>
          <w:sz w:val="32"/>
          <w:szCs w:val="32"/>
        </w:rPr>
      </w:pPr>
    </w:p>
    <w:p>
      <w:pPr>
        <w:spacing w:line="580" w:lineRule="exact"/>
        <w:jc w:val="center"/>
        <w:rPr>
          <w:rFonts w:ascii="Times New Roman" w:hAnsi="Times New Roman" w:eastAsia="方正小标宋简体"/>
          <w:sz w:val="44"/>
          <w:szCs w:val="44"/>
        </w:rPr>
      </w:pPr>
      <w:r>
        <w:rPr>
          <w:rFonts w:ascii="Times New Roman" w:hAnsi="Times New Roman" w:eastAsia="方正小标宋简体"/>
          <w:sz w:val="44"/>
          <w:szCs w:val="44"/>
        </w:rPr>
        <w:t>东莞市低空起降基础设施专项资金申报指南</w:t>
      </w:r>
    </w:p>
    <w:p>
      <w:pPr>
        <w:spacing w:line="580" w:lineRule="exact"/>
        <w:ind w:firstLine="420" w:firstLineChars="200"/>
        <w:rPr>
          <w:rFonts w:ascii="Times New Roman" w:hAnsi="Times New Roman"/>
        </w:rPr>
      </w:pP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根据《东莞市支持低空经济高质量发展的若干措施》（东发改〔2025〕192号）第一章第（一）条、《东莞市低空经济产业发展专项资金管理办法》，制定本申报指南。</w:t>
      </w:r>
    </w:p>
    <w:p>
      <w:pPr>
        <w:pStyle w:val="5"/>
        <w:spacing w:after="0" w:line="580" w:lineRule="exact"/>
        <w:ind w:firstLine="640" w:firstLineChars="200"/>
        <w:rPr>
          <w:rFonts w:ascii="Times New Roman" w:hAnsi="Times New Roman" w:eastAsia="黑体"/>
          <w:sz w:val="32"/>
          <w:szCs w:val="32"/>
        </w:rPr>
      </w:pPr>
      <w:r>
        <w:rPr>
          <w:rFonts w:ascii="Times New Roman" w:hAnsi="Times New Roman" w:eastAsia="黑体"/>
          <w:sz w:val="32"/>
          <w:szCs w:val="32"/>
        </w:rPr>
        <w:t>一、申报对象</w:t>
      </w:r>
    </w:p>
    <w:p>
      <w:pPr>
        <w:pStyle w:val="5"/>
        <w:spacing w:after="0"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在东莞市注册成立，住所在东莞市内的相关机构、企事业单位等。</w:t>
      </w:r>
    </w:p>
    <w:p>
      <w:pPr>
        <w:pStyle w:val="5"/>
        <w:spacing w:after="0" w:line="580" w:lineRule="exact"/>
        <w:ind w:firstLine="640" w:firstLineChars="200"/>
        <w:rPr>
          <w:rFonts w:ascii="Times New Roman" w:hAnsi="Times New Roman" w:eastAsia="黑体"/>
          <w:sz w:val="32"/>
          <w:szCs w:val="32"/>
        </w:rPr>
      </w:pPr>
      <w:r>
        <w:rPr>
          <w:rFonts w:ascii="Times New Roman" w:hAnsi="Times New Roman" w:eastAsia="黑体"/>
          <w:sz w:val="32"/>
          <w:szCs w:val="32"/>
        </w:rPr>
        <w:t>二、申报条件</w:t>
      </w:r>
    </w:p>
    <w:p>
      <w:pPr>
        <w:pStyle w:val="6"/>
        <w:spacing w:before="0" w:after="0" w:line="580" w:lineRule="exact"/>
        <w:ind w:firstLine="640" w:firstLineChars="200"/>
        <w:jc w:val="both"/>
        <w:rPr>
          <w:rFonts w:ascii="Times New Roman" w:hAnsi="Times New Roman" w:eastAsia="仿宋_GB2312"/>
          <w:b w:val="0"/>
          <w:bCs w:val="0"/>
        </w:rPr>
      </w:pPr>
      <w:r>
        <w:rPr>
          <w:rFonts w:ascii="Times New Roman" w:hAnsi="Times New Roman" w:eastAsia="仿宋_GB2312"/>
          <w:b w:val="0"/>
          <w:bCs w:val="0"/>
        </w:rPr>
        <w:t>（一）低空起降基础设施由社会资本投资建设，或由社会资本与政府资金合作投资建设；</w:t>
      </w:r>
    </w:p>
    <w:p>
      <w:pPr>
        <w:pStyle w:val="14"/>
        <w:numPr>
          <w:ilvl w:val="255"/>
          <w:numId w:val="0"/>
        </w:numPr>
        <w:spacing w:line="580" w:lineRule="exact"/>
        <w:ind w:firstLine="640" w:firstLineChars="200"/>
        <w:rPr>
          <w:rStyle w:val="12"/>
          <w:rFonts w:ascii="Times New Roman" w:hAnsi="Times New Roman"/>
        </w:rPr>
      </w:pPr>
      <w:r>
        <w:rPr>
          <w:rFonts w:ascii="Times New Roman" w:hAnsi="Times New Roman" w:eastAsia="仿宋_GB2312"/>
          <w:sz w:val="32"/>
          <w:szCs w:val="32"/>
        </w:rPr>
        <w:t>（二）</w:t>
      </w:r>
      <w:r>
        <w:rPr>
          <w:rStyle w:val="12"/>
          <w:rFonts w:ascii="Times New Roman" w:hAnsi="Times New Roman"/>
        </w:rPr>
        <w:t>满足低空起降设施基本运营条件，配置必要的电力、通信、导航、监视、气象等服务保障设备，具备公共基础设施属性</w:t>
      </w:r>
      <w:r>
        <w:rPr>
          <w:rStyle w:val="12"/>
          <w:rFonts w:hint="eastAsia" w:ascii="Times New Roman" w:hAnsi="Times New Roman" w:eastAsia="仿宋_GB2312"/>
          <w:lang w:eastAsia="zh-CN"/>
        </w:rPr>
        <w:t>。除小型起降点外，需</w:t>
      </w:r>
      <w:r>
        <w:rPr>
          <w:rStyle w:val="12"/>
          <w:rFonts w:ascii="Times New Roman" w:hAnsi="Times New Roman"/>
        </w:rPr>
        <w:t>向2家及以上</w:t>
      </w:r>
      <w:r>
        <w:rPr>
          <w:rStyle w:val="12"/>
          <w:rFonts w:hint="eastAsia" w:ascii="Times New Roman" w:hAnsi="Times New Roman" w:eastAsia="仿宋_GB2312"/>
          <w:lang w:eastAsia="zh-CN"/>
        </w:rPr>
        <w:t>企业</w:t>
      </w:r>
      <w:r>
        <w:rPr>
          <w:rStyle w:val="12"/>
          <w:rFonts w:ascii="Times New Roman" w:hAnsi="Times New Roman"/>
        </w:rPr>
        <w:t>运营开放；</w:t>
      </w:r>
    </w:p>
    <w:p>
      <w:pPr>
        <w:pStyle w:val="14"/>
        <w:numPr>
          <w:ilvl w:val="255"/>
          <w:numId w:val="0"/>
        </w:numPr>
        <w:spacing w:line="580" w:lineRule="exact"/>
        <w:ind w:firstLine="640" w:firstLineChars="200"/>
        <w:rPr>
          <w:rStyle w:val="12"/>
          <w:rFonts w:ascii="Times New Roman" w:hAnsi="Times New Roman"/>
        </w:rPr>
      </w:pPr>
      <w:r>
        <w:rPr>
          <w:rFonts w:ascii="Times New Roman" w:hAnsi="Times New Roman" w:eastAsia="仿宋_GB2312"/>
          <w:sz w:val="32"/>
          <w:szCs w:val="32"/>
        </w:rPr>
        <w:t>（三）</w:t>
      </w:r>
      <w:r>
        <w:rPr>
          <w:rStyle w:val="12"/>
          <w:rFonts w:ascii="Times New Roman" w:hAnsi="Times New Roman"/>
        </w:rPr>
        <w:t>项目已全部建成并完成竣工验收，项目竣工时间为2025年9月15日（含）之后；</w:t>
      </w:r>
    </w:p>
    <w:p>
      <w:pPr>
        <w:pStyle w:val="14"/>
        <w:numPr>
          <w:ilvl w:val="255"/>
          <w:numId w:val="0"/>
        </w:numPr>
        <w:spacing w:line="580" w:lineRule="exact"/>
        <w:ind w:firstLine="640" w:firstLineChars="200"/>
        <w:rPr>
          <w:rFonts w:ascii="Times New Roman" w:hAnsi="Times New Roman" w:eastAsia="仿宋_GB2312"/>
          <w:sz w:val="32"/>
          <w:szCs w:val="32"/>
        </w:rPr>
      </w:pPr>
      <w:r>
        <w:rPr>
          <w:rStyle w:val="12"/>
          <w:rFonts w:ascii="Times New Roman" w:hAnsi="Times New Roman"/>
        </w:rPr>
        <w:t>（四）通用机场类项目：已取得相关行业主管部门颁发的使用许可或备案证明；</w:t>
      </w:r>
    </w:p>
    <w:p>
      <w:pPr>
        <w:pStyle w:val="14"/>
        <w:numPr>
          <w:ilvl w:val="255"/>
          <w:numId w:val="0"/>
        </w:num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（五）中大型起降设施类项目：</w:t>
      </w:r>
    </w:p>
    <w:p>
      <w:pPr>
        <w:pStyle w:val="14"/>
        <w:numPr>
          <w:ilvl w:val="255"/>
          <w:numId w:val="0"/>
        </w:numPr>
        <w:spacing w:line="580" w:lineRule="exact"/>
        <w:ind w:firstLine="640" w:firstLineChars="200"/>
        <w:rPr>
          <w:rFonts w:ascii="Times New Roman" w:hAnsi="Times New Roman" w:eastAsia="仿宋_GB2312"/>
          <w:sz w:val="32"/>
          <w:szCs w:val="32"/>
        </w:rPr>
      </w:pPr>
    </w:p>
    <w:p>
      <w:pPr>
        <w:pStyle w:val="14"/>
        <w:numPr>
          <w:ilvl w:val="255"/>
          <w:numId w:val="0"/>
        </w:num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1.项目已实际投入运营满1年（含）以上（自项目竣工验收合格之日起算），并能提供相应的</w:t>
      </w:r>
      <w:r>
        <w:rPr>
          <w:rFonts w:hint="eastAsia" w:ascii="Times New Roman" w:hAnsi="Times New Roman" w:eastAsia="仿宋_GB2312"/>
          <w:sz w:val="32"/>
          <w:szCs w:val="32"/>
          <w:lang w:eastAsia="zh-CN"/>
        </w:rPr>
        <w:t>服务合同</w:t>
      </w:r>
      <w:r>
        <w:rPr>
          <w:rFonts w:ascii="Times New Roman" w:hAnsi="Times New Roman" w:eastAsia="仿宋_GB2312"/>
          <w:sz w:val="32"/>
          <w:szCs w:val="32"/>
        </w:rPr>
        <w:t>；</w:t>
      </w:r>
    </w:p>
    <w:p>
      <w:pPr>
        <w:pStyle w:val="14"/>
        <w:numPr>
          <w:ilvl w:val="255"/>
          <w:numId w:val="0"/>
        </w:numPr>
        <w:spacing w:line="580" w:lineRule="exact"/>
        <w:ind w:firstLine="640" w:firstLineChars="200"/>
        <w:rPr>
          <w:rFonts w:ascii="Times New Roman" w:hAnsi="Times New Roman" w:eastAsia="仿宋_GB2312"/>
          <w:sz w:val="32"/>
          <w:szCs w:val="32"/>
        </w:rPr>
      </w:pPr>
      <w:r>
        <w:rPr>
          <w:rFonts w:ascii="Times New Roman" w:hAnsi="Times New Roman" w:eastAsia="仿宋_GB2312"/>
          <w:sz w:val="32"/>
          <w:szCs w:val="32"/>
        </w:rPr>
        <w:t>2.已取得必要的</w:t>
      </w:r>
      <w:r>
        <w:rPr>
          <w:rFonts w:hint="eastAsia" w:ascii="Times New Roman" w:hAnsi="Times New Roman" w:eastAsia="仿宋_GB2312"/>
          <w:sz w:val="32"/>
          <w:szCs w:val="32"/>
          <w:lang w:eastAsia="zh-CN"/>
        </w:rPr>
        <w:t>安全评估报告</w:t>
      </w:r>
      <w:r>
        <w:rPr>
          <w:rFonts w:ascii="Times New Roman" w:hAnsi="Times New Roman" w:eastAsia="仿宋_GB2312"/>
          <w:sz w:val="32"/>
          <w:szCs w:val="32"/>
        </w:rPr>
        <w:t>或备案文件。</w:t>
      </w:r>
    </w:p>
    <w:p>
      <w:pPr>
        <w:widowControl/>
        <w:numPr>
          <w:ilvl w:val="255"/>
          <w:numId w:val="0"/>
        </w:numPr>
        <w:spacing w:line="580" w:lineRule="exact"/>
        <w:ind w:firstLine="640" w:firstLineChars="200"/>
        <w:jc w:val="left"/>
        <w:rPr>
          <w:rFonts w:hint="eastAsia" w:ascii="Times New Roman" w:hAnsi="Times New Roman" w:eastAsia="仿宋_GB2312"/>
          <w:sz w:val="32"/>
          <w:szCs w:val="32"/>
          <w:lang w:eastAsia="zh-CN"/>
        </w:rPr>
      </w:pPr>
      <w:r>
        <w:rPr>
          <w:rFonts w:hint="eastAsia" w:ascii="Times New Roman" w:hAnsi="Times New Roman" w:eastAsia="仿宋_GB2312"/>
          <w:sz w:val="32"/>
          <w:szCs w:val="32"/>
          <w:lang w:eastAsia="zh-CN"/>
        </w:rPr>
        <w:t>（六）</w:t>
      </w:r>
      <w:r>
        <w:rPr>
          <w:rFonts w:ascii="Times New Roman" w:hAnsi="Times New Roman" w:eastAsia="仿宋_GB2312"/>
          <w:sz w:val="32"/>
          <w:szCs w:val="32"/>
          <w:lang w:bidi="ar"/>
        </w:rPr>
        <w:t>申报单位注册成立已满至少一个完整会计年度</w:t>
      </w:r>
      <w:r>
        <w:rPr>
          <w:rFonts w:hint="eastAsia" w:ascii="Times New Roman" w:hAnsi="Times New Roman" w:eastAsia="仿宋_GB2312"/>
          <w:sz w:val="32"/>
          <w:szCs w:val="32"/>
          <w:lang w:bidi="ar"/>
        </w:rPr>
        <w:t>；</w:t>
      </w:r>
    </w:p>
    <w:p>
      <w:pPr>
        <w:pStyle w:val="14"/>
        <w:numPr>
          <w:ilvl w:val="255"/>
          <w:numId w:val="0"/>
        </w:numPr>
        <w:spacing w:line="580" w:lineRule="exact"/>
        <w:ind w:firstLine="640" w:firstLineChars="200"/>
        <w:rPr>
          <w:rFonts w:ascii="Times New Roman" w:hAnsi="Times New Roman" w:eastAsia="仿宋_GB2312"/>
          <w:sz w:val="32"/>
          <w:szCs w:val="32"/>
        </w:rPr>
      </w:pPr>
      <w:r>
        <w:rPr>
          <w:rFonts w:hint="eastAsia" w:ascii="Times New Roman" w:hAnsi="Times New Roman" w:eastAsia="仿宋_GB2312"/>
          <w:sz w:val="32"/>
          <w:szCs w:val="32"/>
        </w:rPr>
        <w:t>（</w:t>
      </w:r>
      <w:r>
        <w:rPr>
          <w:rFonts w:hint="eastAsia" w:ascii="Times New Roman" w:hAnsi="Times New Roman" w:eastAsia="仿宋_GB2312"/>
          <w:sz w:val="32"/>
          <w:szCs w:val="32"/>
          <w:lang w:eastAsia="zh-CN"/>
        </w:rPr>
        <w:t>七</w:t>
      </w:r>
      <w:r>
        <w:rPr>
          <w:rFonts w:hint="eastAsia" w:ascii="Times New Roman" w:hAnsi="Times New Roman" w:eastAsia="仿宋_GB2312"/>
          <w:sz w:val="32"/>
          <w:szCs w:val="32"/>
        </w:rPr>
        <w:t>）申报单位未获得同类型市级财政资金支持，不存在财政专项资金不予资助的情形，未违反国家、省、市联合惩戒政策和制度规定，未被列为失信联合惩戒对象。</w:t>
      </w:r>
    </w:p>
    <w:p>
      <w:pPr>
        <w:pStyle w:val="14"/>
        <w:numPr>
          <w:ilvl w:val="255"/>
          <w:numId w:val="0"/>
        </w:numPr>
        <w:spacing w:line="580" w:lineRule="exact"/>
        <w:ind w:firstLine="640" w:firstLineChars="200"/>
        <w:rPr>
          <w:rFonts w:ascii="Times New Roman" w:hAnsi="Times New Roman"/>
        </w:rPr>
      </w:pPr>
      <w:r>
        <w:rPr>
          <w:rFonts w:ascii="Times New Roman" w:hAnsi="Times New Roman" w:eastAsia="黑体"/>
          <w:sz w:val="32"/>
          <w:szCs w:val="32"/>
        </w:rPr>
        <w:t>三、资助标准</w:t>
      </w:r>
    </w:p>
    <w:p>
      <w:pPr>
        <w:spacing w:line="580" w:lineRule="exact"/>
        <w:ind w:firstLine="640"/>
        <w:rPr>
          <w:rFonts w:ascii="Times New Roman" w:hAnsi="Times New Roman" w:eastAsia="仿宋_GB2312"/>
          <w:color w:val="000000"/>
          <w:sz w:val="32"/>
          <w:szCs w:val="32"/>
        </w:rPr>
      </w:pPr>
      <w:r>
        <w:rPr>
          <w:rFonts w:ascii="Times New Roman" w:hAnsi="Times New Roman" w:eastAsia="仿宋_GB2312"/>
          <w:color w:val="000000"/>
          <w:sz w:val="32"/>
          <w:szCs w:val="32"/>
        </w:rPr>
        <w:t>按照第三方机构专项审计确认的实际建设费用（不包含航空器采购及软件系统）中社会资本的</w:t>
      </w:r>
      <w:r>
        <w:rPr>
          <w:rFonts w:ascii="Times New Roman" w:hAnsi="Times New Roman" w:eastAsia="仿宋_GB2312"/>
          <w:sz w:val="32"/>
          <w:szCs w:val="32"/>
        </w:rPr>
        <w:t>1</w:t>
      </w:r>
      <w:r>
        <w:rPr>
          <w:rFonts w:ascii="Times New Roman" w:hAnsi="Times New Roman" w:eastAsia="仿宋_GB2312"/>
          <w:color w:val="000000"/>
          <w:sz w:val="32"/>
          <w:szCs w:val="32"/>
        </w:rPr>
        <w:t>0%进行一次性资助。每类基础设施的资助</w:t>
      </w:r>
      <w:r>
        <w:rPr>
          <w:rFonts w:ascii="Times New Roman" w:hAnsi="Times New Roman" w:eastAsia="仿宋_GB2312"/>
          <w:sz w:val="32"/>
          <w:szCs w:val="32"/>
        </w:rPr>
        <w:t>标准及</w:t>
      </w:r>
      <w:r>
        <w:rPr>
          <w:rFonts w:ascii="Times New Roman" w:hAnsi="Times New Roman" w:eastAsia="仿宋_GB2312"/>
          <w:color w:val="000000"/>
          <w:sz w:val="32"/>
          <w:szCs w:val="32"/>
        </w:rPr>
        <w:t>上限为：</w:t>
      </w:r>
    </w:p>
    <w:p>
      <w:pPr>
        <w:spacing w:line="580" w:lineRule="exact"/>
        <w:ind w:firstLine="640"/>
        <w:rPr>
          <w:rFonts w:ascii="Times New Roman" w:hAnsi="Times New Roman" w:eastAsia="仿宋_GB2312"/>
          <w:sz w:val="32"/>
          <w:szCs w:val="32"/>
        </w:rPr>
      </w:pPr>
      <w:r>
        <w:rPr>
          <w:rFonts w:ascii="Times New Roman" w:hAnsi="Times New Roman" w:eastAsia="仿宋_GB2312"/>
          <w:sz w:val="32"/>
          <w:szCs w:val="32"/>
        </w:rPr>
        <w:t>（一）新建通用机场：每个项目最高补贴金额不超过500万元；</w:t>
      </w:r>
    </w:p>
    <w:p>
      <w:pPr>
        <w:spacing w:line="580" w:lineRule="exact"/>
        <w:ind w:firstLine="640"/>
        <w:rPr>
          <w:rFonts w:ascii="Times New Roman" w:hAnsi="Times New Roman" w:eastAsia="仿宋_GB2312"/>
          <w:sz w:val="32"/>
          <w:szCs w:val="32"/>
        </w:rPr>
      </w:pPr>
      <w:r>
        <w:rPr>
          <w:rFonts w:ascii="Times New Roman" w:hAnsi="Times New Roman" w:eastAsia="仿宋_GB2312"/>
          <w:sz w:val="32"/>
          <w:szCs w:val="32"/>
        </w:rPr>
        <w:t>（二）</w:t>
      </w:r>
      <w:r>
        <w:rPr>
          <w:rFonts w:ascii="Times New Roman" w:hAnsi="Times New Roman" w:eastAsia="仿宋_GB2312"/>
          <w:sz w:val="32"/>
          <w:szCs w:val="32"/>
          <w:lang w:bidi="ar"/>
        </w:rPr>
        <w:t>小型起降点</w:t>
      </w:r>
      <w:r>
        <w:rPr>
          <w:rFonts w:hint="eastAsia" w:ascii="Times New Roman" w:hAnsi="Times New Roman" w:eastAsia="仿宋_GB2312"/>
          <w:sz w:val="32"/>
          <w:szCs w:val="32"/>
          <w:lang w:eastAsia="zh-CN" w:bidi="ar"/>
        </w:rPr>
        <w:t>（建设面积为</w:t>
      </w:r>
      <w:r>
        <w:rPr>
          <w:rFonts w:hint="eastAsia" w:ascii="Times New Roman" w:hAnsi="Times New Roman" w:eastAsia="仿宋_GB2312"/>
          <w:sz w:val="32"/>
          <w:szCs w:val="32"/>
          <w:lang w:val="en-US" w:eastAsia="zh-CN" w:bidi="ar"/>
        </w:rPr>
        <w:t>25至200平方米（包含）</w:t>
      </w:r>
      <w:r>
        <w:rPr>
          <w:rFonts w:hint="eastAsia" w:ascii="Times New Roman" w:hAnsi="Times New Roman" w:eastAsia="仿宋_GB2312"/>
          <w:sz w:val="32"/>
          <w:szCs w:val="32"/>
          <w:lang w:eastAsia="zh-CN" w:bidi="ar"/>
        </w:rPr>
        <w:t>）</w:t>
      </w:r>
      <w:r>
        <w:rPr>
          <w:rFonts w:ascii="Times New Roman" w:hAnsi="Times New Roman" w:eastAsia="仿宋_GB2312"/>
          <w:sz w:val="32"/>
          <w:szCs w:val="32"/>
          <w:lang w:bidi="ar"/>
        </w:rPr>
        <w:t>、智能起降柜机等：单个项目最高补贴10万元，单个企业年度最高300万元</w:t>
      </w:r>
      <w:r>
        <w:rPr>
          <w:rFonts w:ascii="Times New Roman" w:hAnsi="Times New Roman" w:eastAsia="仿宋_GB2312"/>
          <w:sz w:val="32"/>
          <w:szCs w:val="32"/>
        </w:rPr>
        <w:t>；</w:t>
      </w:r>
    </w:p>
    <w:p>
      <w:pPr>
        <w:widowControl/>
        <w:spacing w:line="580" w:lineRule="exact"/>
        <w:ind w:firstLine="640"/>
        <w:jc w:val="left"/>
        <w:rPr>
          <w:rFonts w:ascii="Times New Roman" w:hAnsi="Times New Roman" w:eastAsia="仿宋_GB2312"/>
          <w:sz w:val="32"/>
          <w:szCs w:val="32"/>
          <w:lang w:bidi="ar"/>
        </w:rPr>
      </w:pPr>
      <w:r>
        <w:rPr>
          <w:rFonts w:ascii="Times New Roman" w:hAnsi="Times New Roman" w:eastAsia="仿宋_GB2312"/>
          <w:sz w:val="32"/>
          <w:szCs w:val="32"/>
        </w:rPr>
        <w:t>（三）</w:t>
      </w:r>
      <w:r>
        <w:rPr>
          <w:rFonts w:ascii="Times New Roman" w:hAnsi="Times New Roman" w:eastAsia="仿宋_GB2312"/>
          <w:sz w:val="32"/>
          <w:szCs w:val="32"/>
          <w:lang w:bidi="ar"/>
        </w:rPr>
        <w:t>中大型起降点</w:t>
      </w:r>
      <w:r>
        <w:rPr>
          <w:rFonts w:hint="eastAsia" w:ascii="Times New Roman" w:hAnsi="Times New Roman" w:eastAsia="仿宋_GB2312"/>
          <w:sz w:val="32"/>
          <w:szCs w:val="32"/>
          <w:lang w:eastAsia="zh-CN" w:bidi="ar"/>
        </w:rPr>
        <w:t>（建设面积</w:t>
      </w:r>
      <w:r>
        <w:rPr>
          <w:rFonts w:hint="eastAsia" w:ascii="Times New Roman" w:hAnsi="Times New Roman" w:eastAsia="仿宋_GB2312"/>
          <w:sz w:val="32"/>
          <w:szCs w:val="32"/>
          <w:lang w:val="en-US" w:eastAsia="zh-CN" w:bidi="ar"/>
        </w:rPr>
        <w:t>大于200平方米</w:t>
      </w:r>
      <w:r>
        <w:rPr>
          <w:rFonts w:hint="eastAsia" w:ascii="Times New Roman" w:hAnsi="Times New Roman" w:eastAsia="仿宋_GB2312"/>
          <w:sz w:val="32"/>
          <w:szCs w:val="32"/>
          <w:lang w:eastAsia="zh-CN" w:bidi="ar"/>
        </w:rPr>
        <w:t>）</w:t>
      </w:r>
      <w:r>
        <w:rPr>
          <w:rFonts w:ascii="Times New Roman" w:hAnsi="Times New Roman" w:eastAsia="仿宋_GB2312"/>
          <w:sz w:val="32"/>
          <w:szCs w:val="32"/>
          <w:lang w:bidi="ar"/>
        </w:rPr>
        <w:t>、eVTOL起降场、直升机起降平台、测试场等：需实际运营满1年以上，单个项目最高补贴200万元，单个企业年度最高500万元；</w:t>
      </w:r>
    </w:p>
    <w:p>
      <w:pPr>
        <w:widowControl/>
        <w:spacing w:line="580" w:lineRule="exact"/>
        <w:ind w:firstLine="640"/>
        <w:jc w:val="left"/>
        <w:rPr>
          <w:rFonts w:ascii="Times New Roman" w:hAnsi="Times New Roman"/>
        </w:rPr>
      </w:pPr>
      <w:r>
        <w:rPr>
          <w:rFonts w:ascii="Times New Roman" w:hAnsi="Times New Roman" w:eastAsia="仿宋_GB2312"/>
          <w:sz w:val="32"/>
          <w:szCs w:val="32"/>
          <w:lang w:bidi="ar"/>
        </w:rPr>
        <w:t>（四）</w:t>
      </w:r>
      <w:r>
        <w:rPr>
          <w:rFonts w:ascii="Times New Roman" w:hAnsi="Times New Roman" w:eastAsia="仿宋_GB2312"/>
          <w:sz w:val="32"/>
          <w:szCs w:val="32"/>
        </w:rPr>
        <w:t>具体资助标准和金额将根据年度资金预算及申报情况进行调整。</w:t>
      </w:r>
    </w:p>
    <w:p>
      <w:pPr>
        <w:spacing w:line="580" w:lineRule="exact"/>
        <w:ind w:firstLine="640" w:firstLineChars="200"/>
        <w:rPr>
          <w:rFonts w:ascii="Times New Roman" w:hAnsi="Times New Roman"/>
        </w:rPr>
      </w:pPr>
      <w:r>
        <w:rPr>
          <w:rFonts w:ascii="Times New Roman" w:hAnsi="Times New Roman" w:eastAsia="黑体"/>
          <w:sz w:val="32"/>
          <w:szCs w:val="32"/>
        </w:rPr>
        <w:t>四、申报程序</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w:t>
      </w:r>
      <w:r>
        <w:rPr>
          <w:rFonts w:hint="eastAsia" w:ascii="楷体_GB2312" w:hAnsi="楷体_GB2312" w:eastAsia="楷体_GB2312" w:cs="楷体_GB2312"/>
          <w:sz w:val="32"/>
          <w:szCs w:val="32"/>
        </w:rPr>
        <w:t>网上申报。</w:t>
      </w:r>
      <w:r>
        <w:rPr>
          <w:rFonts w:hint="eastAsia" w:ascii="仿宋_GB2312" w:hAnsi="仿宋_GB2312" w:eastAsia="仿宋_GB2312" w:cs="仿宋_GB2312"/>
          <w:sz w:val="32"/>
          <w:szCs w:val="32"/>
        </w:rPr>
        <w:t>申报单位按照要求准备相关材料，并</w:t>
      </w:r>
      <w:r>
        <w:rPr>
          <w:rFonts w:hint="eastAsia" w:ascii="仿宋_GB2312" w:hAnsi="仿宋_GB2312" w:eastAsia="仿宋_GB2312" w:cs="仿宋_GB2312"/>
          <w:sz w:val="32"/>
          <w:szCs w:val="32"/>
          <w:lang w:eastAsia="zh-CN"/>
        </w:rPr>
        <w:t>登录</w:t>
      </w:r>
      <w:r>
        <w:rPr>
          <w:rFonts w:hint="eastAsia" w:ascii="仿宋_GB2312" w:hAnsi="仿宋_GB2312" w:eastAsia="仿宋_GB2312" w:cs="仿宋_GB2312"/>
          <w:sz w:val="32"/>
          <w:szCs w:val="32"/>
        </w:rPr>
        <w:t>东莞市“企莞家”，系统地址https://zwfw.dg.gov.cn/dgecsp，在对应栏目进行网上自主申报。</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w:t>
      </w:r>
      <w:r>
        <w:rPr>
          <w:rFonts w:hint="eastAsia" w:ascii="楷体_GB2312" w:hAnsi="楷体_GB2312" w:eastAsia="楷体_GB2312" w:cs="楷体_GB2312"/>
          <w:sz w:val="32"/>
          <w:szCs w:val="32"/>
        </w:rPr>
        <w:t>线上初审。</w:t>
      </w:r>
      <w:r>
        <w:rPr>
          <w:rFonts w:hint="eastAsia" w:ascii="仿宋_GB2312" w:hAnsi="仿宋_GB2312" w:eastAsia="仿宋_GB2312" w:cs="仿宋_GB2312"/>
          <w:sz w:val="32"/>
          <w:szCs w:val="32"/>
        </w:rPr>
        <w:t>申报单位所属镇街（园区）经发部门负责在线对提交的申报资料进行形式审查，形式审查通过后再提交至市发展改革局进行初审。申报单位通过初审后，下载申报表格，连同其他申请资料装订成册，将纸质版项目申报书（一式三份，加盖封面章及骑缝章）递交或邮寄至</w:t>
      </w:r>
      <w:r>
        <w:rPr>
          <w:rFonts w:hint="eastAsia" w:ascii="仿宋_GB2312" w:hAnsi="仿宋_GB2312" w:eastAsia="仿宋_GB2312" w:cs="仿宋_GB2312"/>
          <w:sz w:val="32"/>
          <w:szCs w:val="32"/>
          <w:lang w:eastAsia="zh-CN"/>
        </w:rPr>
        <w:t>东莞</w:t>
      </w:r>
      <w:r>
        <w:rPr>
          <w:rFonts w:hint="eastAsia" w:ascii="仿宋_GB2312" w:hAnsi="仿宋_GB2312" w:eastAsia="仿宋_GB2312" w:cs="仿宋_GB2312"/>
          <w:sz w:val="32"/>
          <w:szCs w:val="32"/>
        </w:rPr>
        <w:t>市政务服务中心。</w:t>
      </w:r>
    </w:p>
    <w:p>
      <w:pPr>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楷体_GB2312" w:hAnsi="楷体_GB2312" w:eastAsia="楷体_GB2312" w:cs="楷体_GB2312"/>
          <w:sz w:val="32"/>
          <w:szCs w:val="32"/>
        </w:rPr>
        <w:t>组织审查。</w:t>
      </w:r>
      <w:r>
        <w:rPr>
          <w:rFonts w:hint="eastAsia" w:ascii="仿宋_GB2312" w:hAnsi="仿宋_GB2312" w:eastAsia="仿宋_GB2312" w:cs="仿宋_GB2312"/>
          <w:sz w:val="32"/>
          <w:szCs w:val="32"/>
        </w:rPr>
        <w:t>市发展改革局对申报材料进行审查，并征求相关单位意见，可视情况需要委托第三方机构开展审核。</w:t>
      </w:r>
    </w:p>
    <w:p>
      <w:pPr>
        <w:spacing w:line="580" w:lineRule="exact"/>
        <w:ind w:firstLine="640" w:firstLineChars="200"/>
        <w:rPr>
          <w:rFonts w:hint="eastAsia" w:ascii="仿宋_GB2312" w:hAnsi="仿宋_GB2312" w:eastAsia="仿宋_GB2312" w:cs="仿宋_GB2312"/>
        </w:rPr>
      </w:pPr>
      <w:r>
        <w:rPr>
          <w:rFonts w:hint="eastAsia" w:ascii="仿宋_GB2312" w:hAnsi="仿宋_GB2312" w:eastAsia="仿宋_GB2312" w:cs="仿宋_GB2312"/>
          <w:sz w:val="32"/>
          <w:szCs w:val="32"/>
        </w:rPr>
        <w:t>（四）</w:t>
      </w:r>
      <w:r>
        <w:rPr>
          <w:rFonts w:hint="eastAsia" w:ascii="楷体_GB2312" w:hAnsi="楷体_GB2312" w:eastAsia="楷体_GB2312" w:cs="楷体_GB2312"/>
          <w:sz w:val="32"/>
          <w:szCs w:val="32"/>
        </w:rPr>
        <w:t>社会公示。</w:t>
      </w:r>
      <w:r>
        <w:rPr>
          <w:rFonts w:hint="eastAsia" w:ascii="仿宋_GB2312" w:hAnsi="仿宋_GB2312" w:eastAsia="仿宋_GB2312" w:cs="仿宋_GB2312"/>
          <w:sz w:val="32"/>
          <w:szCs w:val="32"/>
        </w:rPr>
        <w:t>市发展改革局将资助计划向社会进行为期5个自然日的公示，并对公示有异议的申报单位进一步核实，经核实不符合条件的申报单位不予支持。</w:t>
      </w:r>
    </w:p>
    <w:p>
      <w:pPr>
        <w:widowControl/>
        <w:spacing w:line="58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（五）</w:t>
      </w:r>
      <w:r>
        <w:rPr>
          <w:rFonts w:hint="eastAsia" w:ascii="楷体_GB2312" w:hAnsi="楷体_GB2312" w:eastAsia="楷体_GB2312" w:cs="楷体_GB2312"/>
          <w:sz w:val="32"/>
          <w:szCs w:val="32"/>
        </w:rPr>
        <w:t>上报审定。</w:t>
      </w:r>
      <w:r>
        <w:rPr>
          <w:rFonts w:hint="eastAsia" w:ascii="仿宋_GB2312" w:hAnsi="仿宋_GB2312" w:eastAsia="仿宋_GB2312" w:cs="仿宋_GB2312"/>
          <w:sz w:val="32"/>
          <w:szCs w:val="32"/>
        </w:rPr>
        <w:t>具体按照市财政资金事项层级审批程序办理。</w:t>
      </w:r>
    </w:p>
    <w:p>
      <w:pPr>
        <w:spacing w:line="580" w:lineRule="exact"/>
        <w:ind w:firstLine="640" w:firstLineChars="200"/>
        <w:rPr>
          <w:rFonts w:ascii="Times New Roman" w:hAnsi="Times New Roman" w:eastAsia="黑体"/>
          <w:sz w:val="32"/>
          <w:szCs w:val="40"/>
        </w:rPr>
      </w:pPr>
      <w:r>
        <w:rPr>
          <w:rFonts w:ascii="Times New Roman" w:hAnsi="Times New Roman" w:eastAsia="黑体"/>
          <w:sz w:val="32"/>
          <w:szCs w:val="32"/>
        </w:rPr>
        <w:t>五、</w:t>
      </w:r>
      <w:r>
        <w:rPr>
          <w:rFonts w:ascii="Times New Roman" w:hAnsi="Times New Roman" w:eastAsia="黑体"/>
          <w:sz w:val="32"/>
          <w:szCs w:val="40"/>
        </w:rPr>
        <w:t>申报材料</w:t>
      </w:r>
    </w:p>
    <w:p>
      <w:pPr>
        <w:widowControl/>
        <w:kinsoku w:val="0"/>
        <w:autoSpaceDE w:val="0"/>
        <w:autoSpaceDN w:val="0"/>
        <w:adjustRightInd w:val="0"/>
        <w:snapToGrid w:val="0"/>
        <w:spacing w:line="580" w:lineRule="exact"/>
        <w:ind w:firstLine="640" w:firstLineChars="200"/>
        <w:textAlignment w:val="baseline"/>
        <w:rPr>
          <w:rFonts w:ascii="Times New Roman" w:hAnsi="Times New Roman" w:eastAsia="仿宋_GB2312"/>
          <w:snapToGrid w:val="0"/>
          <w:color w:val="000000"/>
          <w:sz w:val="32"/>
          <w:szCs w:val="32"/>
        </w:rPr>
      </w:pPr>
      <w:r>
        <w:rPr>
          <w:rFonts w:ascii="Times New Roman" w:hAnsi="Times New Roman" w:eastAsia="仿宋_GB2312"/>
          <w:snapToGrid w:val="0"/>
          <w:color w:val="000000"/>
          <w:sz w:val="32"/>
          <w:szCs w:val="32"/>
        </w:rPr>
        <w:t>（一）专项资金申请表；</w:t>
      </w:r>
    </w:p>
    <w:p>
      <w:pPr>
        <w:widowControl/>
        <w:kinsoku w:val="0"/>
        <w:autoSpaceDE w:val="0"/>
        <w:autoSpaceDN w:val="0"/>
        <w:adjustRightInd w:val="0"/>
        <w:snapToGrid w:val="0"/>
        <w:spacing w:line="580" w:lineRule="exact"/>
        <w:ind w:firstLine="640" w:firstLineChars="200"/>
        <w:textAlignment w:val="baseline"/>
        <w:rPr>
          <w:rFonts w:ascii="Times New Roman" w:hAnsi="Times New Roman" w:eastAsia="仿宋_GB2312"/>
          <w:snapToGrid w:val="0"/>
          <w:color w:val="000000"/>
          <w:sz w:val="32"/>
          <w:szCs w:val="32"/>
        </w:rPr>
      </w:pPr>
      <w:r>
        <w:rPr>
          <w:rFonts w:ascii="Times New Roman" w:hAnsi="Times New Roman" w:eastAsia="仿宋_GB2312"/>
          <w:snapToGrid w:val="0"/>
          <w:color w:val="000000"/>
          <w:sz w:val="32"/>
          <w:szCs w:val="32"/>
        </w:rPr>
        <w:t>（</w:t>
      </w:r>
      <w:r>
        <w:rPr>
          <w:rFonts w:hint="eastAsia" w:ascii="Times New Roman" w:hAnsi="Times New Roman" w:eastAsia="仿宋_GB2312"/>
          <w:snapToGrid w:val="0"/>
          <w:color w:val="000000"/>
          <w:sz w:val="32"/>
          <w:szCs w:val="32"/>
          <w:lang w:eastAsia="zh-CN"/>
        </w:rPr>
        <w:t>二</w:t>
      </w:r>
      <w:r>
        <w:rPr>
          <w:rFonts w:ascii="Times New Roman" w:hAnsi="Times New Roman" w:eastAsia="仿宋_GB2312"/>
          <w:snapToGrid w:val="0"/>
          <w:color w:val="000000"/>
          <w:sz w:val="32"/>
          <w:szCs w:val="32"/>
        </w:rPr>
        <w:t>）项目投资证明材料：具有合法资质的第三方会计师事务所出具的专项审计报告，明确项目实际建设投资额（审计范围应包括建设工程费、设备购置及安装费等形成固定资产的投资）；</w:t>
      </w:r>
    </w:p>
    <w:p>
      <w:pPr>
        <w:pStyle w:val="2"/>
        <w:spacing w:line="580" w:lineRule="exact"/>
        <w:ind w:firstLine="640"/>
        <w:rPr>
          <w:snapToGrid w:val="0"/>
          <w:color w:val="000000"/>
        </w:rPr>
      </w:pPr>
      <w:r>
        <w:rPr>
          <w:snapToGrid w:val="0"/>
          <w:color w:val="000000"/>
        </w:rPr>
        <w:t>（</w:t>
      </w:r>
      <w:r>
        <w:rPr>
          <w:rFonts w:hint="eastAsia"/>
          <w:snapToGrid w:val="0"/>
          <w:color w:val="000000"/>
          <w:lang w:eastAsia="zh-CN"/>
        </w:rPr>
        <w:t>三</w:t>
      </w:r>
      <w:r>
        <w:rPr>
          <w:snapToGrid w:val="0"/>
          <w:color w:val="000000"/>
        </w:rPr>
        <w:t>）项目合规性文件：</w:t>
      </w:r>
      <w:r>
        <w:rPr>
          <w:rStyle w:val="12"/>
          <w:rFonts w:ascii="Times New Roman" w:hAnsi="Times New Roman"/>
        </w:rPr>
        <w:t>通用机场类</w:t>
      </w:r>
      <w:r>
        <w:rPr>
          <w:snapToGrid w:val="0"/>
          <w:color w:val="000000"/>
        </w:rPr>
        <w:t>、</w:t>
      </w:r>
      <w:r>
        <w:t>中大型起降设施类</w:t>
      </w:r>
      <w:r>
        <w:rPr>
          <w:rFonts w:hint="eastAsia"/>
          <w:lang w:eastAsia="zh-CN"/>
        </w:rPr>
        <w:t>视情况</w:t>
      </w:r>
      <w:r>
        <w:rPr>
          <w:rFonts w:hint="eastAsia"/>
        </w:rPr>
        <w:t>提供</w:t>
      </w:r>
      <w:r>
        <w:rPr>
          <w:snapToGrid w:val="0"/>
          <w:color w:val="000000"/>
        </w:rPr>
        <w:t>包括但不限于项目立项/备案、用地规划许可证、建设工程规划许可证、施工许可证、竣工验收报告、消防验收文件等；</w:t>
      </w:r>
      <w:r>
        <w:rPr>
          <w:lang w:bidi="ar"/>
        </w:rPr>
        <w:t>小型起降</w:t>
      </w:r>
      <w:r>
        <w:rPr>
          <w:rFonts w:hint="eastAsia"/>
          <w:lang w:bidi="ar"/>
        </w:rPr>
        <w:t>设施类</w:t>
      </w:r>
      <w:r>
        <w:rPr>
          <w:lang w:bidi="ar"/>
        </w:rPr>
        <w:t>、智能起降柜机</w:t>
      </w:r>
      <w:r>
        <w:rPr>
          <w:rFonts w:hint="eastAsia"/>
          <w:lang w:bidi="ar"/>
        </w:rPr>
        <w:t>类提供场地使用许可相关证明材料；</w:t>
      </w:r>
    </w:p>
    <w:p>
      <w:pPr>
        <w:pStyle w:val="2"/>
        <w:spacing w:line="580" w:lineRule="exact"/>
        <w:ind w:firstLine="640"/>
      </w:pPr>
      <w:r>
        <w:rPr>
          <w:snapToGrid w:val="0"/>
          <w:color w:val="000000"/>
        </w:rPr>
        <w:t>（</w:t>
      </w:r>
      <w:r>
        <w:rPr>
          <w:rFonts w:hint="eastAsia"/>
          <w:snapToGrid w:val="0"/>
          <w:color w:val="000000"/>
          <w:lang w:eastAsia="zh-CN"/>
        </w:rPr>
        <w:t>四</w:t>
      </w:r>
      <w:r>
        <w:rPr>
          <w:snapToGrid w:val="0"/>
          <w:color w:val="000000"/>
        </w:rPr>
        <w:t>）项目实景照片或视频资料；</w:t>
      </w:r>
    </w:p>
    <w:p>
      <w:pPr>
        <w:widowControl/>
        <w:kinsoku w:val="0"/>
        <w:autoSpaceDE w:val="0"/>
        <w:autoSpaceDN w:val="0"/>
        <w:adjustRightInd w:val="0"/>
        <w:snapToGrid w:val="0"/>
        <w:spacing w:line="580" w:lineRule="exact"/>
        <w:ind w:firstLine="616" w:firstLineChars="200"/>
        <w:textAlignment w:val="baseline"/>
        <w:rPr>
          <w:rFonts w:ascii="Times New Roman" w:hAnsi="Times New Roman" w:eastAsia="仿宋_GB2312"/>
          <w:snapToGrid w:val="0"/>
          <w:color w:val="000000"/>
          <w:spacing w:val="-6"/>
          <w:sz w:val="32"/>
          <w:szCs w:val="32"/>
        </w:rPr>
      </w:pPr>
      <w:r>
        <w:rPr>
          <w:rFonts w:ascii="Times New Roman" w:hAnsi="Times New Roman" w:eastAsia="仿宋_GB2312"/>
          <w:snapToGrid w:val="0"/>
          <w:color w:val="000000"/>
          <w:spacing w:val="-6"/>
          <w:sz w:val="32"/>
          <w:szCs w:val="32"/>
        </w:rPr>
        <w:t>（</w:t>
      </w:r>
      <w:r>
        <w:rPr>
          <w:rFonts w:hint="eastAsia" w:ascii="Times New Roman" w:hAnsi="Times New Roman" w:eastAsia="仿宋_GB2312"/>
          <w:snapToGrid w:val="0"/>
          <w:color w:val="000000"/>
          <w:spacing w:val="-6"/>
          <w:sz w:val="32"/>
          <w:szCs w:val="32"/>
          <w:lang w:eastAsia="zh-CN"/>
        </w:rPr>
        <w:t>五</w:t>
      </w:r>
      <w:r>
        <w:rPr>
          <w:rFonts w:ascii="Times New Roman" w:hAnsi="Times New Roman" w:eastAsia="仿宋_GB2312"/>
          <w:snapToGrid w:val="0"/>
          <w:color w:val="000000"/>
          <w:spacing w:val="-6"/>
          <w:sz w:val="32"/>
          <w:szCs w:val="32"/>
        </w:rPr>
        <w:t>）申报单位营业执照、法人代表身份证复印件；</w:t>
      </w:r>
    </w:p>
    <w:p>
      <w:pPr>
        <w:widowControl/>
        <w:kinsoku w:val="0"/>
        <w:autoSpaceDE w:val="0"/>
        <w:autoSpaceDN w:val="0"/>
        <w:adjustRightInd w:val="0"/>
        <w:snapToGrid w:val="0"/>
        <w:spacing w:line="580" w:lineRule="exact"/>
        <w:ind w:firstLine="640" w:firstLineChars="200"/>
        <w:jc w:val="left"/>
        <w:textAlignment w:val="baseline"/>
        <w:rPr>
          <w:rFonts w:ascii="Times New Roman" w:hAnsi="Times New Roman" w:eastAsia="仿宋_GB2312"/>
          <w:snapToGrid w:val="0"/>
          <w:color w:val="000000"/>
          <w:sz w:val="32"/>
          <w:szCs w:val="32"/>
        </w:rPr>
      </w:pPr>
      <w:r>
        <w:rPr>
          <w:rFonts w:ascii="Times New Roman" w:hAnsi="Times New Roman" w:eastAsia="仿宋_GB2312"/>
          <w:snapToGrid w:val="0"/>
          <w:color w:val="000000"/>
          <w:sz w:val="32"/>
          <w:szCs w:val="32"/>
        </w:rPr>
        <w:t>（</w:t>
      </w:r>
      <w:r>
        <w:rPr>
          <w:rFonts w:hint="eastAsia" w:ascii="Times New Roman" w:hAnsi="Times New Roman" w:eastAsia="仿宋_GB2312"/>
          <w:snapToGrid w:val="0"/>
          <w:color w:val="000000"/>
          <w:sz w:val="32"/>
          <w:szCs w:val="32"/>
          <w:lang w:eastAsia="zh-CN"/>
        </w:rPr>
        <w:t>六</w:t>
      </w:r>
      <w:r>
        <w:rPr>
          <w:rFonts w:ascii="Times New Roman" w:hAnsi="Times New Roman" w:eastAsia="仿宋_GB2312"/>
          <w:snapToGrid w:val="0"/>
          <w:color w:val="000000"/>
          <w:sz w:val="32"/>
          <w:szCs w:val="32"/>
        </w:rPr>
        <w:t>）</w:t>
      </w:r>
      <w:r>
        <w:rPr>
          <w:rFonts w:ascii="Times New Roman" w:hAnsi="Times New Roman" w:eastAsia="仿宋_GB2312"/>
          <w:snapToGrid w:val="0"/>
          <w:sz w:val="32"/>
          <w:szCs w:val="32"/>
        </w:rPr>
        <w:t>申报单位申报专项资金负责人身份证复印件</w:t>
      </w:r>
      <w:r>
        <w:rPr>
          <w:rFonts w:hint="eastAsia" w:ascii="Times New Roman" w:hAnsi="Times New Roman" w:eastAsia="仿宋_GB2312"/>
          <w:snapToGrid w:val="0"/>
          <w:sz w:val="32"/>
          <w:szCs w:val="32"/>
          <w:lang w:eastAsia="zh-CN"/>
        </w:rPr>
        <w:t>及企业委托授权函</w:t>
      </w:r>
      <w:r>
        <w:rPr>
          <w:rFonts w:ascii="Times New Roman" w:hAnsi="Times New Roman" w:eastAsia="仿宋_GB2312"/>
          <w:snapToGrid w:val="0"/>
          <w:sz w:val="32"/>
          <w:szCs w:val="32"/>
        </w:rPr>
        <w:t>；</w:t>
      </w:r>
    </w:p>
    <w:p>
      <w:pPr>
        <w:widowControl/>
        <w:kinsoku w:val="0"/>
        <w:autoSpaceDE w:val="0"/>
        <w:autoSpaceDN w:val="0"/>
        <w:adjustRightInd w:val="0"/>
        <w:snapToGrid w:val="0"/>
        <w:spacing w:line="580" w:lineRule="exact"/>
        <w:ind w:firstLine="640" w:firstLineChars="200"/>
        <w:textAlignment w:val="baseline"/>
        <w:rPr>
          <w:rFonts w:ascii="Times New Roman" w:hAnsi="Times New Roman" w:eastAsia="仿宋_GB2312"/>
          <w:snapToGrid w:val="0"/>
          <w:color w:val="000000"/>
          <w:sz w:val="32"/>
          <w:szCs w:val="32"/>
        </w:rPr>
      </w:pPr>
      <w:r>
        <w:rPr>
          <w:rFonts w:ascii="Times New Roman" w:hAnsi="Times New Roman" w:eastAsia="仿宋_GB2312"/>
          <w:snapToGrid w:val="0"/>
          <w:color w:val="000000"/>
          <w:sz w:val="32"/>
          <w:szCs w:val="32"/>
        </w:rPr>
        <w:t>（</w:t>
      </w:r>
      <w:r>
        <w:rPr>
          <w:rFonts w:hint="eastAsia" w:ascii="Times New Roman" w:hAnsi="Times New Roman" w:eastAsia="仿宋_GB2312"/>
          <w:snapToGrid w:val="0"/>
          <w:color w:val="000000"/>
          <w:sz w:val="32"/>
          <w:szCs w:val="32"/>
          <w:lang w:eastAsia="zh-CN"/>
        </w:rPr>
        <w:t>七</w:t>
      </w:r>
      <w:r>
        <w:rPr>
          <w:rFonts w:ascii="Times New Roman" w:hAnsi="Times New Roman" w:eastAsia="仿宋_GB2312"/>
          <w:snapToGrid w:val="0"/>
          <w:color w:val="000000"/>
          <w:sz w:val="32"/>
          <w:szCs w:val="32"/>
        </w:rPr>
        <w:t>）申报单位上一年度财务审计报告或其基本开户银行出具的资信证明、完税证明；</w:t>
      </w:r>
    </w:p>
    <w:p>
      <w:pPr>
        <w:widowControl/>
        <w:kinsoku w:val="0"/>
        <w:autoSpaceDE w:val="0"/>
        <w:autoSpaceDN w:val="0"/>
        <w:adjustRightInd w:val="0"/>
        <w:snapToGrid w:val="0"/>
        <w:spacing w:line="580" w:lineRule="exact"/>
        <w:ind w:firstLine="640"/>
        <w:textAlignment w:val="baseline"/>
        <w:rPr>
          <w:rFonts w:ascii="Times New Roman" w:hAnsi="Times New Roman" w:eastAsia="仿宋_GB2312"/>
          <w:snapToGrid w:val="0"/>
          <w:color w:val="000000"/>
          <w:sz w:val="32"/>
          <w:szCs w:val="32"/>
        </w:rPr>
      </w:pPr>
      <w:r>
        <w:rPr>
          <w:rFonts w:ascii="Times New Roman" w:hAnsi="Times New Roman" w:eastAsia="仿宋_GB2312"/>
          <w:snapToGrid w:val="0"/>
          <w:color w:val="000000"/>
          <w:sz w:val="32"/>
          <w:szCs w:val="32"/>
        </w:rPr>
        <w:t>（</w:t>
      </w:r>
      <w:r>
        <w:rPr>
          <w:rFonts w:hint="eastAsia" w:ascii="Times New Roman" w:hAnsi="Times New Roman" w:eastAsia="仿宋_GB2312"/>
          <w:snapToGrid w:val="0"/>
          <w:color w:val="000000"/>
          <w:sz w:val="32"/>
          <w:szCs w:val="32"/>
          <w:lang w:eastAsia="zh-CN"/>
        </w:rPr>
        <w:t>八</w:t>
      </w:r>
      <w:r>
        <w:rPr>
          <w:rFonts w:ascii="Times New Roman" w:hAnsi="Times New Roman" w:eastAsia="仿宋_GB2312"/>
          <w:snapToGrid w:val="0"/>
          <w:color w:val="000000"/>
          <w:sz w:val="32"/>
          <w:szCs w:val="32"/>
        </w:rPr>
        <w:t>）其他佐证材料以及资料真实性承诺函；</w:t>
      </w:r>
    </w:p>
    <w:p>
      <w:pPr>
        <w:widowControl/>
        <w:kinsoku w:val="0"/>
        <w:autoSpaceDE w:val="0"/>
        <w:autoSpaceDN w:val="0"/>
        <w:adjustRightInd w:val="0"/>
        <w:snapToGrid w:val="0"/>
        <w:spacing w:line="580" w:lineRule="exact"/>
        <w:ind w:firstLine="640"/>
        <w:textAlignment w:val="baseline"/>
        <w:rPr>
          <w:rFonts w:ascii="Times New Roman" w:hAnsi="Times New Roman" w:eastAsia="仿宋_GB2312"/>
          <w:snapToGrid w:val="0"/>
          <w:color w:val="000000"/>
          <w:sz w:val="32"/>
          <w:szCs w:val="32"/>
        </w:rPr>
      </w:pPr>
      <w:r>
        <w:rPr>
          <w:rFonts w:ascii="Times New Roman" w:hAnsi="Times New Roman" w:eastAsia="仿宋_GB2312"/>
          <w:snapToGrid w:val="0"/>
          <w:color w:val="000000"/>
          <w:sz w:val="32"/>
          <w:szCs w:val="32"/>
        </w:rPr>
        <w:t>（</w:t>
      </w:r>
      <w:r>
        <w:rPr>
          <w:rFonts w:hint="eastAsia" w:ascii="Times New Roman" w:hAnsi="Times New Roman" w:eastAsia="仿宋_GB2312"/>
          <w:snapToGrid w:val="0"/>
          <w:color w:val="000000"/>
          <w:sz w:val="32"/>
          <w:szCs w:val="32"/>
          <w:lang w:eastAsia="zh-CN"/>
        </w:rPr>
        <w:t>九</w:t>
      </w:r>
      <w:r>
        <w:rPr>
          <w:rFonts w:ascii="Times New Roman" w:hAnsi="Times New Roman" w:eastAsia="仿宋_GB2312"/>
          <w:snapToGrid w:val="0"/>
          <w:color w:val="000000"/>
          <w:sz w:val="32"/>
          <w:szCs w:val="32"/>
        </w:rPr>
        <w:t>）通用机场类补充材料：提供民航等部门颁发的</w:t>
      </w:r>
      <w:r>
        <w:rPr>
          <w:rFonts w:hint="eastAsia" w:ascii="Times New Roman" w:hAnsi="Times New Roman" w:eastAsia="仿宋_GB2312"/>
          <w:snapToGrid w:val="0"/>
          <w:color w:val="000000"/>
          <w:sz w:val="32"/>
          <w:szCs w:val="32"/>
        </w:rPr>
        <w:t>通用</w:t>
      </w:r>
      <w:r>
        <w:rPr>
          <w:rFonts w:ascii="Times New Roman" w:hAnsi="Times New Roman" w:eastAsia="仿宋_GB2312"/>
          <w:snapToGrid w:val="0"/>
          <w:color w:val="000000"/>
          <w:sz w:val="32"/>
          <w:szCs w:val="32"/>
        </w:rPr>
        <w:t>机场使用许可证</w:t>
      </w:r>
      <w:r>
        <w:rPr>
          <w:rFonts w:hint="eastAsia" w:ascii="Times New Roman" w:hAnsi="Times New Roman" w:eastAsia="仿宋_GB2312"/>
          <w:snapToGrid w:val="0"/>
          <w:color w:val="000000"/>
          <w:sz w:val="32"/>
          <w:szCs w:val="32"/>
        </w:rPr>
        <w:t>或备案确认书</w:t>
      </w:r>
      <w:r>
        <w:rPr>
          <w:rFonts w:ascii="Times New Roman" w:hAnsi="Times New Roman" w:eastAsia="仿宋_GB2312"/>
          <w:snapToGrid w:val="0"/>
          <w:color w:val="000000"/>
          <w:sz w:val="32"/>
          <w:szCs w:val="32"/>
        </w:rPr>
        <w:t>复印件</w:t>
      </w:r>
      <w:r>
        <w:rPr>
          <w:rFonts w:hint="eastAsia" w:ascii="Times New Roman" w:hAnsi="Times New Roman" w:eastAsia="仿宋_GB2312"/>
          <w:snapToGrid w:val="0"/>
          <w:color w:val="000000"/>
          <w:sz w:val="32"/>
          <w:szCs w:val="32"/>
          <w:lang w:val="en-US" w:eastAsia="zh-CN"/>
        </w:rPr>
        <w:t>;</w:t>
      </w:r>
    </w:p>
    <w:p>
      <w:pPr>
        <w:widowControl/>
        <w:kinsoku w:val="0"/>
        <w:autoSpaceDE w:val="0"/>
        <w:autoSpaceDN w:val="0"/>
        <w:adjustRightInd w:val="0"/>
        <w:snapToGrid w:val="0"/>
        <w:spacing w:line="580" w:lineRule="exact"/>
        <w:ind w:firstLine="640"/>
        <w:textAlignment w:val="baseline"/>
        <w:rPr>
          <w:rFonts w:ascii="Times New Roman" w:hAnsi="Times New Roman" w:eastAsia="仿宋_GB2312"/>
          <w:snapToGrid w:val="0"/>
          <w:color w:val="000000"/>
          <w:sz w:val="32"/>
          <w:szCs w:val="32"/>
        </w:rPr>
      </w:pPr>
      <w:r>
        <w:rPr>
          <w:rFonts w:ascii="Times New Roman" w:hAnsi="Times New Roman" w:eastAsia="仿宋_GB2312"/>
          <w:snapToGrid w:val="0"/>
          <w:color w:val="000000"/>
          <w:sz w:val="32"/>
          <w:szCs w:val="32"/>
        </w:rPr>
        <w:t>（十）中大型起降设施类</w:t>
      </w:r>
      <w:r>
        <w:rPr>
          <w:rFonts w:hint="eastAsia" w:ascii="Times New Roman" w:hAnsi="Times New Roman" w:eastAsia="仿宋_GB2312"/>
          <w:snapToGrid w:val="0"/>
          <w:color w:val="000000"/>
          <w:sz w:val="32"/>
          <w:szCs w:val="32"/>
          <w:lang w:eastAsia="zh-CN"/>
        </w:rPr>
        <w:t>：</w:t>
      </w:r>
    </w:p>
    <w:p>
      <w:pPr>
        <w:widowControl/>
        <w:kinsoku w:val="0"/>
        <w:autoSpaceDE w:val="0"/>
        <w:autoSpaceDN w:val="0"/>
        <w:adjustRightInd w:val="0"/>
        <w:snapToGrid w:val="0"/>
        <w:spacing w:line="580" w:lineRule="exact"/>
        <w:ind w:firstLine="640"/>
        <w:textAlignment w:val="baseline"/>
        <w:rPr>
          <w:rFonts w:ascii="Times New Roman" w:hAnsi="Times New Roman" w:eastAsia="仿宋_GB2312"/>
          <w:snapToGrid w:val="0"/>
          <w:color w:val="000000"/>
          <w:sz w:val="32"/>
          <w:szCs w:val="32"/>
        </w:rPr>
      </w:pPr>
      <w:r>
        <w:rPr>
          <w:rFonts w:ascii="Times New Roman" w:hAnsi="Times New Roman" w:eastAsia="仿宋_GB2312"/>
          <w:snapToGrid w:val="0"/>
          <w:color w:val="000000"/>
          <w:sz w:val="32"/>
          <w:szCs w:val="32"/>
        </w:rPr>
        <w:t>1.项目运营满1年的证明材料（如运营日志、服务合同、收费记录等）；</w:t>
      </w:r>
    </w:p>
    <w:p>
      <w:pPr>
        <w:widowControl/>
        <w:kinsoku w:val="0"/>
        <w:autoSpaceDE w:val="0"/>
        <w:autoSpaceDN w:val="0"/>
        <w:adjustRightInd w:val="0"/>
        <w:snapToGrid w:val="0"/>
        <w:spacing w:line="580" w:lineRule="exact"/>
        <w:ind w:firstLine="640"/>
        <w:textAlignment w:val="baseline"/>
        <w:rPr>
          <w:rFonts w:ascii="Times New Roman" w:hAnsi="Times New Roman" w:eastAsia="仿宋_GB2312"/>
          <w:snapToGrid w:val="0"/>
          <w:color w:val="000000"/>
          <w:sz w:val="32"/>
          <w:szCs w:val="32"/>
        </w:rPr>
      </w:pPr>
      <w:r>
        <w:rPr>
          <w:rFonts w:ascii="Times New Roman" w:hAnsi="Times New Roman" w:eastAsia="仿宋_GB2312"/>
          <w:snapToGrid w:val="0"/>
          <w:color w:val="000000"/>
          <w:sz w:val="32"/>
          <w:szCs w:val="32"/>
        </w:rPr>
        <w:t>2.起降场地通过安全评估</w:t>
      </w:r>
      <w:r>
        <w:rPr>
          <w:rFonts w:hint="eastAsia" w:ascii="Times New Roman" w:hAnsi="Times New Roman" w:eastAsia="仿宋_GB2312"/>
          <w:snapToGrid w:val="0"/>
          <w:color w:val="000000"/>
          <w:sz w:val="32"/>
          <w:szCs w:val="32"/>
          <w:lang w:eastAsia="zh-CN"/>
        </w:rPr>
        <w:t>报告</w:t>
      </w:r>
      <w:r>
        <w:rPr>
          <w:rFonts w:ascii="Times New Roman" w:hAnsi="Times New Roman" w:eastAsia="仿宋_GB2312"/>
          <w:snapToGrid w:val="0"/>
          <w:color w:val="000000"/>
          <w:sz w:val="32"/>
          <w:szCs w:val="32"/>
        </w:rPr>
        <w:t>或相关备案的证明文件。</w:t>
      </w:r>
    </w:p>
    <w:p>
      <w:pPr>
        <w:widowControl/>
        <w:kinsoku w:val="0"/>
        <w:autoSpaceDE w:val="0"/>
        <w:autoSpaceDN w:val="0"/>
        <w:adjustRightInd w:val="0"/>
        <w:snapToGrid w:val="0"/>
        <w:spacing w:line="580" w:lineRule="exact"/>
        <w:ind w:firstLine="640"/>
        <w:textAlignment w:val="baseline"/>
        <w:rPr>
          <w:rFonts w:ascii="Times New Roman" w:hAnsi="Times New Roman" w:eastAsia="仿宋_GB2312"/>
          <w:snapToGrid w:val="0"/>
          <w:color w:val="000000"/>
          <w:sz w:val="32"/>
          <w:szCs w:val="32"/>
        </w:rPr>
      </w:pPr>
      <w:r>
        <w:rPr>
          <w:rFonts w:ascii="Times New Roman" w:hAnsi="Times New Roman" w:eastAsia="仿宋_GB2312"/>
          <w:snapToGrid w:val="0"/>
          <w:color w:val="000000"/>
          <w:sz w:val="32"/>
          <w:szCs w:val="32"/>
        </w:rPr>
        <w:t>（十</w:t>
      </w:r>
      <w:r>
        <w:rPr>
          <w:rFonts w:hint="eastAsia" w:ascii="Times New Roman" w:hAnsi="Times New Roman" w:eastAsia="仿宋_GB2312"/>
          <w:snapToGrid w:val="0"/>
          <w:color w:val="000000"/>
          <w:sz w:val="32"/>
          <w:szCs w:val="32"/>
          <w:lang w:eastAsia="zh-CN"/>
        </w:rPr>
        <w:t>一</w:t>
      </w:r>
      <w:r>
        <w:rPr>
          <w:rFonts w:ascii="Times New Roman" w:hAnsi="Times New Roman" w:eastAsia="仿宋_GB2312"/>
          <w:snapToGrid w:val="0"/>
          <w:color w:val="000000"/>
          <w:sz w:val="32"/>
          <w:szCs w:val="32"/>
        </w:rPr>
        <w:t>）小型起降设施类（如为多个设施打包申报）：各个设施的建设地点、数量、投资明细清单</w:t>
      </w:r>
      <w:r>
        <w:rPr>
          <w:rFonts w:hint="eastAsia" w:ascii="Times New Roman" w:hAnsi="Times New Roman" w:eastAsia="仿宋_GB2312"/>
          <w:snapToGrid w:val="0"/>
          <w:color w:val="000000"/>
          <w:sz w:val="32"/>
          <w:szCs w:val="32"/>
          <w:lang w:eastAsia="zh-CN"/>
        </w:rPr>
        <w:t>。</w:t>
      </w:r>
    </w:p>
    <w:p>
      <w:pPr>
        <w:pStyle w:val="6"/>
        <w:spacing w:before="0" w:after="0" w:line="580" w:lineRule="exact"/>
        <w:ind w:firstLine="640" w:firstLineChars="200"/>
        <w:jc w:val="both"/>
        <w:rPr>
          <w:rFonts w:ascii="Times New Roman" w:hAnsi="Times New Roman" w:eastAsia="黑体"/>
          <w:b w:val="0"/>
          <w:bCs w:val="0"/>
        </w:rPr>
      </w:pPr>
      <w:r>
        <w:rPr>
          <w:rFonts w:ascii="Times New Roman" w:hAnsi="Times New Roman" w:eastAsia="黑体"/>
          <w:b w:val="0"/>
          <w:bCs w:val="0"/>
        </w:rPr>
        <w:t>六、监督检查</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napToGrid w:val="0"/>
          <w:color w:val="000000"/>
          <w:sz w:val="32"/>
          <w:szCs w:val="32"/>
        </w:rPr>
        <w:t>（一）项目申报单位必须对所提供的有关资料真实性负责。项目申报单位需出具承诺函，承诺所提供资料真实，如提供虚假资料所造成的一切后果由项目申报单位负责。</w:t>
      </w:r>
      <w:r>
        <w:rPr>
          <w:rFonts w:ascii="Times New Roman" w:hAnsi="Times New Roman" w:eastAsia="仿宋_GB2312"/>
          <w:sz w:val="32"/>
          <w:szCs w:val="32"/>
        </w:rPr>
        <w:t>市发展改革局对申报项目进行不定期抽查，如经查实存在违法违规行为的，按照《财政违法行为处罚处分条例》及市级财政专项资金有关文件规定进行处理。</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napToGrid w:val="0"/>
          <w:color w:val="000000"/>
          <w:sz w:val="32"/>
          <w:szCs w:val="32"/>
        </w:rPr>
        <w:t>（二）专项资金的监督管理、绩效评价、信息公开及责任追究等按照市政府出台的关于市级财政专项资金管理办法、财务管理办法、绩效评价、责任追究等办法规定执行。市发展改革局以及镇街（园区）</w:t>
      </w:r>
      <w:r>
        <w:rPr>
          <w:rFonts w:ascii="Times New Roman" w:hAnsi="Times New Roman" w:eastAsia="仿宋_GB2312"/>
          <w:sz w:val="32"/>
          <w:szCs w:val="32"/>
        </w:rPr>
        <w:t>经发部门</w:t>
      </w:r>
      <w:r>
        <w:rPr>
          <w:rFonts w:ascii="Times New Roman" w:hAnsi="Times New Roman" w:eastAsia="仿宋_GB2312"/>
          <w:snapToGrid w:val="0"/>
          <w:color w:val="000000"/>
          <w:sz w:val="32"/>
          <w:szCs w:val="32"/>
        </w:rPr>
        <w:t>落实资金项目的监督检查，跟进</w:t>
      </w:r>
      <w:r>
        <w:rPr>
          <w:rFonts w:ascii="Times New Roman" w:hAnsi="Times New Roman" w:eastAsia="仿宋_GB2312"/>
          <w:sz w:val="32"/>
          <w:szCs w:val="32"/>
        </w:rPr>
        <w:t>资助单位运营情况及资助项目实施情况，优化资金使用。</w:t>
      </w:r>
    </w:p>
    <w:p>
      <w:pPr>
        <w:spacing w:line="580" w:lineRule="exact"/>
        <w:ind w:firstLine="640" w:firstLineChars="200"/>
        <w:rPr>
          <w:rFonts w:ascii="Times New Roman" w:hAnsi="Times New Roman" w:eastAsia="仿宋_GB2312"/>
          <w:sz w:val="32"/>
          <w:szCs w:val="32"/>
        </w:rPr>
      </w:pPr>
      <w:r>
        <w:rPr>
          <w:rFonts w:ascii="Times New Roman" w:hAnsi="Times New Roman" w:eastAsia="仿宋_GB2312"/>
          <w:snapToGrid w:val="0"/>
          <w:color w:val="000000"/>
          <w:sz w:val="32"/>
          <w:szCs w:val="32"/>
        </w:rPr>
        <w:t>（三）获得专项资金的申报单位要切实加强对专项资金的使用管理，自觉接受市发展改革局、财政、审计、监察部门的监督检查，严格执行财务规章制度和会计核算办法。如有弄虚作假、挪用、不按规定使用</w:t>
      </w:r>
      <w:r>
        <w:rPr>
          <w:rFonts w:ascii="Times New Roman" w:hAnsi="Times New Roman" w:eastAsia="仿宋_GB2312"/>
          <w:sz w:val="32"/>
          <w:szCs w:val="32"/>
        </w:rPr>
        <w:t>专项资金等行为，将收回专项资金并按有关规定追究责任。</w:t>
      </w:r>
    </w:p>
    <w:p>
      <w:pPr>
        <w:spacing w:line="580" w:lineRule="exact"/>
        <w:rPr>
          <w:rFonts w:ascii="Times New Roman" w:hAnsi="Times New Roman" w:eastAsia="仿宋_GB2312"/>
          <w:sz w:val="32"/>
          <w:szCs w:val="32"/>
        </w:rPr>
      </w:pPr>
    </w:p>
    <w:sectPr>
      <w:footerReference r:id="rId5" w:type="default"/>
      <w:pgSz w:w="11906" w:h="16838"/>
      <w:pgMar w:top="2098" w:right="1474" w:bottom="1928" w:left="1587" w:header="851" w:footer="992" w:gutter="0"/>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Calibri Light">
    <w:altName w:val="Corbel"/>
    <w:panose1 w:val="020F0302020204030204"/>
    <w:charset w:val="00"/>
    <w:family w:val="swiss"/>
    <w:pitch w:val="default"/>
    <w:sig w:usb0="00000000" w:usb1="00000000" w:usb2="00000000" w:usb3="00000000" w:csb0="2000019F"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ascii="Times New Roman" w:hAnsi="Times New Roman"/>
                              <w:sz w:val="28"/>
                              <w:szCs w:val="28"/>
                            </w:rPr>
                            <w:t xml:space="preserve"> —</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7"/>
                    </w:pPr>
                    <w:r>
                      <w:rPr>
                        <w:rFonts w:ascii="Times New Roman" w:hAnsi="Times New Roman"/>
                        <w:sz w:val="28"/>
                        <w:szCs w:val="28"/>
                      </w:rPr>
                      <w:t xml:space="preserve">— </w:t>
                    </w:r>
                    <w:r>
                      <w:rPr>
                        <w:rFonts w:ascii="Times New Roman" w:hAnsi="Times New Roman"/>
                        <w:sz w:val="28"/>
                        <w:szCs w:val="28"/>
                      </w:rPr>
                      <w:fldChar w:fldCharType="begin"/>
                    </w:r>
                    <w:r>
                      <w:rPr>
                        <w:rFonts w:ascii="Times New Roman" w:hAnsi="Times New Roman"/>
                        <w:sz w:val="28"/>
                        <w:szCs w:val="28"/>
                      </w:rPr>
                      <w:instrText xml:space="preserve"> PAGE  \* MERGEFORMAT </w:instrText>
                    </w:r>
                    <w:r>
                      <w:rPr>
                        <w:rFonts w:ascii="Times New Roman" w:hAnsi="Times New Roman"/>
                        <w:sz w:val="28"/>
                        <w:szCs w:val="28"/>
                      </w:rPr>
                      <w:fldChar w:fldCharType="separate"/>
                    </w:r>
                    <w:r>
                      <w:rPr>
                        <w:rFonts w:ascii="Times New Roman" w:hAnsi="Times New Roman"/>
                        <w:sz w:val="28"/>
                        <w:szCs w:val="28"/>
                      </w:rPr>
                      <w:t>1</w:t>
                    </w:r>
                    <w:r>
                      <w:rPr>
                        <w:rFonts w:ascii="Times New Roman" w:hAnsi="Times New Roman"/>
                        <w:sz w:val="28"/>
                        <w:szCs w:val="28"/>
                      </w:rPr>
                      <w:fldChar w:fldCharType="end"/>
                    </w:r>
                    <w:r>
                      <w:rPr>
                        <w:rFonts w:ascii="Times New Roman" w:hAnsi="Times New Roman"/>
                        <w:sz w:val="28"/>
                        <w:szCs w:val="28"/>
                      </w:rPr>
                      <w:t xml:space="preserve"> —</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false"/>
  <w:bordersDoNotSurroundFooter w:val="false"/>
  <w:trackRevisions w:val="true"/>
  <w:documentProtection w:enforcement="0"/>
  <w:defaultTabStop w:val="420"/>
  <w:drawingGridVerticalSpacing w:val="158"/>
  <w:displayHorizontalDrawingGridEvery w:val="1"/>
  <w:displayVerticalDrawingGridEvery w:val="1"/>
  <w:noPunctuationKerning w:val="true"/>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gwYmVjOWM3Zjc5ZmQwYTFiYjJlMDBjMjJmNmI5OTYifQ=="/>
  </w:docVars>
  <w:rsids>
    <w:rsidRoot w:val="00877F3A"/>
    <w:rsid w:val="00165B77"/>
    <w:rsid w:val="002A4FCF"/>
    <w:rsid w:val="003A0968"/>
    <w:rsid w:val="004D6FC8"/>
    <w:rsid w:val="00782C1F"/>
    <w:rsid w:val="00877F3A"/>
    <w:rsid w:val="0097098B"/>
    <w:rsid w:val="00F20354"/>
    <w:rsid w:val="01FF7A57"/>
    <w:rsid w:val="02374AFB"/>
    <w:rsid w:val="030276E2"/>
    <w:rsid w:val="04557DB6"/>
    <w:rsid w:val="071F482B"/>
    <w:rsid w:val="07D906BD"/>
    <w:rsid w:val="08E14239"/>
    <w:rsid w:val="09E132E9"/>
    <w:rsid w:val="0A1D1D77"/>
    <w:rsid w:val="0A3762C4"/>
    <w:rsid w:val="0BE96023"/>
    <w:rsid w:val="0CAA5073"/>
    <w:rsid w:val="0CBD4845"/>
    <w:rsid w:val="0D51729D"/>
    <w:rsid w:val="0DCC7866"/>
    <w:rsid w:val="0F7E2CCA"/>
    <w:rsid w:val="0F8F640A"/>
    <w:rsid w:val="10446D7C"/>
    <w:rsid w:val="10D704CC"/>
    <w:rsid w:val="117B480F"/>
    <w:rsid w:val="117CF8B0"/>
    <w:rsid w:val="132E2B34"/>
    <w:rsid w:val="13370956"/>
    <w:rsid w:val="13EB3FA7"/>
    <w:rsid w:val="15983343"/>
    <w:rsid w:val="17CC4808"/>
    <w:rsid w:val="18395C51"/>
    <w:rsid w:val="1A142BD7"/>
    <w:rsid w:val="1AFC50D3"/>
    <w:rsid w:val="1BF741F2"/>
    <w:rsid w:val="1C9359BB"/>
    <w:rsid w:val="1ED30099"/>
    <w:rsid w:val="1EDF0179"/>
    <w:rsid w:val="1F5F5549"/>
    <w:rsid w:val="1FBF0609"/>
    <w:rsid w:val="20245E51"/>
    <w:rsid w:val="20322F5E"/>
    <w:rsid w:val="203B0762"/>
    <w:rsid w:val="20A111BC"/>
    <w:rsid w:val="225A3AA1"/>
    <w:rsid w:val="2311259A"/>
    <w:rsid w:val="24DE5926"/>
    <w:rsid w:val="254D2A6F"/>
    <w:rsid w:val="25871671"/>
    <w:rsid w:val="2749131D"/>
    <w:rsid w:val="28AE497D"/>
    <w:rsid w:val="2959182C"/>
    <w:rsid w:val="2A07678C"/>
    <w:rsid w:val="2B084A73"/>
    <w:rsid w:val="2C850979"/>
    <w:rsid w:val="2E41030F"/>
    <w:rsid w:val="2EBE702B"/>
    <w:rsid w:val="300943E4"/>
    <w:rsid w:val="301C7CA0"/>
    <w:rsid w:val="31215055"/>
    <w:rsid w:val="3132241D"/>
    <w:rsid w:val="31B740AC"/>
    <w:rsid w:val="332107E4"/>
    <w:rsid w:val="36FD17DB"/>
    <w:rsid w:val="381528CD"/>
    <w:rsid w:val="39E561FE"/>
    <w:rsid w:val="3C202A07"/>
    <w:rsid w:val="3CFC24D2"/>
    <w:rsid w:val="3D3E7C3B"/>
    <w:rsid w:val="3DAA0DAC"/>
    <w:rsid w:val="3DF338D5"/>
    <w:rsid w:val="3E7569E0"/>
    <w:rsid w:val="3ECA2888"/>
    <w:rsid w:val="3F166357"/>
    <w:rsid w:val="3F7579C3"/>
    <w:rsid w:val="425368B2"/>
    <w:rsid w:val="43330933"/>
    <w:rsid w:val="46663556"/>
    <w:rsid w:val="46F16DC2"/>
    <w:rsid w:val="492F656E"/>
    <w:rsid w:val="4BB9659A"/>
    <w:rsid w:val="4BFDAE7F"/>
    <w:rsid w:val="4F407675"/>
    <w:rsid w:val="4FD4127C"/>
    <w:rsid w:val="500243D3"/>
    <w:rsid w:val="5057656D"/>
    <w:rsid w:val="50FC2067"/>
    <w:rsid w:val="51A16A31"/>
    <w:rsid w:val="51CD50C5"/>
    <w:rsid w:val="524A7539"/>
    <w:rsid w:val="525D019D"/>
    <w:rsid w:val="545304B1"/>
    <w:rsid w:val="566B1FB3"/>
    <w:rsid w:val="56AD0128"/>
    <w:rsid w:val="56F79EB0"/>
    <w:rsid w:val="57A31A70"/>
    <w:rsid w:val="5842734C"/>
    <w:rsid w:val="5A1178C5"/>
    <w:rsid w:val="5ACD7484"/>
    <w:rsid w:val="5B133087"/>
    <w:rsid w:val="5BBF64B7"/>
    <w:rsid w:val="5BF7BC35"/>
    <w:rsid w:val="5BFD63AB"/>
    <w:rsid w:val="5C57280E"/>
    <w:rsid w:val="5C7E0695"/>
    <w:rsid w:val="5D5B0EE8"/>
    <w:rsid w:val="5DD961EC"/>
    <w:rsid w:val="5EB5F752"/>
    <w:rsid w:val="5EC6CFE6"/>
    <w:rsid w:val="5FD917F1"/>
    <w:rsid w:val="5FF73BFE"/>
    <w:rsid w:val="60570E90"/>
    <w:rsid w:val="618B5A4F"/>
    <w:rsid w:val="61F513C8"/>
    <w:rsid w:val="625D1282"/>
    <w:rsid w:val="629E7A04"/>
    <w:rsid w:val="62E83D12"/>
    <w:rsid w:val="63676FE6"/>
    <w:rsid w:val="657E2CE3"/>
    <w:rsid w:val="66DE7FAA"/>
    <w:rsid w:val="67D66003"/>
    <w:rsid w:val="687261CB"/>
    <w:rsid w:val="68BB2381"/>
    <w:rsid w:val="68C410CB"/>
    <w:rsid w:val="69800A74"/>
    <w:rsid w:val="6BF64260"/>
    <w:rsid w:val="6D956384"/>
    <w:rsid w:val="6FC6486F"/>
    <w:rsid w:val="6FE45F96"/>
    <w:rsid w:val="705A1E02"/>
    <w:rsid w:val="706A7177"/>
    <w:rsid w:val="70D311C0"/>
    <w:rsid w:val="714E54B6"/>
    <w:rsid w:val="719F9E2A"/>
    <w:rsid w:val="725833FD"/>
    <w:rsid w:val="726067F7"/>
    <w:rsid w:val="72B87464"/>
    <w:rsid w:val="736305DA"/>
    <w:rsid w:val="73914A4C"/>
    <w:rsid w:val="73BB1D2F"/>
    <w:rsid w:val="73FFCA44"/>
    <w:rsid w:val="747E1161"/>
    <w:rsid w:val="74EC6780"/>
    <w:rsid w:val="756643B1"/>
    <w:rsid w:val="784C0FEC"/>
    <w:rsid w:val="789E260D"/>
    <w:rsid w:val="7AFD98F1"/>
    <w:rsid w:val="7B77A404"/>
    <w:rsid w:val="7BB45177"/>
    <w:rsid w:val="7BEBD19A"/>
    <w:rsid w:val="7C280CD9"/>
    <w:rsid w:val="7CAD7620"/>
    <w:rsid w:val="7F7A2BAC"/>
    <w:rsid w:val="7FBF3584"/>
    <w:rsid w:val="7FBF9A93"/>
    <w:rsid w:val="95FFDF5A"/>
    <w:rsid w:val="9BED4720"/>
    <w:rsid w:val="9FBFFEF7"/>
    <w:rsid w:val="A9FF74C3"/>
    <w:rsid w:val="BCFF5BD8"/>
    <w:rsid w:val="BDDF6A35"/>
    <w:rsid w:val="BE5CF212"/>
    <w:rsid w:val="BF5BBCB3"/>
    <w:rsid w:val="D0BEAB1C"/>
    <w:rsid w:val="D1FC4BE7"/>
    <w:rsid w:val="E57D0864"/>
    <w:rsid w:val="EFFFA303"/>
    <w:rsid w:val="F5FE6609"/>
    <w:rsid w:val="F9D6A4C0"/>
    <w:rsid w:val="FABF91EF"/>
    <w:rsid w:val="FCE5F524"/>
    <w:rsid w:val="FCFE79F8"/>
    <w:rsid w:val="FCFFC791"/>
    <w:rsid w:val="FEFF7A0E"/>
    <w:rsid w:val="FF6F937A"/>
    <w:rsid w:val="FF7F6AA1"/>
    <w:rsid w:val="FFEBCB8A"/>
    <w:rsid w:val="FFFE2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3"/>
    <w:basedOn w:val="1"/>
    <w:next w:val="1"/>
    <w:unhideWhenUsed/>
    <w:qFormat/>
    <w:uiPriority w:val="0"/>
    <w:pPr>
      <w:ind w:firstLine="200" w:firstLineChars="200"/>
      <w:outlineLvl w:val="2"/>
    </w:pPr>
    <w:rPr>
      <w:rFonts w:ascii="Times New Roman" w:hAnsi="Times New Roman" w:eastAsia="仿宋_GB2312"/>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pPr>
      <w:ind w:firstLine="420"/>
    </w:pPr>
  </w:style>
  <w:style w:type="paragraph" w:styleId="4">
    <w:name w:val="annotation text"/>
    <w:basedOn w:val="1"/>
    <w:qFormat/>
    <w:uiPriority w:val="0"/>
    <w:pPr>
      <w:jc w:val="left"/>
    </w:pPr>
  </w:style>
  <w:style w:type="paragraph" w:styleId="5">
    <w:name w:val="Body Text"/>
    <w:basedOn w:val="1"/>
    <w:next w:val="6"/>
    <w:unhideWhenUsed/>
    <w:qFormat/>
    <w:uiPriority w:val="99"/>
    <w:pPr>
      <w:spacing w:after="120"/>
    </w:pPr>
    <w:rPr>
      <w:szCs w:val="21"/>
    </w:rPr>
  </w:style>
  <w:style w:type="paragraph" w:styleId="6">
    <w:name w:val="Title"/>
    <w:basedOn w:val="1"/>
    <w:next w:val="1"/>
    <w:qFormat/>
    <w:uiPriority w:val="10"/>
    <w:pPr>
      <w:spacing w:before="240" w:after="60"/>
      <w:jc w:val="center"/>
      <w:outlineLvl w:val="0"/>
    </w:pPr>
    <w:rPr>
      <w:rFonts w:ascii="Calibri Light" w:hAnsi="Calibri Light"/>
      <w:b/>
      <w:bCs/>
      <w:sz w:val="32"/>
      <w:szCs w:val="32"/>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footnote text"/>
    <w:basedOn w:val="1"/>
    <w:qFormat/>
    <w:uiPriority w:val="0"/>
    <w:pPr>
      <w:snapToGrid w:val="0"/>
      <w:jc w:val="left"/>
    </w:pPr>
    <w:rPr>
      <w:sz w:val="18"/>
    </w:rPr>
  </w:style>
  <w:style w:type="character" w:styleId="12">
    <w:name w:val="Strong"/>
    <w:qFormat/>
    <w:uiPriority w:val="22"/>
    <w:rPr>
      <w:rFonts w:ascii="仿宋_GB2312" w:hAnsi="仿宋_GB2312" w:eastAsia="仿宋_GB2312"/>
      <w:bCs/>
      <w:color w:val="000000"/>
      <w:sz w:val="32"/>
    </w:rPr>
  </w:style>
  <w:style w:type="character" w:styleId="13">
    <w:name w:val="footnote reference"/>
    <w:basedOn w:val="11"/>
    <w:qFormat/>
    <w:uiPriority w:val="0"/>
    <w:rPr>
      <w:vertAlign w:val="superscript"/>
    </w:rPr>
  </w:style>
  <w:style w:type="paragraph" w:styleId="14">
    <w:name w:val="List Paragraph"/>
    <w:basedOn w:val="1"/>
    <w:qFormat/>
    <w:uiPriority w:val="34"/>
    <w:pPr>
      <w:ind w:firstLine="420"/>
    </w:pPr>
  </w:style>
  <w:style w:type="paragraph" w:customStyle="1" w:styleId="15">
    <w:name w:val="Revision"/>
    <w:hidden/>
    <w:unhideWhenUsed/>
    <w:qFormat/>
    <w:uiPriority w:val="99"/>
    <w:rPr>
      <w:rFonts w:ascii="Calibri" w:hAnsi="Calibri"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1084</Words>
  <Characters>1106</Characters>
  <Lines>55</Lines>
  <Paragraphs>46</Paragraphs>
  <TotalTime>2</TotalTime>
  <ScaleCrop>false</ScaleCrop>
  <LinksUpToDate>false</LinksUpToDate>
  <CharactersWithSpaces>2144</CharactersWithSpaces>
  <Application>WPS Office_11.8.2.10422_F1E327BC-269C-435d-A152-05C5408002CA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2023-06-16T08:30:00Z</dcterms:created>
  <dc:creator>admin</dc:creator>
  <cp:lastModifiedBy>胡伟良</cp:lastModifiedBy>
  <cp:lastPrinted>2023-12-10T01:19:00Z</cp:lastPrinted>
  <dcterms:modified xsi:type="dcterms:W3CDTF">2025-11-17T08:43:04Z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2052-11.8.2.10422</vt:lpwstr>
  </property>
  <property fmtid="{D5CDD505-2E9C-101B-9397-08002B2CF9AE}" pid="3" name="ICV">
    <vt:lpwstr>ED62D75256B5448A8D25373D059A7955_13</vt:lpwstr>
  </property>
  <property fmtid="{D5CDD505-2E9C-101B-9397-08002B2CF9AE}" pid="4" name="KSOTemplateDocerSaveRecord">
    <vt:lpwstr>eyJoZGlkIjoiZDNiYWE2YzVhZGQxODc2MTFmNDdjYWQwN2FmNjI3NTAiLCJ1c2VySWQiOiIzMzY5NDI4NDYifQ==</vt:lpwstr>
  </property>
</Properties>
</file>