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华康简标题宋" w:hAnsi="华康简标题宋" w:eastAsia="华康简标题宋" w:cs="华康简标题宋"/>
          <w:b w:val="0"/>
          <w:bCs w:val="0"/>
          <w:kern w:val="2"/>
          <w:sz w:val="44"/>
          <w:szCs w:val="44"/>
          <w:lang w:val="en-US" w:eastAsia="zh-CN" w:bidi="ar-SA"/>
        </w:rPr>
      </w:pPr>
      <w:r>
        <w:rPr>
          <w:rFonts w:hint="eastAsia" w:ascii="华康简标题宋" w:hAnsi="华康简标题宋" w:eastAsia="华康简标题宋" w:cs="华康简标题宋"/>
          <w:b w:val="0"/>
          <w:bCs w:val="0"/>
          <w:kern w:val="2"/>
          <w:sz w:val="44"/>
          <w:szCs w:val="44"/>
          <w:lang w:val="en-US" w:eastAsia="zh-CN" w:bidi="ar-SA"/>
        </w:rPr>
        <w:t>基本医疗保险参保人员享受门诊特定病种待遇认定业务指引</w:t>
      </w:r>
    </w:p>
    <w:p>
      <w:pPr>
        <w:spacing w:line="600" w:lineRule="exact"/>
        <w:ind w:firstLine="640" w:firstLineChars="200"/>
        <w:rPr>
          <w:rFonts w:hint="eastAsia" w:ascii="仿宋_GB2312" w:hAnsi="仿宋" w:eastAsia="仿宋_GB2312" w:cs="Helvetica Neue"/>
          <w:color w:val="000000"/>
          <w:sz w:val="32"/>
          <w:szCs w:val="32"/>
        </w:rPr>
      </w:pPr>
      <w:r>
        <w:rPr>
          <w:rFonts w:hint="eastAsia" w:ascii="仿宋_GB2312" w:hAnsi="仿宋" w:eastAsia="仿宋_GB2312" w:cs="Helvetica Neue"/>
          <w:color w:val="000000"/>
          <w:sz w:val="32"/>
          <w:szCs w:val="32"/>
          <w:lang w:val="en-US" w:eastAsia="zh-CN"/>
        </w:rPr>
        <w:t>参保人</w:t>
      </w:r>
      <w:r>
        <w:rPr>
          <w:rFonts w:hint="eastAsia" w:ascii="仿宋_GB2312" w:hAnsi="仿宋" w:eastAsia="仿宋_GB2312" w:cs="Helvetica Neue"/>
          <w:color w:val="000000"/>
          <w:sz w:val="32"/>
          <w:szCs w:val="32"/>
        </w:rPr>
        <w:t>患有</w:t>
      </w:r>
      <w:r>
        <w:rPr>
          <w:rFonts w:hint="eastAsia" w:ascii="仿宋_GB2312" w:hAnsi="仿宋" w:eastAsia="仿宋_GB2312" w:cs="Helvetica Neue"/>
          <w:color w:val="000000"/>
          <w:sz w:val="32"/>
          <w:szCs w:val="32"/>
          <w:lang w:eastAsia="zh-CN"/>
        </w:rPr>
        <w:t>《</w:t>
      </w:r>
      <w:r>
        <w:rPr>
          <w:rFonts w:hint="eastAsia" w:ascii="仿宋_GB2312" w:hAnsi="仿宋" w:eastAsia="仿宋_GB2312" w:cs="Helvetica Neue"/>
          <w:color w:val="000000"/>
          <w:sz w:val="32"/>
          <w:szCs w:val="32"/>
        </w:rPr>
        <w:t>东莞市基本医疗保险门诊特定病种目录</w:t>
      </w:r>
      <w:r>
        <w:rPr>
          <w:rFonts w:hint="eastAsia" w:ascii="仿宋_GB2312" w:hAnsi="仿宋" w:eastAsia="仿宋_GB2312" w:cs="Helvetica Neue"/>
          <w:color w:val="000000"/>
          <w:sz w:val="32"/>
          <w:szCs w:val="32"/>
          <w:lang w:eastAsia="zh-CN"/>
        </w:rPr>
        <w:t>》</w:t>
      </w:r>
      <w:r>
        <w:rPr>
          <w:rFonts w:hint="eastAsia" w:ascii="仿宋_GB2312" w:hAnsi="仿宋" w:eastAsia="仿宋_GB2312" w:cs="Helvetica Neue"/>
          <w:color w:val="000000"/>
          <w:sz w:val="32"/>
          <w:szCs w:val="32"/>
        </w:rPr>
        <w:t>范围内疾病的，申请门特待遇认定，</w:t>
      </w:r>
      <w:r>
        <w:rPr>
          <w:rFonts w:hint="eastAsia" w:ascii="仿宋_GB2312" w:hAnsi="仿宋" w:eastAsia="仿宋_GB2312" w:cs="Helvetica Neue"/>
          <w:color w:val="000000"/>
          <w:sz w:val="32"/>
          <w:szCs w:val="32"/>
          <w:lang w:val="en-US" w:eastAsia="zh-CN"/>
        </w:rPr>
        <w:t>应在</w:t>
      </w:r>
      <w:r>
        <w:rPr>
          <w:rFonts w:hint="eastAsia" w:ascii="仿宋_GB2312" w:hAnsi="仿宋" w:eastAsia="仿宋_GB2312" w:cs="Helvetica Neue"/>
          <w:color w:val="000000"/>
          <w:sz w:val="32"/>
          <w:szCs w:val="32"/>
        </w:rPr>
        <w:t>具备相应门特服务资格的定点医疗机构</w:t>
      </w:r>
      <w:r>
        <w:rPr>
          <w:rFonts w:hint="eastAsia" w:ascii="仿宋_GB2312" w:hAnsi="仿宋" w:eastAsia="仿宋_GB2312" w:cs="Helvetica Neue"/>
          <w:color w:val="000000"/>
          <w:sz w:val="32"/>
          <w:szCs w:val="32"/>
          <w:lang w:val="en-US" w:eastAsia="zh-CN"/>
        </w:rPr>
        <w:t>申请门特备案和续审</w:t>
      </w:r>
      <w:r>
        <w:rPr>
          <w:rFonts w:hint="eastAsia" w:ascii="仿宋_GB2312" w:hAnsi="仿宋" w:eastAsia="仿宋_GB2312" w:cs="Helvetica Neue"/>
          <w:color w:val="000000"/>
          <w:sz w:val="32"/>
          <w:szCs w:val="32"/>
        </w:rPr>
        <w:t>。</w:t>
      </w:r>
    </w:p>
    <w:p>
      <w:pPr>
        <w:numPr>
          <w:ilvl w:val="0"/>
          <w:numId w:val="1"/>
        </w:numPr>
        <w:spacing w:line="600" w:lineRule="exact"/>
        <w:ind w:left="0" w:leftChars="0" w:firstLine="640" w:firstLineChars="200"/>
        <w:rPr>
          <w:rFonts w:hint="default"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未办理异地就医备案的参保人：在市内</w:t>
      </w:r>
      <w:r>
        <w:rPr>
          <w:rFonts w:hint="eastAsia" w:ascii="仿宋_GB2312" w:hAnsi="仿宋" w:eastAsia="仿宋_GB2312" w:cs="Helvetica Neue"/>
          <w:color w:val="000000"/>
          <w:sz w:val="32"/>
          <w:szCs w:val="32"/>
        </w:rPr>
        <w:t>具备相应门特服务资格的定点医疗机构</w:t>
      </w:r>
      <w:r>
        <w:rPr>
          <w:rFonts w:hint="eastAsia" w:ascii="仿宋_GB2312" w:hAnsi="仿宋" w:eastAsia="仿宋_GB2312" w:cs="Helvetica Neue"/>
          <w:color w:val="000000"/>
          <w:sz w:val="32"/>
          <w:szCs w:val="32"/>
          <w:lang w:val="en-US" w:eastAsia="zh-CN"/>
        </w:rPr>
        <w:t>申请门特备案，由市内定点医疗机构将门特备案信息上传至医保系统即可。查询网址：http://www.dg.gov.cn/ylbzj/xxcx/mztdbzzdjzl/content/mpost_3618620.html。</w:t>
      </w:r>
    </w:p>
    <w:p>
      <w:pPr>
        <w:numPr>
          <w:ilvl w:val="0"/>
          <w:numId w:val="1"/>
        </w:numPr>
        <w:spacing w:line="600" w:lineRule="exact"/>
        <w:ind w:left="0" w:leftChars="0" w:firstLine="640" w:firstLineChars="200"/>
        <w:rPr>
          <w:rFonts w:hint="default"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已办理异地就医备案的参保人：可由</w:t>
      </w:r>
      <w:r>
        <w:rPr>
          <w:rFonts w:hint="eastAsia" w:ascii="仿宋_GB2312" w:hAnsi="仿宋" w:eastAsia="仿宋_GB2312" w:cs="Helvetica Neue"/>
          <w:color w:val="000000"/>
          <w:sz w:val="32"/>
          <w:szCs w:val="32"/>
          <w:highlight w:val="yellow"/>
          <w:lang w:val="en-US" w:eastAsia="zh-CN"/>
        </w:rPr>
        <w:t>东莞市内具备相应门特服务资格的定点医疗机构或</w:t>
      </w:r>
      <w:r>
        <w:rPr>
          <w:rFonts w:hint="eastAsia" w:ascii="仿宋_GB2312" w:hAnsi="仿宋" w:eastAsia="仿宋_GB2312" w:cs="Helvetica Neue"/>
          <w:color w:val="000000"/>
          <w:sz w:val="32"/>
          <w:szCs w:val="32"/>
          <w:lang w:val="en-US" w:eastAsia="zh-CN"/>
        </w:rPr>
        <w:t>备案地定点医疗机构按照备案地门特认定规则办理门特备案，如备案地定点医疗机构无法上传门特备案信息，可在东莞市医保经办机构申请门特备案和续审。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 w:eastAsia="仿宋_GB2312" w:cs="Helvetica Neue"/>
          <w:color w:val="000000"/>
          <w:kern w:val="2"/>
          <w:sz w:val="32"/>
          <w:szCs w:val="32"/>
          <w:lang w:val="en-US" w:eastAsia="zh-CN" w:bidi="ar-SA"/>
        </w:rPr>
      </w:pPr>
      <w:r>
        <w:rPr>
          <w:rFonts w:hint="eastAsia" w:ascii="仿宋_GB2312" w:hAnsi="仿宋" w:eastAsia="仿宋_GB2312" w:cs="Helvetica Neue"/>
          <w:color w:val="000000"/>
          <w:kern w:val="2"/>
          <w:sz w:val="32"/>
          <w:szCs w:val="32"/>
          <w:lang w:val="en-US" w:eastAsia="zh-CN" w:bidi="ar-SA"/>
        </w:rPr>
        <w:t>业务二在东莞市医保经办机构办理的，可全程在线申请并办结，无需现场办理，参保人可选择线上办理或现场办理两种途径。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 w:eastAsia="仿宋_GB2312" w:cs="Helvetica Neue"/>
          <w:b/>
          <w:bCs/>
          <w:color w:val="000000"/>
          <w:kern w:val="2"/>
          <w:sz w:val="32"/>
          <w:szCs w:val="32"/>
          <w:lang w:val="en-US" w:eastAsia="zh-CN" w:bidi="ar-SA"/>
        </w:rPr>
      </w:pPr>
      <w:r>
        <w:rPr>
          <w:rFonts w:hint="eastAsia" w:ascii="仿宋_GB2312" w:hAnsi="仿宋" w:eastAsia="仿宋_GB2312" w:cs="Helvetica Neue"/>
          <w:b/>
          <w:bCs/>
          <w:color w:val="000000"/>
          <w:kern w:val="2"/>
          <w:sz w:val="32"/>
          <w:szCs w:val="32"/>
          <w:lang w:val="en-US" w:eastAsia="zh-CN" w:bidi="ar-SA"/>
        </w:rPr>
        <w:t>办理条件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 w:eastAsia="仿宋_GB2312" w:cs="Helvetica Neue"/>
          <w:color w:val="000000"/>
          <w:kern w:val="2"/>
          <w:sz w:val="32"/>
          <w:szCs w:val="32"/>
          <w:lang w:val="en-US" w:eastAsia="zh-CN" w:bidi="ar-SA"/>
        </w:rPr>
      </w:pPr>
      <w:r>
        <w:rPr>
          <w:rFonts w:hint="eastAsia" w:ascii="仿宋_GB2312" w:hAnsi="仿宋" w:eastAsia="仿宋_GB2312" w:cs="Helvetica Neue"/>
          <w:color w:val="000000"/>
          <w:kern w:val="2"/>
          <w:sz w:val="32"/>
          <w:szCs w:val="32"/>
          <w:lang w:val="en-US" w:eastAsia="zh-CN" w:bidi="ar-SA"/>
        </w:rPr>
        <w:t>（一）参保人办理异地就医备案手续后，需在异地进行门诊特定病种治疗的。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仿宋_GB2312" w:hAnsi="仿宋" w:eastAsia="仿宋_GB2312" w:cs="Helvetica Neue"/>
          <w:color w:val="000000"/>
          <w:kern w:val="2"/>
          <w:sz w:val="32"/>
          <w:szCs w:val="32"/>
          <w:lang w:val="en-US" w:eastAsia="zh-CN" w:bidi="ar-SA"/>
        </w:rPr>
      </w:pPr>
      <w:r>
        <w:rPr>
          <w:rFonts w:hint="eastAsia" w:ascii="仿宋_GB2312" w:hAnsi="仿宋" w:eastAsia="仿宋_GB2312" w:cs="Helvetica Neue"/>
          <w:color w:val="000000"/>
          <w:kern w:val="2"/>
          <w:sz w:val="32"/>
          <w:szCs w:val="32"/>
          <w:lang w:val="en-US" w:eastAsia="zh-CN" w:bidi="ar-SA"/>
        </w:rPr>
        <w:t>（二）异地就医备案参保人申办门诊特定病种到期后，需办理门特续审的。</w:t>
      </w:r>
    </w:p>
    <w:p>
      <w:pPr>
        <w:numPr>
          <w:ilvl w:val="0"/>
          <w:numId w:val="0"/>
        </w:numPr>
        <w:spacing w:line="600" w:lineRule="exact"/>
        <w:ind w:firstLine="643" w:firstLineChars="200"/>
        <w:jc w:val="center"/>
        <w:rPr>
          <w:rFonts w:hint="eastAsia" w:ascii="仿宋_GB2312" w:hAnsi="仿宋" w:eastAsia="仿宋_GB2312" w:cs="Helvetica Neue"/>
          <w:b/>
          <w:bCs/>
          <w:color w:val="000000"/>
          <w:sz w:val="32"/>
          <w:szCs w:val="32"/>
          <w:lang w:val="en-US" w:eastAsia="zh-CN"/>
        </w:rPr>
      </w:pPr>
      <w:r>
        <w:rPr>
          <w:rFonts w:hint="eastAsia" w:ascii="仿宋_GB2312" w:hAnsi="仿宋" w:eastAsia="仿宋_GB2312" w:cs="Helvetica Neue"/>
          <w:b/>
          <w:bCs/>
          <w:color w:val="000000"/>
          <w:sz w:val="32"/>
          <w:szCs w:val="32"/>
          <w:lang w:val="en-US" w:eastAsia="zh-CN"/>
        </w:rPr>
        <w:t>办理材料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 w:eastAsia="仿宋_GB2312" w:cs="Helvetica Neue"/>
          <w:color w:val="000000"/>
          <w:kern w:val="2"/>
          <w:sz w:val="32"/>
          <w:szCs w:val="32"/>
          <w:lang w:val="en-US" w:eastAsia="zh-CN" w:bidi="ar-SA"/>
        </w:rPr>
      </w:pPr>
      <w:r>
        <w:rPr>
          <w:rFonts w:hint="eastAsia" w:ascii="仿宋_GB2312" w:hAnsi="仿宋" w:eastAsia="仿宋_GB2312" w:cs="Helvetica Neue"/>
          <w:color w:val="000000"/>
          <w:kern w:val="2"/>
          <w:sz w:val="32"/>
          <w:szCs w:val="32"/>
          <w:lang w:val="en-US" w:eastAsia="zh-CN" w:bidi="ar-SA"/>
        </w:rPr>
        <w:t>参保人申请基本医疗保险参保人员享受门诊特定病种待遇认定，应按不同情形提供如下资料：</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 w:eastAsia="仿宋_GB2312" w:cs="Helvetica Neue"/>
          <w:color w:val="000000"/>
          <w:kern w:val="2"/>
          <w:sz w:val="32"/>
          <w:szCs w:val="32"/>
          <w:lang w:val="en-US" w:eastAsia="zh-CN" w:bidi="ar-SA"/>
        </w:rPr>
      </w:pPr>
      <w:r>
        <w:rPr>
          <w:rFonts w:hint="eastAsia" w:ascii="仿宋_GB2312" w:hAnsi="仿宋" w:eastAsia="仿宋_GB2312" w:cs="Helvetica Neue"/>
          <w:color w:val="000000"/>
          <w:kern w:val="2"/>
          <w:sz w:val="32"/>
          <w:szCs w:val="32"/>
          <w:lang w:val="en-US" w:eastAsia="zh-CN" w:bidi="ar-SA"/>
        </w:rPr>
        <w:t>门诊特定病种认定</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1.医保电子凭证或有效身份证件或社保卡，代办的需提供代办人医保卡正面或身份证双面复印件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2.《门诊特定病种待遇认定申请表》（加盖医保章）或诊断证明</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Helvetica Neue"/>
          <w:color w:val="000000"/>
          <w:kern w:val="2"/>
          <w:sz w:val="32"/>
          <w:szCs w:val="32"/>
          <w:lang w:val="en-US" w:eastAsia="zh-CN" w:bidi="ar-SA"/>
        </w:rPr>
      </w:pPr>
      <w:r>
        <w:rPr>
          <w:rFonts w:hint="eastAsia" w:ascii="仿宋_GB2312" w:hAnsi="仿宋" w:eastAsia="仿宋_GB2312" w:cs="Helvetica Neue"/>
          <w:color w:val="000000"/>
          <w:sz w:val="32"/>
          <w:szCs w:val="32"/>
          <w:lang w:val="en-US" w:eastAsia="zh-CN"/>
        </w:rPr>
        <w:t>3.病历资料或检查资料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 w:eastAsia="仿宋_GB2312" w:cs="Helvetica Neue"/>
          <w:color w:val="000000"/>
          <w:kern w:val="2"/>
          <w:sz w:val="32"/>
          <w:szCs w:val="32"/>
          <w:lang w:val="en-US" w:eastAsia="zh-CN" w:bidi="ar-SA"/>
        </w:rPr>
      </w:pPr>
      <w:r>
        <w:rPr>
          <w:rFonts w:hint="eastAsia" w:ascii="仿宋_GB2312" w:hAnsi="仿宋" w:eastAsia="仿宋_GB2312" w:cs="Helvetica Neue"/>
          <w:color w:val="000000"/>
          <w:kern w:val="2"/>
          <w:sz w:val="32"/>
          <w:szCs w:val="32"/>
          <w:lang w:val="en-US" w:eastAsia="zh-CN" w:bidi="ar-SA"/>
        </w:rPr>
        <w:t>（二）门诊特定病种续审</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1.医保电子凭证或有效身份证件或社保卡，代办的需提供代办人医保卡正面或身份证双面复印件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 w:eastAsia="仿宋_GB2312" w:cs="Helvetica Neue"/>
          <w:color w:val="000000"/>
          <w:kern w:val="2"/>
          <w:sz w:val="32"/>
          <w:szCs w:val="32"/>
          <w:lang w:val="en-US" w:eastAsia="zh-CN" w:bidi="ar-SA"/>
        </w:rPr>
      </w:pPr>
      <w:r>
        <w:rPr>
          <w:rFonts w:hint="eastAsia" w:ascii="仿宋_GB2312" w:hAnsi="仿宋" w:eastAsia="仿宋_GB2312" w:cs="Helvetica Neue"/>
          <w:color w:val="000000"/>
          <w:kern w:val="2"/>
          <w:sz w:val="32"/>
          <w:szCs w:val="32"/>
          <w:lang w:val="en-US" w:eastAsia="zh-CN" w:bidi="ar-SA"/>
        </w:rPr>
        <w:t>2.近3个月治疗相应门特病种的病历资料或检查化验报告复印件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 w:eastAsia="仿宋_GB2312" w:cs="Helvetica Neue"/>
          <w:color w:val="000000"/>
          <w:kern w:val="2"/>
          <w:sz w:val="32"/>
          <w:szCs w:val="32"/>
          <w:lang w:val="en-US" w:eastAsia="zh-CN" w:bidi="ar-SA"/>
        </w:rPr>
      </w:pPr>
      <w:r>
        <w:rPr>
          <w:rFonts w:hint="eastAsia" w:ascii="仿宋_GB2312" w:hAnsi="仿宋" w:eastAsia="仿宋_GB2312" w:cs="Helvetica Neue"/>
          <w:color w:val="000000"/>
          <w:kern w:val="2"/>
          <w:sz w:val="32"/>
          <w:szCs w:val="32"/>
          <w:lang w:val="en-US" w:eastAsia="zh-CN" w:bidi="ar-SA"/>
        </w:rPr>
        <w:t>3.《门诊特定病种定点医疗机构选定表》（一并办理门特选定医药机构变更的提供）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 w:eastAsia="仿宋_GB2312" w:cs="Helvetica Neue"/>
          <w:b/>
          <w:bCs/>
          <w:color w:val="000000"/>
          <w:kern w:val="2"/>
          <w:sz w:val="32"/>
          <w:szCs w:val="32"/>
          <w:lang w:val="en-US" w:eastAsia="zh-CN" w:bidi="ar-SA"/>
        </w:rPr>
      </w:pPr>
      <w:r>
        <w:rPr>
          <w:rFonts w:hint="eastAsia" w:ascii="仿宋_GB2312" w:hAnsi="仿宋" w:eastAsia="仿宋_GB2312" w:cs="Helvetica Neue"/>
          <w:b/>
          <w:bCs/>
          <w:color w:val="000000"/>
          <w:kern w:val="2"/>
          <w:sz w:val="32"/>
          <w:szCs w:val="32"/>
          <w:lang w:val="en-US" w:eastAsia="zh-CN" w:bidi="ar-SA"/>
        </w:rPr>
        <w:t>办理方式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jc w:val="center"/>
        <w:rPr>
          <w:rFonts w:hint="eastAsia" w:ascii="仿宋_GB2312" w:hAnsi="仿宋" w:eastAsia="仿宋_GB2312" w:cs="Helvetica Neue"/>
          <w:color w:val="000000"/>
          <w:kern w:val="2"/>
          <w:sz w:val="32"/>
          <w:szCs w:val="32"/>
          <w:lang w:val="en-US" w:eastAsia="zh-CN" w:bidi="ar-SA"/>
        </w:rPr>
      </w:pPr>
      <w:r>
        <w:rPr>
          <w:rFonts w:hint="eastAsia" w:ascii="仿宋_GB2312" w:hAnsi="仿宋" w:eastAsia="仿宋_GB2312" w:cs="Helvetica Neue"/>
          <w:color w:val="000000"/>
          <w:kern w:val="2"/>
          <w:sz w:val="32"/>
          <w:szCs w:val="32"/>
          <w:lang w:val="en-US" w:eastAsia="zh-CN" w:bidi="ar-SA"/>
        </w:rPr>
        <w:t>（相关界面显示仅供参考，请以实际系统显示为准。）</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jc w:val="both"/>
        <w:rPr>
          <w:rFonts w:hint="eastAsia" w:ascii="仿宋_GB2312" w:hAnsi="仿宋" w:eastAsia="仿宋_GB2312" w:cs="Helvetica Neue"/>
          <w:color w:val="000000"/>
          <w:kern w:val="2"/>
          <w:sz w:val="32"/>
          <w:szCs w:val="32"/>
          <w:lang w:val="en-US" w:eastAsia="zh-CN" w:bidi="ar-SA"/>
        </w:rPr>
      </w:pPr>
      <w:r>
        <w:rPr>
          <w:rFonts w:hint="eastAsia" w:ascii="仿宋_GB2312" w:hAnsi="仿宋" w:eastAsia="仿宋_GB2312" w:cs="Helvetica Neue"/>
          <w:color w:val="000000"/>
          <w:kern w:val="2"/>
          <w:sz w:val="32"/>
          <w:szCs w:val="32"/>
          <w:lang w:val="en-US" w:eastAsia="zh-CN" w:bidi="ar-SA"/>
        </w:rPr>
        <w:t>现场办理</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40" w:beforeAutospacing="0" w:after="240" w:afterAutospacing="0"/>
        <w:ind w:right="0" w:rightChars="0" w:firstLine="640" w:firstLineChars="200"/>
        <w:jc w:val="both"/>
        <w:rPr>
          <w:rFonts w:hint="eastAsia" w:ascii="仿宋_GB2312" w:hAnsi="仿宋" w:eastAsia="仿宋_GB2312" w:cs="Helvetica Neue"/>
          <w:color w:val="000000"/>
          <w:kern w:val="2"/>
          <w:sz w:val="32"/>
          <w:szCs w:val="32"/>
          <w:lang w:val="en-US" w:eastAsia="zh-CN" w:bidi="ar-SA"/>
        </w:rPr>
      </w:pPr>
      <w:r>
        <w:rPr>
          <w:rFonts w:hint="eastAsia" w:ascii="仿宋_GB2312" w:hAnsi="仿宋" w:eastAsia="仿宋_GB2312" w:cs="Helvetica Neue"/>
          <w:color w:val="000000"/>
          <w:kern w:val="2"/>
          <w:sz w:val="32"/>
          <w:szCs w:val="32"/>
          <w:lang w:val="en-US" w:eastAsia="zh-CN" w:bidi="ar-SA"/>
        </w:rPr>
        <w:t>带齐资料前往东莞市内具备相应门特服务资格的定点医疗机构办理。</w:t>
      </w:r>
      <w:bookmarkStart w:id="0" w:name="_GoBack"/>
      <w:bookmarkEnd w:id="0"/>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jc w:val="both"/>
        <w:rPr>
          <w:rFonts w:hint="eastAsia" w:ascii="仿宋_GB2312" w:hAnsi="仿宋" w:eastAsia="仿宋_GB2312" w:cs="Helvetica Neue"/>
          <w:color w:val="000000"/>
          <w:sz w:val="32"/>
          <w:szCs w:val="32"/>
          <w:lang w:val="en-US" w:eastAsia="zh-CN"/>
        </w:rPr>
      </w:pPr>
      <w:r>
        <w:rPr>
          <w:rFonts w:hint="default" w:ascii="仿宋_GB2312" w:hAnsi="仿宋" w:eastAsia="仿宋_GB2312" w:cs="Helvetica Neue"/>
          <w:color w:val="000000"/>
          <w:kern w:val="2"/>
          <w:sz w:val="32"/>
          <w:szCs w:val="32"/>
          <w:lang w:val="en-US" w:eastAsia="zh-CN" w:bidi="ar-SA"/>
        </w:rPr>
        <w:t>通过广东政务服务网办理</w:t>
      </w:r>
    </w:p>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ind w:left="-10" w:leftChars="0" w:right="0" w:rightChars="0" w:firstLine="640" w:firstLineChars="0"/>
        <w:jc w:val="both"/>
        <w:textAlignment w:val="auto"/>
        <w:rPr>
          <w:rFonts w:hint="eastAsia"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广东省政务服务网http://zwfw.dg.gov.cn/html/portal/apply/selfExamine.html?itemCode=11441900MB2C90186Q3442189211001，扫码登录。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ind w:leftChars="200" w:right="0" w:rightChars="0"/>
        <w:jc w:val="center"/>
        <w:textAlignment w:val="auto"/>
      </w:pPr>
      <w:r>
        <w:drawing>
          <wp:inline distT="0" distB="0" distL="114300" distR="114300">
            <wp:extent cx="1744980" cy="1996440"/>
            <wp:effectExtent l="0" t="0" r="7620" b="38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4"/>
                    <a:stretch>
                      <a:fillRect/>
                    </a:stretch>
                  </pic:blipFill>
                  <pic:spPr>
                    <a:xfrm>
                      <a:off x="0" y="0"/>
                      <a:ext cx="1744980" cy="1996440"/>
                    </a:xfrm>
                    <a:prstGeom prst="rect">
                      <a:avLst/>
                    </a:prstGeom>
                  </pic:spPr>
                </pic:pic>
              </a:graphicData>
            </a:graphic>
          </wp:inline>
        </w:drawing>
      </w:r>
    </w:p>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ind w:left="-10" w:leftChars="0" w:right="0" w:rightChars="0" w:firstLine="640" w:firstLineChars="0"/>
        <w:jc w:val="both"/>
        <w:textAlignment w:val="auto"/>
        <w:rPr>
          <w:rFonts w:hint="eastAsia"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阅读办理须知，点击“我知道了”进入下一步。</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ind w:right="0" w:rightChars="0"/>
        <w:jc w:val="center"/>
        <w:textAlignment w:val="auto"/>
        <w:rPr>
          <w:rFonts w:hint="default" w:ascii="仿宋_GB2312" w:hAnsi="仿宋" w:eastAsia="仿宋_GB2312" w:cs="Helvetica Neue"/>
          <w:color w:val="000000"/>
          <w:sz w:val="32"/>
          <w:szCs w:val="32"/>
          <w:lang w:val="en-US" w:eastAsia="zh-CN"/>
        </w:rPr>
      </w:pPr>
      <w:r>
        <w:drawing>
          <wp:inline distT="0" distB="0" distL="114300" distR="114300">
            <wp:extent cx="4675505" cy="4451350"/>
            <wp:effectExtent l="0" t="0" r="1079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675505" cy="4451350"/>
                    </a:xfrm>
                    <a:prstGeom prst="rect">
                      <a:avLst/>
                    </a:prstGeom>
                    <a:noFill/>
                    <a:ln>
                      <a:noFill/>
                    </a:ln>
                  </pic:spPr>
                </pic:pic>
              </a:graphicData>
            </a:graphic>
          </wp:inline>
        </w:drawing>
      </w:r>
    </w:p>
    <w:p>
      <w:pPr>
        <w:numPr>
          <w:ilvl w:val="0"/>
          <w:numId w:val="4"/>
        </w:numPr>
        <w:spacing w:line="600" w:lineRule="exact"/>
        <w:ind w:left="-10" w:leftChars="0" w:firstLine="640" w:firstLineChars="0"/>
        <w:rPr>
          <w:rFonts w:hint="eastAsia"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根据参保属地，市局或者镇街参保选择对应情形项及所属区域，根据所需办理业务选择基本医疗保险参保人员享受门诊特定病种待遇认定事项的一项或者多项。</w:t>
      </w:r>
    </w:p>
    <w:p>
      <w:pPr>
        <w:numPr>
          <w:ilvl w:val="0"/>
          <w:numId w:val="0"/>
        </w:numPr>
        <w:spacing w:line="600" w:lineRule="exact"/>
        <w:ind w:leftChars="200"/>
        <w:rPr>
          <w:rFonts w:hint="eastAsia" w:ascii="仿宋_GB2312" w:hAnsi="仿宋" w:eastAsia="仿宋_GB2312" w:cs="Helvetica Neue"/>
          <w:color w:val="000000"/>
          <w:sz w:val="32"/>
          <w:szCs w:val="32"/>
          <w:lang w:val="en-US" w:eastAsia="zh-CN"/>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9525</wp:posOffset>
            </wp:positionV>
            <wp:extent cx="5267325" cy="4725670"/>
            <wp:effectExtent l="0" t="0" r="9525" b="1778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7325" cy="4725670"/>
                    </a:xfrm>
                    <a:prstGeom prst="rect">
                      <a:avLst/>
                    </a:prstGeom>
                    <a:noFill/>
                    <a:ln>
                      <a:noFill/>
                    </a:ln>
                  </pic:spPr>
                </pic:pic>
              </a:graphicData>
            </a:graphic>
          </wp:anchor>
        </w:drawing>
      </w:r>
    </w:p>
    <w:p>
      <w:pPr>
        <w:numPr>
          <w:ilvl w:val="0"/>
          <w:numId w:val="0"/>
        </w:numPr>
        <w:spacing w:line="600" w:lineRule="exact"/>
        <w:ind w:leftChars="200"/>
        <w:rPr>
          <w:rFonts w:hint="default" w:ascii="仿宋_GB2312" w:hAnsi="仿宋" w:eastAsia="仿宋_GB2312" w:cs="Helvetica Neue"/>
          <w:color w:val="000000"/>
          <w:sz w:val="32"/>
          <w:szCs w:val="32"/>
          <w:lang w:val="en-US" w:eastAsia="zh-CN"/>
        </w:rPr>
      </w:pPr>
    </w:p>
    <w:p>
      <w:pPr>
        <w:numPr>
          <w:ilvl w:val="0"/>
          <w:numId w:val="0"/>
        </w:numPr>
        <w:spacing w:line="600" w:lineRule="exact"/>
        <w:ind w:leftChars="200"/>
        <w:rPr>
          <w:rFonts w:hint="default" w:ascii="仿宋_GB2312" w:hAnsi="仿宋" w:eastAsia="仿宋_GB2312" w:cs="Helvetica Neue"/>
          <w:color w:val="000000"/>
          <w:sz w:val="32"/>
          <w:szCs w:val="32"/>
          <w:lang w:val="en-US" w:eastAsia="zh-CN"/>
        </w:rPr>
      </w:pPr>
    </w:p>
    <w:p>
      <w:pPr>
        <w:numPr>
          <w:ilvl w:val="0"/>
          <w:numId w:val="0"/>
        </w:numPr>
        <w:spacing w:line="600" w:lineRule="exact"/>
        <w:ind w:leftChars="200"/>
        <w:rPr>
          <w:rFonts w:hint="default" w:ascii="仿宋_GB2312" w:hAnsi="仿宋" w:eastAsia="仿宋_GB2312" w:cs="Helvetica Neue"/>
          <w:color w:val="000000"/>
          <w:sz w:val="32"/>
          <w:szCs w:val="32"/>
          <w:lang w:val="en-US" w:eastAsia="zh-CN"/>
        </w:rPr>
      </w:pPr>
    </w:p>
    <w:p>
      <w:pPr>
        <w:numPr>
          <w:ilvl w:val="0"/>
          <w:numId w:val="0"/>
        </w:numPr>
        <w:spacing w:line="600" w:lineRule="exact"/>
        <w:ind w:leftChars="200"/>
        <w:rPr>
          <w:rFonts w:hint="default" w:ascii="仿宋_GB2312" w:hAnsi="仿宋" w:eastAsia="仿宋_GB2312" w:cs="Helvetica Neue"/>
          <w:color w:val="000000"/>
          <w:sz w:val="32"/>
          <w:szCs w:val="32"/>
          <w:lang w:val="en-US" w:eastAsia="zh-CN"/>
        </w:rPr>
      </w:pPr>
    </w:p>
    <w:p>
      <w:pPr>
        <w:numPr>
          <w:ilvl w:val="0"/>
          <w:numId w:val="0"/>
        </w:numPr>
        <w:spacing w:line="600" w:lineRule="exact"/>
        <w:ind w:leftChars="200"/>
        <w:rPr>
          <w:rFonts w:hint="default" w:ascii="仿宋_GB2312" w:hAnsi="仿宋" w:eastAsia="仿宋_GB2312" w:cs="Helvetica Neue"/>
          <w:color w:val="000000"/>
          <w:sz w:val="32"/>
          <w:szCs w:val="32"/>
          <w:lang w:val="en-US" w:eastAsia="zh-CN"/>
        </w:rPr>
      </w:pPr>
    </w:p>
    <w:p>
      <w:pPr>
        <w:numPr>
          <w:ilvl w:val="0"/>
          <w:numId w:val="0"/>
        </w:numPr>
        <w:spacing w:line="600" w:lineRule="exact"/>
        <w:ind w:leftChars="200"/>
        <w:rPr>
          <w:rFonts w:hint="default" w:ascii="仿宋_GB2312" w:hAnsi="仿宋" w:eastAsia="仿宋_GB2312" w:cs="Helvetica Neue"/>
          <w:color w:val="000000"/>
          <w:sz w:val="32"/>
          <w:szCs w:val="32"/>
          <w:lang w:val="en-US" w:eastAsia="zh-CN"/>
        </w:rPr>
      </w:pPr>
    </w:p>
    <w:p>
      <w:pPr>
        <w:numPr>
          <w:ilvl w:val="0"/>
          <w:numId w:val="0"/>
        </w:numPr>
        <w:spacing w:line="600" w:lineRule="exact"/>
        <w:ind w:leftChars="200"/>
        <w:rPr>
          <w:rFonts w:hint="default" w:ascii="仿宋_GB2312" w:hAnsi="仿宋" w:eastAsia="仿宋_GB2312" w:cs="Helvetica Neue"/>
          <w:color w:val="000000"/>
          <w:sz w:val="32"/>
          <w:szCs w:val="32"/>
          <w:lang w:val="en-US" w:eastAsia="zh-CN"/>
        </w:rPr>
      </w:pPr>
    </w:p>
    <w:p>
      <w:pPr>
        <w:numPr>
          <w:ilvl w:val="0"/>
          <w:numId w:val="0"/>
        </w:numPr>
        <w:spacing w:line="600" w:lineRule="exact"/>
        <w:ind w:leftChars="200"/>
        <w:rPr>
          <w:rFonts w:hint="default" w:ascii="仿宋_GB2312" w:hAnsi="仿宋" w:eastAsia="仿宋_GB2312" w:cs="Helvetica Neue"/>
          <w:color w:val="000000"/>
          <w:sz w:val="32"/>
          <w:szCs w:val="32"/>
          <w:lang w:val="en-US" w:eastAsia="zh-CN"/>
        </w:rPr>
      </w:pPr>
    </w:p>
    <w:p>
      <w:pPr>
        <w:numPr>
          <w:ilvl w:val="0"/>
          <w:numId w:val="0"/>
        </w:numPr>
        <w:spacing w:line="600" w:lineRule="exact"/>
        <w:ind w:leftChars="200"/>
        <w:rPr>
          <w:rFonts w:hint="default" w:ascii="仿宋_GB2312" w:hAnsi="仿宋" w:eastAsia="仿宋_GB2312" w:cs="Helvetica Neue"/>
          <w:color w:val="000000"/>
          <w:sz w:val="32"/>
          <w:szCs w:val="32"/>
          <w:lang w:val="en-US" w:eastAsia="zh-CN"/>
        </w:rPr>
      </w:pPr>
    </w:p>
    <w:p>
      <w:pPr>
        <w:numPr>
          <w:ilvl w:val="0"/>
          <w:numId w:val="0"/>
        </w:numPr>
        <w:spacing w:line="600" w:lineRule="exact"/>
        <w:ind w:leftChars="200"/>
        <w:rPr>
          <w:rFonts w:hint="default" w:ascii="仿宋_GB2312" w:hAnsi="仿宋" w:eastAsia="仿宋_GB2312" w:cs="Helvetica Neue"/>
          <w:color w:val="000000"/>
          <w:sz w:val="32"/>
          <w:szCs w:val="32"/>
          <w:lang w:val="en-US" w:eastAsia="zh-CN"/>
        </w:rPr>
      </w:pPr>
    </w:p>
    <w:p>
      <w:pPr>
        <w:numPr>
          <w:ilvl w:val="0"/>
          <w:numId w:val="0"/>
        </w:numPr>
        <w:spacing w:line="600" w:lineRule="exact"/>
        <w:rPr>
          <w:rFonts w:hint="eastAsia" w:ascii="仿宋_GB2312" w:hAnsi="仿宋" w:eastAsia="仿宋_GB2312" w:cs="Helvetica Neue"/>
          <w:color w:val="000000"/>
          <w:sz w:val="32"/>
          <w:szCs w:val="32"/>
          <w:lang w:val="en-US" w:eastAsia="zh-CN"/>
        </w:rPr>
      </w:pPr>
    </w:p>
    <w:p>
      <w:pPr>
        <w:numPr>
          <w:ilvl w:val="0"/>
          <w:numId w:val="0"/>
        </w:numPr>
        <w:spacing w:line="600" w:lineRule="exact"/>
        <w:rPr>
          <w:rFonts w:hint="eastAsia" w:ascii="仿宋_GB2312" w:hAnsi="仿宋" w:eastAsia="仿宋_GB2312" w:cs="Helvetica Neue"/>
          <w:color w:val="000000"/>
          <w:sz w:val="32"/>
          <w:szCs w:val="32"/>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0" w:leftChars="0" w:firstLine="640" w:firstLineChars="0"/>
        <w:textAlignment w:val="auto"/>
        <w:rPr>
          <w:rFonts w:hint="eastAsia"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选定办理事项后，选择因何种情况申办该业务。</w:t>
      </w:r>
    </w:p>
    <w:p>
      <w:pPr>
        <w:numPr>
          <w:ilvl w:val="0"/>
          <w:numId w:val="0"/>
        </w:numPr>
        <w:spacing w:line="600" w:lineRule="exact"/>
        <w:rPr>
          <w:rFonts w:hint="eastAsia" w:ascii="仿宋_GB2312" w:hAnsi="仿宋" w:eastAsia="仿宋_GB2312" w:cs="Helvetica Neue"/>
          <w:color w:val="000000"/>
          <w:sz w:val="32"/>
          <w:szCs w:val="32"/>
          <w:lang w:val="en-US" w:eastAsia="zh-CN"/>
        </w:rPr>
      </w:pPr>
    </w:p>
    <w:p>
      <w:pPr>
        <w:numPr>
          <w:ilvl w:val="0"/>
          <w:numId w:val="0"/>
        </w:numPr>
        <w:spacing w:line="600" w:lineRule="exact"/>
        <w:rPr>
          <w:rFonts w:hint="eastAsia" w:ascii="仿宋_GB2312" w:hAnsi="仿宋" w:eastAsia="仿宋_GB2312" w:cs="Helvetica Neue"/>
          <w:color w:val="000000"/>
          <w:sz w:val="32"/>
          <w:szCs w:val="32"/>
          <w:lang w:val="en-US" w:eastAsia="zh-CN"/>
        </w:rPr>
      </w:pPr>
    </w:p>
    <w:p>
      <w:pPr>
        <w:numPr>
          <w:ilvl w:val="0"/>
          <w:numId w:val="0"/>
        </w:numPr>
        <w:spacing w:line="600" w:lineRule="exact"/>
        <w:rPr>
          <w:rFonts w:hint="eastAsia" w:ascii="仿宋_GB2312" w:hAnsi="仿宋" w:eastAsia="仿宋_GB2312" w:cs="Helvetica Neue"/>
          <w:color w:val="000000"/>
          <w:sz w:val="32"/>
          <w:szCs w:val="32"/>
          <w:lang w:val="en-US" w:eastAsia="zh-CN"/>
        </w:rPr>
      </w:pPr>
    </w:p>
    <w:p>
      <w:pPr>
        <w:numPr>
          <w:ilvl w:val="0"/>
          <w:numId w:val="0"/>
        </w:numPr>
        <w:spacing w:line="600" w:lineRule="exact"/>
        <w:rPr>
          <w:rFonts w:hint="eastAsia" w:ascii="仿宋_GB2312" w:hAnsi="仿宋" w:eastAsia="仿宋_GB2312" w:cs="Helvetica Neue"/>
          <w:color w:val="000000"/>
          <w:sz w:val="32"/>
          <w:szCs w:val="32"/>
          <w:lang w:val="en-US" w:eastAsia="zh-CN"/>
        </w:rPr>
      </w:pPr>
    </w:p>
    <w:p>
      <w:pPr>
        <w:numPr>
          <w:ilvl w:val="0"/>
          <w:numId w:val="0"/>
        </w:numPr>
        <w:spacing w:line="600" w:lineRule="exact"/>
        <w:rPr>
          <w:rFonts w:hint="eastAsia" w:ascii="仿宋_GB2312" w:hAnsi="仿宋" w:eastAsia="仿宋_GB2312" w:cs="Helvetica Neue"/>
          <w:color w:val="000000"/>
          <w:sz w:val="32"/>
          <w:szCs w:val="32"/>
          <w:lang w:val="en-US" w:eastAsia="zh-CN"/>
        </w:rPr>
      </w:pPr>
    </w:p>
    <w:p>
      <w:pPr>
        <w:numPr>
          <w:ilvl w:val="0"/>
          <w:numId w:val="0"/>
        </w:numPr>
        <w:spacing w:line="600" w:lineRule="exact"/>
        <w:rPr>
          <w:rFonts w:hint="eastAsia" w:ascii="仿宋_GB2312" w:hAnsi="仿宋" w:eastAsia="仿宋_GB2312" w:cs="Helvetica Neue"/>
          <w:color w:val="000000"/>
          <w:sz w:val="32"/>
          <w:szCs w:val="32"/>
          <w:lang w:val="en-US" w:eastAsia="zh-CN"/>
        </w:rPr>
      </w:pPr>
    </w:p>
    <w:p>
      <w:pPr>
        <w:numPr>
          <w:ilvl w:val="0"/>
          <w:numId w:val="0"/>
        </w:numPr>
        <w:spacing w:line="600" w:lineRule="exact"/>
        <w:rPr>
          <w:rFonts w:hint="eastAsia" w:ascii="仿宋_GB2312" w:hAnsi="仿宋" w:eastAsia="仿宋_GB2312" w:cs="Helvetica Neue"/>
          <w:color w:val="000000"/>
          <w:sz w:val="32"/>
          <w:szCs w:val="32"/>
          <w:lang w:val="en-US" w:eastAsia="zh-CN"/>
        </w:rPr>
      </w:pPr>
      <w:r>
        <w:drawing>
          <wp:anchor distT="0" distB="0" distL="114300" distR="114300" simplePos="0" relativeHeight="251662336" behindDoc="0" locked="0" layoutInCell="1" allowOverlap="1">
            <wp:simplePos x="0" y="0"/>
            <wp:positionH relativeFrom="column">
              <wp:posOffset>19050</wp:posOffset>
            </wp:positionH>
            <wp:positionV relativeFrom="paragraph">
              <wp:posOffset>137160</wp:posOffset>
            </wp:positionV>
            <wp:extent cx="5266690" cy="5034280"/>
            <wp:effectExtent l="0" t="0" r="10160" b="1397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66690" cy="5034280"/>
                    </a:xfrm>
                    <a:prstGeom prst="rect">
                      <a:avLst/>
                    </a:prstGeom>
                    <a:noFill/>
                    <a:ln>
                      <a:noFill/>
                    </a:ln>
                  </pic:spPr>
                </pic:pic>
              </a:graphicData>
            </a:graphic>
          </wp:anchor>
        </w:drawing>
      </w:r>
    </w:p>
    <w:p>
      <w:pPr>
        <w:numPr>
          <w:ilvl w:val="0"/>
          <w:numId w:val="0"/>
        </w:numPr>
        <w:spacing w:line="600" w:lineRule="exact"/>
        <w:rPr>
          <w:rFonts w:hint="eastAsia" w:ascii="仿宋_GB2312" w:hAnsi="仿宋" w:eastAsia="仿宋_GB2312" w:cs="Helvetica Neue"/>
          <w:color w:val="000000"/>
          <w:sz w:val="32"/>
          <w:szCs w:val="32"/>
          <w:lang w:val="en-US" w:eastAsia="zh-CN"/>
        </w:rPr>
      </w:pPr>
    </w:p>
    <w:p>
      <w:pPr>
        <w:numPr>
          <w:ilvl w:val="0"/>
          <w:numId w:val="0"/>
        </w:numPr>
        <w:spacing w:line="600" w:lineRule="exact"/>
        <w:rPr>
          <w:rFonts w:hint="eastAsia" w:ascii="仿宋_GB2312" w:hAnsi="仿宋" w:eastAsia="仿宋_GB2312" w:cs="Helvetica Neue"/>
          <w:color w:val="000000"/>
          <w:sz w:val="32"/>
          <w:szCs w:val="32"/>
          <w:lang w:val="en-US" w:eastAsia="zh-CN"/>
        </w:rPr>
      </w:pPr>
    </w:p>
    <w:p>
      <w:pPr>
        <w:numPr>
          <w:ilvl w:val="0"/>
          <w:numId w:val="0"/>
        </w:numPr>
        <w:spacing w:line="600" w:lineRule="exact"/>
        <w:rPr>
          <w:rFonts w:hint="eastAsia" w:ascii="仿宋_GB2312" w:hAnsi="仿宋" w:eastAsia="仿宋_GB2312" w:cs="Helvetica Neue"/>
          <w:color w:val="000000"/>
          <w:sz w:val="32"/>
          <w:szCs w:val="32"/>
          <w:lang w:val="en-US" w:eastAsia="zh-CN"/>
        </w:rPr>
      </w:pPr>
    </w:p>
    <w:p>
      <w:pPr>
        <w:numPr>
          <w:ilvl w:val="0"/>
          <w:numId w:val="0"/>
        </w:numPr>
        <w:spacing w:line="600" w:lineRule="exact"/>
        <w:rPr>
          <w:rFonts w:hint="eastAsia" w:ascii="仿宋_GB2312" w:hAnsi="仿宋" w:eastAsia="仿宋_GB2312" w:cs="Helvetica Neue"/>
          <w:color w:val="000000"/>
          <w:sz w:val="32"/>
          <w:szCs w:val="32"/>
          <w:lang w:val="en-US" w:eastAsia="zh-CN"/>
        </w:rPr>
      </w:pPr>
    </w:p>
    <w:p>
      <w:pPr>
        <w:numPr>
          <w:ilvl w:val="0"/>
          <w:numId w:val="0"/>
        </w:numPr>
        <w:spacing w:line="600" w:lineRule="exact"/>
        <w:rPr>
          <w:rFonts w:hint="eastAsia"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0" w:leftChars="0" w:firstLine="640" w:firstLineChars="0"/>
        <w:textAlignment w:val="auto"/>
        <w:rPr>
          <w:rFonts w:hint="eastAsia"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选择办理情形栏，根据提示作答，弹出材料清单。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r>
        <w:drawing>
          <wp:anchor distT="0" distB="0" distL="114300" distR="114300" simplePos="0" relativeHeight="251663360" behindDoc="0" locked="0" layoutInCell="1" allowOverlap="1">
            <wp:simplePos x="0" y="0"/>
            <wp:positionH relativeFrom="column">
              <wp:posOffset>466725</wp:posOffset>
            </wp:positionH>
            <wp:positionV relativeFrom="paragraph">
              <wp:posOffset>3810</wp:posOffset>
            </wp:positionV>
            <wp:extent cx="4081145" cy="3883025"/>
            <wp:effectExtent l="0" t="0" r="14605" b="3175"/>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4081145" cy="3883025"/>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0" w:leftChars="0" w:firstLine="640" w:firstLineChars="0"/>
        <w:textAlignment w:val="auto"/>
        <w:rPr>
          <w:rFonts w:hint="default"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在办件结果取件方式选择界面，选择自取或邮寄均可（无需去现场或邮寄取件），点击“保存并下一步”。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r>
        <w:drawing>
          <wp:anchor distT="0" distB="0" distL="114300" distR="114300" simplePos="0" relativeHeight="251664384" behindDoc="0" locked="0" layoutInCell="1" allowOverlap="1">
            <wp:simplePos x="0" y="0"/>
            <wp:positionH relativeFrom="column">
              <wp:posOffset>-9525</wp:posOffset>
            </wp:positionH>
            <wp:positionV relativeFrom="paragraph">
              <wp:posOffset>104775</wp:posOffset>
            </wp:positionV>
            <wp:extent cx="5268595" cy="3542665"/>
            <wp:effectExtent l="0" t="0" r="8255" b="635"/>
            <wp:wrapNone/>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5268595" cy="3542665"/>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仿宋_GB2312" w:hAnsi="仿宋" w:eastAsia="仿宋_GB2312" w:cs="Helvetica Neue"/>
          <w:color w:val="000000"/>
          <w:sz w:val="32"/>
          <w:szCs w:val="32"/>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0" w:leftChars="0" w:firstLine="640" w:firstLineChars="0"/>
        <w:textAlignment w:val="auto"/>
        <w:rPr>
          <w:rFonts w:hint="eastAsia"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上传资料，提交申请。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r>
        <w:rPr>
          <w:rFonts w:hint="default" w:ascii="仿宋_GB2312" w:hAnsi="仿宋" w:eastAsia="仿宋_GB2312" w:cs="Helvetica Neue"/>
          <w:color w:val="000000"/>
          <w:sz w:val="32"/>
          <w:szCs w:val="32"/>
          <w:lang w:val="en-US" w:eastAsia="zh-CN"/>
        </w:rPr>
        <w:drawing>
          <wp:anchor distT="0" distB="0" distL="114300" distR="114300" simplePos="0" relativeHeight="251659264" behindDoc="1" locked="0" layoutInCell="1" allowOverlap="1">
            <wp:simplePos x="0" y="0"/>
            <wp:positionH relativeFrom="column">
              <wp:posOffset>712470</wp:posOffset>
            </wp:positionH>
            <wp:positionV relativeFrom="page">
              <wp:posOffset>6000115</wp:posOffset>
            </wp:positionV>
            <wp:extent cx="4001770" cy="3969385"/>
            <wp:effectExtent l="0" t="0" r="17780" b="12065"/>
            <wp:wrapNone/>
            <wp:docPr id="13" name="图片 13" descr="WXWorkLocal_17181776978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WXWorkLocal_17181776978717"/>
                    <pic:cNvPicPr>
                      <a:picLocks noChangeAspect="1"/>
                    </pic:cNvPicPr>
                  </pic:nvPicPr>
                  <pic:blipFill>
                    <a:blip r:embed="rId10"/>
                    <a:stretch>
                      <a:fillRect/>
                    </a:stretch>
                  </pic:blipFill>
                  <pic:spPr>
                    <a:xfrm>
                      <a:off x="0" y="0"/>
                      <a:ext cx="4001770" cy="396938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 w:eastAsia="仿宋_GB2312" w:cs="Helvetica Neue"/>
          <w:color w:val="000000"/>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Helvetica Neue"/>
          <w:color w:val="000000"/>
          <w:sz w:val="32"/>
          <w:szCs w:val="32"/>
          <w:lang w:val="en-US" w:eastAsia="zh-CN"/>
        </w:rPr>
      </w:pPr>
      <w:r>
        <w:rPr>
          <w:rFonts w:hint="eastAsia" w:ascii="仿宋_GB2312" w:hAnsi="仿宋" w:eastAsia="仿宋_GB2312" w:cs="Helvetica Neue"/>
          <w:color w:val="000000"/>
          <w:sz w:val="32"/>
          <w:szCs w:val="32"/>
          <w:lang w:val="en-US" w:eastAsia="zh-CN"/>
        </w:rPr>
        <w:t>查询业务办理进度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r>
        <w:rPr>
          <w:rFonts w:hint="eastAsia" w:ascii="宋体" w:hAnsi="宋体" w:eastAsia="仿宋_GB2312" w:cs="Helvetica Neue"/>
          <w:color w:val="auto"/>
          <w:sz w:val="32"/>
          <w:szCs w:val="21"/>
          <w:lang w:val="en-US" w:eastAsia="zh-CN"/>
        </w:rPr>
        <w:t>参保人可在i莞家APP我的-个人中心-我的预约办事-我的办件或i莞家公众号用户中心-个人中心-我的办件查询办事进度以及下载《门慢门特登记信息》。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r>
        <w:rPr>
          <w:rFonts w:hint="eastAsia" w:ascii="宋体" w:hAnsi="宋体" w:eastAsia="仿宋_GB2312" w:cs="Helvetica Neue"/>
          <w:color w:val="auto"/>
          <w:sz w:val="32"/>
          <w:szCs w:val="21"/>
          <w:lang w:val="en-US" w:eastAsia="zh-CN"/>
        </w:rPr>
        <w:drawing>
          <wp:anchor distT="0" distB="0" distL="114300" distR="114300" simplePos="0" relativeHeight="251660288" behindDoc="1" locked="0" layoutInCell="1" allowOverlap="1">
            <wp:simplePos x="0" y="0"/>
            <wp:positionH relativeFrom="column">
              <wp:posOffset>287020</wp:posOffset>
            </wp:positionH>
            <wp:positionV relativeFrom="paragraph">
              <wp:posOffset>34925</wp:posOffset>
            </wp:positionV>
            <wp:extent cx="4711700" cy="4244975"/>
            <wp:effectExtent l="0" t="0" r="12700" b="3175"/>
            <wp:wrapNone/>
            <wp:docPr id="16" name="图片 16" descr="1718179235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18179235370"/>
                    <pic:cNvPicPr>
                      <a:picLocks noChangeAspect="1"/>
                    </pic:cNvPicPr>
                  </pic:nvPicPr>
                  <pic:blipFill>
                    <a:blip r:embed="rId11"/>
                    <a:stretch>
                      <a:fillRect/>
                    </a:stretch>
                  </pic:blipFill>
                  <pic:spPr>
                    <a:xfrm>
                      <a:off x="0" y="0"/>
                      <a:ext cx="4711700" cy="424497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p>
    <w:p>
      <w:pPr>
        <w:spacing w:line="600" w:lineRule="exact"/>
        <w:rPr>
          <w:rFonts w:hint="eastAsia" w:ascii="黑体" w:hAnsi="黑体" w:eastAsia="黑体" w:cs="黑体"/>
          <w:color w:val="000000"/>
          <w:sz w:val="32"/>
          <w:szCs w:val="32"/>
          <w:highlight w:val="none"/>
          <w:lang w:eastAsia="zh-CN"/>
        </w:rPr>
      </w:pPr>
    </w:p>
    <w:p>
      <w:pPr>
        <w:spacing w:line="600" w:lineRule="exact"/>
        <w:rPr>
          <w:rFonts w:hint="eastAsia" w:ascii="黑体" w:hAnsi="黑体" w:eastAsia="黑体" w:cs="黑体"/>
          <w:color w:val="000000"/>
          <w:sz w:val="32"/>
          <w:szCs w:val="32"/>
          <w:highlight w:val="none"/>
          <w:lang w:eastAsia="zh-CN"/>
        </w:rPr>
      </w:pPr>
    </w:p>
    <w:p>
      <w:pPr>
        <w:spacing w:line="600" w:lineRule="exact"/>
        <w:rPr>
          <w:rFonts w:hint="eastAsia" w:ascii="黑体" w:hAnsi="黑体" w:eastAsia="黑体" w:cs="黑体"/>
          <w:color w:val="000000"/>
          <w:sz w:val="32"/>
          <w:szCs w:val="32"/>
          <w:highlight w:val="none"/>
          <w:lang w:eastAsia="zh-CN"/>
        </w:rPr>
      </w:pPr>
    </w:p>
    <w:p>
      <w:pPr>
        <w:spacing w:line="600" w:lineRule="exact"/>
        <w:rPr>
          <w:rFonts w:hint="eastAsia" w:ascii="黑体" w:hAnsi="黑体" w:eastAsia="黑体" w:cs="黑体"/>
          <w:color w:val="000000"/>
          <w:sz w:val="32"/>
          <w:szCs w:val="32"/>
          <w:highlight w:val="none"/>
          <w:lang w:eastAsia="zh-CN"/>
        </w:rPr>
      </w:pPr>
    </w:p>
    <w:p>
      <w:pPr>
        <w:spacing w:line="600" w:lineRule="exact"/>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附件</w:t>
      </w:r>
    </w:p>
    <w:p>
      <w:pPr>
        <w:spacing w:line="600" w:lineRule="exact"/>
        <w:rPr>
          <w:rFonts w:hint="eastAsia" w:ascii="Times New Roman" w:hAnsi="Times New Roman" w:eastAsia="仿宋_GB2312" w:cs="Times New Roman"/>
          <w:color w:val="000000"/>
          <w:sz w:val="32"/>
          <w:szCs w:val="32"/>
          <w:highlight w:val="none"/>
          <w:lang w:eastAsia="zh-CN"/>
        </w:rPr>
      </w:pPr>
    </w:p>
    <w:p>
      <w:pPr>
        <w:spacing w:line="600" w:lineRule="exact"/>
        <w:jc w:val="center"/>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sz w:val="44"/>
          <w:szCs w:val="44"/>
          <w:highlight w:val="none"/>
        </w:rPr>
        <w:t>东莞市基本医疗保险门诊特定病种目录</w:t>
      </w:r>
    </w:p>
    <w:p>
      <w:pPr>
        <w:spacing w:line="600" w:lineRule="exact"/>
        <w:rPr>
          <w:rFonts w:hint="eastAsia" w:ascii="Times New Roman" w:hAnsi="Times New Roman" w:eastAsia="仿宋_GB2312" w:cs="Times New Roman"/>
          <w:color w:val="000000"/>
          <w:sz w:val="32"/>
          <w:szCs w:val="32"/>
          <w:highlight w:val="none"/>
          <w:lang w:eastAsia="zh-CN"/>
        </w:rPr>
      </w:pPr>
    </w:p>
    <w:tbl>
      <w:tblPr>
        <w:tblStyle w:val="4"/>
        <w:tblW w:w="926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642"/>
        <w:gridCol w:w="3846"/>
        <w:gridCol w:w="975"/>
        <w:gridCol w:w="1020"/>
        <w:gridCol w:w="102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blHead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分类</w:t>
            </w:r>
          </w:p>
        </w:tc>
        <w:tc>
          <w:tcPr>
            <w:tcW w:w="6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8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病种名称</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有效期</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黑体" w:cs="Times New Roman"/>
                <w:i w:val="0"/>
                <w:color w:val="000000"/>
                <w:kern w:val="0"/>
                <w:sz w:val="24"/>
                <w:szCs w:val="24"/>
                <w:u w:val="none"/>
                <w:lang w:val="en-US" w:eastAsia="zh-CN" w:bidi="ar"/>
              </w:rPr>
            </w:pPr>
            <w:r>
              <w:rPr>
                <w:rFonts w:hint="eastAsia" w:ascii="Times New Roman" w:hAnsi="Times New Roman" w:eastAsia="黑体" w:cs="Times New Roman"/>
                <w:i w:val="0"/>
                <w:color w:val="000000"/>
                <w:kern w:val="0"/>
                <w:sz w:val="24"/>
                <w:szCs w:val="24"/>
                <w:u w:val="none"/>
                <w:lang w:val="en-US" w:eastAsia="zh-CN" w:bidi="ar"/>
              </w:rPr>
              <w:t>基本医疗费用</w:t>
            </w:r>
          </w:p>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年度最高支付限额</w:t>
            </w:r>
            <w:r>
              <w:rPr>
                <w:rFonts w:hint="eastAsia" w:ascii="Times New Roman" w:hAnsi="Times New Roman" w:eastAsia="黑体" w:cs="Times New Roman"/>
                <w:i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blHead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color w:val="000000"/>
                <w:sz w:val="24"/>
                <w:szCs w:val="24"/>
                <w:u w:val="none"/>
              </w:rPr>
            </w:pPr>
          </w:p>
        </w:tc>
        <w:tc>
          <w:tcPr>
            <w:tcW w:w="6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color w:val="000000"/>
                <w:sz w:val="24"/>
                <w:szCs w:val="24"/>
                <w:u w:val="none"/>
              </w:rPr>
            </w:pPr>
          </w:p>
        </w:tc>
        <w:tc>
          <w:tcPr>
            <w:tcW w:w="3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color w:val="000000"/>
                <w:sz w:val="24"/>
                <w:szCs w:val="24"/>
                <w:u w:val="none"/>
              </w:rPr>
            </w:pPr>
          </w:p>
        </w:tc>
        <w:tc>
          <w:tcPr>
            <w:tcW w:w="102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pacing w:val="-23"/>
                <w:kern w:val="0"/>
                <w:sz w:val="24"/>
                <w:szCs w:val="24"/>
                <w:u w:val="none"/>
                <w:lang w:val="en-US" w:eastAsia="zh-CN" w:bidi="ar"/>
              </w:rPr>
            </w:pPr>
            <w:r>
              <w:rPr>
                <w:rFonts w:hint="default" w:ascii="Times New Roman" w:hAnsi="Times New Roman" w:eastAsia="黑体" w:cs="Times New Roman"/>
                <w:i w:val="0"/>
                <w:color w:val="000000"/>
                <w:spacing w:val="-23"/>
                <w:kern w:val="0"/>
                <w:sz w:val="24"/>
                <w:szCs w:val="24"/>
                <w:u w:val="none"/>
                <w:lang w:val="en-US" w:eastAsia="zh-CN" w:bidi="ar"/>
              </w:rPr>
              <w:t>统账结合</w:t>
            </w:r>
          </w:p>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eastAsia" w:ascii="Times New Roman" w:hAnsi="Times New Roman" w:eastAsia="黑体" w:cs="Times New Roman"/>
                <w:i w:val="0"/>
                <w:color w:val="000000"/>
                <w:spacing w:val="-23"/>
                <w:kern w:val="0"/>
                <w:sz w:val="24"/>
                <w:szCs w:val="24"/>
                <w:u w:val="none"/>
                <w:lang w:val="en-US" w:eastAsia="zh-CN" w:bidi="ar"/>
              </w:rPr>
              <w:t>职工医保</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pacing w:val="-23"/>
                <w:kern w:val="0"/>
                <w:sz w:val="24"/>
                <w:szCs w:val="24"/>
                <w:u w:val="none"/>
                <w:lang w:val="en-US" w:eastAsia="zh-CN" w:bidi="ar"/>
              </w:rPr>
            </w:pPr>
            <w:r>
              <w:rPr>
                <w:rFonts w:hint="default" w:ascii="Times New Roman" w:hAnsi="Times New Roman" w:eastAsia="黑体" w:cs="Times New Roman"/>
                <w:i w:val="0"/>
                <w:color w:val="000000"/>
                <w:spacing w:val="-23"/>
                <w:kern w:val="0"/>
                <w:sz w:val="24"/>
                <w:szCs w:val="24"/>
                <w:u w:val="none"/>
                <w:lang w:val="en-US" w:eastAsia="zh-CN" w:bidi="ar"/>
              </w:rPr>
              <w:t>单建统筹</w:t>
            </w:r>
          </w:p>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eastAsia" w:ascii="Times New Roman" w:hAnsi="Times New Roman" w:eastAsia="黑体" w:cs="Times New Roman"/>
                <w:i w:val="0"/>
                <w:color w:val="000000"/>
                <w:spacing w:val="-23"/>
                <w:kern w:val="0"/>
                <w:sz w:val="24"/>
                <w:szCs w:val="24"/>
                <w:u w:val="none"/>
                <w:lang w:val="en-US" w:eastAsia="zh-CN" w:bidi="ar"/>
              </w:rPr>
              <w:t>职工医保</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spacing w:val="-23"/>
                <w:kern w:val="0"/>
                <w:sz w:val="24"/>
                <w:szCs w:val="24"/>
                <w:u w:val="none"/>
                <w:lang w:val="en-US" w:eastAsia="zh-CN" w:bidi="ar"/>
              </w:rPr>
              <w:t>居民医保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精神分裂症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分裂情感性障碍</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pacing w:val="-11"/>
                <w:kern w:val="0"/>
                <w:sz w:val="24"/>
                <w:szCs w:val="24"/>
                <w:u w:val="none"/>
                <w:lang w:val="en-US" w:eastAsia="zh-CN" w:bidi="ar"/>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持久的妄想性障碍（偏执性精神病）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pacing w:val="-11"/>
                <w:kern w:val="0"/>
                <w:sz w:val="24"/>
                <w:szCs w:val="24"/>
                <w:u w:val="none"/>
                <w:lang w:val="en-US" w:eastAsia="zh-CN" w:bidi="ar"/>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双相（情感）障碍</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pacing w:val="-11"/>
                <w:kern w:val="0"/>
                <w:sz w:val="24"/>
                <w:szCs w:val="24"/>
                <w:u w:val="none"/>
                <w:lang w:val="en-US" w:eastAsia="zh-CN" w:bidi="ar"/>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癫痫所致精神障碍</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pacing w:val="-11"/>
                <w:kern w:val="0"/>
                <w:sz w:val="24"/>
                <w:szCs w:val="24"/>
                <w:u w:val="none"/>
                <w:lang w:val="en-US" w:eastAsia="zh-CN" w:bidi="ar"/>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精神发育迟滞伴发精神障碍</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pacing w:val="-11"/>
                <w:kern w:val="0"/>
                <w:sz w:val="24"/>
                <w:szCs w:val="24"/>
                <w:u w:val="none"/>
                <w:lang w:val="en-US" w:eastAsia="zh-CN" w:bidi="ar"/>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慢性肾功能不全（血透治疗）</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pacing w:val="-11"/>
                <w:kern w:val="0"/>
                <w:sz w:val="24"/>
                <w:szCs w:val="24"/>
                <w:u w:val="none"/>
                <w:lang w:val="en-US" w:eastAsia="zh-CN" w:bidi="ar"/>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慢性肾功能不全（腹透治疗）</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pacing w:val="-11"/>
                <w:kern w:val="0"/>
                <w:sz w:val="24"/>
                <w:szCs w:val="24"/>
                <w:u w:val="none"/>
                <w:lang w:val="en-US" w:eastAsia="zh-CN" w:bidi="ar"/>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恶性肿瘤（化疗，含生物靶向药物、内分泌治疗）</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pacing w:val="-11"/>
                <w:kern w:val="0"/>
                <w:sz w:val="24"/>
                <w:szCs w:val="24"/>
                <w:u w:val="none"/>
                <w:lang w:val="en-US" w:eastAsia="zh-CN" w:bidi="ar"/>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恶性肿瘤（放疗）</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pacing w:val="-11"/>
                <w:kern w:val="0"/>
                <w:sz w:val="24"/>
                <w:szCs w:val="24"/>
                <w:u w:val="none"/>
                <w:lang w:val="en-US" w:eastAsia="zh-CN" w:bidi="ar"/>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慢性心功能不全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7500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肝硬化（失代偿期）</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丙型肝炎（HCV RNA阳性）</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6个月</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22000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慢性肾功能不全（非透析治疗）</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肾脏移植术后抗排异治疗</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101000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造血干细胞移植后抗排异治疗</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101000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类风湿关节炎</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恶性肿瘤（非放化疗）</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14500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地中海贫血（海洋性贫血或珠蛋白生成障碍性贫血）</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pacing w:val="-11"/>
                <w:kern w:val="0"/>
                <w:sz w:val="24"/>
                <w:szCs w:val="24"/>
                <w:u w:val="none"/>
                <w:lang w:val="en-US" w:eastAsia="zh-CN" w:bidi="ar"/>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再生障碍性贫血</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pacing w:val="-11"/>
                <w:kern w:val="0"/>
                <w:sz w:val="24"/>
                <w:szCs w:val="24"/>
                <w:u w:val="none"/>
                <w:lang w:val="en-US" w:eastAsia="zh-CN" w:bidi="ar"/>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血友病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帕金森病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癫痫</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8500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艾滋病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8000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活动性肺结核</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6000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耐多药肺结核</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68000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系统性红斑狼疮</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11500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心脏移植术后抗排异治疗</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101000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肝脏移植术后抗排异治疗</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101000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肺脏移植术后抗排异治疗</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101000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肺动脉高压</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101000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支气管哮喘</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7000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骨髓纤维化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骨髓增生异常综合症</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48000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C型尼曼匹克病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101000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肢端肥大症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98000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多发性硬化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119000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99000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强直性脊柱炎</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银屑病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14000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克罗恩病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7500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溃疡性结肠炎</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8000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湿性年龄相关性黄斑变性</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22000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糖尿病黄斑水肿</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22000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脉络膜新生血管</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22000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视网膜静脉阻塞所致黄斑水肿</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22000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新冠肺炎出院患者门诊康复治疗</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3个月</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pacing w:val="-11"/>
                <w:kern w:val="0"/>
                <w:sz w:val="24"/>
                <w:szCs w:val="24"/>
                <w:u w:val="none"/>
                <w:lang w:val="en-US" w:eastAsia="zh-CN" w:bidi="ar"/>
              </w:rPr>
              <w:t>参保期内年度最高支付限额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高危性心律失常</w:t>
            </w:r>
            <w:r>
              <w:rPr>
                <w:rFonts w:hint="eastAsia" w:ascii="宋体" w:hAnsi="宋体" w:eastAsia="宋体" w:cs="宋体"/>
                <w:i w:val="0"/>
                <w:color w:val="000000"/>
                <w:spacing w:val="-11"/>
                <w:kern w:val="0"/>
                <w:sz w:val="24"/>
                <w:szCs w:val="24"/>
                <w:u w:val="none"/>
                <w:lang w:val="en-US" w:eastAsia="zh-CN" w:bidi="ar"/>
              </w:rPr>
              <w:t>（病态窦房结综合征符合安装永久起博器指征而暂未安装者；第二度Ⅱ型及第三度房室阻滞）</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慢性化脓性骨髓炎</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5</w:t>
            </w:r>
            <w:r>
              <w:rPr>
                <w:rFonts w:hint="default" w:ascii="Times New Roman" w:hAnsi="Times New Roman" w:eastAsia="宋体" w:cs="Times New Roman"/>
                <w:i w:val="0"/>
                <w:color w:val="000000"/>
                <w:kern w:val="0"/>
                <w:sz w:val="24"/>
                <w:szCs w:val="24"/>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慢性阻塞性肺疾病</w:t>
            </w:r>
          </w:p>
        </w:tc>
        <w:tc>
          <w:tcPr>
            <w:tcW w:w="97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高血压病</w:t>
            </w:r>
          </w:p>
        </w:tc>
        <w:tc>
          <w:tcPr>
            <w:tcW w:w="97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冠心病</w:t>
            </w:r>
          </w:p>
        </w:tc>
        <w:tc>
          <w:tcPr>
            <w:tcW w:w="97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慢性乙型肝炎</w:t>
            </w:r>
          </w:p>
        </w:tc>
        <w:tc>
          <w:tcPr>
            <w:tcW w:w="97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糖尿病</w:t>
            </w:r>
          </w:p>
        </w:tc>
        <w:tc>
          <w:tcPr>
            <w:tcW w:w="97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脑血管疾病后遗症</w:t>
            </w:r>
          </w:p>
        </w:tc>
        <w:tc>
          <w:tcPr>
            <w:tcW w:w="97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具有假体心脏瓣膜</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三类</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慢性肾炎</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1年</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2" w:firstLineChars="200"/>
        <w:textAlignment w:val="auto"/>
        <w:rPr>
          <w:rFonts w:hint="eastAsia" w:ascii="宋体" w:hAnsi="宋体" w:eastAsia="仿宋_GB2312" w:cs="Helvetica Neue"/>
          <w:color w:val="auto"/>
          <w:sz w:val="32"/>
          <w:szCs w:val="21"/>
          <w:lang w:val="en-US" w:eastAsia="zh-CN"/>
        </w:rPr>
      </w:pPr>
      <w:r>
        <w:rPr>
          <w:rFonts w:hint="eastAsia" w:ascii="宋体" w:hAnsi="宋体" w:eastAsia="宋体" w:cs="宋体"/>
          <w:b/>
          <w:bCs/>
          <w:color w:val="000000"/>
          <w:sz w:val="24"/>
          <w:szCs w:val="24"/>
          <w:highlight w:val="none"/>
          <w:lang w:val="en-US" w:eastAsia="zh-CN"/>
        </w:rPr>
        <w:t>说明：</w:t>
      </w:r>
      <w:r>
        <w:rPr>
          <w:rFonts w:hint="eastAsia" w:ascii="宋体" w:hAnsi="宋体" w:cs="宋体"/>
          <w:color w:val="000000"/>
          <w:sz w:val="24"/>
          <w:szCs w:val="24"/>
          <w:highlight w:val="none"/>
          <w:lang w:val="en-US" w:eastAsia="zh-CN"/>
        </w:rPr>
        <w:t>本表的“统账结合职工医保”是指统账结合职工基本医疗保险，“单建统筹职工医保”是指单建统筹职工基本医疗保险，“居民医保”是指城乡居民基本医疗保险。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r>
        <w:rPr>
          <w:rFonts w:hint="eastAsia" w:ascii="宋体" w:hAnsi="宋体" w:eastAsia="仿宋_GB2312" w:cs="Helvetica Neue"/>
          <w:color w:val="auto"/>
          <w:sz w:val="32"/>
          <w:szCs w:val="21"/>
          <w:lang w:val="en-US" w:eastAsia="zh-CN"/>
        </w:rPr>
        <w:t>注意事项：</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r>
        <w:rPr>
          <w:rFonts w:hint="eastAsia" w:ascii="宋体" w:hAnsi="宋体" w:eastAsia="仿宋_GB2312" w:cs="Helvetica Neue"/>
          <w:color w:val="auto"/>
          <w:sz w:val="32"/>
          <w:szCs w:val="21"/>
          <w:lang w:val="en-US" w:eastAsia="zh-CN"/>
        </w:rPr>
        <w:t>门特认定上传至医保系统后，病种有效期内在选定机构发生的门特备案病种诊治相关的医疗费用方可享受医保待遇。</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default" w:ascii="宋体" w:hAnsi="宋体" w:eastAsia="仿宋_GB2312" w:cs="Helvetica Neue"/>
          <w:color w:val="auto"/>
          <w:sz w:val="32"/>
          <w:szCs w:val="21"/>
          <w:lang w:val="en-US" w:eastAsia="zh-CN"/>
        </w:rPr>
      </w:pPr>
      <w:r>
        <w:rPr>
          <w:rFonts w:hint="eastAsia" w:ascii="宋体" w:hAnsi="宋体" w:eastAsia="仿宋_GB2312" w:cs="Helvetica Neue"/>
          <w:color w:val="auto"/>
          <w:sz w:val="32"/>
          <w:szCs w:val="21"/>
          <w:lang w:val="en-US" w:eastAsia="zh-CN"/>
        </w:rPr>
        <w:t>门特</w:t>
      </w:r>
      <w:r>
        <w:rPr>
          <w:rFonts w:hint="default" w:ascii="宋体" w:hAnsi="宋体" w:eastAsia="仿宋_GB2312" w:cs="Helvetica Neue"/>
          <w:color w:val="auto"/>
          <w:sz w:val="32"/>
          <w:szCs w:val="21"/>
          <w:lang w:val="en-US" w:eastAsia="zh-CN"/>
        </w:rPr>
        <w:t>需外购药品的，参保人应按规定凭选定医疗机构外配处方在本市具备相应服务资格的定点零售药店购药，方可享受外配处方开具医疗机构的同等门特待遇。</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r>
        <w:rPr>
          <w:rFonts w:hint="eastAsia" w:ascii="宋体" w:hAnsi="宋体" w:eastAsia="仿宋_GB2312" w:cs="Helvetica Neue"/>
          <w:color w:val="auto"/>
          <w:sz w:val="32"/>
          <w:szCs w:val="21"/>
          <w:lang w:val="en-US" w:eastAsia="zh-CN"/>
        </w:rPr>
        <w:t>现场办理</w:t>
      </w:r>
      <w:r>
        <w:rPr>
          <w:rFonts w:hint="default" w:ascii="宋体" w:hAnsi="宋体" w:eastAsia="仿宋_GB2312" w:cs="Helvetica Neue"/>
          <w:color w:val="auto"/>
          <w:sz w:val="32"/>
          <w:szCs w:val="21"/>
          <w:lang w:val="en-US" w:eastAsia="zh-CN"/>
        </w:rPr>
        <w:t>一般当天办结并出具《门慢门特信息登记》，</w:t>
      </w:r>
      <w:r>
        <w:rPr>
          <w:rFonts w:hint="eastAsia" w:ascii="宋体" w:hAnsi="宋体" w:eastAsia="仿宋_GB2312" w:cs="Helvetica Neue"/>
          <w:color w:val="auto"/>
          <w:sz w:val="32"/>
          <w:szCs w:val="21"/>
          <w:lang w:val="en-US" w:eastAsia="zh-CN"/>
        </w:rPr>
        <w:t>通过广东政务服务网申请</w:t>
      </w:r>
      <w:r>
        <w:rPr>
          <w:rFonts w:hint="default" w:ascii="宋体" w:hAnsi="宋体" w:eastAsia="仿宋_GB2312" w:cs="Helvetica Neue"/>
          <w:color w:val="auto"/>
          <w:sz w:val="32"/>
          <w:szCs w:val="21"/>
          <w:lang w:val="en-US" w:eastAsia="zh-CN"/>
        </w:rPr>
        <w:t>3个工作日</w:t>
      </w:r>
      <w:r>
        <w:rPr>
          <w:rFonts w:hint="eastAsia" w:ascii="宋体" w:hAnsi="宋体" w:eastAsia="仿宋_GB2312" w:cs="Helvetica Neue"/>
          <w:color w:val="auto"/>
          <w:sz w:val="32"/>
          <w:szCs w:val="21"/>
          <w:lang w:val="en-US" w:eastAsia="zh-CN"/>
        </w:rPr>
        <w:t>内办结并出具</w:t>
      </w:r>
      <w:r>
        <w:rPr>
          <w:rFonts w:hint="default" w:ascii="宋体" w:hAnsi="宋体" w:eastAsia="仿宋_GB2312" w:cs="Helvetica Neue"/>
          <w:color w:val="auto"/>
          <w:sz w:val="32"/>
          <w:szCs w:val="21"/>
          <w:lang w:val="en-US" w:eastAsia="zh-CN"/>
        </w:rPr>
        <w:t>《门慢门特信息登记》。</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Helvetica Neue"/>
          <w:color w:val="auto"/>
          <w:sz w:val="32"/>
          <w:szCs w:val="21"/>
          <w:lang w:val="en-US" w:eastAsia="zh-CN"/>
        </w:rPr>
      </w:pPr>
      <w:r>
        <w:rPr>
          <w:rFonts w:hint="eastAsia" w:ascii="宋体" w:hAnsi="宋体" w:eastAsia="仿宋_GB2312" w:cs="Helvetica Neue"/>
          <w:color w:val="auto"/>
          <w:sz w:val="32"/>
          <w:szCs w:val="21"/>
          <w:lang w:val="en-US" w:eastAsia="zh-CN"/>
        </w:rPr>
        <w:t>异地就医备案参保人门诊特定病种待遇认定或续审时，可由医保经办机构“一站式”办理门特定点医疗机构选定。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康简标题宋">
    <w:panose1 w:val="02010609000101010101"/>
    <w:charset w:val="86"/>
    <w:family w:val="auto"/>
    <w:pitch w:val="default"/>
    <w:sig w:usb0="00000001"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73F09"/>
    <w:multiLevelType w:val="singleLevel"/>
    <w:tmpl w:val="C4473F09"/>
    <w:lvl w:ilvl="0" w:tentative="0">
      <w:start w:val="1"/>
      <w:numFmt w:val="chineseCounting"/>
      <w:suff w:val="nothing"/>
      <w:lvlText w:val="%1、"/>
      <w:lvlJc w:val="left"/>
      <w:pPr>
        <w:ind w:left="0" w:firstLine="420"/>
      </w:pPr>
      <w:rPr>
        <w:rFonts w:hint="eastAsia"/>
      </w:rPr>
    </w:lvl>
  </w:abstractNum>
  <w:abstractNum w:abstractNumId="1">
    <w:nsid w:val="10CE72DD"/>
    <w:multiLevelType w:val="singleLevel"/>
    <w:tmpl w:val="10CE72DD"/>
    <w:lvl w:ilvl="0" w:tentative="0">
      <w:start w:val="1"/>
      <w:numFmt w:val="decimal"/>
      <w:suff w:val="nothing"/>
      <w:lvlText w:val="%1、"/>
      <w:lvlJc w:val="left"/>
    </w:lvl>
  </w:abstractNum>
  <w:abstractNum w:abstractNumId="2">
    <w:nsid w:val="12C38554"/>
    <w:multiLevelType w:val="singleLevel"/>
    <w:tmpl w:val="12C38554"/>
    <w:lvl w:ilvl="0" w:tentative="0">
      <w:start w:val="1"/>
      <w:numFmt w:val="chineseCounting"/>
      <w:suff w:val="nothing"/>
      <w:lvlText w:val="（%1）"/>
      <w:lvlJc w:val="left"/>
      <w:rPr>
        <w:rFonts w:hint="eastAsia"/>
      </w:rPr>
    </w:lvl>
  </w:abstractNum>
  <w:abstractNum w:abstractNumId="3">
    <w:nsid w:val="46894A90"/>
    <w:multiLevelType w:val="singleLevel"/>
    <w:tmpl w:val="46894A90"/>
    <w:lvl w:ilvl="0" w:tentative="0">
      <w:start w:val="1"/>
      <w:numFmt w:val="chineseCounting"/>
      <w:suff w:val="nothing"/>
      <w:lvlText w:val="（%1）"/>
      <w:lvlJc w:val="left"/>
      <w:rPr>
        <w:rFonts w:hint="eastAsia"/>
      </w:rPr>
    </w:lvl>
  </w:abstractNum>
  <w:abstractNum w:abstractNumId="4">
    <w:nsid w:val="55BC8350"/>
    <w:multiLevelType w:val="singleLevel"/>
    <w:tmpl w:val="55BC8350"/>
    <w:lvl w:ilvl="0" w:tentative="0">
      <w:start w:val="1"/>
      <w:numFmt w:val="decimal"/>
      <w:suff w:val="nothing"/>
      <w:lvlText w:val="%1、"/>
      <w:lvlJc w:val="left"/>
      <w:pPr>
        <w:ind w:left="-1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YTA2ZjU1OWYwMzQ3MmFiMDg4ZmEzMGFhOWU5NWMifQ=="/>
  </w:docVars>
  <w:rsids>
    <w:rsidRoot w:val="7E1C759E"/>
    <w:rsid w:val="02801EA1"/>
    <w:rsid w:val="02B90471"/>
    <w:rsid w:val="089D62AA"/>
    <w:rsid w:val="09D00C0C"/>
    <w:rsid w:val="12240253"/>
    <w:rsid w:val="12775859"/>
    <w:rsid w:val="1A5F4012"/>
    <w:rsid w:val="218819DE"/>
    <w:rsid w:val="24725337"/>
    <w:rsid w:val="274A1BA6"/>
    <w:rsid w:val="2B2B3CDA"/>
    <w:rsid w:val="2CBB2C63"/>
    <w:rsid w:val="2D1B4208"/>
    <w:rsid w:val="32897A26"/>
    <w:rsid w:val="351D2CE2"/>
    <w:rsid w:val="39C72DB1"/>
    <w:rsid w:val="3CB92186"/>
    <w:rsid w:val="3FD60023"/>
    <w:rsid w:val="42F116FD"/>
    <w:rsid w:val="43B71D1E"/>
    <w:rsid w:val="44FA6562"/>
    <w:rsid w:val="465D48C9"/>
    <w:rsid w:val="46D232FC"/>
    <w:rsid w:val="494D78EA"/>
    <w:rsid w:val="4CA41A64"/>
    <w:rsid w:val="517B32BB"/>
    <w:rsid w:val="51EE6472"/>
    <w:rsid w:val="54F70F5A"/>
    <w:rsid w:val="56BC156B"/>
    <w:rsid w:val="5A063D81"/>
    <w:rsid w:val="5C975405"/>
    <w:rsid w:val="5D21023D"/>
    <w:rsid w:val="640B5C3E"/>
    <w:rsid w:val="673456A4"/>
    <w:rsid w:val="67BE28AC"/>
    <w:rsid w:val="69583722"/>
    <w:rsid w:val="6AAE12C2"/>
    <w:rsid w:val="742A467F"/>
    <w:rsid w:val="749B49F8"/>
    <w:rsid w:val="74A54EB9"/>
    <w:rsid w:val="791C45F4"/>
    <w:rsid w:val="7E1C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2685</Words>
  <Characters>3349</Characters>
  <Lines>0</Lines>
  <Paragraphs>0</Paragraphs>
  <TotalTime>46</TotalTime>
  <ScaleCrop>false</ScaleCrop>
  <LinksUpToDate>false</LinksUpToDate>
  <CharactersWithSpaces>3354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2024-06-12T03:04:00Z</dcterms:created>
  <dc:creator>周先进</dc:creator>
  <cp:lastModifiedBy>周先进</cp:lastModifiedBy>
  <dcterms:modified xsi:type="dcterms:W3CDTF">2025-10-28T07:34:46Z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9763B67985024B04A30AD37AAA35948B_11</vt:lpwstr>
  </property>
</Properties>
</file>