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441900030-2025-00575</w:t>
      </w:r>
    </w:p>
    <w:p>
      <w:pPr>
        <w:pStyle w:val="null3"/>
        <w:jc w:val="center"/>
        <w:outlineLvl w:val="3"/>
      </w:pPr>
      <w:r>
        <w:rPr>
          <w:sz w:val="24"/>
          <w:b/>
        </w:rPr>
        <w:t>采购项目编号：</w:t>
      </w:r>
      <w:r>
        <w:rPr>
          <w:sz w:val="24"/>
          <w:b/>
        </w:rPr>
        <w:t>441900030-2025-00575</w:t>
      </w:r>
    </w:p>
    <w:p>
      <w:pPr>
        <w:pStyle w:val="null3"/>
        <w:jc w:val="center"/>
        <w:outlineLvl w:val="3"/>
      </w:pPr>
      <w:r>
        <w:rPr>
          <w:sz w:val="24"/>
          <w:b/>
        </w:rPr>
        <w:t>项目名称：</w:t>
      </w:r>
      <w:r>
        <w:rPr>
          <w:sz w:val="24"/>
          <w:b/>
        </w:rPr>
        <w:t>沙田镇道路交通标线修复完善工程</w:t>
      </w:r>
    </w:p>
    <w:p>
      <w:pPr>
        <w:pStyle w:val="null3"/>
        <w:jc w:val="center"/>
        <w:outlineLvl w:val="3"/>
      </w:pPr>
      <w:r>
        <w:rPr>
          <w:sz w:val="24"/>
          <w:b/>
        </w:rPr>
        <w:t>采购人：</w:t>
      </w:r>
      <w:r>
        <w:rPr>
          <w:sz w:val="24"/>
          <w:b/>
        </w:rPr>
        <w:t>东莞市交通运输局沙田分局</w:t>
      </w:r>
    </w:p>
    <w:p>
      <w:pPr>
        <w:pStyle w:val="null3"/>
        <w:jc w:val="center"/>
        <w:outlineLvl w:val="3"/>
      </w:pPr>
      <w:r>
        <w:rPr>
          <w:sz w:val="24"/>
          <w:b/>
        </w:rPr>
        <w:t>采购代理机构：</w:t>
      </w:r>
      <w:r>
        <w:rPr>
          <w:sz w:val="24"/>
          <w:b/>
        </w:rPr>
        <w:t>广东达信工程管理有限公司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广东达信工程管理有限公司</w:t>
      </w:r>
      <w:r>
        <w:rPr/>
        <w:t>受</w:t>
      </w:r>
      <w:r>
        <w:rPr/>
        <w:t>东莞市交通运输局沙田分局</w:t>
      </w:r>
      <w:r>
        <w:rPr/>
        <w:t>的委托，采用</w:t>
      </w:r>
      <w:r>
        <w:rPr/>
        <w:t>竞争性磋商</w:t>
      </w:r>
      <w:r>
        <w:rPr/>
        <w:t>方式组织采购</w:t>
      </w:r>
      <w:r>
        <w:rPr/>
        <w:t>沙田镇道路交通标线修复完善工程</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沙田镇道路交通标线修复完善工程</w:t>
      </w:r>
    </w:p>
    <w:p>
      <w:pPr>
        <w:pStyle w:val="null3"/>
        <w:ind w:firstLine="480"/>
      </w:pPr>
      <w:r>
        <w:rPr/>
        <w:t>采购计划编号：</w:t>
      </w:r>
      <w:r>
        <w:rPr/>
        <w:t>441900030-2025-00575</w:t>
      </w:r>
    </w:p>
    <w:p>
      <w:pPr>
        <w:pStyle w:val="null3"/>
        <w:ind w:firstLine="480"/>
      </w:pPr>
      <w:r>
        <w:rPr/>
        <w:t>采购项目编号：</w:t>
      </w:r>
      <w:r>
        <w:rPr/>
        <w:t>441900030-2025-00575</w:t>
      </w:r>
    </w:p>
    <w:p>
      <w:pPr>
        <w:pStyle w:val="null3"/>
        <w:ind w:firstLine="480"/>
      </w:pPr>
      <w:r>
        <w:rPr/>
        <w:t>采购方式：</w:t>
      </w:r>
      <w:r>
        <w:rPr/>
        <w:t>竞争性磋商</w:t>
      </w:r>
    </w:p>
    <w:p>
      <w:pPr>
        <w:pStyle w:val="null3"/>
        <w:ind w:firstLine="480"/>
      </w:pPr>
      <w:r>
        <w:rPr/>
        <w:t>预算金额：</w:t>
      </w:r>
      <w:r>
        <w:rPr/>
        <w:t>1,527,256.13</w:t>
      </w:r>
      <w:r>
        <w:rPr/>
        <w:t>元</w:t>
      </w:r>
    </w:p>
    <w:p>
      <w:pPr>
        <w:pStyle w:val="null3"/>
        <w:outlineLvl w:val="3"/>
      </w:pPr>
      <w:r>
        <w:rPr>
          <w:sz w:val="24"/>
          <w:b/>
        </w:rPr>
        <w:t>2.项目内容及需求情况（采购项目技术规格、参数及要求）</w:t>
      </w:r>
    </w:p>
    <w:p>
      <w:pPr>
        <w:pStyle w:val="null3"/>
      </w:pPr>
      <w:r>
        <w:rPr/>
        <w:t>采购包1(沙田镇道路交通标线修复完善工程):</w:t>
      </w:r>
    </w:p>
    <w:p>
      <w:pPr>
        <w:pStyle w:val="null3"/>
      </w:pPr>
      <w:r>
        <w:rPr/>
        <w:t>采购包预算金额：1,527,256.13元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城市道路工程施工</w:t>
            </w:r>
          </w:p>
        </w:tc>
        <w:tc>
          <w:tcPr>
            <w:tcW w:type="dxa" w:w="2136"/>
          </w:tcPr>
          <w:p>
            <w:pPr>
              <w:pStyle w:val="null3"/>
            </w:pPr>
            <w:r>
              <w:rPr/>
              <w:t>沙田镇道路交通标线修复完善工程</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合同履行期限：详见“标的提供的时间”</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供应商必须是具有独立承担民事责任能力的法人或其他组织，响应文件中须提供法人或其他组织的营业执照等证明文件的复印件。分支机构参与响应的，须提供总公司和分公司营业执照副本复印件，总公司出具给分支机构的授权书。</w:t>
      </w:r>
    </w:p>
    <w:p>
      <w:pPr>
        <w:pStyle w:val="null3"/>
      </w:pPr>
      <w:r>
        <w:rPr/>
        <w:t>2）有依法缴纳税收和社会保障资金的良好记录：提供响应截止日前6个月内任意1个月依法缴纳税收和社会保障资金的相关材料。如依法免税或不需要缴纳社会保障资金的，须提供相应证明材料。或响应文件中提供《资格条件承诺函》。</w:t>
      </w:r>
    </w:p>
    <w:p>
      <w:pPr>
        <w:pStyle w:val="null3"/>
      </w:pPr>
      <w:r>
        <w:rPr/>
        <w:t>3）具有良好的商业信誉和健全的财务会计制度：提供磋商截止日前3年内任意1年的财务状况报告或提供基本开户行出具的资信证明。或响应文件中提供《资格条件承诺函》。</w:t>
      </w:r>
    </w:p>
    <w:p>
      <w:pPr>
        <w:pStyle w:val="null3"/>
      </w:pPr>
      <w:r>
        <w:rPr/>
        <w:t>4）履行合同所必需的设备和专业技术能力：按响应文件格式填报设备及专业技术能力情况。或响应文件中提供《资格条件承诺函》。</w:t>
      </w:r>
    </w:p>
    <w:p>
      <w:pPr>
        <w:pStyle w:val="null3"/>
      </w:pPr>
      <w:r>
        <w:rPr/>
        <w:t>5）参加采购活动前3年内，在经营活动中没有重大违法记录：响应文件中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采购包1（沙田镇道路交通标线修复完善工程）：</w:t>
      </w:r>
      <w:r>
        <w:rPr/>
        <w:t>采购包整体专门面向中小企业，全部服务的承接方应为中小微企业、监狱企业或残疾人福利性单位【依据《中小企业声明函》或由省级以上监狱管理局、戒毒管理局(含新疆生产建设兵团)出具的承接方属于监狱企业的证明文件或承接方的《残疾人福利性单位声明函》】。</w:t>
      </w:r>
    </w:p>
    <w:p>
      <w:pPr>
        <w:pStyle w:val="null3"/>
        <w:outlineLvl w:val="3"/>
      </w:pPr>
      <w:r>
        <w:rPr>
          <w:sz w:val="24"/>
          <w:b/>
        </w:rPr>
        <w:t>3.本项目特定的资格要求：</w:t>
      </w:r>
    </w:p>
    <w:p>
      <w:pPr>
        <w:pStyle w:val="null3"/>
      </w:pPr>
      <w:r>
        <w:rPr/>
        <w:t>采购包1（沙田镇道路交通标线修复完善工程）：</w:t>
      </w:r>
    </w:p>
    <w:p>
      <w:pPr>
        <w:pStyle w:val="null3"/>
      </w:pPr>
      <w:r>
        <w:rPr/>
        <w:t>1)供应商未被列入“信用中国”网站(www.creditchina.gov.cn)“记录失信被执行人或重大税收违法失信主体或严重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3)①供应商须具有由国家建设主管部门颁发的并在有效期内的市政公用工程总承包三级或以上资质。（须提供证书复印件，并加盖供应商公章。） ②供应商须具有建设行政主管部门颁发并在有效期内的《安全生产许可证》。（须提供证书复印件，并加盖供应商公章。）</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中国东莞沙田频道网站(http://www.dg.gov.cn/shatian/)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东莞市交通运输局沙田分局</w:t>
      </w:r>
    </w:p>
    <w:p>
      <w:pPr>
        <w:pStyle w:val="null3"/>
        <w:ind w:firstLine="480"/>
      </w:pPr>
      <w:r>
        <w:rPr/>
        <w:t>地址：</w:t>
      </w:r>
      <w:r>
        <w:rPr/>
        <w:t>东莞市沙田镇沙田大道92号</w:t>
      </w:r>
    </w:p>
    <w:p>
      <w:pPr>
        <w:pStyle w:val="null3"/>
        <w:ind w:firstLine="480"/>
      </w:pPr>
      <w:r>
        <w:rPr/>
        <w:t>联系方式：</w:t>
      </w:r>
      <w:r>
        <w:rPr/>
        <w:t>0769-88687278</w:t>
      </w:r>
    </w:p>
    <w:p>
      <w:pPr>
        <w:pStyle w:val="null3"/>
        <w:outlineLvl w:val="3"/>
      </w:pPr>
      <w:r>
        <w:rPr>
          <w:sz w:val="24"/>
          <w:b/>
        </w:rPr>
        <w:t>2.采购代理机构信息</w:t>
      </w:r>
    </w:p>
    <w:p>
      <w:pPr>
        <w:pStyle w:val="null3"/>
        <w:ind w:firstLine="480"/>
      </w:pPr>
      <w:r>
        <w:rPr/>
        <w:t>名称：</w:t>
      </w:r>
      <w:r>
        <w:rPr/>
        <w:t>广东达信工程管理有限公司</w:t>
      </w:r>
    </w:p>
    <w:p>
      <w:pPr>
        <w:pStyle w:val="null3"/>
        <w:ind w:firstLine="480"/>
      </w:pPr>
      <w:r>
        <w:rPr/>
        <w:t xml:space="preserve"> 地址：</w:t>
      </w:r>
      <w:r>
        <w:rPr/>
        <w:t>东莞市莞城街道东城路莞城段33号方中金澳花园A座六楼623室</w:t>
      </w:r>
    </w:p>
    <w:p>
      <w:pPr>
        <w:pStyle w:val="null3"/>
        <w:ind w:firstLine="480"/>
      </w:pPr>
      <w:r>
        <w:rPr/>
        <w:t xml:space="preserve"> 联系方式：</w:t>
      </w:r>
      <w:r>
        <w:rPr/>
        <w:t>0769-89801001</w:t>
      </w:r>
    </w:p>
    <w:p>
      <w:pPr>
        <w:pStyle w:val="null3"/>
        <w:outlineLvl w:val="3"/>
      </w:pPr>
      <w:r>
        <w:rPr>
          <w:sz w:val="24"/>
          <w:b/>
        </w:rPr>
        <w:t xml:space="preserve"> 3.项目联系方式</w:t>
      </w:r>
    </w:p>
    <w:p>
      <w:pPr>
        <w:pStyle w:val="null3"/>
        <w:ind w:firstLine="480"/>
      </w:pPr>
      <w:r>
        <w:rPr/>
        <w:t xml:space="preserve"> 项目联系人：</w:t>
      </w:r>
      <w:r>
        <w:rPr/>
        <w:t>胡工</w:t>
      </w:r>
    </w:p>
    <w:p>
      <w:pPr>
        <w:pStyle w:val="null3"/>
        <w:ind w:firstLine="480"/>
      </w:pPr>
      <w:r>
        <w:rPr/>
        <w:t xml:space="preserve"> 电话：</w:t>
      </w:r>
      <w:r>
        <w:rPr/>
        <w:t>0769-89801001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广东达信工程管理有限公司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1、项目概况：</w:t>
      </w:r>
      <w:r>
        <w:rPr>
          <w:sz w:val="21"/>
        </w:rPr>
        <w:t>沙田镇道路交通标线修复完善工程</w:t>
      </w:r>
    </w:p>
    <w:p>
      <w:pPr>
        <w:pStyle w:val="null3"/>
        <w:ind w:firstLine="420"/>
        <w:jc w:val="both"/>
      </w:pPr>
      <w:r>
        <w:rPr>
          <w:sz w:val="21"/>
        </w:rPr>
        <w:t>2、建设地点：</w:t>
      </w:r>
      <w:r>
        <w:rPr>
          <w:sz w:val="21"/>
        </w:rPr>
        <w:t>东莞市沙田镇或</w:t>
      </w:r>
      <w:r>
        <w:rPr>
          <w:sz w:val="21"/>
        </w:rPr>
        <w:t>采购人指定地点</w:t>
      </w:r>
    </w:p>
    <w:p>
      <w:pPr>
        <w:pStyle w:val="null3"/>
        <w:ind w:firstLine="420"/>
        <w:jc w:val="both"/>
      </w:pPr>
      <w:r>
        <w:rPr>
          <w:sz w:val="21"/>
        </w:rPr>
        <w:t>3、工程范围：成交供应商须完成施工图纸及工程量清单所含全部内容，并须满足设计文件要求。</w:t>
      </w:r>
    </w:p>
    <w:p>
      <w:pPr>
        <w:pStyle w:val="null3"/>
        <w:ind w:firstLine="420"/>
        <w:jc w:val="both"/>
      </w:pPr>
      <w:r>
        <w:rPr>
          <w:sz w:val="21"/>
        </w:rPr>
        <w:t>4、供应商被确定为成交供应商后，未经采购人同意，成交供应商不得再以任何方式转包或分包本项目。如成交供应商出现有转包行为，或有严重的质量问题并经警告也未能返工合格的，或有破坏生产行为的，采购人有权终止合同并由成交供应商承担违约责任。</w:t>
      </w:r>
    </w:p>
    <w:p>
      <w:pPr>
        <w:pStyle w:val="null3"/>
      </w:pPr>
      <w:r>
        <w:rPr/>
        <w:t>采购包1（沙田镇道路交通标线修复完善工程）</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（1）完工期：60个日历天内完成施工。（开工日期以采购人发出的开工通知载明的日期起算）。</w:t>
            </w:r>
          </w:p>
        </w:tc>
      </w:tr>
      <w:tr>
        <w:tc>
          <w:tcPr>
            <w:tcW w:type="dxa" w:w="4153"/>
          </w:tcPr>
          <w:p>
            <w:pPr>
              <w:pStyle w:val="null3"/>
            </w:pPr>
            <w:r>
              <w:rPr/>
              <w:t>标的提供的地点</w:t>
            </w:r>
          </w:p>
        </w:tc>
        <w:tc>
          <w:tcPr>
            <w:tcW w:type="dxa" w:w="4153"/>
          </w:tcPr>
          <w:p>
            <w:pPr>
              <w:pStyle w:val="null3"/>
            </w:pPr>
            <w:r>
              <w:rPr/>
              <w:t>采购人指定的地点。</w:t>
            </w:r>
          </w:p>
        </w:tc>
      </w:tr>
      <w:tr>
        <w:tc>
          <w:tcPr>
            <w:tcW w:type="dxa" w:w="4153"/>
          </w:tcPr>
          <w:p>
            <w:pPr>
              <w:pStyle w:val="null3"/>
            </w:pPr>
            <w:r>
              <w:rPr/>
              <w:t>付款方式</w:t>
            </w:r>
          </w:p>
        </w:tc>
        <w:tc>
          <w:tcPr>
            <w:tcW w:type="dxa" w:w="4153"/>
          </w:tcPr>
          <w:p>
            <w:pPr>
              <w:pStyle w:val="null3"/>
            </w:pPr>
            <w:r>
              <w:rPr/>
              <w:t>1期：支付比例100%,第1期为(付款方式)：支付比例100%，（1）合同签订后，采购人向成交供应商支付合同价20%作为工程预付款。 （2）按月工程进度付进度款的80%，采购人收到成交供应商工程款申请及经有关部门核实工程量后30个工作日内支付。 （3）工程款支付达合同价80%时不再按进度付款；工程结算完毕后，提交请款报告30个工作日内付至结算价的97%，剩余3%工程款作为工程质量保证金。（4）支付比例3%,待工程项目缺陷责任期结束后，采购人自收到发票30个工作日内向成交供应商支付剩余款项。 （5）本工程中的变更调整的合同价款及其他条款中约定的追加合同价款，其中减少工程的工程款在支付工程进度款前先行扣减；所有调整合同价款中属增加工程部分的，在工程竣工结算时支付。 （6）上述工程款（含增加工程款）的剩余部分在质量缺陷责任（贰年）期满，提交请款报告30个工作日内付清。 （7）成交供应商必须保质保量的完成保修范围内的工程保修，否则采购人有权扣除相应部分的保修金。 说明：付款前成交供应商应向采购人提出请款申请及所需的材料和等额合法发票，且发票名称必需与成交供应商完全一致。如因成交供应商怠于或者拒绝提供资料或者办理手续等成交供应商原因以及采购人财政审核原因导致的付款迟延，不以违约论，成交供应商不得以此为由暂停施工</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1期：1、验收应在采购人和成交人双方共同参加下进行。 2、按照国家颁布的现行相关行业规定标准进行验收，如验收不合格的必须返工，返工费由成交人负责。 3、各项技术经济指标先进，应结合当前的施工技术水平，建设方案，具有可实施性。 4、按照工程规划要点和工程建设的要求，在满足主要功能的前提下，应优先采用科学、先进的设计理念和方法。 5、当施工效果无法达到采购人的要求时，采购人可拒绝验收，由此造成的损失全部由成交人承担。 6、所有验收文件，测试报告，资料要提交给采购人以作留档备案。 7、成交人若违反相关规定，发生重大安全事故的，采购人有权单方终止合同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本采购项目为总价承包项目，包括设计图纸和工程量清单所发生的人工费、材料费、机械费、管理费、利润、项目措施费、规费、税金、配合费、预留金以及施工合同包含的所有风险、责任等各项完成本项目所需的全部费用。（2）报价以人民币报价。（3）合同条款：供应商实质响应合同条款</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★（1）最高限价：¥ 1,527,256.13元（其中绿色施工安全防护措施单列费为¥94,586.90元，按相关规定属于不可竞争费用，计价时应不得更改该金额。</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工程量报价清单</w:t>
            </w:r>
          </w:p>
        </w:tc>
        <w:tc>
          <w:tcPr>
            <w:tcW w:type="dxa" w:w="2076"/>
          </w:tcPr>
          <w:p>
            <w:pPr>
              <w:pStyle w:val="null3"/>
              <w:jc w:val="left"/>
            </w:pPr>
            <w:r>
              <w:rPr/>
              <w:t>1、成交供应商中标后须按总价不变的原则编制《工程量清单报价表》，成交后合同工程量清单综合单价按成交下浮率统一下浮，其中绿色施工安全防护措施费不可竞争，不做下浮。注：成交下浮率 = 100%*(预算金额(不含绿色施工安全防护措施费)-成交报价)/预算金额(不含绿色施工安全防护措施费) 2、在发出成交通知书前，采购人可对成交供应商的已标价工程量清单进行审查，并按总价不变的原则，对已标价工程量清单的算术性错误及严重不平衡报价进行修正、调整，调整后的工程量清单经双方确认后，作为合同文件的组成部分，如果成交供应商拒绝修正、调整的要求，将被认为放弃中标资格。</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项目缺陷责任期</w:t>
            </w:r>
          </w:p>
        </w:tc>
        <w:tc>
          <w:tcPr>
            <w:tcW w:type="dxa" w:w="2076"/>
          </w:tcPr>
          <w:p>
            <w:pPr>
              <w:pStyle w:val="null3"/>
              <w:jc w:val="left"/>
            </w:pPr>
            <w:r>
              <w:rPr/>
              <w:t>自工程竣工验收合格之日起2年，具体按合同相应条款要求执行，项目缺陷责任期内所产生的由于质量原因的维修费用由成交供应商承担。</w:t>
            </w:r>
          </w:p>
        </w:tc>
      </w:tr>
      <w:tr>
        <w:tc>
          <w:tcPr>
            <w:tcW w:type="dxa" w:w="2076"/>
          </w:tcPr>
          <w:p/>
        </w:tc>
        <w:tc>
          <w:tcPr>
            <w:tcW w:type="dxa" w:w="2076"/>
          </w:tcPr>
          <w:p>
            <w:pPr>
              <w:pStyle w:val="null3"/>
              <w:jc w:val="center"/>
            </w:pPr>
            <w:r>
              <w:rPr/>
              <w:t>4</w:t>
            </w:r>
          </w:p>
        </w:tc>
        <w:tc>
          <w:tcPr>
            <w:tcW w:type="dxa" w:w="2076"/>
          </w:tcPr>
          <w:p>
            <w:pPr>
              <w:pStyle w:val="null3"/>
              <w:jc w:val="left"/>
            </w:pPr>
            <w:r>
              <w:rPr/>
              <w:t>合同条款</w:t>
            </w:r>
          </w:p>
        </w:tc>
        <w:tc>
          <w:tcPr>
            <w:tcW w:type="dxa" w:w="2076"/>
          </w:tcPr>
          <w:p>
            <w:pPr>
              <w:pStyle w:val="null3"/>
              <w:jc w:val="left"/>
            </w:pPr>
            <w:r>
              <w:rPr/>
              <w:t>供应商实质响应合同各条款。</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城市道路工程施工</w:t>
            </w:r>
          </w:p>
        </w:tc>
        <w:tc>
          <w:tcPr>
            <w:tcW w:type="dxa" w:w="933"/>
          </w:tcPr>
          <w:p>
            <w:pPr>
              <w:pStyle w:val="null3"/>
              <w:jc w:val="left"/>
            </w:pPr>
            <w:r>
              <w:rPr/>
              <w:t>沙田镇道路交通标线修复完善工程</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1,527,256.13</w:t>
            </w:r>
          </w:p>
        </w:tc>
        <w:tc>
          <w:tcPr>
            <w:tcW w:type="dxa" w:w="933"/>
          </w:tcPr>
          <w:p>
            <w:pPr>
              <w:pStyle w:val="null3"/>
              <w:jc w:val="right"/>
            </w:pPr>
            <w:r>
              <w:rPr/>
              <w:t>1,527,256.13</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沙田镇道路交通标线修复完善工程</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一、设计图纸及工程量清单</w:t>
            </w:r>
          </w:p>
          <w:p>
            <w:pPr>
              <w:pStyle w:val="null3"/>
              <w:ind w:firstLine="440"/>
              <w:jc w:val="both"/>
            </w:pPr>
            <w:r>
              <w:rPr>
                <w:sz w:val="21"/>
              </w:rPr>
              <w:t>供应商请自行在磋商公告附件中下载设计图纸，供应商应按照施工图纸进行施工，确保达到设计方案中工程用料及效果，如清单与施工图纸不符，应以施工图纸为准。</w:t>
            </w:r>
          </w:p>
          <w:p>
            <w:pPr>
              <w:pStyle w:val="null3"/>
              <w:jc w:val="both"/>
            </w:pPr>
            <w:r>
              <w:rPr>
                <w:sz w:val="21"/>
                <w:b/>
              </w:rPr>
              <w:t>1、</w:t>
            </w:r>
            <w:r>
              <w:rPr>
                <w:sz w:val="21"/>
                <w:b/>
              </w:rPr>
              <w:t>工程量清单</w:t>
            </w:r>
          </w:p>
          <w:tbl>
            <w:tblPr>
              <w:tblBorders>
                <w:top w:val="none" w:color="000000" w:sz="4"/>
                <w:left w:val="none" w:color="000000" w:sz="4"/>
                <w:bottom w:val="none" w:color="000000" w:sz="4"/>
                <w:right w:val="none" w:color="000000" w:sz="4"/>
                <w:insideH w:val="none"/>
                <w:insideV w:val="none"/>
              </w:tblBorders>
            </w:tblPr>
            <w:tblGrid>
              <w:gridCol w:w="508"/>
              <w:gridCol w:w="839"/>
              <w:gridCol w:w="2903"/>
              <w:gridCol w:w="508"/>
              <w:gridCol w:w="839"/>
            </w:tblGrid>
            <w:tr>
              <w:tc>
                <w:tcPr>
                  <w:tcW w:type="dxa" w:w="508"/>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839"/>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项目名称</w:t>
                  </w:r>
                </w:p>
              </w:tc>
              <w:tc>
                <w:tcPr>
                  <w:tcW w:type="dxa" w:w="2903"/>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项目特征描述</w:t>
                  </w:r>
                </w:p>
              </w:tc>
              <w:tc>
                <w:tcPr>
                  <w:tcW w:type="dxa" w:w="508"/>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计量</w:t>
                  </w:r>
                  <w:r>
                    <w:br/>
                  </w:r>
                  <w:r>
                    <w:rPr>
                      <w:sz w:val="21"/>
                    </w:rPr>
                    <w:t>单位</w:t>
                  </w:r>
                </w:p>
              </w:tc>
              <w:tc>
                <w:tcPr>
                  <w:tcW w:type="dxa" w:w="839"/>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工程数量</w:t>
                  </w:r>
                </w:p>
              </w:tc>
            </w:tr>
            <w:tr>
              <w:tc>
                <w:tcPr>
                  <w:tcW w:type="dxa" w:w="508"/>
                  <w:vMerge/>
                  <w:tcBorders>
                    <w:top w:val="single" w:color="000000" w:sz="4"/>
                    <w:left w:val="single" w:color="000000" w:sz="4"/>
                    <w:bottom w:val="single" w:color="000000" w:sz="4"/>
                    <w:right w:val="single" w:color="000000" w:sz="4"/>
                  </w:tcBorders>
                </w:tcPr>
                <w:p/>
              </w:tc>
              <w:tc>
                <w:tcPr>
                  <w:tcW w:type="dxa" w:w="839"/>
                  <w:vMerge/>
                  <w:tcBorders>
                    <w:top w:val="single" w:color="000000" w:sz="4"/>
                    <w:left w:val="none" w:color="000000" w:sz="4"/>
                    <w:bottom w:val="single" w:color="000000" w:sz="4"/>
                    <w:right w:val="single" w:color="000000" w:sz="4"/>
                  </w:tcBorders>
                </w:tcPr>
                <w:p/>
              </w:tc>
              <w:tc>
                <w:tcPr>
                  <w:tcW w:type="dxa" w:w="2903"/>
                  <w:vMerge/>
                  <w:tcBorders>
                    <w:top w:val="single" w:color="000000" w:sz="4"/>
                    <w:left w:val="none" w:color="000000" w:sz="4"/>
                    <w:bottom w:val="single" w:color="000000" w:sz="4"/>
                    <w:right w:val="single" w:color="000000" w:sz="4"/>
                  </w:tcBorders>
                </w:tcPr>
                <w:p/>
              </w:tc>
              <w:tc>
                <w:tcPr>
                  <w:tcW w:type="dxa" w:w="508"/>
                  <w:vMerge/>
                  <w:tcBorders>
                    <w:top w:val="single" w:color="000000" w:sz="4"/>
                    <w:left w:val="none" w:color="000000" w:sz="4"/>
                    <w:bottom w:val="single" w:color="000000" w:sz="4"/>
                    <w:right w:val="single" w:color="000000" w:sz="4"/>
                  </w:tcBorders>
                </w:tcPr>
                <w:p/>
              </w:tc>
              <w:tc>
                <w:tcPr>
                  <w:tcW w:type="dxa" w:w="839"/>
                  <w:vMerge/>
                  <w:tcBorders>
                    <w:top w:val="single" w:color="000000" w:sz="4"/>
                    <w:left w:val="none" w:color="000000" w:sz="4"/>
                    <w:bottom w:val="single" w:color="000000" w:sz="4"/>
                    <w:right w:val="single" w:color="000000" w:sz="4"/>
                  </w:tcBorders>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xml:space="preserve"> </w:t>
                  </w:r>
                  <w:r>
                    <w:rPr>
                      <w:sz w:val="21"/>
                      <w:b/>
                    </w:rPr>
                    <w:t>沙田供电局门前路交通工程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391.29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105.56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50.82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21.42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4.50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11.02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14.69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xml:space="preserve"> </w:t>
                  </w:r>
                  <w:r>
                    <w:rPr>
                      <w:sz w:val="21"/>
                      <w:b/>
                    </w:rPr>
                    <w:t>沿河路交通工程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845.06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1554.22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628.54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460.77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26.56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29.82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1.材料品种:减速让行线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85.58</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225.93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1.材料品种:危险区域</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57.23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37.00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1.类型:掉头导向箭头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1.类型:限速50标记字符</w:t>
                  </w:r>
                  <w:r>
                    <w:br/>
                  </w:r>
                  <w:r>
                    <w:rPr>
                      <w:sz w:val="21"/>
                    </w:rPr>
                    <w:t>2.材料品种:热熔反光型涂料</w:t>
                  </w:r>
                  <w:r>
                    <w:br/>
                  </w:r>
                  <w:r>
                    <w:rPr>
                      <w:sz w:val="21"/>
                    </w:rPr>
                    <w:t>3.涂料厚度:2.5mm</w:t>
                  </w:r>
                  <w:r>
                    <w:br/>
                  </w:r>
                  <w:r>
                    <w:rPr>
                      <w:sz w:val="21"/>
                    </w:rPr>
                    <w:t>4.规格:2m*6m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1.类型:地面标识“礼让行人”</w:t>
                  </w:r>
                  <w:r>
                    <w:br/>
                  </w:r>
                  <w:r>
                    <w:rPr>
                      <w:sz w:val="21"/>
                    </w:rPr>
                    <w:t>2.材料品种:热熔反光型涂料</w:t>
                  </w:r>
                  <w:r>
                    <w:br/>
                  </w:r>
                  <w:r>
                    <w:rPr>
                      <w:sz w:val="21"/>
                    </w:rPr>
                    <w:t>3.涂料厚度:2.5mm</w:t>
                  </w:r>
                  <w:r>
                    <w:br/>
                  </w:r>
                  <w:r>
                    <w:rPr>
                      <w:sz w:val="21"/>
                    </w:rPr>
                    <w:t>4.规格:1.2m*1m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天宅西路交通工程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116.73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244.34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11.01</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16.20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11.54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238.56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清除标线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1.清除方法:清除标线</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638.37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7.00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1.类型:人行横道预告标识(菱形)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作业中路交通工程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885.45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516.78</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825.31</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899.34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1.材料品种:非机动车道线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665.26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432.33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17.86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151.46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清除标线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1.清除方法:清除标线</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4393.80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1.类型:人行横道预告标识(菱形)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17.00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1.类型:限速40标记字符</w:t>
                  </w:r>
                  <w:r>
                    <w:br/>
                  </w:r>
                  <w:r>
                    <w:rPr>
                      <w:sz w:val="21"/>
                    </w:rPr>
                    <w:t>2.材料品种:热熔反光型涂料</w:t>
                  </w:r>
                  <w:r>
                    <w:br/>
                  </w:r>
                  <w:r>
                    <w:rPr>
                      <w:sz w:val="21"/>
                    </w:rPr>
                    <w:t>3.涂料厚度:2.5mm</w:t>
                  </w:r>
                  <w:r>
                    <w:br/>
                  </w:r>
                  <w:r>
                    <w:rPr>
                      <w:sz w:val="21"/>
                    </w:rPr>
                    <w:t>4.规格:2m*6m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1.类型:地面标识“车”“道”等字样</w:t>
                  </w:r>
                  <w:r>
                    <w:br/>
                  </w:r>
                  <w:r>
                    <w:rPr>
                      <w:sz w:val="21"/>
                    </w:rPr>
                    <w:t>2.材料品种:热熔反光型涂料</w:t>
                  </w:r>
                  <w:r>
                    <w:br/>
                  </w:r>
                  <w:r>
                    <w:rPr>
                      <w:sz w:val="21"/>
                    </w:rPr>
                    <w:t>3.涂料厚度:2.5mm</w:t>
                  </w:r>
                  <w:r>
                    <w:br/>
                  </w:r>
                  <w:r>
                    <w:rPr>
                      <w:sz w:val="21"/>
                    </w:rPr>
                    <w:t>4.规格:2.5m*1m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进港南路交通工程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2306.00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1251.37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15.92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695.24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1.材料品种:纵向减速带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64.80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3.60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89.47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1.类型:人行横道预告标识(菱形)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218.00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33.00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1.类型:左或右转+掉头导向箭头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1.类型:限速60标记字符</w:t>
                  </w:r>
                  <w:r>
                    <w:br/>
                  </w:r>
                  <w:r>
                    <w:rPr>
                      <w:sz w:val="21"/>
                    </w:rPr>
                    <w:t>2.材料品种:热熔反光型涂料</w:t>
                  </w:r>
                  <w:r>
                    <w:br/>
                  </w:r>
                  <w:r>
                    <w:rPr>
                      <w:sz w:val="21"/>
                    </w:rPr>
                    <w:t>3.涂料厚度:2.5mm</w:t>
                  </w:r>
                  <w:r>
                    <w:br/>
                  </w:r>
                  <w:r>
                    <w:rPr>
                      <w:sz w:val="21"/>
                    </w:rPr>
                    <w:t>4.规格:2m*6m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1.类型:地面标识“礼让行人”</w:t>
                  </w:r>
                  <w:r>
                    <w:br/>
                  </w:r>
                  <w:r>
                    <w:rPr>
                      <w:sz w:val="21"/>
                    </w:rPr>
                    <w:t>2.材料品种:热熔反光型涂料</w:t>
                  </w:r>
                  <w:r>
                    <w:br/>
                  </w:r>
                  <w:r>
                    <w:rPr>
                      <w:sz w:val="21"/>
                    </w:rPr>
                    <w:t>3.涂料厚度:2.5mm</w:t>
                  </w:r>
                  <w:r>
                    <w:br/>
                  </w:r>
                  <w:r>
                    <w:rPr>
                      <w:sz w:val="21"/>
                    </w:rPr>
                    <w:t>4.规格:1.2m*1m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1.类型:地面标识“公车站”</w:t>
                  </w:r>
                  <w:r>
                    <w:br/>
                  </w:r>
                  <w:r>
                    <w:rPr>
                      <w:sz w:val="21"/>
                    </w:rPr>
                    <w:t>2.材料品种:热熔反光型涂料</w:t>
                  </w:r>
                  <w:r>
                    <w:br/>
                  </w:r>
                  <w:r>
                    <w:rPr>
                      <w:sz w:val="21"/>
                    </w:rPr>
                    <w:t>3.涂料厚度:2.5mm</w:t>
                  </w:r>
                  <w:r>
                    <w:br/>
                  </w:r>
                  <w:r>
                    <w:rPr>
                      <w:sz w:val="21"/>
                    </w:rPr>
                    <w:t>4.规格:1.2m*1m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6.45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步行街交通工程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146.09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16.70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1.43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清除标线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1.清除方法:清除标线</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203.28</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37.86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东莞港站停车场交通工程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106.85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14.53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工商银行环保城支行路口交通工程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139.20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28.33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25.61</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9.60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1.类型:左或右转+掉头导向箭头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1.材料品种:危险区域</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139.62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民田大街至立沙新区交通工程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169.93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96.77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39.79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4.14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25.77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银通路交通工程交通工程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517.83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383.21</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367.47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226.92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32.49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26.52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1.类型:人行横道预告标识(菱形)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1.类型:人行横道预告标识(三角形)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130.85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xml:space="preserve"> </w:t>
                  </w:r>
                  <w:r>
                    <w:rPr>
                      <w:sz w:val="21"/>
                      <w:b/>
                    </w:rPr>
                    <w:t>中心区沙湾星空不夜城交通工程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85.00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261.80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21.60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26.01</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海港路交通工程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226.36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86.76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19.77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2.40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清除标线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1.清除方法:清除标线</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461.66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1.材料品种:网状线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77.93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明珠路口交通工程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178.60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44.69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20.52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19.56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7.07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1.材料品种:横向减速带</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3.13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清除标线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1.清除方法:清除标线</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271.76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东莞港站后面停车场交通工程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300.25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39.30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运河西路交通工程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397.76</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2.13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64.03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2.80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1.类型:人行横道预告标识(菱形)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清除标线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1.清除方法:清除标线</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515.72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7.00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5.00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临海北路交通工程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129.00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174.72</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131.95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183.67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10.93</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11.00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1.类型:地面标识“礼让行人”</w:t>
                  </w:r>
                  <w:r>
                    <w:br/>
                  </w:r>
                  <w:r>
                    <w:rPr>
                      <w:sz w:val="21"/>
                    </w:rPr>
                    <w:t>2.材料品种:热熔反光型涂料</w:t>
                  </w:r>
                  <w:r>
                    <w:br/>
                  </w:r>
                  <w:r>
                    <w:rPr>
                      <w:sz w:val="21"/>
                    </w:rPr>
                    <w:t>3.涂料厚度:2.5mm</w:t>
                  </w:r>
                  <w:r>
                    <w:br/>
                  </w:r>
                  <w:r>
                    <w:rPr>
                      <w:sz w:val="21"/>
                    </w:rPr>
                    <w:t>4.规格:1.2m*1m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8.00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74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 xml:space="preserve"> </w:t>
                  </w:r>
                  <w:r>
                    <w:rPr>
                      <w:sz w:val="21"/>
                      <w:b/>
                    </w:rPr>
                    <w:t>穗丰年路交通工程</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165</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1.材料品种:人行横道线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396.00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166</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1.材料品种:车道边缘线含停车位</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389.44</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167</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1.材料品种:中心黄线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286.09</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168</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1.材料品种:车道分界线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296.67</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169</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标线</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1.材料品种:停止线</w:t>
                  </w:r>
                  <w:r>
                    <w:br/>
                  </w:r>
                  <w:r>
                    <w:rPr>
                      <w:sz w:val="21"/>
                    </w:rPr>
                    <w:t>2.材料品种:热熔反光型涂料</w:t>
                  </w:r>
                  <w:r>
                    <w:br/>
                  </w:r>
                  <w:r>
                    <w:rPr>
                      <w:sz w:val="21"/>
                    </w:rPr>
                    <w:t>3.涂料厚度:2.5mm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46.85</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170</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1.类型:人行横道预告标识(菱形)</w:t>
                  </w:r>
                  <w:r>
                    <w:br/>
                  </w:r>
                  <w:r>
                    <w:rPr>
                      <w:sz w:val="21"/>
                    </w:rPr>
                    <w:t>2.材料品种:热熔反光型涂料</w:t>
                  </w:r>
                  <w:r>
                    <w:br/>
                  </w:r>
                  <w:r>
                    <w:rPr>
                      <w:sz w:val="21"/>
                    </w:rPr>
                    <w:t>3.涂料厚度:2.5mm</w:t>
                  </w:r>
                  <w:r>
                    <w:br/>
                  </w:r>
                  <w:r>
                    <w:rPr>
                      <w:sz w:val="21"/>
                    </w:rPr>
                    <w:t>4.规格:国标3m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24.00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171</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79.00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172</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1.类型:直行+左或右转导向箭头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6.00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173</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1.类型:左或右转导向箭头</w:t>
                  </w:r>
                  <w:r>
                    <w:br/>
                  </w:r>
                  <w:r>
                    <w:rPr>
                      <w:sz w:val="21"/>
                    </w:rPr>
                    <w:t>2.材料品种:热熔反光型涂料</w:t>
                  </w:r>
                  <w:r>
                    <w:br/>
                  </w:r>
                  <w:r>
                    <w:rPr>
                      <w:sz w:val="21"/>
                    </w:rPr>
                    <w:t>3.涂料厚度:2.5mm</w:t>
                  </w:r>
                  <w:r>
                    <w:br/>
                  </w:r>
                  <w:r>
                    <w:rPr>
                      <w:sz w:val="21"/>
                    </w:rPr>
                    <w:t>4.规格:国标6m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15.00</w:t>
                  </w:r>
                </w:p>
              </w:tc>
            </w:tr>
            <w:tr>
              <w:tc>
                <w:tcPr>
                  <w:tcW w:type="dxa" w:w="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174</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标记</w:t>
                  </w:r>
                </w:p>
              </w:tc>
              <w:tc>
                <w:tcPr>
                  <w:tcW w:type="dxa" w:w="2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1.类型:限速60标记字符</w:t>
                  </w:r>
                  <w:r>
                    <w:br/>
                  </w:r>
                  <w:r>
                    <w:rPr>
                      <w:sz w:val="21"/>
                    </w:rPr>
                    <w:t>2.材料品种:热熔反光型涂料</w:t>
                  </w:r>
                  <w:r>
                    <w:br/>
                  </w:r>
                  <w:r>
                    <w:rPr>
                      <w:sz w:val="21"/>
                    </w:rPr>
                    <w:t>3.涂料厚度:2.5mm</w:t>
                  </w:r>
                  <w:r>
                    <w:br/>
                  </w:r>
                  <w:r>
                    <w:rPr>
                      <w:sz w:val="21"/>
                    </w:rPr>
                    <w:t>4.规格:2m*6m</w:t>
                  </w:r>
                </w:p>
              </w:tc>
              <w:tc>
                <w:tcPr>
                  <w:tcW w:type="dxa" w:w="5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27.00</w:t>
                  </w:r>
                </w:p>
              </w:tc>
            </w:tr>
          </w:tbl>
          <w:p/>
        </w:tc>
      </w:tr>
      <w:tr>
        <w:tc>
          <w:tcPr>
            <w:tcW w:type="dxa" w:w="2076"/>
          </w:tcPr>
          <w:p/>
        </w:tc>
        <w:tc>
          <w:tcPr>
            <w:tcW w:type="dxa" w:w="415"/>
          </w:tcPr>
          <w:p>
            <w:pPr>
              <w:pStyle w:val="null3"/>
            </w:pPr>
            <w:r>
              <w:rPr/>
              <w:t>2</w:t>
            </w:r>
          </w:p>
        </w:tc>
        <w:tc>
          <w:tcPr>
            <w:tcW w:type="dxa" w:w="5814"/>
          </w:tcPr>
          <w:p>
            <w:pPr>
              <w:pStyle w:val="null3"/>
              <w:jc w:val="both"/>
            </w:pPr>
            <w:r>
              <w:rPr>
                <w:sz w:val="21"/>
                <w:b/>
              </w:rPr>
              <w:t>二、施工要求</w:t>
            </w:r>
          </w:p>
          <w:p>
            <w:pPr>
              <w:pStyle w:val="null3"/>
              <w:ind w:firstLine="420"/>
              <w:jc w:val="both"/>
            </w:pPr>
            <w:r>
              <w:rPr>
                <w:sz w:val="21"/>
              </w:rPr>
              <w:t>1、磋商响应人必须详细了解磋商文件中的规定与要求，并充分预见本项目磋商文件所列示的采购内容，提供对应设备和施工工作，由此产生的任何费用增加，均由磋商响应人承担，采购人不予任何追加。</w:t>
            </w:r>
          </w:p>
          <w:p>
            <w:pPr>
              <w:pStyle w:val="null3"/>
              <w:ind w:firstLine="420"/>
              <w:jc w:val="both"/>
            </w:pPr>
            <w:r>
              <w:rPr>
                <w:sz w:val="21"/>
              </w:rPr>
              <w:t>2、磋商响应人必须在施工现场显眼位置设置正规施工工作警示牌，靠近人行通道边（或采购人认为有必要的其他周边）必须用整齐美观的板材围蔽（板材的标准必须得到采购人的许可）。</w:t>
            </w:r>
          </w:p>
          <w:p>
            <w:pPr>
              <w:pStyle w:val="null3"/>
              <w:ind w:firstLine="420"/>
              <w:jc w:val="both"/>
            </w:pPr>
            <w:r>
              <w:rPr>
                <w:sz w:val="21"/>
              </w:rPr>
              <w:t>3、磋商响应人必须安全文明施工，确保施工场地区域道路通畅，保持施工现场整洁，做到工完场清。</w:t>
            </w:r>
          </w:p>
          <w:p>
            <w:pPr>
              <w:pStyle w:val="null3"/>
              <w:ind w:firstLine="420"/>
              <w:jc w:val="both"/>
            </w:pPr>
            <w:r>
              <w:rPr>
                <w:sz w:val="21"/>
              </w:rPr>
              <w:t>4、磋商响应人必须在施工过程中注意自身及周边安全，负责施工过程中的所有事故处理和费用，如有对现状有损坏的，需对现状进行修复。</w:t>
            </w:r>
          </w:p>
          <w:p>
            <w:pPr>
              <w:pStyle w:val="null3"/>
              <w:ind w:firstLine="420"/>
              <w:jc w:val="both"/>
            </w:pPr>
            <w:r>
              <w:rPr>
                <w:sz w:val="21"/>
              </w:rPr>
              <w:t>5、制定施工安全管理机构和安全管理责任制，配备工程建设项目专职安全员，并认真落实各项施工安全管理规定。</w:t>
            </w:r>
          </w:p>
          <w:p>
            <w:pPr>
              <w:pStyle w:val="null3"/>
              <w:ind w:firstLine="420"/>
              <w:jc w:val="both"/>
            </w:pPr>
            <w:r>
              <w:rPr>
                <w:sz w:val="21"/>
              </w:rPr>
              <w:t>6、所有施工作业人员都要经过安全教育和技术操作培训，特殊工种的作业人员须有相应的技术资质证书。遵守消防安全操作规程，因违规操作引起的一切后果由磋商响应人负责。</w:t>
            </w:r>
          </w:p>
          <w:p>
            <w:pPr>
              <w:pStyle w:val="null3"/>
              <w:ind w:firstLine="420"/>
              <w:jc w:val="both"/>
            </w:pPr>
            <w:r>
              <w:rPr>
                <w:sz w:val="21"/>
              </w:rPr>
              <w:t>7、磋商响应人须接受采购人、监督单位（如有）对工程建设中安全生产的监督。</w:t>
            </w:r>
          </w:p>
          <w:p>
            <w:pPr>
              <w:pStyle w:val="null3"/>
              <w:jc w:val="both"/>
            </w:pPr>
            <w:r>
              <w:rPr>
                <w:sz w:val="21"/>
              </w:rPr>
              <w:t xml:space="preserve">       8、施工期间发生任何安全责任事故，由磋商响应人承担一切责任。</w:t>
            </w:r>
          </w:p>
        </w:tc>
      </w:tr>
      <w:tr>
        <w:tc>
          <w:tcPr>
            <w:tcW w:type="dxa" w:w="2076"/>
          </w:tcPr>
          <w:p/>
        </w:tc>
        <w:tc>
          <w:tcPr>
            <w:tcW w:type="dxa" w:w="415"/>
          </w:tcPr>
          <w:p>
            <w:pPr>
              <w:pStyle w:val="null3"/>
            </w:pPr>
            <w:r>
              <w:rPr/>
              <w:t>3</w:t>
            </w:r>
          </w:p>
        </w:tc>
        <w:tc>
          <w:tcPr>
            <w:tcW w:type="dxa" w:w="5814"/>
          </w:tcPr>
          <w:p>
            <w:pPr>
              <w:pStyle w:val="null3"/>
              <w:jc w:val="both"/>
            </w:pPr>
            <w:r>
              <w:rPr>
                <w:sz w:val="21"/>
                <w:b/>
              </w:rPr>
              <w:t>三、人员要求</w:t>
            </w:r>
          </w:p>
          <w:p>
            <w:pPr>
              <w:pStyle w:val="null3"/>
              <w:ind w:firstLine="440"/>
              <w:jc w:val="both"/>
            </w:pPr>
            <w:r>
              <w:rPr>
                <w:sz w:val="21"/>
              </w:rPr>
              <w:t>1、成交供应商应依法保障其工作人员的合法权益并保持服务队伍的相对稳定，如有变动需提前通知采购人，并做好交接工作。所有工作人员必须遵守采购人的管理规定和各项规章制度，若出现违法违纪现象或管理不力，采购人有权要求更换人员，成交供应商需一周内作出换人处理，否则按缺员处理，并根据情节轻重扣罚服务费。对违反劳动纪律或工作责任心不强、工作效率低的人员，采购人有权建议成交供应商更换人员。在工作问题上，项目负责人不得以任何理由对采购人的工作安排不表态、不落实和拖延时间，以上问题发生三次，采购人有权要求更换项目负责人。</w:t>
            </w:r>
          </w:p>
          <w:p>
            <w:pPr>
              <w:pStyle w:val="null3"/>
              <w:ind w:firstLine="440"/>
              <w:jc w:val="both"/>
            </w:pPr>
            <w:r>
              <w:rPr>
                <w:sz w:val="21"/>
              </w:rPr>
              <w:t>2、成交供应商应按采购人要求的人数（含专职指定人员不少于4人）安排工作，并实行定员定岗制度，上下班做好签到记录。如检查发现人员不足，因缺岗造成的后果及责任，由成交供应商负责。严格执行特种作业人员相关管理规定要求，现场所有特种作业人员持证上岗。配备项目负责人、技术负责人、安全负责人、专职指定人员等，拟委派的施工架构人员必须是本公司的正式员工。</w:t>
            </w:r>
          </w:p>
          <w:p>
            <w:pPr>
              <w:pStyle w:val="null3"/>
              <w:ind w:firstLine="440"/>
              <w:jc w:val="both"/>
            </w:pPr>
            <w:r>
              <w:rPr>
                <w:sz w:val="21"/>
              </w:rPr>
              <w:t>3、成交供应商的工作安排必须科学、合理。工作人员须穿着统一工装，佩戴工号牌，不得串岗、聊天或做私人工作。工衣、工号牌及雨衣、水鞋、遮阳草帽、口罩等劳保用品由成交供应商负责供应。工作人员回乡探亲、休病事假等，相应派人员补充。</w:t>
            </w:r>
          </w:p>
          <w:p>
            <w:pPr>
              <w:pStyle w:val="null3"/>
              <w:jc w:val="both"/>
            </w:pPr>
            <w:r>
              <w:rPr>
                <w:sz w:val="21"/>
              </w:rPr>
              <w:t xml:space="preserve">      4、成交供应商不得招收有违法乱纪记录的人员。人员上岗前须接受岗前培训，成交供应商必须按规定为员工购买工伤意外保险，保证员工收入达到东莞市当年最低工资标准。服务期间内发生的各种事故，包括治安、交通、防火等安全案件、劳资纠纷事件等，均由成交供应商承担相应责任。</w:t>
            </w:r>
          </w:p>
        </w:tc>
      </w:tr>
      <w:tr>
        <w:tc>
          <w:tcPr>
            <w:tcW w:type="dxa" w:w="2076"/>
          </w:tcPr>
          <w:p>
            <w:pPr>
              <w:pStyle w:val="null3"/>
            </w:pPr>
            <w:r>
              <w:rPr/>
              <w:t>★</w:t>
            </w:r>
          </w:p>
        </w:tc>
        <w:tc>
          <w:tcPr>
            <w:tcW w:type="dxa" w:w="415"/>
          </w:tcPr>
          <w:p>
            <w:pPr>
              <w:pStyle w:val="null3"/>
            </w:pPr>
            <w:r>
              <w:rPr/>
              <w:t>4</w:t>
            </w:r>
          </w:p>
        </w:tc>
        <w:tc>
          <w:tcPr>
            <w:tcW w:type="dxa" w:w="5814"/>
          </w:tcPr>
          <w:p>
            <w:pPr>
              <w:pStyle w:val="null3"/>
              <w:jc w:val="left"/>
            </w:pPr>
            <w:r>
              <w:rPr>
                <w:sz w:val="21"/>
              </w:rPr>
              <w:t>★</w:t>
            </w:r>
            <w:r>
              <w:rPr>
                <w:sz w:val="21"/>
                <w:b/>
              </w:rPr>
              <w:t>四、项目负责人要求</w:t>
            </w:r>
          </w:p>
          <w:p>
            <w:pPr>
              <w:pStyle w:val="null3"/>
              <w:jc w:val="both"/>
            </w:pPr>
            <w:r>
              <w:rPr>
                <w:sz w:val="21"/>
                <w:b/>
              </w:rPr>
              <w:t>拟派项目负责人具有市政公用工程专业二级或以上注册建造师证书，及安全生产考核合格证书（建安</w:t>
            </w:r>
            <w:r>
              <w:rPr>
                <w:sz w:val="21"/>
                <w:b/>
              </w:rPr>
              <w:t>B</w:t>
            </w:r>
            <w:r>
              <w:rPr>
                <w:sz w:val="21"/>
                <w:b/>
              </w:rPr>
              <w:t>证）。（须提供有效的相关证书复印件，及近</w:t>
            </w:r>
            <w:r>
              <w:rPr>
                <w:sz w:val="21"/>
                <w:b/>
              </w:rPr>
              <w:t>6</w:t>
            </w:r>
            <w:r>
              <w:rPr>
                <w:sz w:val="21"/>
                <w:b/>
              </w:rPr>
              <w:t>个月（不含开标当月）内任意</w:t>
            </w:r>
            <w:r>
              <w:rPr>
                <w:sz w:val="21"/>
                <w:b/>
              </w:rPr>
              <w:t>1</w:t>
            </w:r>
            <w:r>
              <w:rPr>
                <w:sz w:val="21"/>
                <w:b/>
              </w:rPr>
              <w:t>个月供应商为拟派负责人缴纳社保的社保证明材料，并加盖供应商公章。社保证明材料是指供应商所属当地社保管理部门出具的证明文件，或经供应商所属当地社保管理部门盖章确认的社保清单（含社保管理部门终端设备打印的社保证明文件）等。）</w:t>
            </w:r>
          </w:p>
        </w:tc>
      </w:tr>
      <w:tr>
        <w:tc>
          <w:tcPr>
            <w:tcW w:type="dxa" w:w="2076"/>
          </w:tcPr>
          <w:p/>
        </w:tc>
        <w:tc>
          <w:tcPr>
            <w:tcW w:type="dxa" w:w="415"/>
          </w:tcPr>
          <w:p>
            <w:pPr>
              <w:pStyle w:val="null3"/>
            </w:pPr>
            <w:r>
              <w:rPr/>
              <w:t>5</w:t>
            </w:r>
          </w:p>
        </w:tc>
        <w:tc>
          <w:tcPr>
            <w:tcW w:type="dxa" w:w="5814"/>
          </w:tcPr>
          <w:p>
            <w:pPr>
              <w:pStyle w:val="null3"/>
              <w:jc w:val="both"/>
            </w:pPr>
            <w:r>
              <w:rPr>
                <w:sz w:val="21"/>
                <w:b/>
              </w:rPr>
              <w:t>五、质量保证要求</w:t>
            </w:r>
          </w:p>
          <w:p>
            <w:pPr>
              <w:pStyle w:val="null3"/>
              <w:ind w:firstLine="420"/>
              <w:jc w:val="both"/>
            </w:pPr>
            <w:r>
              <w:rPr>
                <w:sz w:val="21"/>
              </w:rPr>
              <w:t>1、本项目所提供的货物需要是原厂生产的、全新的、未使用过的（包括零部件，专用工具等），并完全符合原厂质量检测标准和国家计量检测标准、行业标准。</w:t>
            </w:r>
          </w:p>
          <w:p>
            <w:pPr>
              <w:pStyle w:val="null3"/>
              <w:ind w:firstLine="420"/>
              <w:jc w:val="both"/>
            </w:pPr>
            <w:r>
              <w:rPr>
                <w:sz w:val="21"/>
              </w:rPr>
              <w:t>2、磋商响应人应保证，采购人在使用该货物或货物的任何一部分时，免受第三方提出的侵犯其专利权、商标权、工业设计权、侵犯所有权和工业产权、著作权（版权）等知识产权的起诉。</w:t>
            </w:r>
          </w:p>
          <w:p>
            <w:pPr>
              <w:pStyle w:val="null3"/>
              <w:ind w:firstLine="420"/>
              <w:jc w:val="both"/>
            </w:pPr>
            <w:r>
              <w:rPr>
                <w:sz w:val="21"/>
              </w:rPr>
              <w:t>3、磋商响应人购买的材料、设备必须符合设计、规范和磋商文件工程量清单要求。采购人可随时对磋商响应人所购买的材料、设备进行监督、检查。</w:t>
            </w:r>
          </w:p>
          <w:p>
            <w:pPr>
              <w:pStyle w:val="null3"/>
              <w:ind w:firstLine="420"/>
              <w:jc w:val="both"/>
            </w:pPr>
            <w:r>
              <w:rPr>
                <w:sz w:val="21"/>
              </w:rPr>
              <w:t>4、磋商响应人必须按磋商文件和施工技术标准要求施工，不得擅自修改工程设计，不得偷工减料。</w:t>
            </w:r>
          </w:p>
          <w:p>
            <w:pPr>
              <w:pStyle w:val="null3"/>
              <w:ind w:firstLine="420"/>
              <w:jc w:val="both"/>
            </w:pPr>
            <w:r>
              <w:rPr>
                <w:sz w:val="21"/>
              </w:rPr>
              <w:t>5、磋商响应人应建立并实施符合项目各项要求的质量管理体系，如因质量问题或磋商响应人自身管理原因使得对应类型项目工作受到影响或造成责任事故的，所有责任一概由磋商响应人承担。</w:t>
            </w:r>
          </w:p>
          <w:p>
            <w:pPr>
              <w:pStyle w:val="null3"/>
              <w:ind w:firstLine="420"/>
              <w:jc w:val="both"/>
            </w:pPr>
            <w:r>
              <w:rPr>
                <w:sz w:val="21"/>
              </w:rPr>
              <w:t>6、采购人代表有权在工作时间内进入磋商响应人的工作地点，对其工作实行与合同有关的质保检查。</w:t>
            </w:r>
          </w:p>
          <w:p>
            <w:pPr>
              <w:pStyle w:val="null3"/>
              <w:jc w:val="both"/>
            </w:pPr>
            <w:r>
              <w:rPr>
                <w:sz w:val="21"/>
              </w:rPr>
              <w:t xml:space="preserve">       7、按照施工要求及国家相关施工及验收规范进行项目验收，达到合格标准。</w:t>
            </w:r>
          </w:p>
        </w:tc>
      </w:tr>
      <w:tr>
        <w:tc>
          <w:tcPr>
            <w:tcW w:type="dxa" w:w="2076"/>
          </w:tcPr>
          <w:p/>
        </w:tc>
        <w:tc>
          <w:tcPr>
            <w:tcW w:type="dxa" w:w="415"/>
          </w:tcPr>
          <w:p>
            <w:pPr>
              <w:pStyle w:val="null3"/>
            </w:pPr>
            <w:r>
              <w:rPr/>
              <w:t>6</w:t>
            </w:r>
          </w:p>
        </w:tc>
        <w:tc>
          <w:tcPr>
            <w:tcW w:type="dxa" w:w="5814"/>
          </w:tcPr>
          <w:p>
            <w:pPr>
              <w:pStyle w:val="null3"/>
              <w:jc w:val="both"/>
            </w:pPr>
            <w:r>
              <w:rPr>
                <w:sz w:val="21"/>
                <w:b/>
              </w:rPr>
              <w:t>六、进度保证要求</w:t>
            </w:r>
          </w:p>
          <w:p>
            <w:pPr>
              <w:pStyle w:val="null3"/>
              <w:ind w:firstLine="420"/>
              <w:jc w:val="both"/>
            </w:pPr>
            <w:r>
              <w:rPr>
                <w:sz w:val="21"/>
              </w:rPr>
              <w:t>1、磋商响应人应制定详细的进度计划安排；</w:t>
            </w:r>
          </w:p>
          <w:p>
            <w:pPr>
              <w:pStyle w:val="null3"/>
              <w:ind w:firstLine="420"/>
              <w:jc w:val="both"/>
            </w:pPr>
            <w:r>
              <w:rPr>
                <w:sz w:val="21"/>
              </w:rPr>
              <w:t>2、磋商响应人应对项目实施全过程进行监督检查，确保工序合理；</w:t>
            </w:r>
          </w:p>
          <w:p>
            <w:pPr>
              <w:pStyle w:val="null3"/>
              <w:jc w:val="both"/>
            </w:pPr>
            <w:r>
              <w:rPr>
                <w:sz w:val="21"/>
              </w:rPr>
              <w:t xml:space="preserve">       3、磋商响应人应做好各阶段与采购人的密切沟通，保证工程进度能够按期完成。</w:t>
            </w:r>
          </w:p>
        </w:tc>
      </w:tr>
      <w:tr>
        <w:tc>
          <w:tcPr>
            <w:tcW w:type="dxa" w:w="2076"/>
          </w:tcPr>
          <w:p/>
        </w:tc>
        <w:tc>
          <w:tcPr>
            <w:tcW w:type="dxa" w:w="415"/>
          </w:tcPr>
          <w:p>
            <w:pPr>
              <w:pStyle w:val="null3"/>
            </w:pPr>
            <w:r>
              <w:rPr/>
              <w:t>7</w:t>
            </w:r>
          </w:p>
        </w:tc>
        <w:tc>
          <w:tcPr>
            <w:tcW w:type="dxa" w:w="5814"/>
          </w:tcPr>
          <w:p>
            <w:pPr>
              <w:pStyle w:val="null3"/>
              <w:jc w:val="both"/>
            </w:pPr>
            <w:r>
              <w:rPr>
                <w:sz w:val="21"/>
                <w:b/>
              </w:rPr>
              <w:t>七、安全文明施工要求</w:t>
            </w:r>
          </w:p>
          <w:p>
            <w:pPr>
              <w:pStyle w:val="null3"/>
              <w:ind w:firstLine="420"/>
              <w:jc w:val="both"/>
            </w:pPr>
            <w:r>
              <w:rPr>
                <w:sz w:val="21"/>
              </w:rPr>
              <w:t>1、磋商响应人应遵守工程建设安全的有关管理规定，严格按安全标准组织施工，采取必要的安全防护措施，消除事故隐患，如果由于磋商响应人违规操作或安全措施不力造成的事故而发生的费用，由磋商响应人自行承担，并负相关法律责任。</w:t>
            </w:r>
          </w:p>
          <w:p>
            <w:pPr>
              <w:pStyle w:val="null3"/>
              <w:ind w:firstLine="420"/>
              <w:jc w:val="both"/>
            </w:pPr>
            <w:r>
              <w:rPr>
                <w:sz w:val="21"/>
              </w:rPr>
              <w:t>2、磋商响应人在施工过程中须提供符合相关工程标准的围蔽措施，采购人有权要求磋商响应人对不合格的围蔽措施进行整改，直至磋商响应人整改合格，否则按违约责任处理。如因磋商响应人原因对采购人工作人员、服务对象或第三者造成的损伤，由磋商响应人赔偿，并负相关法律责任。</w:t>
            </w:r>
          </w:p>
          <w:p>
            <w:pPr>
              <w:pStyle w:val="null3"/>
              <w:ind w:firstLine="420"/>
              <w:jc w:val="both"/>
            </w:pPr>
            <w:r>
              <w:rPr>
                <w:sz w:val="21"/>
              </w:rPr>
              <w:t>3、磋商响应人应遵守国家及行业文明施工生产的有关规定，保持施工现场的整洁、有序。</w:t>
            </w:r>
          </w:p>
          <w:p>
            <w:pPr>
              <w:pStyle w:val="null3"/>
              <w:ind w:firstLine="420"/>
              <w:jc w:val="both"/>
            </w:pPr>
            <w:r>
              <w:rPr>
                <w:sz w:val="21"/>
              </w:rPr>
              <w:t>4、在施工中存在安全隐患的，经采购人书面或口头通知后，磋商响应人应及时整改。</w:t>
            </w:r>
          </w:p>
          <w:p>
            <w:pPr>
              <w:pStyle w:val="null3"/>
              <w:ind w:firstLine="420"/>
              <w:jc w:val="both"/>
            </w:pPr>
            <w:r>
              <w:rPr>
                <w:sz w:val="21"/>
              </w:rPr>
              <w:t>5、磋商响应人在施工中不遵守文明施工的有关规定，如材料乱堆、乱放，垃圾乱丢弃、施工场地混乱的，经采购人书面或口头通知后，磋商响应人应及时整改。</w:t>
            </w:r>
          </w:p>
          <w:p>
            <w:pPr>
              <w:pStyle w:val="null3"/>
              <w:jc w:val="both"/>
            </w:pPr>
            <w:r>
              <w:rPr>
                <w:sz w:val="21"/>
              </w:rPr>
              <w:t xml:space="preserve">      6、施工安全：切实做好安全生产各项防范措施，加强安全施工管理，磋商响应人须遵守国家、广东省、东莞市安全文明施工有关规定。</w:t>
            </w:r>
          </w:p>
        </w:tc>
      </w:tr>
      <w:tr>
        <w:tc>
          <w:tcPr>
            <w:tcW w:type="dxa" w:w="2076"/>
          </w:tcPr>
          <w:p/>
        </w:tc>
        <w:tc>
          <w:tcPr>
            <w:tcW w:type="dxa" w:w="415"/>
          </w:tcPr>
          <w:p>
            <w:pPr>
              <w:pStyle w:val="null3"/>
            </w:pPr>
            <w:r>
              <w:rPr/>
              <w:t>8</w:t>
            </w:r>
          </w:p>
        </w:tc>
        <w:tc>
          <w:tcPr>
            <w:tcW w:type="dxa" w:w="5814"/>
          </w:tcPr>
          <w:p>
            <w:pPr>
              <w:pStyle w:val="null3"/>
              <w:ind w:firstLine="422"/>
            </w:pPr>
            <w:r>
              <w:rPr>
                <w:sz w:val="21"/>
                <w:b/>
              </w:rPr>
              <w:t>八、应急预案要求</w:t>
            </w:r>
          </w:p>
          <w:p>
            <w:pPr>
              <w:pStyle w:val="null3"/>
              <w:ind w:firstLine="420"/>
            </w:pPr>
            <w:r>
              <w:rPr>
                <w:sz w:val="21"/>
              </w:rPr>
              <w:t>1、应急预案要求</w:t>
            </w:r>
          </w:p>
          <w:p>
            <w:pPr>
              <w:pStyle w:val="null3"/>
              <w:ind w:firstLine="420"/>
            </w:pPr>
            <w:r>
              <w:rPr>
                <w:sz w:val="21"/>
              </w:rPr>
              <w:t>1.1制定应急预案，落实风险施工应急措施，确保施工安全；确保本项目作业人员的人身安全、健康状态。</w:t>
            </w:r>
          </w:p>
          <w:p>
            <w:pPr>
              <w:pStyle w:val="null3"/>
              <w:ind w:firstLine="420"/>
            </w:pPr>
            <w:r>
              <w:rPr>
                <w:sz w:val="21"/>
              </w:rPr>
              <w:t>1.2根据现场情况，成立应急抢险小组，根据应急响应机制，应急响应应急抢险小组。</w:t>
            </w:r>
          </w:p>
          <w:p>
            <w:pPr>
              <w:pStyle w:val="null3"/>
              <w:ind w:firstLine="420"/>
            </w:pPr>
            <w:r>
              <w:rPr>
                <w:sz w:val="21"/>
              </w:rPr>
              <w:t>1.3应急抢险小组的分工职责需要清晰明确。</w:t>
            </w:r>
          </w:p>
          <w:p>
            <w:pPr>
              <w:pStyle w:val="null3"/>
              <w:ind w:firstLine="420"/>
            </w:pPr>
            <w:r>
              <w:rPr>
                <w:sz w:val="21"/>
              </w:rPr>
              <w:t>1.4制定详细的应急响应机制、应急处理流程和应急处理措施。</w:t>
            </w:r>
          </w:p>
          <w:p>
            <w:pPr>
              <w:pStyle w:val="null3"/>
              <w:ind w:firstLine="420"/>
            </w:pPr>
            <w:r>
              <w:rPr>
                <w:sz w:val="21"/>
              </w:rPr>
              <w:t>2、应急处理措施</w:t>
            </w:r>
          </w:p>
          <w:p>
            <w:pPr>
              <w:pStyle w:val="null3"/>
              <w:ind w:firstLine="420"/>
            </w:pPr>
            <w:r>
              <w:rPr>
                <w:sz w:val="21"/>
              </w:rPr>
              <w:t>2.1当发生安全事故时，现场负责人在第一时间向采购人报告。</w:t>
            </w:r>
          </w:p>
          <w:p>
            <w:pPr>
              <w:pStyle w:val="null3"/>
              <w:ind w:firstLine="420"/>
            </w:pPr>
            <w:r>
              <w:rPr>
                <w:sz w:val="21"/>
              </w:rPr>
              <w:t>2.2发生伤人情况时，要及时将受伤人员送医救治，向采购人报告并拨打医疗急救电话，第一时间封锁现场，做好现场保护工作，等待采购人来进行统一协调工作。</w:t>
            </w:r>
          </w:p>
          <w:p>
            <w:pPr>
              <w:pStyle w:val="null3"/>
              <w:jc w:val="both"/>
            </w:pPr>
            <w:r>
              <w:rPr>
                <w:sz w:val="21"/>
              </w:rPr>
              <w:t xml:space="preserve">      2.3发生火灾情况时，要及时进行扑救，向采购人报告并及时拨打消防报警电话，及时疏散现场人员和转移财产。对有触电或灼伤等伤亡人员时，要及时送医或拨打医疗急救电话，配合消防和医疗人员进行救援，以及事后调查。</w:t>
            </w:r>
          </w:p>
        </w:tc>
      </w:tr>
      <w:tr>
        <w:tc>
          <w:tcPr>
            <w:tcW w:type="dxa" w:w="2076"/>
          </w:tcPr>
          <w:p/>
        </w:tc>
        <w:tc>
          <w:tcPr>
            <w:tcW w:type="dxa" w:w="415"/>
          </w:tcPr>
          <w:p>
            <w:pPr>
              <w:pStyle w:val="null3"/>
            </w:pPr>
            <w:r>
              <w:rPr/>
              <w:t>9</w:t>
            </w:r>
          </w:p>
        </w:tc>
        <w:tc>
          <w:tcPr>
            <w:tcW w:type="dxa" w:w="5814"/>
          </w:tcPr>
          <w:p>
            <w:pPr>
              <w:pStyle w:val="null3"/>
              <w:jc w:val="both"/>
            </w:pPr>
            <w:r>
              <w:rPr>
                <w:sz w:val="21"/>
                <w:b/>
              </w:rPr>
              <w:t>九、验收要求</w:t>
            </w:r>
          </w:p>
          <w:p>
            <w:pPr>
              <w:pStyle w:val="null3"/>
              <w:ind w:firstLine="440"/>
              <w:jc w:val="both"/>
            </w:pPr>
            <w:r>
              <w:rPr>
                <w:sz w:val="21"/>
              </w:rPr>
              <w:t>1、验收应在采购人和成交人双方共同参加下进行。</w:t>
            </w:r>
          </w:p>
          <w:p>
            <w:pPr>
              <w:pStyle w:val="null3"/>
              <w:ind w:firstLine="440"/>
              <w:jc w:val="both"/>
            </w:pPr>
            <w:r>
              <w:rPr>
                <w:sz w:val="21"/>
              </w:rPr>
              <w:t>2、按照国家颁布的现行相关行业规定标准进行验收，如验收不合格的必须返工，返工费由成交人负责。</w:t>
            </w:r>
          </w:p>
          <w:p>
            <w:pPr>
              <w:pStyle w:val="null3"/>
              <w:ind w:firstLine="440"/>
              <w:jc w:val="both"/>
            </w:pPr>
            <w:r>
              <w:rPr>
                <w:sz w:val="21"/>
              </w:rPr>
              <w:t>3、各项技术经济指标先进，应结合当前的施工技术水平，建设方案，具有可实施性。</w:t>
            </w:r>
          </w:p>
          <w:p>
            <w:pPr>
              <w:pStyle w:val="null3"/>
              <w:ind w:firstLine="440"/>
              <w:jc w:val="both"/>
            </w:pPr>
            <w:r>
              <w:rPr>
                <w:sz w:val="21"/>
              </w:rPr>
              <w:t>4、按照工程规划要点和工程建设的要求，在满足主要功能的前提下，应优先采用科学、先进的设计理念和方法。</w:t>
            </w:r>
          </w:p>
          <w:p>
            <w:pPr>
              <w:pStyle w:val="null3"/>
              <w:ind w:firstLine="440"/>
              <w:jc w:val="both"/>
            </w:pPr>
            <w:r>
              <w:rPr>
                <w:sz w:val="21"/>
              </w:rPr>
              <w:t>5、当施工效果无法达到采购人的要求时，采购人可拒绝验收，由此造成的损失全部由成交人承担。</w:t>
            </w:r>
          </w:p>
          <w:p>
            <w:pPr>
              <w:pStyle w:val="null3"/>
              <w:ind w:firstLine="440"/>
              <w:jc w:val="both"/>
            </w:pPr>
            <w:r>
              <w:rPr>
                <w:sz w:val="21"/>
              </w:rPr>
              <w:t>6、所有验收文件，测试报告，资料要提交给采购人以作留档备案。</w:t>
            </w:r>
          </w:p>
          <w:p>
            <w:pPr>
              <w:pStyle w:val="null3"/>
              <w:jc w:val="both"/>
            </w:pPr>
            <w:r>
              <w:rPr>
                <w:sz w:val="21"/>
              </w:rPr>
              <w:t xml:space="preserve">       7、成交人若违反相关规定，发生重大安全事故的，采购人有权单方终止合同。</w:t>
            </w:r>
          </w:p>
        </w:tc>
      </w:tr>
      <w:tr>
        <w:tc>
          <w:tcPr>
            <w:tcW w:type="dxa" w:w="2076"/>
          </w:tcPr>
          <w:p/>
        </w:tc>
        <w:tc>
          <w:tcPr>
            <w:tcW w:type="dxa" w:w="415"/>
          </w:tcPr>
          <w:p>
            <w:pPr>
              <w:pStyle w:val="null3"/>
            </w:pPr>
            <w:r>
              <w:rPr/>
              <w:t>10</w:t>
            </w:r>
          </w:p>
        </w:tc>
        <w:tc>
          <w:tcPr>
            <w:tcW w:type="dxa" w:w="5814"/>
          </w:tcPr>
          <w:p>
            <w:pPr>
              <w:pStyle w:val="null3"/>
              <w:jc w:val="both"/>
            </w:pPr>
            <w:r>
              <w:rPr>
                <w:sz w:val="21"/>
                <w:b/>
              </w:rPr>
              <w:t>十、企业管理制度</w:t>
            </w:r>
          </w:p>
          <w:p>
            <w:pPr>
              <w:pStyle w:val="null3"/>
              <w:ind w:firstLine="420"/>
              <w:jc w:val="both"/>
            </w:pPr>
            <w:r>
              <w:rPr>
                <w:sz w:val="21"/>
              </w:rPr>
              <w:t>1、磋商响应人应具备完善的组织管理架构及岗位职责，组织架构设置科学合理，岗位分工具体明确。</w:t>
            </w:r>
          </w:p>
          <w:p>
            <w:pPr>
              <w:pStyle w:val="null3"/>
              <w:jc w:val="both"/>
            </w:pPr>
            <w:r>
              <w:rPr>
                <w:sz w:val="21"/>
              </w:rPr>
              <w:t xml:space="preserve">       2、磋商响应人应具备健全的规章制度，包括但不限于：技术管理制度、材料设备管理制度、消防与治安管理制度、施工队伍管理制度等。</w:t>
            </w:r>
          </w:p>
        </w:tc>
      </w:tr>
      <w:tr>
        <w:tc>
          <w:tcPr>
            <w:tcW w:type="dxa" w:w="2076"/>
          </w:tcPr>
          <w:p/>
        </w:tc>
        <w:tc>
          <w:tcPr>
            <w:tcW w:type="dxa" w:w="415"/>
          </w:tcPr>
          <w:p>
            <w:pPr>
              <w:pStyle w:val="null3"/>
            </w:pPr>
            <w:r>
              <w:rPr/>
              <w:t>11</w:t>
            </w:r>
          </w:p>
        </w:tc>
        <w:tc>
          <w:tcPr>
            <w:tcW w:type="dxa" w:w="5814"/>
          </w:tcPr>
          <w:p>
            <w:pPr>
              <w:pStyle w:val="null3"/>
              <w:jc w:val="both"/>
            </w:pPr>
            <w:r>
              <w:rPr>
                <w:sz w:val="21"/>
                <w:b/>
              </w:rPr>
              <w:t>十一、售后服务要求</w:t>
            </w:r>
          </w:p>
          <w:p>
            <w:pPr>
              <w:pStyle w:val="null3"/>
              <w:ind w:firstLine="420"/>
              <w:jc w:val="both"/>
            </w:pPr>
            <w:r>
              <w:rPr>
                <w:sz w:val="21"/>
              </w:rPr>
              <w:t>1、保修期内：工程因质量问题不能正常运转或使用，由磋商响应人负责安排专业人员到现场解决问题。包括免费维修、更换配件与调试。</w:t>
            </w:r>
          </w:p>
          <w:p>
            <w:pPr>
              <w:pStyle w:val="null3"/>
              <w:ind w:firstLine="420"/>
              <w:jc w:val="both"/>
            </w:pPr>
            <w:r>
              <w:rPr>
                <w:sz w:val="21"/>
              </w:rPr>
              <w:t>2、维修响应时间：免费保修期内，工程出现质量问题，磋商响应人接到质量问题通知后12个小时内响应，24个小时内提供处理方案，5个工作日内解决问题；其他服务承诺在响应文件中说明。</w:t>
            </w:r>
          </w:p>
          <w:p>
            <w:pPr>
              <w:pStyle w:val="null3"/>
              <w:ind w:firstLine="420"/>
              <w:jc w:val="both"/>
            </w:pPr>
            <w:r>
              <w:rPr>
                <w:sz w:val="21"/>
              </w:rPr>
              <w:t>3、保修期后：提供技术支持和详细的售后服务计划，成交人应按其在东莞地区同类产品的最优惠价格提供保修服务，终身保证配品配件的供应，更换配件的费用以成本计。</w:t>
            </w:r>
          </w:p>
          <w:p>
            <w:pPr>
              <w:pStyle w:val="null3"/>
              <w:ind w:firstLine="420"/>
              <w:jc w:val="both"/>
            </w:pPr>
            <w:r>
              <w:rPr>
                <w:sz w:val="21"/>
              </w:rPr>
              <w:t>4、售后服务机构：设有稳定的维修点或售后服务机构，具有提供日常维护和技术支持的能力，能提供正常的技术、备品备件、服务等，需提供服务机构名称、人员情况、办公地址、联系电话。</w:t>
            </w:r>
          </w:p>
          <w:p>
            <w:pPr>
              <w:pStyle w:val="null3"/>
              <w:jc w:val="both"/>
            </w:pPr>
            <w:r>
              <w:rPr>
                <w:sz w:val="21"/>
              </w:rPr>
              <w:t xml:space="preserve">       5、培训要求：磋商响应人应负责对采购人的使用、操作、维修、保养人员进行免费培训，并提供安装使用和维护说明。</w:t>
            </w:r>
          </w:p>
        </w:tc>
      </w:tr>
      <w:tr>
        <w:tc>
          <w:tcPr>
            <w:tcW w:type="dxa" w:w="2076"/>
          </w:tcPr>
          <w:p/>
        </w:tc>
        <w:tc>
          <w:tcPr>
            <w:tcW w:type="dxa" w:w="415"/>
          </w:tcPr>
          <w:p>
            <w:pPr>
              <w:pStyle w:val="null3"/>
            </w:pPr>
            <w:r>
              <w:rPr/>
              <w:t>12</w:t>
            </w:r>
          </w:p>
        </w:tc>
        <w:tc>
          <w:tcPr>
            <w:tcW w:type="dxa" w:w="5814"/>
          </w:tcPr>
          <w:p>
            <w:pPr>
              <w:pStyle w:val="null3"/>
              <w:jc w:val="both"/>
            </w:pPr>
            <w:r>
              <w:rPr>
                <w:sz w:val="21"/>
                <w:b/>
              </w:rPr>
              <w:t>十二、技术资料</w:t>
            </w:r>
          </w:p>
          <w:p>
            <w:pPr>
              <w:pStyle w:val="null3"/>
              <w:ind w:firstLine="420"/>
              <w:jc w:val="both"/>
            </w:pPr>
            <w:r>
              <w:rPr>
                <w:sz w:val="21"/>
              </w:rPr>
              <w:t>1、磋商响应人应于验收后向采购人提供验收报告，负责技术文档的归纳、整理、提交，并提供完整的技术资料。</w:t>
            </w:r>
          </w:p>
          <w:p>
            <w:pPr>
              <w:pStyle w:val="null3"/>
              <w:jc w:val="both"/>
            </w:pPr>
            <w:r>
              <w:rPr>
                <w:sz w:val="21"/>
              </w:rPr>
              <w:t xml:space="preserve">      2、磋商响应人须无偿提供采购人所需的有关的资料。</w:t>
            </w:r>
          </w:p>
        </w:tc>
      </w:tr>
      <w:tr>
        <w:tc>
          <w:tcPr>
            <w:tcW w:type="dxa" w:w="2076"/>
          </w:tcPr>
          <w:p/>
        </w:tc>
        <w:tc>
          <w:tcPr>
            <w:tcW w:type="dxa" w:w="415"/>
          </w:tcPr>
          <w:p>
            <w:pPr>
              <w:pStyle w:val="null3"/>
            </w:pPr>
            <w:r>
              <w:rPr/>
              <w:t>13</w:t>
            </w:r>
          </w:p>
        </w:tc>
        <w:tc>
          <w:tcPr>
            <w:tcW w:type="dxa" w:w="5814"/>
          </w:tcPr>
          <w:p>
            <w:pPr>
              <w:pStyle w:val="null3"/>
              <w:jc w:val="both"/>
            </w:pPr>
            <w:r>
              <w:rPr>
                <w:sz w:val="21"/>
                <w:b/>
              </w:rPr>
              <w:t>十三、其他要求</w:t>
            </w:r>
          </w:p>
          <w:p>
            <w:pPr>
              <w:pStyle w:val="null3"/>
              <w:ind w:firstLine="440"/>
              <w:jc w:val="both"/>
            </w:pPr>
            <w:r>
              <w:rPr>
                <w:sz w:val="21"/>
              </w:rPr>
              <w:t>1、成交人须对项目实施提供必要的技术支持和服务保证。</w:t>
            </w:r>
          </w:p>
          <w:p>
            <w:pPr>
              <w:pStyle w:val="null3"/>
              <w:ind w:firstLine="440"/>
              <w:jc w:val="both"/>
            </w:pPr>
            <w:r>
              <w:rPr>
                <w:sz w:val="21"/>
              </w:rPr>
              <w:t>2、最终成果要求：成交人提交的项目成果质量必须符合项目要求且通过采购人的验收。</w:t>
            </w:r>
          </w:p>
          <w:p>
            <w:pPr>
              <w:pStyle w:val="null3"/>
              <w:ind w:firstLine="440"/>
              <w:jc w:val="both"/>
            </w:pPr>
            <w:r>
              <w:rPr>
                <w:sz w:val="21"/>
              </w:rPr>
              <w:t>3、项目缺陷责任期自工程通过竣工验收之日起算，在项目缺陷责任期内成交人须承担因施工质量问题而造成的返修，其费用由成交人负责。若因成交人原因给采购人或第三方造成损失，成交人须承担赔偿责任，成交人须在采购人要求的期限内完成采购人通知要求更换或维修的任务，并达到合格标准，若成交人未满足对采购人的维修承诺，或不在规定的期限内派人更换、维修，采购人不再另行通知，有权委托其他施工队伍更换、维修，发生的费用及成交人为此应承担的违约责任按合同违约责任条款执行，采购人因成交人违约而委托他人对工程进行维修，不解除成交人对本工程的保修责任，返修费用由成交人承担。</w:t>
            </w:r>
          </w:p>
          <w:p>
            <w:pPr>
              <w:pStyle w:val="null3"/>
              <w:ind w:firstLine="440"/>
              <w:jc w:val="both"/>
            </w:pPr>
            <w:r>
              <w:rPr>
                <w:sz w:val="21"/>
              </w:rPr>
              <w:t>4、工程质量不合格、不符合设计标准、达不到设计要求，或施工程序不按施工规范的，采购人有权要求成交人停工和返工，因停工和返工造成的一切损失由成交人自行承担，工期不予顺延。</w:t>
            </w:r>
          </w:p>
          <w:p>
            <w:pPr>
              <w:pStyle w:val="null3"/>
              <w:ind w:firstLine="440"/>
              <w:jc w:val="both"/>
            </w:pPr>
            <w:r>
              <w:rPr>
                <w:sz w:val="21"/>
              </w:rPr>
              <w:t>5、发生须紧急抢修事故的，成交人在接到事故通知后，应当立即到达事故现场抢修。</w:t>
            </w:r>
          </w:p>
          <w:p>
            <w:pPr>
              <w:pStyle w:val="null3"/>
              <w:jc w:val="both"/>
            </w:pPr>
            <w:r>
              <w:rPr>
                <w:sz w:val="21"/>
              </w:rPr>
              <w:t xml:space="preserve">       6、因成交人原因致使工程在国家规定的工程合理使用期限内造成人身和财产损害的，成交人应承担赔偿责任。</w:t>
            </w:r>
          </w:p>
        </w:tc>
      </w:tr>
      <w:tr>
        <w:tc>
          <w:tcPr>
            <w:tcW w:type="dxa" w:w="2076"/>
          </w:tcPr>
          <w:p/>
        </w:tc>
        <w:tc>
          <w:tcPr>
            <w:tcW w:type="dxa" w:w="415"/>
          </w:tcPr>
          <w:p>
            <w:pPr>
              <w:pStyle w:val="null3"/>
            </w:pPr>
            <w:r>
              <w:rPr/>
              <w:t>14</w:t>
            </w:r>
          </w:p>
        </w:tc>
        <w:tc>
          <w:tcPr>
            <w:tcW w:type="dxa" w:w="5814"/>
          </w:tcPr>
          <w:p>
            <w:pPr>
              <w:pStyle w:val="null3"/>
              <w:jc w:val="both"/>
            </w:pPr>
            <w:r>
              <w:rPr>
                <w:sz w:val="21"/>
                <w:b/>
              </w:rPr>
              <w:t>十四、</w:t>
            </w:r>
            <w:r>
              <w:rPr>
                <w:sz w:val="21"/>
                <w:b/>
              </w:rPr>
              <w:t>项目工程量清单、图纸</w:t>
            </w:r>
          </w:p>
          <w:p>
            <w:pPr>
              <w:pStyle w:val="null3"/>
              <w:jc w:val="both"/>
            </w:pPr>
            <w:r>
              <w:rPr>
                <w:sz w:val="21"/>
                <w:b/>
              </w:rPr>
              <w:t>详细工程量清单及施工图随磋商文件一同发出</w:t>
            </w:r>
            <w:r>
              <w:rPr>
                <w:sz w:val="21"/>
                <w:b/>
              </w:rPr>
              <w:t>(详见采购公告附件)。</w:t>
            </w:r>
            <w:r>
              <w:rPr>
                <w:sz w:val="21"/>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1.采购代理机构：本项目是指广东达信工程管理有限公司，负责整个采购活动的组织，依法负责编制和发布磋商文件，对磋商文件拥有最终的解释权，不以任何身份出任磋商小组成员。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东莞市交通运输局沙田分局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代理服务费参照国家计委[计价格[2002]1980号]文和国家发改委[发改价格[2011]534号]文及相关规定收取，按差额定率累进法计算，以中标（成交）通知书中确定的成交总金额作为收费的计算依据。</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 xml:space="preserve">（2）非加密电子版文件 U 盘(或光盘) </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说明：具体情况根据开标时现场代理机构人员设置为准</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广东达信工程管理有限公司</w:t>
      </w:r>
      <w:r>
        <w:rPr/>
        <w:t>代收。具体操作要求详见</w:t>
      </w:r>
      <w:r>
        <w:rPr/>
        <w:t>广东达信工程管理有限公司</w:t>
      </w:r>
      <w:r>
        <w:rPr/>
        <w:t>有关指引，递交事宜请自行咨询</w:t>
      </w:r>
      <w:r>
        <w:rPr/>
        <w:t>广东达信工程管理有限公司</w:t>
      </w:r>
      <w:r>
        <w:rPr/>
        <w:t>；请各供应商在响应文件递交截止时间前按须知前附表规定的金额递交至</w:t>
      </w:r>
      <w:r>
        <w:rPr/>
        <w:t>广东达信工程管理有限公司</w:t>
      </w:r>
      <w:r>
        <w:rPr/>
        <w:t>，到账情况以开启时</w:t>
      </w:r>
      <w:r>
        <w:rPr/>
        <w:t>广东达信工程管理有限公司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中国东莞沙田频道网站(http://www.dg.gov.cn/shatian/)</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中国东莞沙田频道网站(http://www.dg.gov.cn/shatian/)</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胡工</w:t>
      </w:r>
    </w:p>
    <w:p>
      <w:pPr>
        <w:pStyle w:val="null3"/>
        <w:ind w:firstLine="480"/>
      </w:pPr>
      <w:r>
        <w:rPr/>
        <w:t>电话：</w:t>
      </w:r>
      <w:r>
        <w:rPr/>
        <w:t>0769-89801001</w:t>
      </w:r>
    </w:p>
    <w:p>
      <w:pPr>
        <w:pStyle w:val="null3"/>
        <w:ind w:firstLine="480"/>
      </w:pPr>
      <w:r>
        <w:rPr/>
        <w:t>传真：</w:t>
      </w:r>
      <w:r>
        <w:rPr/>
        <w:t>/</w:t>
      </w:r>
    </w:p>
    <w:p>
      <w:pPr>
        <w:pStyle w:val="null3"/>
        <w:ind w:firstLine="480"/>
      </w:pPr>
      <w:r>
        <w:rPr/>
        <w:t>邮箱：</w:t>
      </w:r>
      <w:r>
        <w:rPr/>
        <w:t>693238105@qq.com</w:t>
      </w:r>
    </w:p>
    <w:p>
      <w:pPr>
        <w:pStyle w:val="null3"/>
        <w:ind w:firstLine="480"/>
      </w:pPr>
      <w:r>
        <w:rPr/>
        <w:t>地址：</w:t>
      </w:r>
      <w:r>
        <w:rPr/>
        <w:t>东莞市莞城街道东城路莞城段33号方中金澳花园A座六楼623室</w:t>
      </w:r>
    </w:p>
    <w:p>
      <w:pPr>
        <w:pStyle w:val="null3"/>
        <w:ind w:firstLine="480"/>
      </w:pPr>
      <w:r>
        <w:rPr/>
        <w:t>邮编：</w:t>
      </w:r>
      <w:r>
        <w:rPr/>
        <w:t>523000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沙田镇道路交通标线修复完善工程)：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广东达信工程管理有限公司</w:t>
      </w:r>
      <w:r>
        <w:rPr/>
        <w:t>统一对外发布。</w:t>
      </w:r>
    </w:p>
    <w:p>
      <w:pPr>
        <w:pStyle w:val="null3"/>
        <w:ind w:firstLine="480"/>
      </w:pPr>
      <w:r>
        <w:rPr/>
        <w:t>（2）对</w:t>
      </w:r>
      <w:r>
        <w:rPr/>
        <w:t>广东达信工程管理有限公司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采购包1（沙田镇道路交通标线修复完善工程）：</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采购包1（沙田镇道路交通标线修复完善工程）：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供应商必须是具有独立承担民事责任能力的法人或其他组织，响应文件中须提供法人或其他组织的营业执照等证明文件的复印件。分支机构参与响应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提供响应截止日前6个月内任意1个月依法缴纳税收和社会保障资金的相关材料。如依法免税或不需要缴纳社会保障资金的，须提供相应证明材料。或响应文件中提供《资格条件承诺函》。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提供磋商截止日前3年内任意1年的财务状况报告或提供基本开户行出具的资信证明。或响应文件中提供《资格条件承诺函》。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按响应文件格式填报设备及专业技术能力情况。或响应文件中提供《资格条件承诺函》。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响应文件中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严重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8</w:t>
            </w:r>
          </w:p>
        </w:tc>
        <w:tc>
          <w:tcPr>
            <w:tcW w:type="dxa" w:w="3178"/>
          </w:tcPr>
          <w:p>
            <w:pPr>
              <w:pStyle w:val="null3"/>
            </w:pPr>
            <w:r>
              <w:rPr/>
              <w:t>特定资格</w:t>
            </w:r>
          </w:p>
        </w:tc>
        <w:tc>
          <w:tcPr>
            <w:tcW w:type="dxa" w:w="4238"/>
          </w:tcPr>
          <w:p>
            <w:pPr>
              <w:pStyle w:val="null3"/>
            </w:pPr>
            <w:r>
              <w:rPr/>
              <w:t>①供应商须具有由国家建设主管部门颁发的并在有效期内的市政公用工程总承包三级或以上资质。（须提供证书复印件，并加盖供应商公章。） ②供应商须具有建设行政主管部门颁发并在有效期内的《安全生产许可证》。（须提供证书复印件，并加盖供应商公章。）</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全部服务的承接方应为中小微企业、监狱企业或残疾人福利性单位【依据《中小企业声明函》或由省级以上监狱管理局、戒毒管理局(含新疆生产建设兵团)出具的承接方属于监狱企业的证明文件或承接方的《残疾人福利性单位声明函》】。</w:t>
            </w:r>
          </w:p>
        </w:tc>
      </w:tr>
    </w:tbl>
    <w:p>
      <w:pPr>
        <w:pStyle w:val="null3"/>
        <w:ind w:firstLine="480"/>
      </w:pPr>
      <w:r>
        <w:rPr/>
        <w:t>表二符合性审查表：</w:t>
      </w:r>
    </w:p>
    <w:p>
      <w:pPr>
        <w:pStyle w:val="null3"/>
      </w:pPr>
      <w:r>
        <w:rPr/>
        <w:t>采购包1（沙田镇道路交通标线修复完善工程）：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报价要求</w:t>
            </w:r>
          </w:p>
        </w:tc>
        <w:tc>
          <w:tcPr>
            <w:tcW w:type="dxa" w:w="4238"/>
          </w:tcPr>
          <w:p>
            <w:pPr>
              <w:pStyle w:val="null3"/>
            </w:pPr>
            <w:r>
              <w:rPr/>
              <w:t>按磋商文件要求报价、未超过项目预算或未超过项目限价。</w:t>
            </w:r>
          </w:p>
        </w:tc>
      </w:tr>
      <w:tr>
        <w:tc>
          <w:tcPr>
            <w:tcW w:type="dxa" w:w="890"/>
          </w:tcPr>
          <w:p>
            <w:pPr>
              <w:pStyle w:val="null3"/>
            </w:pPr>
            <w:r>
              <w:rPr/>
              <w:t>2</w:t>
            </w:r>
          </w:p>
        </w:tc>
        <w:tc>
          <w:tcPr>
            <w:tcW w:type="dxa" w:w="3178"/>
          </w:tcPr>
          <w:p>
            <w:pPr>
              <w:pStyle w:val="null3"/>
            </w:pPr>
            <w:r>
              <w:rPr/>
              <w:t>制作、签署及盖章</w:t>
            </w:r>
          </w:p>
        </w:tc>
        <w:tc>
          <w:tcPr>
            <w:tcW w:type="dxa" w:w="4238"/>
          </w:tcPr>
          <w:p>
            <w:pPr>
              <w:pStyle w:val="null3"/>
            </w:pPr>
            <w:r>
              <w:rPr/>
              <w:t>按照磋商文件规定要求制作、签署、盖章。</w:t>
            </w:r>
          </w:p>
        </w:tc>
      </w:tr>
      <w:tr>
        <w:tc>
          <w:tcPr>
            <w:tcW w:type="dxa" w:w="890"/>
          </w:tcPr>
          <w:p>
            <w:pPr>
              <w:pStyle w:val="null3"/>
            </w:pPr>
            <w:r>
              <w:rPr/>
              <w:t>3</w:t>
            </w:r>
          </w:p>
        </w:tc>
        <w:tc>
          <w:tcPr>
            <w:tcW w:type="dxa" w:w="3178"/>
          </w:tcPr>
          <w:p>
            <w:pPr>
              <w:pStyle w:val="null3"/>
            </w:pPr>
            <w:r>
              <w:rPr/>
              <w:t>投标有效期及标的提供的时间</w:t>
            </w:r>
          </w:p>
        </w:tc>
        <w:tc>
          <w:tcPr>
            <w:tcW w:type="dxa" w:w="4238"/>
          </w:tcPr>
          <w:p>
            <w:pPr>
              <w:pStyle w:val="null3"/>
            </w:pPr>
            <w:r>
              <w:rPr/>
              <w:t>投标有效期及标的提供的时间符合要求。</w:t>
            </w:r>
          </w:p>
        </w:tc>
      </w:tr>
      <w:tr>
        <w:tc>
          <w:tcPr>
            <w:tcW w:type="dxa" w:w="890"/>
          </w:tcPr>
          <w:p>
            <w:pPr>
              <w:pStyle w:val="null3"/>
            </w:pPr>
            <w:r>
              <w:rPr/>
              <w:t>4</w:t>
            </w:r>
          </w:p>
        </w:tc>
        <w:tc>
          <w:tcPr>
            <w:tcW w:type="dxa" w:w="3178"/>
          </w:tcPr>
          <w:p>
            <w:pPr>
              <w:pStyle w:val="null3"/>
            </w:pPr>
            <w:r>
              <w:rPr/>
              <w:t>实质性响应条款</w:t>
            </w:r>
          </w:p>
        </w:tc>
        <w:tc>
          <w:tcPr>
            <w:tcW w:type="dxa" w:w="4238"/>
          </w:tcPr>
          <w:p>
            <w:pPr>
              <w:pStyle w:val="null3"/>
            </w:pPr>
            <w:r>
              <w:rPr/>
              <w:t>满足磋商文件采购需求中带“★”要求。</w:t>
            </w:r>
          </w:p>
        </w:tc>
      </w:tr>
      <w:tr>
        <w:tc>
          <w:tcPr>
            <w:tcW w:type="dxa" w:w="890"/>
          </w:tcPr>
          <w:p>
            <w:pPr>
              <w:pStyle w:val="null3"/>
            </w:pPr>
            <w:r>
              <w:rPr/>
              <w:t>5</w:t>
            </w:r>
          </w:p>
        </w:tc>
        <w:tc>
          <w:tcPr>
            <w:tcW w:type="dxa" w:w="3178"/>
          </w:tcPr>
          <w:p>
            <w:pPr>
              <w:pStyle w:val="null3"/>
            </w:pPr>
            <w:r>
              <w:rPr/>
              <w:t>附加条件</w:t>
            </w:r>
          </w:p>
        </w:tc>
        <w:tc>
          <w:tcPr>
            <w:tcW w:type="dxa" w:w="4238"/>
          </w:tcPr>
          <w:p>
            <w:pPr>
              <w:pStyle w:val="null3"/>
            </w:pPr>
            <w:r>
              <w:rPr/>
              <w:t>响应文件未含有采购人不能接受的附加条件。</w:t>
            </w:r>
          </w:p>
        </w:tc>
      </w:tr>
      <w:tr>
        <w:tc>
          <w:tcPr>
            <w:tcW w:type="dxa" w:w="890"/>
          </w:tcPr>
          <w:p>
            <w:pPr>
              <w:pStyle w:val="null3"/>
            </w:pPr>
            <w:r>
              <w:rPr/>
              <w:t>6</w:t>
            </w:r>
          </w:p>
        </w:tc>
        <w:tc>
          <w:tcPr>
            <w:tcW w:type="dxa" w:w="3178"/>
          </w:tcPr>
          <w:p>
            <w:pPr>
              <w:pStyle w:val="null3"/>
            </w:pPr>
            <w:r>
              <w:rPr/>
              <w:t>其他情形</w:t>
            </w:r>
          </w:p>
        </w:tc>
        <w:tc>
          <w:tcPr>
            <w:tcW w:type="dxa" w:w="4238"/>
          </w:tcPr>
          <w:p>
            <w:pPr>
              <w:pStyle w:val="null3"/>
            </w:pPr>
            <w:r>
              <w:rPr/>
              <w:t>响应文件中未有法律、法规和磋商文件规定的其他无效情形。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采购包1(沙田镇道路交通标线修复完善工程):</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技术部分60.0分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项目实施计划方案 (10.0分)</w:t>
            </w:r>
          </w:p>
        </w:tc>
        <w:tc>
          <w:tcPr>
            <w:tcW w:type="dxa" w:w="5076"/>
          </w:tcPr>
          <w:p>
            <w:pPr>
              <w:pStyle w:val="null3"/>
              <w:jc w:val="left"/>
            </w:pPr>
            <w:r>
              <w:rPr/>
              <w:t>根据供应商所提供的实施计划方案（包括施工组织方案、人员安排与材料、机械设备等）进行评审： ①实施计划方案完整、施工流程具体可行、详细明确，人员与材料、机械设备安排合理，完全符合磋商文件要求的，得10分； ②实施计划方案完整可行，人员与材料、机械设备安排合理，符合磋商文件的，得7分； ③实施计划方案可行性一般，人员与材料、机械设备安排合理性一般，基本符合磋商文件要求的，得4分；④实施计划方案可行性差，未提供人员与材料、机械设备安排，不能满足磋商文件的，得1分；⑤未提供对应方案不得分。</w:t>
            </w:r>
          </w:p>
        </w:tc>
      </w:tr>
      <w:tr>
        <w:tc>
          <w:tcPr>
            <w:tcW w:type="dxa" w:w="922"/>
            <w:gridSpan w:val="2"/>
            <w:vMerge/>
          </w:tcPr>
          <w:p/>
        </w:tc>
        <w:tc>
          <w:tcPr>
            <w:tcW w:type="dxa" w:w="2307"/>
          </w:tcPr>
          <w:p>
            <w:pPr>
              <w:pStyle w:val="null3"/>
              <w:jc w:val="left"/>
            </w:pPr>
            <w:r>
              <w:rPr/>
              <w:t>施工进度计划及工期保证措施 (10.0分)</w:t>
            </w:r>
          </w:p>
        </w:tc>
        <w:tc>
          <w:tcPr>
            <w:tcW w:type="dxa" w:w="5076"/>
          </w:tcPr>
          <w:p>
            <w:pPr>
              <w:pStyle w:val="null3"/>
              <w:jc w:val="left"/>
            </w:pPr>
            <w:r>
              <w:rPr/>
              <w:t>根据供应商对本项目所采取的施工进度计划及工期保证措施进行评审： ①施工进度计划安排合理，工期保证措施科学、详尽，流程清晰、配置充分，完全符合磋商文件要求的，得10分； ②施工进度计划安排合理，工期保证措施合理，符合磋商文件的，得7分； ③施工进度计划安排一般，工期保证措施简单，基本符合磋商文件要求的，得4分； ④施工进度计划安排不可行，工期保证措施差，不能满足磋商文件的，得1分； ⑤未提供对应方案不得分。</w:t>
            </w:r>
          </w:p>
        </w:tc>
      </w:tr>
      <w:tr>
        <w:tc>
          <w:tcPr>
            <w:tcW w:type="dxa" w:w="922"/>
            <w:gridSpan w:val="2"/>
            <w:vMerge/>
          </w:tcPr>
          <w:p/>
        </w:tc>
        <w:tc>
          <w:tcPr>
            <w:tcW w:type="dxa" w:w="2307"/>
          </w:tcPr>
          <w:p>
            <w:pPr>
              <w:pStyle w:val="null3"/>
              <w:jc w:val="left"/>
            </w:pPr>
            <w:r>
              <w:rPr/>
              <w:t>质量保证措施 (10.0分)</w:t>
            </w:r>
          </w:p>
        </w:tc>
        <w:tc>
          <w:tcPr>
            <w:tcW w:type="dxa" w:w="5076"/>
          </w:tcPr>
          <w:p>
            <w:pPr>
              <w:pStyle w:val="null3"/>
              <w:jc w:val="left"/>
            </w:pPr>
            <w:r>
              <w:rPr/>
              <w:t>根据供应商提供的质量保证措施进行评审： ①质量保证措施非常具体全面、合理性、可行性强，得10分； ②质量保证措施比较具体全面、合理性、可行性较强，得7分； ③质量保证措施基本合理全面、合理性、可行性一般，得4分； ④质量保证措施措施不够合理全面、合理性、可行性较差，得1分；⑤未提供对应方案不得分。</w:t>
            </w:r>
          </w:p>
        </w:tc>
      </w:tr>
      <w:tr>
        <w:tc>
          <w:tcPr>
            <w:tcW w:type="dxa" w:w="922"/>
            <w:gridSpan w:val="2"/>
            <w:vMerge/>
          </w:tcPr>
          <w:p/>
        </w:tc>
        <w:tc>
          <w:tcPr>
            <w:tcW w:type="dxa" w:w="2307"/>
          </w:tcPr>
          <w:p>
            <w:pPr>
              <w:pStyle w:val="null3"/>
              <w:jc w:val="left"/>
            </w:pPr>
            <w:r>
              <w:rPr/>
              <w:t>安全文明施工、环保措施 (10.0分)</w:t>
            </w:r>
          </w:p>
        </w:tc>
        <w:tc>
          <w:tcPr>
            <w:tcW w:type="dxa" w:w="5076"/>
          </w:tcPr>
          <w:p>
            <w:pPr>
              <w:pStyle w:val="null3"/>
              <w:jc w:val="left"/>
            </w:pPr>
            <w:r>
              <w:rPr/>
              <w:t>根据供应商对本项目实施所采取的安全文明施工、环保措施进行评审： ①安全目标明确，安全文明施工、环保措施具体可行、详细准确，完全符合磋商文件要求的，得10分； ②安全目标明确，安全文明施工、环保措施可行，符合磋商文件的，得7分； ③安全目标相对明确，安全文明施工、环保措施描述简单，基本符合磋商文件要求的，得4分； ④安全目标不明确，安全文明施工、环保措施方案描述简单不可行，不能满足磋商文件的，得1分；⑤未提供对应方案不得分。</w:t>
            </w:r>
          </w:p>
        </w:tc>
      </w:tr>
      <w:tr>
        <w:tc>
          <w:tcPr>
            <w:tcW w:type="dxa" w:w="922"/>
            <w:gridSpan w:val="2"/>
            <w:vMerge/>
          </w:tcPr>
          <w:p/>
        </w:tc>
        <w:tc>
          <w:tcPr>
            <w:tcW w:type="dxa" w:w="2307"/>
          </w:tcPr>
          <w:p>
            <w:pPr>
              <w:pStyle w:val="null3"/>
              <w:jc w:val="left"/>
            </w:pPr>
            <w:r>
              <w:rPr/>
              <w:t>应急处置方案 (10.0分)</w:t>
            </w:r>
          </w:p>
        </w:tc>
        <w:tc>
          <w:tcPr>
            <w:tcW w:type="dxa" w:w="5076"/>
          </w:tcPr>
          <w:p>
            <w:pPr>
              <w:pStyle w:val="null3"/>
              <w:jc w:val="left"/>
            </w:pPr>
            <w:r>
              <w:rPr/>
              <w:t>根据供应商针对本项目特点制定的应急处置方案（包括但不限于应急响应时间、人员和设备调配、责任分工、紧急处置预案等）进行评审： ①方案完整齐全，科学合理、处理方案可行，完全符合磋商文件要求的，得10分； ②方案基本完整，处理方案可行，符合磋商文件的，得7分； ③方案简单，可行性一般，基本符合磋商文件要求的，得4分； ④方案简单，处理方案不可行，不能满足磋商文件的，得1分；⑤未提供对应方案不得分。</w:t>
            </w:r>
          </w:p>
        </w:tc>
      </w:tr>
      <w:tr>
        <w:tc>
          <w:tcPr>
            <w:tcW w:type="dxa" w:w="922"/>
            <w:gridSpan w:val="2"/>
            <w:vMerge/>
          </w:tcPr>
          <w:p/>
        </w:tc>
        <w:tc>
          <w:tcPr>
            <w:tcW w:type="dxa" w:w="2307"/>
          </w:tcPr>
          <w:p>
            <w:pPr>
              <w:pStyle w:val="null3"/>
              <w:jc w:val="left"/>
            </w:pPr>
            <w:r>
              <w:rPr/>
              <w:t>规章管理制度 (5.0分)</w:t>
            </w:r>
          </w:p>
        </w:tc>
        <w:tc>
          <w:tcPr>
            <w:tcW w:type="dxa" w:w="5076"/>
          </w:tcPr>
          <w:p>
            <w:pPr>
              <w:pStyle w:val="null3"/>
              <w:jc w:val="left"/>
            </w:pPr>
            <w:r>
              <w:rPr/>
              <w:t>根据供应商提供的内部管理制度方案的合理性、科学性、全面性以及是否适用进行综合评审： ①制度完整合理、科学性、全面性、可行性强，完全满足并优于招标文件要求，得5分； ②制度基本完整、科学性、全面性、可行性强，基本符合招标文件要求，得3分； ③制度不完整、科学性、全面性、可行性一般，不符合招标文件要求，得1分； ④未提供对应方案不得分。</w:t>
            </w:r>
          </w:p>
        </w:tc>
      </w:tr>
      <w:tr>
        <w:tc>
          <w:tcPr>
            <w:tcW w:type="dxa" w:w="922"/>
            <w:gridSpan w:val="2"/>
            <w:vMerge/>
          </w:tcPr>
          <w:p/>
        </w:tc>
        <w:tc>
          <w:tcPr>
            <w:tcW w:type="dxa" w:w="2307"/>
          </w:tcPr>
          <w:p>
            <w:pPr>
              <w:pStyle w:val="null3"/>
              <w:jc w:val="left"/>
            </w:pPr>
            <w:r>
              <w:rPr/>
              <w:t>验收方案 (5.0分)</w:t>
            </w:r>
          </w:p>
        </w:tc>
        <w:tc>
          <w:tcPr>
            <w:tcW w:type="dxa" w:w="5076"/>
          </w:tcPr>
          <w:p>
            <w:pPr>
              <w:pStyle w:val="null3"/>
              <w:jc w:val="left"/>
            </w:pPr>
            <w:r>
              <w:rPr/>
              <w:t>供应商根据采购需求内容提供的验收方案(包括不限于验收措施方案、竣工清场方案等)进行评审： ①验收措施方案非常具体合理、可操作性强，竣工清场方案完全符合本项目要求的，得5分； ② 验收措施方案一般、可操作性与合理性一般，竣工清场方案基本符合本项目要求的，得3分； ③验收方案简单，针对性差，可行性差，得1分； ④未提供方案不得分。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 (25.0分)</w:t>
            </w:r>
          </w:p>
        </w:tc>
        <w:tc>
          <w:tcPr>
            <w:tcW w:type="dxa" w:w="5076"/>
          </w:tcPr>
          <w:p>
            <w:pPr>
              <w:pStyle w:val="null3"/>
              <w:jc w:val="left"/>
            </w:pPr>
            <w:r>
              <w:rPr/>
              <w:t>供应商具有市政工程类项目业绩的，每个业绩得5分，最高得25分。 注：须提供相关业绩合同关键页复印件（包括但不限于签订合同各单位名称、项目名称、服务内容、签订合同双方的落款盖章），不提供不得分。</w:t>
            </w:r>
          </w:p>
        </w:tc>
      </w:tr>
      <w:tr>
        <w:tc>
          <w:tcPr>
            <w:tcW w:type="dxa" w:w="922"/>
            <w:gridSpan w:val="2"/>
            <w:vMerge/>
          </w:tcPr>
          <w:p/>
        </w:tc>
        <w:tc>
          <w:tcPr>
            <w:tcW w:type="dxa" w:w="2307"/>
          </w:tcPr>
          <w:p>
            <w:pPr>
              <w:pStyle w:val="null3"/>
              <w:jc w:val="left"/>
            </w:pPr>
            <w:r>
              <w:rPr/>
              <w:t>售后服务承诺 (5.0分)</w:t>
            </w:r>
          </w:p>
        </w:tc>
        <w:tc>
          <w:tcPr>
            <w:tcW w:type="dxa" w:w="5076"/>
          </w:tcPr>
          <w:p>
            <w:pPr>
              <w:pStyle w:val="null3"/>
              <w:jc w:val="left"/>
            </w:pPr>
            <w:r>
              <w:rPr/>
              <w:t>根据供应商收到采购人的紧急服务需求后项目负责人的响应时间进行评分：（1）承诺1小时内(含)响应并能到达现场的，得5分；（2）承诺1-2小时内(含)响应并能到达现场的，得3分；（3）承诺2小时以上响应并到达现场的，得1分。注：供应商须提供承诺函(格式自拟)并加盖公章，不符合以上要求得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36"/>
        </w:rPr>
        <w:t>合同编号：</w:t>
      </w:r>
      <w:r>
        <w:rPr>
          <w:b/>
        </w:rPr>
        <w:t xml:space="preserve">        </w:t>
      </w:r>
    </w:p>
    <w:p>
      <w:pPr>
        <w:pStyle w:val="null3"/>
        <w:jc w:val="both"/>
      </w:pPr>
      <w:r>
        <w:rPr>
          <w:sz w:val="48"/>
        </w:rPr>
        <w:t>沙田镇道路交通标线修复完善工程</w:t>
      </w:r>
    </w:p>
    <w:p>
      <w:pPr>
        <w:pStyle w:val="null3"/>
        <w:jc w:val="both"/>
      </w:pPr>
      <w:r>
        <w:rPr/>
        <w:t xml:space="preserve"> </w:t>
      </w:r>
    </w:p>
    <w:p>
      <w:pPr>
        <w:pStyle w:val="null3"/>
        <w:ind w:firstLine="2389"/>
        <w:jc w:val="both"/>
      </w:pPr>
      <w:r>
        <w:rPr/>
        <w:t xml:space="preserve"> </w:t>
      </w:r>
    </w:p>
    <w:p>
      <w:pPr>
        <w:pStyle w:val="null3"/>
        <w:ind w:firstLine="2389"/>
        <w:jc w:val="both"/>
      </w:pPr>
      <w:r>
        <w:rPr>
          <w:sz w:val="32"/>
          <w:b/>
        </w:rPr>
        <w:t>合同编号：</w:t>
      </w:r>
      <w:r>
        <w:rPr>
          <w:b/>
          <w:u w:val="single"/>
        </w:rPr>
        <w:t xml:space="preserve">                             </w:t>
      </w:r>
    </w:p>
    <w:p>
      <w:pPr>
        <w:pStyle w:val="null3"/>
        <w:ind w:firstLine="984"/>
        <w:jc w:val="both"/>
      </w:pPr>
      <w:r>
        <w:rPr/>
        <w:t xml:space="preserve"> </w:t>
      </w:r>
    </w:p>
    <w:p>
      <w:pPr>
        <w:pStyle w:val="null3"/>
        <w:ind w:firstLine="2389"/>
        <w:jc w:val="both"/>
      </w:pPr>
      <w:r>
        <w:rPr/>
        <w:t xml:space="preserve"> </w:t>
      </w:r>
    </w:p>
    <w:p>
      <w:pPr>
        <w:pStyle w:val="null3"/>
        <w:ind w:firstLine="2389"/>
        <w:jc w:val="both"/>
      </w:pPr>
      <w:r>
        <w:rPr>
          <w:sz w:val="32"/>
          <w:b/>
        </w:rPr>
        <w:t>签约地点：</w:t>
      </w:r>
      <w:r>
        <w:rPr>
          <w:b/>
          <w:u w:val="single"/>
        </w:rPr>
        <w:t xml:space="preserve">                             </w:t>
      </w:r>
    </w:p>
    <w:p>
      <w:pPr>
        <w:pStyle w:val="null3"/>
        <w:ind w:firstLine="480"/>
        <w:jc w:val="both"/>
      </w:pPr>
      <w:r>
        <w:rPr/>
        <w:t xml:space="preserve"> </w:t>
      </w:r>
    </w:p>
    <w:p>
      <w:pPr>
        <w:pStyle w:val="null3"/>
        <w:jc w:val="center"/>
      </w:pPr>
      <w:r>
        <w:rPr/>
        <w:t xml:space="preserve"> </w:t>
      </w:r>
    </w:p>
    <w:p>
      <w:pPr>
        <w:pStyle w:val="null3"/>
        <w:jc w:val="center"/>
      </w:pPr>
      <w:r>
        <w:rPr>
          <w:sz w:val="32"/>
          <w:b/>
        </w:rPr>
        <w:t>签订日期：</w:t>
      </w:r>
      <w:r>
        <w:rPr>
          <w:b/>
        </w:rPr>
        <w:t xml:space="preserve">      </w:t>
      </w:r>
      <w:r>
        <w:rPr>
          <w:sz w:val="32"/>
          <w:b/>
        </w:rPr>
        <w:t>年</w:t>
      </w:r>
      <w:r>
        <w:rPr>
          <w:sz w:val="32"/>
          <w:b/>
        </w:rPr>
        <w:t xml:space="preserve">    </w:t>
      </w:r>
      <w:r>
        <w:rPr>
          <w:sz w:val="32"/>
          <w:b/>
        </w:rPr>
        <w:t>月</w:t>
      </w:r>
      <w:r>
        <w:rPr>
          <w:sz w:val="32"/>
          <w:b/>
        </w:rPr>
        <w:t xml:space="preserve">     </w:t>
      </w:r>
      <w:r>
        <w:rPr>
          <w:sz w:val="32"/>
          <w:b/>
        </w:rPr>
        <w:t>日</w:t>
      </w:r>
    </w:p>
    <w:p>
      <w:pPr>
        <w:pStyle w:val="null3"/>
        <w:jc w:val="both"/>
      </w:pPr>
      <w:r>
        <w:rPr/>
        <w:t xml:space="preserve"> </w:t>
      </w:r>
    </w:p>
    <w:p>
      <w:pPr>
        <w:pStyle w:val="null3"/>
        <w:jc w:val="both"/>
      </w:pPr>
      <w:r>
        <w:rPr/>
        <w:t xml:space="preserve"> </w:t>
      </w:r>
    </w:p>
    <w:p>
      <w:pPr>
        <w:pStyle w:val="null3"/>
        <w:ind w:firstLine="440"/>
        <w:jc w:val="both"/>
      </w:pPr>
      <w:r>
        <w:rPr>
          <w:sz w:val="24"/>
        </w:rPr>
        <w:t>甲方（</w:t>
      </w:r>
      <w:r>
        <w:rPr>
          <w:sz w:val="24"/>
        </w:rPr>
        <w:t>甲方</w:t>
      </w:r>
      <w:r>
        <w:rPr>
          <w:sz w:val="24"/>
        </w:rPr>
        <w:t>）：</w:t>
      </w:r>
      <w:r>
        <w:rPr>
          <w:sz w:val="24"/>
        </w:rPr>
        <w:t xml:space="preserve">                                </w:t>
      </w:r>
      <w:r>
        <w:rPr>
          <w:sz w:val="24"/>
        </w:rPr>
        <w:t>合同编号：</w:t>
      </w:r>
    </w:p>
    <w:p>
      <w:pPr>
        <w:pStyle w:val="null3"/>
        <w:ind w:firstLine="440"/>
        <w:jc w:val="both"/>
      </w:pPr>
      <w:r>
        <w:rPr>
          <w:sz w:val="24"/>
        </w:rPr>
        <w:t>乙方（成交人）：</w:t>
      </w:r>
      <w:r>
        <w:rPr>
          <w:sz w:val="24"/>
        </w:rPr>
        <w:t xml:space="preserve">                                </w:t>
      </w:r>
      <w:r>
        <w:rPr>
          <w:sz w:val="24"/>
        </w:rPr>
        <w:t>签约地点：</w:t>
      </w:r>
    </w:p>
    <w:p>
      <w:pPr>
        <w:pStyle w:val="null3"/>
        <w:ind w:firstLine="220"/>
        <w:jc w:val="both"/>
      </w:pPr>
      <w:r>
        <w:rPr>
          <w:sz w:val="24"/>
        </w:rPr>
        <w:t>甲、乙双方根据</w:t>
      </w:r>
      <w:r>
        <w:rPr>
          <w:u w:val="single"/>
        </w:rPr>
        <w:t xml:space="preserve">       </w:t>
      </w:r>
      <w:r>
        <w:rPr>
          <w:sz w:val="24"/>
          <w:u w:val="single"/>
        </w:rPr>
        <w:t>（项目编号：</w:t>
      </w:r>
      <w:r>
        <w:rPr>
          <w:u w:val="single"/>
        </w:rPr>
        <w:t xml:space="preserve">    </w:t>
      </w:r>
      <w:r>
        <w:rPr>
          <w:u w:val="single"/>
        </w:rPr>
        <w:t xml:space="preserve"> </w:t>
      </w:r>
      <w:r>
        <w:rPr>
          <w:sz w:val="24"/>
          <w:u w:val="single"/>
        </w:rPr>
        <w:t>）</w:t>
      </w:r>
      <w:r>
        <w:rPr>
          <w:sz w:val="24"/>
        </w:rPr>
        <w:t>采购的结果，以及磋商文件、磋商文件补充或澄清文件，乙方的响应文件及各种书面承诺，并经双方协调一致，签订本合同。</w:t>
      </w:r>
    </w:p>
    <w:p>
      <w:pPr>
        <w:pStyle w:val="null3"/>
        <w:ind w:firstLine="480"/>
        <w:jc w:val="both"/>
      </w:pPr>
      <w:r>
        <w:rPr>
          <w:sz w:val="24"/>
          <w:b/>
        </w:rPr>
        <w:t>一、合同金额：</w:t>
      </w:r>
    </w:p>
    <w:p>
      <w:pPr>
        <w:pStyle w:val="null3"/>
        <w:ind w:firstLine="480"/>
        <w:jc w:val="both"/>
      </w:pPr>
      <w:r>
        <w:rPr>
          <w:sz w:val="24"/>
        </w:rPr>
        <w:t>合同总价：</w:t>
      </w:r>
      <w:r>
        <w:rPr>
          <w:sz w:val="24"/>
          <w:u w:val="single"/>
        </w:rPr>
        <w:t xml:space="preserve">           </w:t>
      </w:r>
      <w:r>
        <w:rPr>
          <w:sz w:val="24"/>
          <w:u w:val="single"/>
        </w:rPr>
        <w:t>元</w:t>
      </w:r>
      <w:r>
        <w:rPr>
          <w:sz w:val="24"/>
        </w:rPr>
        <w:t>，（人民币</w:t>
      </w:r>
      <w:r>
        <w:rPr>
          <w:sz w:val="24"/>
          <w:u w:val="single"/>
        </w:rPr>
        <w:t>大写：</w:t>
      </w:r>
      <w:r>
        <w:rPr>
          <w:sz w:val="24"/>
          <w:u w:val="single"/>
        </w:rPr>
        <w:t xml:space="preserve">         </w:t>
      </w:r>
      <w:r>
        <w:rPr>
          <w:sz w:val="24"/>
        </w:rPr>
        <w:t>）。</w:t>
      </w:r>
    </w:p>
    <w:p>
      <w:pPr>
        <w:pStyle w:val="null3"/>
        <w:ind w:firstLine="440"/>
        <w:jc w:val="both"/>
      </w:pPr>
      <w:r>
        <w:rPr>
          <w:sz w:val="24"/>
        </w:rPr>
        <w:t>其中，合同总价包括：绿色施工安全防护措施费（固定报价）</w:t>
      </w:r>
      <w:r>
        <w:rPr>
          <w:sz w:val="24"/>
        </w:rPr>
        <w:t>:</w:t>
      </w:r>
      <w:r>
        <w:rPr>
          <w:sz w:val="24"/>
          <w:u w:val="single"/>
        </w:rPr>
        <w:t xml:space="preserve"> </w:t>
      </w:r>
      <w:r>
        <w:rPr>
          <w:sz w:val="24"/>
          <w:u w:val="single"/>
        </w:rPr>
        <w:t>¥</w:t>
      </w:r>
      <w:r>
        <w:rPr>
          <w:u w:val="single"/>
        </w:rPr>
        <w:t xml:space="preserve">      </w:t>
      </w:r>
      <w:r>
        <w:rPr>
          <w:sz w:val="24"/>
          <w:u w:val="single"/>
        </w:rPr>
        <w:t>元</w:t>
      </w:r>
      <w:r>
        <w:rPr>
          <w:sz w:val="24"/>
        </w:rPr>
        <w:t>，（人民币</w:t>
      </w:r>
      <w:r>
        <w:rPr>
          <w:sz w:val="24"/>
          <w:u w:val="single"/>
        </w:rPr>
        <w:t>大写：</w:t>
      </w:r>
      <w:r>
        <w:rPr>
          <w:u w:val="single"/>
        </w:rPr>
        <w:t xml:space="preserve">     </w:t>
      </w:r>
      <w:r>
        <w:rPr>
          <w:sz w:val="24"/>
        </w:rPr>
        <w:t>）。</w:t>
      </w:r>
    </w:p>
    <w:p>
      <w:pPr>
        <w:pStyle w:val="null3"/>
        <w:ind w:firstLine="480"/>
        <w:jc w:val="both"/>
      </w:pPr>
      <w:r>
        <w:rPr>
          <w:sz w:val="24"/>
          <w:b/>
        </w:rPr>
        <w:t>二、完工期</w:t>
      </w:r>
    </w:p>
    <w:p>
      <w:pPr>
        <w:pStyle w:val="null3"/>
        <w:ind w:firstLine="440"/>
        <w:jc w:val="both"/>
      </w:pPr>
      <w:r>
        <w:rPr>
          <w:sz w:val="24"/>
        </w:rPr>
        <w:t>（</w:t>
      </w:r>
      <w:r>
        <w:rPr>
          <w:sz w:val="24"/>
        </w:rPr>
        <w:t>1</w:t>
      </w:r>
      <w:r>
        <w:rPr>
          <w:sz w:val="24"/>
        </w:rPr>
        <w:t>）完工期：</w:t>
      </w:r>
      <w:r>
        <w:rPr>
          <w:sz w:val="24"/>
        </w:rPr>
        <w:t>60</w:t>
      </w:r>
      <w:r>
        <w:rPr>
          <w:sz w:val="24"/>
        </w:rPr>
        <w:t>个日历天内完成施工（开工日期以</w:t>
      </w:r>
      <w:r>
        <w:rPr>
          <w:sz w:val="24"/>
        </w:rPr>
        <w:t>甲方</w:t>
      </w:r>
      <w:r>
        <w:rPr>
          <w:sz w:val="24"/>
        </w:rPr>
        <w:t>发出的开工通知载明的日期起算）。</w:t>
      </w:r>
    </w:p>
    <w:p>
      <w:pPr>
        <w:pStyle w:val="null3"/>
        <w:ind w:firstLine="480"/>
        <w:jc w:val="both"/>
      </w:pPr>
      <w:r>
        <w:rPr>
          <w:sz w:val="24"/>
          <w:b/>
        </w:rPr>
        <w:t>三、项目缺陷责任期</w:t>
      </w:r>
    </w:p>
    <w:p>
      <w:pPr>
        <w:pStyle w:val="null3"/>
        <w:ind w:firstLine="440"/>
        <w:jc w:val="both"/>
      </w:pPr>
      <w:r>
        <w:rPr>
          <w:sz w:val="24"/>
        </w:rPr>
        <w:t>（</w:t>
      </w:r>
      <w:r>
        <w:rPr>
          <w:sz w:val="24"/>
        </w:rPr>
        <w:t>1</w:t>
      </w:r>
      <w:r>
        <w:rPr>
          <w:sz w:val="24"/>
        </w:rPr>
        <w:t>）</w:t>
      </w:r>
      <w:r>
        <w:rPr>
          <w:sz w:val="24"/>
        </w:rPr>
        <w:t>自工程竣工验收合格之日起</w:t>
      </w:r>
      <w:r>
        <w:rPr>
          <w:sz w:val="24"/>
        </w:rPr>
        <w:t>2</w:t>
      </w:r>
      <w:r>
        <w:rPr>
          <w:sz w:val="24"/>
        </w:rPr>
        <w:t>年，具体按合同相应条款要求执行</w:t>
      </w:r>
      <w:r>
        <w:rPr>
          <w:sz w:val="24"/>
        </w:rPr>
        <w:t>，项目缺陷责任期内所产生的由于质量原因的维修费用由乙方承担。</w:t>
      </w:r>
    </w:p>
    <w:p>
      <w:pPr>
        <w:pStyle w:val="null3"/>
        <w:ind w:firstLine="480"/>
        <w:jc w:val="both"/>
      </w:pPr>
      <w:r>
        <w:rPr>
          <w:sz w:val="24"/>
          <w:b/>
        </w:rPr>
        <w:t>四、付款方法</w:t>
      </w:r>
    </w:p>
    <w:p>
      <w:pPr>
        <w:pStyle w:val="null3"/>
        <w:ind w:firstLine="440"/>
        <w:jc w:val="both"/>
      </w:pPr>
      <w:r>
        <w:rPr>
          <w:sz w:val="24"/>
        </w:rPr>
        <w:t>（</w:t>
      </w:r>
      <w:r>
        <w:rPr>
          <w:sz w:val="24"/>
        </w:rPr>
        <w:t>1</w:t>
      </w:r>
      <w:r>
        <w:rPr>
          <w:sz w:val="24"/>
        </w:rPr>
        <w:t>）合同签订后，甲方向乙方支付合同价</w:t>
      </w:r>
      <w:r>
        <w:rPr>
          <w:sz w:val="24"/>
        </w:rPr>
        <w:t>20%</w:t>
      </w:r>
      <w:r>
        <w:rPr>
          <w:sz w:val="24"/>
        </w:rPr>
        <w:t>作为工程预付款。 （</w:t>
      </w:r>
      <w:r>
        <w:rPr>
          <w:sz w:val="24"/>
        </w:rPr>
        <w:t>2</w:t>
      </w:r>
      <w:r>
        <w:rPr>
          <w:sz w:val="24"/>
        </w:rPr>
        <w:t>）按月工程进度付进度款的</w:t>
      </w:r>
      <w:r>
        <w:rPr>
          <w:sz w:val="24"/>
        </w:rPr>
        <w:t>80%</w:t>
      </w:r>
      <w:r>
        <w:rPr>
          <w:sz w:val="24"/>
        </w:rPr>
        <w:t>，甲方收到乙方工程款申请及经有关部门核实工程量后</w:t>
      </w:r>
      <w:r>
        <w:rPr>
          <w:sz w:val="24"/>
        </w:rPr>
        <w:t>30</w:t>
      </w:r>
      <w:r>
        <w:rPr>
          <w:sz w:val="24"/>
        </w:rPr>
        <w:t>个工作日内支付。 （</w:t>
      </w:r>
      <w:r>
        <w:rPr>
          <w:sz w:val="24"/>
        </w:rPr>
        <w:t>3</w:t>
      </w:r>
      <w:r>
        <w:rPr>
          <w:sz w:val="24"/>
        </w:rPr>
        <w:t>）工程款支付达合同价</w:t>
      </w:r>
      <w:r>
        <w:rPr>
          <w:sz w:val="24"/>
        </w:rPr>
        <w:t>80%</w:t>
      </w:r>
      <w:r>
        <w:rPr>
          <w:sz w:val="24"/>
        </w:rPr>
        <w:t>时不再按进度付款；工程结算完毕后，提交请款报告</w:t>
      </w:r>
      <w:r>
        <w:rPr>
          <w:sz w:val="24"/>
        </w:rPr>
        <w:t>30</w:t>
      </w:r>
      <w:r>
        <w:rPr>
          <w:sz w:val="24"/>
        </w:rPr>
        <w:t>个工作日内付至结算价的</w:t>
      </w:r>
      <w:r>
        <w:rPr>
          <w:sz w:val="24"/>
        </w:rPr>
        <w:t>97%</w:t>
      </w:r>
      <w:r>
        <w:rPr>
          <w:sz w:val="24"/>
        </w:rPr>
        <w:t>，剩余</w:t>
      </w:r>
      <w:r>
        <w:rPr>
          <w:sz w:val="24"/>
        </w:rPr>
        <w:t>3%</w:t>
      </w:r>
      <w:r>
        <w:rPr>
          <w:sz w:val="24"/>
        </w:rPr>
        <w:t>工程款作为工程质量保证金。（</w:t>
      </w:r>
      <w:r>
        <w:rPr>
          <w:sz w:val="24"/>
        </w:rPr>
        <w:t>4</w:t>
      </w:r>
      <w:r>
        <w:rPr>
          <w:sz w:val="24"/>
        </w:rPr>
        <w:t>）支付比例</w:t>
      </w:r>
      <w:r>
        <w:rPr>
          <w:sz w:val="24"/>
        </w:rPr>
        <w:t>3%,</w:t>
      </w:r>
      <w:r>
        <w:rPr>
          <w:sz w:val="24"/>
        </w:rPr>
        <w:t>待工程项目缺陷责任期结束后，甲方自收到发票</w:t>
      </w:r>
      <w:r>
        <w:rPr>
          <w:sz w:val="24"/>
        </w:rPr>
        <w:t>30</w:t>
      </w:r>
      <w:r>
        <w:rPr>
          <w:sz w:val="24"/>
        </w:rPr>
        <w:t>个工作日内向乙方支付剩余款项。 （</w:t>
      </w:r>
      <w:r>
        <w:rPr>
          <w:sz w:val="24"/>
        </w:rPr>
        <w:t>5</w:t>
      </w:r>
      <w:r>
        <w:rPr>
          <w:sz w:val="24"/>
        </w:rPr>
        <w:t>）本工程中的变更调整的合同价款及其他条款中约定的追加合同价款，其中减少工程的工程款在支付工程进度款前先行扣减；所有调整合同价款中属增加工程部分的，在工程竣工结算时支付。</w:t>
      </w:r>
      <w:r>
        <w:rPr>
          <w:sz w:val="24"/>
        </w:rPr>
        <w:t>（</w:t>
      </w:r>
      <w:r>
        <w:rPr>
          <w:sz w:val="24"/>
        </w:rPr>
        <w:t>6</w:t>
      </w:r>
      <w:r>
        <w:rPr>
          <w:sz w:val="24"/>
        </w:rPr>
        <w:t>）上述工程款（含增加工程款）的剩余部分在质量缺陷责任（贰年）期满，提交请款报告</w:t>
      </w:r>
      <w:r>
        <w:rPr>
          <w:sz w:val="24"/>
        </w:rPr>
        <w:t>30</w:t>
      </w:r>
      <w:r>
        <w:rPr>
          <w:sz w:val="24"/>
        </w:rPr>
        <w:t>个工作日内付清。 （</w:t>
      </w:r>
      <w:r>
        <w:rPr>
          <w:sz w:val="24"/>
        </w:rPr>
        <w:t>7</w:t>
      </w:r>
      <w:r>
        <w:rPr>
          <w:sz w:val="24"/>
        </w:rPr>
        <w:t>）乙方必须保质保量的完成保修范围内的工程保修，否则甲方有权扣除相应部分的保修金。</w:t>
      </w:r>
      <w:r>
        <w:rPr>
          <w:sz w:val="24"/>
        </w:rPr>
        <w:t>说明：付款前乙方应向甲方提出请款申请及所需的材料和等额合法发票，且发票名称必需与乙方完全一致。如因乙方怠于或者拒绝提供资料或者办理手续等乙方原因以及甲方财政审核原因导致的付款迟延，不以违约论，乙方不得以此为由暂停施工。</w:t>
      </w:r>
    </w:p>
    <w:p>
      <w:pPr>
        <w:pStyle w:val="null3"/>
        <w:ind w:firstLine="480"/>
        <w:jc w:val="both"/>
      </w:pPr>
      <w:r>
        <w:rPr>
          <w:sz w:val="24"/>
          <w:b/>
        </w:rPr>
        <w:t>五、项目概况</w:t>
      </w:r>
    </w:p>
    <w:p>
      <w:pPr>
        <w:pStyle w:val="null3"/>
        <w:ind w:firstLine="440"/>
        <w:jc w:val="both"/>
      </w:pPr>
      <w:r>
        <w:rPr>
          <w:sz w:val="24"/>
          <w:u w:val="single"/>
        </w:rPr>
        <w:t>（详见采购文件</w:t>
      </w:r>
      <w:r>
        <w:rPr>
          <w:sz w:val="24"/>
          <w:u w:val="single"/>
        </w:rPr>
        <w:t>“第二章 采购需求”。）</w:t>
      </w:r>
    </w:p>
    <w:p>
      <w:pPr>
        <w:pStyle w:val="null3"/>
        <w:ind w:firstLine="420"/>
      </w:pPr>
      <w:r>
        <w:rPr>
          <w:sz w:val="24"/>
          <w:b/>
        </w:rPr>
        <w:t>六、项目实施内容</w:t>
      </w:r>
    </w:p>
    <w:p>
      <w:pPr>
        <w:pStyle w:val="null3"/>
        <w:ind w:firstLine="440"/>
        <w:jc w:val="both"/>
      </w:pPr>
      <w:r>
        <w:rPr>
          <w:sz w:val="24"/>
          <w:u w:val="single"/>
        </w:rPr>
        <w:t>（详见采购文件</w:t>
      </w:r>
      <w:r>
        <w:rPr>
          <w:sz w:val="24"/>
          <w:u w:val="single"/>
        </w:rPr>
        <w:t>“第二章 采购需求”。）</w:t>
      </w:r>
    </w:p>
    <w:p>
      <w:pPr>
        <w:pStyle w:val="null3"/>
        <w:ind w:firstLine="480"/>
        <w:jc w:val="both"/>
      </w:pPr>
      <w:r>
        <w:rPr>
          <w:sz w:val="24"/>
          <w:b/>
        </w:rPr>
        <w:t>七、争议的解决</w:t>
      </w:r>
    </w:p>
    <w:p>
      <w:pPr>
        <w:pStyle w:val="null3"/>
        <w:ind w:left="420" w:firstLine="480"/>
        <w:jc w:val="both"/>
      </w:pPr>
      <w:r>
        <w:rPr>
          <w:sz w:val="24"/>
        </w:rPr>
        <w:t>本合同自签订之日起即自动生效，执行过程中若发生纠纷。经调解无效，送东莞市人民法院解决。</w:t>
      </w:r>
    </w:p>
    <w:p>
      <w:pPr>
        <w:pStyle w:val="null3"/>
        <w:ind w:firstLine="480"/>
        <w:jc w:val="both"/>
      </w:pPr>
      <w:r>
        <w:rPr>
          <w:sz w:val="24"/>
          <w:b/>
        </w:rPr>
        <w:t>八、合同生效</w:t>
      </w:r>
    </w:p>
    <w:p>
      <w:pPr>
        <w:pStyle w:val="null3"/>
        <w:ind w:firstLine="440"/>
        <w:jc w:val="both"/>
      </w:pPr>
      <w:r>
        <w:rPr>
          <w:sz w:val="24"/>
        </w:rPr>
        <w:t>本合同由双方法定代表人或委托代理人签字盖章后立即生效，具有同等法律效力，服务期由合同签定日至</w:t>
      </w:r>
      <w:r>
        <w:rPr>
          <w:u w:val="single"/>
        </w:rPr>
        <w:t xml:space="preserve">   </w:t>
      </w:r>
      <w:r>
        <w:rPr>
          <w:sz w:val="24"/>
        </w:rPr>
        <w:t>年</w:t>
      </w:r>
      <w:r>
        <w:rPr>
          <w:u w:val="single"/>
        </w:rPr>
        <w:t xml:space="preserve">   </w:t>
      </w:r>
      <w:r>
        <w:rPr>
          <w:sz w:val="24"/>
        </w:rPr>
        <w:t>月</w:t>
      </w:r>
      <w:r>
        <w:rPr>
          <w:u w:val="single"/>
        </w:rPr>
        <w:t xml:space="preserve">   </w:t>
      </w:r>
      <w:r>
        <w:rPr>
          <w:sz w:val="24"/>
        </w:rPr>
        <w:t>日，合同有效期随服务期结束而自然终止。</w:t>
      </w:r>
    </w:p>
    <w:p>
      <w:pPr>
        <w:pStyle w:val="null3"/>
        <w:ind w:left="420" w:firstLine="480"/>
        <w:jc w:val="both"/>
      </w:pPr>
      <w:r>
        <w:rPr>
          <w:sz w:val="24"/>
        </w:rPr>
        <w:t>本合同一式</w:t>
      </w:r>
      <w:r>
        <w:rPr>
          <w:i/>
          <w:u w:val="single"/>
        </w:rPr>
        <w:t xml:space="preserve"> </w:t>
      </w:r>
      <w:r>
        <w:rPr>
          <w:u w:val="single"/>
        </w:rPr>
        <w:t xml:space="preserve">   </w:t>
      </w:r>
      <w:r>
        <w:rPr>
          <w:sz w:val="24"/>
        </w:rPr>
        <w:t>份，其中甲方</w:t>
      </w:r>
      <w:r>
        <w:rPr>
          <w:u w:val="single"/>
        </w:rPr>
        <w:t xml:space="preserve">    </w:t>
      </w:r>
      <w:r>
        <w:rPr>
          <w:sz w:val="24"/>
        </w:rPr>
        <w:t>份、乙方</w:t>
      </w:r>
      <w:r>
        <w:rPr>
          <w:u w:val="single"/>
        </w:rPr>
        <w:t xml:space="preserve">    </w:t>
      </w:r>
      <w:r>
        <w:rPr>
          <w:sz w:val="24"/>
        </w:rPr>
        <w:t>份，采购代理机构</w:t>
      </w:r>
      <w:r>
        <w:rPr>
          <w:sz w:val="24"/>
          <w:u w:val="single"/>
        </w:rPr>
        <w:t xml:space="preserve"> </w:t>
      </w:r>
      <w:r>
        <w:rPr>
          <w:sz w:val="24"/>
          <w:u w:val="single"/>
        </w:rPr>
        <w:t>壹</w:t>
      </w:r>
      <w:r>
        <w:rPr>
          <w:sz w:val="24"/>
        </w:rPr>
        <w:t>份。</w:t>
      </w:r>
    </w:p>
    <w:p>
      <w:pPr>
        <w:pStyle w:val="null3"/>
        <w:ind w:firstLine="480"/>
        <w:jc w:val="both"/>
      </w:pPr>
      <w:r>
        <w:rPr>
          <w:sz w:val="24"/>
          <w:b/>
        </w:rPr>
        <w:t>九、其它</w:t>
      </w:r>
    </w:p>
    <w:p>
      <w:pPr>
        <w:pStyle w:val="null3"/>
        <w:ind w:firstLine="440"/>
        <w:jc w:val="both"/>
      </w:pPr>
      <w:r>
        <w:rPr>
          <w:sz w:val="24"/>
        </w:rPr>
        <w:t>本合同未尽事宜，双方签订补充合同。签订补充合同与本合同具有同等法律效力。</w:t>
      </w:r>
    </w:p>
    <w:p>
      <w:pPr>
        <w:pStyle w:val="null3"/>
        <w:ind w:left="420" w:firstLine="480"/>
        <w:jc w:val="both"/>
      </w:pPr>
      <w:r>
        <w:rPr>
          <w:sz w:val="24"/>
        </w:rPr>
        <w:t>本项目磋商文件及澄清文件，乙方的响应文件和各种书面承诺均作为本合同的附件，具有同等的法律效力。</w:t>
      </w:r>
    </w:p>
    <w:p>
      <w:pPr>
        <w:pStyle w:val="null3"/>
        <w:ind w:firstLine="480"/>
        <w:jc w:val="both"/>
      </w:pPr>
      <w:r>
        <w:rPr>
          <w:sz w:val="24"/>
        </w:rPr>
        <w:t xml:space="preserve">    </w:t>
      </w:r>
      <w:r>
        <w:rPr>
          <w:sz w:val="24"/>
        </w:rPr>
        <w:t>甲方：</w:t>
      </w:r>
      <w:r>
        <w:rPr>
          <w:u w:val="single"/>
        </w:rPr>
        <w:t xml:space="preserve">                      </w:t>
      </w:r>
      <w:r>
        <w:rPr>
          <w:sz w:val="24"/>
        </w:rPr>
        <w:t xml:space="preserve">           </w:t>
      </w:r>
      <w:r>
        <w:rPr>
          <w:sz w:val="24"/>
        </w:rPr>
        <w:t>乙方：</w:t>
      </w:r>
      <w:r>
        <w:rPr>
          <w:u w:val="single"/>
        </w:rPr>
        <w:t xml:space="preserve">                  </w:t>
      </w:r>
    </w:p>
    <w:p>
      <w:pPr>
        <w:pStyle w:val="null3"/>
        <w:ind w:firstLine="880"/>
        <w:jc w:val="both"/>
      </w:pPr>
      <w:r>
        <w:rPr>
          <w:sz w:val="24"/>
        </w:rPr>
        <w:t>地址：</w:t>
      </w:r>
      <w:r>
        <w:rPr>
          <w:u w:val="single"/>
        </w:rPr>
        <w:t xml:space="preserve">                     </w:t>
      </w:r>
      <w:r>
        <w:rPr/>
        <w:t xml:space="preserve">             </w:t>
      </w:r>
      <w:r>
        <w:rPr>
          <w:sz w:val="24"/>
        </w:rPr>
        <w:t>地址：</w:t>
      </w:r>
      <w:r>
        <w:rPr>
          <w:u w:val="single"/>
        </w:rPr>
        <w:t xml:space="preserve">                   </w:t>
      </w:r>
    </w:p>
    <w:p>
      <w:pPr>
        <w:pStyle w:val="null3"/>
        <w:ind w:firstLine="880"/>
        <w:jc w:val="both"/>
      </w:pPr>
      <w:r>
        <w:rPr>
          <w:sz w:val="24"/>
        </w:rPr>
        <w:t>法定代表人：</w:t>
      </w:r>
      <w:r>
        <w:rPr>
          <w:u w:val="single"/>
        </w:rPr>
        <w:t xml:space="preserve">                 </w:t>
      </w:r>
      <w:r>
        <w:rPr>
          <w:sz w:val="24"/>
        </w:rPr>
        <w:t xml:space="preserve">           </w:t>
      </w:r>
      <w:r>
        <w:rPr>
          <w:sz w:val="24"/>
        </w:rPr>
        <w:t>法定代表人：</w:t>
      </w:r>
      <w:r>
        <w:rPr>
          <w:u w:val="single"/>
        </w:rPr>
        <w:t xml:space="preserve">                </w:t>
      </w:r>
    </w:p>
    <w:p>
      <w:pPr>
        <w:pStyle w:val="null3"/>
        <w:ind w:firstLine="880"/>
        <w:jc w:val="both"/>
      </w:pPr>
      <w:r>
        <w:rPr>
          <w:sz w:val="24"/>
        </w:rPr>
        <w:t>委托代理人：</w:t>
      </w:r>
      <w:r>
        <w:rPr>
          <w:u w:val="single"/>
        </w:rPr>
        <w:t xml:space="preserve">                 </w:t>
      </w:r>
      <w:r>
        <w:rPr>
          <w:sz w:val="24"/>
        </w:rPr>
        <w:t xml:space="preserve">           </w:t>
      </w:r>
      <w:r>
        <w:rPr>
          <w:sz w:val="24"/>
        </w:rPr>
        <w:t>委托代理人：</w:t>
      </w:r>
      <w:r>
        <w:rPr>
          <w:u w:val="single"/>
        </w:rPr>
        <w:t xml:space="preserve">                </w:t>
      </w:r>
    </w:p>
    <w:p>
      <w:pPr>
        <w:pStyle w:val="null3"/>
        <w:ind w:left="810" w:firstLine="110"/>
        <w:jc w:val="both"/>
      </w:pPr>
      <w:r>
        <w:rPr>
          <w:sz w:val="24"/>
        </w:rPr>
        <w:t>电话：</w:t>
      </w:r>
      <w:r>
        <w:rPr>
          <w:u w:val="single"/>
        </w:rPr>
        <w:t xml:space="preserve">                       </w:t>
      </w:r>
      <w:r>
        <w:rPr>
          <w:sz w:val="24"/>
        </w:rPr>
        <w:t xml:space="preserve">           </w:t>
      </w:r>
      <w:r>
        <w:rPr>
          <w:sz w:val="24"/>
        </w:rPr>
        <w:t>电</w:t>
      </w:r>
      <w:r>
        <w:rPr>
          <w:sz w:val="24"/>
        </w:rPr>
        <w:t xml:space="preserve">   </w:t>
      </w:r>
      <w:r>
        <w:rPr>
          <w:sz w:val="24"/>
        </w:rPr>
        <w:t>话：</w:t>
      </w:r>
      <w:r>
        <w:rPr>
          <w:u w:val="single"/>
        </w:rPr>
        <w:t xml:space="preserve">                  </w:t>
      </w:r>
    </w:p>
    <w:p>
      <w:pPr>
        <w:pStyle w:val="null3"/>
        <w:ind w:left="810" w:firstLine="110"/>
        <w:jc w:val="both"/>
      </w:pPr>
      <w:r>
        <w:rPr>
          <w:sz w:val="24"/>
        </w:rPr>
        <w:t>开户银行：</w:t>
      </w:r>
      <w:r>
        <w:rPr>
          <w:u w:val="single"/>
        </w:rPr>
        <w:t xml:space="preserve">                   </w:t>
      </w:r>
      <w:r>
        <w:rPr>
          <w:sz w:val="24"/>
        </w:rPr>
        <w:t xml:space="preserve">           </w:t>
      </w:r>
      <w:r>
        <w:rPr>
          <w:sz w:val="24"/>
        </w:rPr>
        <w:t>开户银行：</w:t>
      </w:r>
      <w:r>
        <w:rPr>
          <w:u w:val="single"/>
        </w:rPr>
        <w:t xml:space="preserve">                 </w:t>
      </w:r>
    </w:p>
    <w:p>
      <w:pPr>
        <w:pStyle w:val="null3"/>
        <w:ind w:left="810" w:firstLine="110"/>
        <w:jc w:val="both"/>
      </w:pPr>
      <w:r>
        <w:rPr>
          <w:sz w:val="24"/>
        </w:rPr>
        <w:t>账号：</w:t>
      </w:r>
      <w:r>
        <w:rPr>
          <w:u w:val="single"/>
        </w:rPr>
        <w:t xml:space="preserve">                     </w:t>
      </w:r>
      <w:r>
        <w:rPr>
          <w:sz w:val="24"/>
        </w:rPr>
        <w:t xml:space="preserve">            </w:t>
      </w:r>
      <w:r>
        <w:rPr>
          <w:sz w:val="24"/>
        </w:rPr>
        <w:t>账号：</w:t>
      </w:r>
      <w:r>
        <w:rPr>
          <w:u w:val="single"/>
        </w:rPr>
        <w:t xml:space="preserve">                  </w:t>
      </w:r>
    </w:p>
    <w:p>
      <w:pPr>
        <w:pStyle w:val="null3"/>
        <w:ind w:left="810" w:firstLine="110"/>
        <w:jc w:val="both"/>
      </w:pPr>
      <w:r>
        <w:rPr>
          <w:sz w:val="24"/>
        </w:rPr>
        <w:t>日期：</w:t>
      </w:r>
      <w:r>
        <w:rPr>
          <w:sz w:val="24"/>
        </w:rPr>
        <w:t xml:space="preserve">                                </w:t>
      </w:r>
      <w:r>
        <w:rPr>
          <w:sz w:val="24"/>
        </w:rPr>
        <w:t>日</w:t>
      </w:r>
      <w:r>
        <w:rPr>
          <w:sz w:val="24"/>
        </w:rPr>
        <w:t xml:space="preserve">  </w:t>
      </w:r>
      <w:r>
        <w:rPr>
          <w:sz w:val="24"/>
        </w:rPr>
        <w:t>期：</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441900030-2025-00575</w:t>
      </w:r>
    </w:p>
    <w:p>
      <w:pPr>
        <w:pStyle w:val="null3"/>
        <w:jc w:val="center"/>
        <w:outlineLvl w:val="3"/>
      </w:pPr>
      <w:r>
        <w:rPr>
          <w:sz w:val="24"/>
          <w:b/>
        </w:rPr>
        <w:t>采购项目编号：</w:t>
      </w:r>
      <w:r>
        <w:rPr>
          <w:sz w:val="24"/>
          <w:b/>
        </w:rPr>
        <w:t>441900030-2025-00575</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广东达信工程管理有限公司</w:t>
      </w:r>
    </w:p>
    <w:p>
      <w:pPr>
        <w:pStyle w:val="null3"/>
        <w:ind w:firstLine="480"/>
      </w:pPr>
      <w:r>
        <w:rPr/>
        <w:t xml:space="preserve"> 你方组织的</w:t>
      </w:r>
      <w:r>
        <w:rPr>
          <w:u w:val="single"/>
        </w:rPr>
        <w:t>“</w:t>
      </w:r>
      <w:r>
        <w:rPr>
          <w:u w:val="single"/>
        </w:rPr>
        <w:t>沙田镇道路交通标线修复完善工程</w:t>
      </w:r>
      <w:r>
        <w:rPr>
          <w:u w:val="single"/>
        </w:rPr>
        <w:t>”</w:t>
      </w:r>
      <w:r>
        <w:rPr/>
        <w:t>项目的竞争性磋商[采购项目编号为：</w:t>
      </w:r>
      <w:r>
        <w:rPr>
          <w:u w:val="single"/>
        </w:rPr>
        <w:t>441900030-2025-00575</w:t>
      </w:r>
      <w:r>
        <w:rPr/>
        <w:t>]，我方愿参与响应。</w:t>
      </w:r>
    </w:p>
    <w:p>
      <w:pPr>
        <w:pStyle w:val="null3"/>
        <w:ind w:firstLine="480"/>
      </w:pPr>
      <w:r>
        <w:rPr/>
        <w:t>我方确认收到贵方提供的</w:t>
      </w:r>
      <w:r>
        <w:rPr>
          <w:u w:val="single"/>
        </w:rPr>
        <w:t>“</w:t>
      </w:r>
      <w:r>
        <w:rPr>
          <w:u w:val="single"/>
        </w:rPr>
        <w:t>沙田镇道路交通标线修复完善工程</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广东达信工程管理有限公司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沙田镇道路交通标线修复完善工程</w:t>
      </w:r>
      <w:r>
        <w:rPr/>
        <w:t>”项目采购[采购项目编号为</w:t>
      </w:r>
      <w:r>
        <w:rPr/>
        <w:t>441900030-2025-00575</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东莞市交通运输局沙田分局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广东达信工程管理有限公司</w:t>
      </w:r>
    </w:p>
    <w:p>
      <w:pPr>
        <w:pStyle w:val="null3"/>
        <w:ind w:firstLine="480"/>
      </w:pPr>
      <w:r>
        <w:rPr/>
        <w:t>我单位参加贵公司组织的</w:t>
      </w:r>
      <w:r>
        <w:rPr/>
        <w:t>沙田镇道路交通标线修复完善工程</w:t>
      </w:r>
      <w:r>
        <w:rPr/>
        <w:t>（采购项目编号：</w:t>
      </w:r>
      <w:r>
        <w:rPr/>
        <w:t>441900030-2025-00575</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广东达信工程管理有限公司</w:t>
      </w:r>
    </w:p>
    <w:p>
      <w:pPr>
        <w:pStyle w:val="null3"/>
        <w:ind w:firstLine="480"/>
      </w:pPr>
      <w:r>
        <w:rPr/>
        <w:t>我单位已登记并准备参与“</w:t>
      </w:r>
      <w:r>
        <w:rPr/>
        <w:t>沙田镇道路交通标线修复完善工程</w:t>
      </w:r>
      <w:r>
        <w:rPr/>
        <w:t>”项目（采购项目编号：</w:t>
      </w:r>
      <w:r>
        <w:rPr/>
        <w:t>441900030-2025-00575</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administrator</dc:creator>
  <cp:lastModifiedBy>administrator</cp:lastModifiedBy>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