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outlineLvl w:val="0"/>
        <w:rPr>
          <w:rFonts w:hint="default" w:ascii="Times New Roman" w:hAnsi="Times New Roman" w:eastAsia="黑体" w:cs="Times New Roman"/>
          <w:bCs/>
          <w:spacing w:val="-6"/>
          <w:sz w:val="32"/>
          <w:szCs w:val="32"/>
          <w:highlight w:val="none"/>
          <w:shd w:val="clear" w:color="auto" w:fill="FFFFFF"/>
          <w:lang w:val="en-US" w:eastAsia="zh-CN"/>
        </w:rPr>
      </w:pPr>
      <w:r>
        <w:rPr>
          <w:rFonts w:hint="eastAsia" w:ascii="黑体" w:hAnsi="黑体" w:eastAsia="黑体" w:cs="黑体"/>
          <w:color w:val="000000"/>
          <w:kern w:val="2"/>
          <w:sz w:val="32"/>
          <w:szCs w:val="32"/>
          <w:highlight w:val="none"/>
          <w:lang w:val="en-US" w:eastAsia="zh-CN"/>
        </w:rPr>
        <w:t>附</w:t>
      </w:r>
      <w:r>
        <w:rPr>
          <w:rFonts w:hint="default" w:ascii="Times New Roman" w:hAnsi="Times New Roman" w:eastAsia="黑体" w:cs="Times New Roman"/>
          <w:color w:val="000000"/>
          <w:kern w:val="2"/>
          <w:sz w:val="32"/>
          <w:szCs w:val="32"/>
          <w:highlight w:val="none"/>
          <w:lang w:val="en-US" w:eastAsia="zh-CN"/>
        </w:rPr>
        <w:t>件</w:t>
      </w:r>
      <w:r>
        <w:rPr>
          <w:rFonts w:hint="default" w:ascii="Times New Roman" w:hAnsi="Times New Roman" w:eastAsia="黑体" w:cs="Times New Roman"/>
          <w:bCs/>
          <w:spacing w:val="-6"/>
          <w:sz w:val="32"/>
          <w:szCs w:val="32"/>
          <w:highlight w:val="none"/>
          <w:shd w:val="clear" w:color="auto" w:fill="FFFFFF"/>
          <w:lang w:val="en-US" w:eastAsia="zh-CN"/>
        </w:rPr>
        <w:t>3</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outlineLvl w:val="0"/>
        <w:rPr>
          <w:rFonts w:hint="eastAsia" w:ascii="Times New Roman" w:hAnsi="Times New Roman" w:eastAsia="黑体" w:cs="Times New Roman"/>
          <w:bCs/>
          <w:spacing w:val="-6"/>
          <w:sz w:val="32"/>
          <w:szCs w:val="32"/>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“首评估、首入表、首开放”</w:t>
      </w:r>
      <w:r>
        <w:rPr>
          <w:rFonts w:hint="eastAsia" w:ascii="方正小标宋简体" w:eastAsia="方正小标宋简体"/>
          <w:sz w:val="44"/>
          <w:szCs w:val="44"/>
          <w:highlight w:val="none"/>
          <w:lang w:eastAsia="zh-CN"/>
        </w:rPr>
        <w:t>资助</w:t>
      </w:r>
      <w:r>
        <w:rPr>
          <w:rFonts w:hint="eastAsia" w:ascii="方正小标宋简体" w:eastAsia="方正小标宋简体"/>
          <w:sz w:val="44"/>
          <w:szCs w:val="44"/>
          <w:highlight w:val="none"/>
        </w:rPr>
        <w:t>资金申报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highlight w:val="none"/>
        </w:rPr>
      </w:pPr>
      <w:r>
        <w:rPr>
          <w:rFonts w:hint="eastAsia" w:ascii="方正小标宋简体" w:eastAsia="方正小标宋简体"/>
          <w:sz w:val="44"/>
          <w:szCs w:val="44"/>
          <w:highlight w:val="none"/>
        </w:rPr>
        <w:t>操作指南</w:t>
      </w:r>
    </w:p>
    <w:p>
      <w:pPr>
        <w:jc w:val="center"/>
        <w:rPr>
          <w:b/>
          <w:bCs/>
          <w:sz w:val="32"/>
          <w:szCs w:val="32"/>
          <w:highlight w:val="none"/>
        </w:rPr>
      </w:pPr>
    </w:p>
    <w:p>
      <w:pPr>
        <w:ind w:firstLine="640" w:firstLineChars="200"/>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技术热线：</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12345转3（工作日9:00-1</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7</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:00）</w:t>
      </w:r>
    </w:p>
    <w:p>
      <w:pPr>
        <w:pStyle w:val="2"/>
        <w:bidi w:val="0"/>
        <w:ind w:firstLine="640" w:firstLineChars="200"/>
        <w:rPr>
          <w:rFonts w:hint="eastAsia" w:ascii="黑体" w:hAnsi="黑体" w:eastAsia="黑体" w:cs="黑体"/>
          <w:b w:val="0"/>
          <w:bCs w:val="0"/>
          <w:i w:val="0"/>
          <w:i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i w:val="0"/>
          <w:iCs w:val="0"/>
          <w:color w:val="000000" w:themeColor="text1"/>
          <w:sz w:val="32"/>
          <w:szCs w:val="32"/>
          <w:highlight w:val="none"/>
          <w:lang w:val="en-US" w:eastAsia="zh-CN"/>
          <w14:textFill>
            <w14:solidFill>
              <w14:schemeClr w14:val="tx1"/>
            </w14:solidFill>
          </w14:textFill>
        </w:rPr>
        <w:t>一、政策申报</w:t>
      </w:r>
    </w:p>
    <w:p>
      <w:pPr>
        <w:ind w:firstLine="640" w:firstLineChars="200"/>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Times New Roman"/>
          <w:color w:val="000000" w:themeColor="text1"/>
          <w:sz w:val="32"/>
          <w:szCs w:val="32"/>
          <w:highlight w:val="none"/>
          <w:lang w:val="en-US" w:eastAsia="zh-CN"/>
          <w14:textFill>
            <w14:solidFill>
              <w14:schemeClr w14:val="tx1"/>
            </w14:solidFill>
          </w14:textFill>
        </w:rPr>
        <w:t>申报企业登录“企莞家”企业综合服务平台</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https://zwfw.dg.gov.cn/dgecsp/#/guide/8babe3ca-6cf0-4972-9da5-1ff939d20d95</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Times New Roman"/>
          <w:color w:val="000000" w:themeColor="text1"/>
          <w:sz w:val="32"/>
          <w:szCs w:val="32"/>
          <w:highlight w:val="none"/>
          <w:lang w:val="en-US" w:eastAsia="zh-CN"/>
          <w14:textFill>
            <w14:solidFill>
              <w14:schemeClr w14:val="tx1"/>
            </w14:solidFill>
          </w14:textFill>
        </w:rPr>
        <w:t>，点击</w:t>
      </w:r>
      <w:r>
        <w:rPr>
          <w:rFonts w:hint="default" w:ascii="仿宋_GB2312" w:hAnsi="仿宋_GB2312" w:eastAsia="仿宋_GB2312" w:cs="Times New Roman"/>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Times New Roman"/>
          <w:color w:val="000000" w:themeColor="text1"/>
          <w:sz w:val="32"/>
          <w:szCs w:val="32"/>
          <w:highlight w:val="none"/>
          <w:lang w:val="en-US" w:eastAsia="zh-CN"/>
          <w14:textFill>
            <w14:solidFill>
              <w14:schemeClr w14:val="tx1"/>
            </w14:solidFill>
          </w14:textFill>
        </w:rPr>
        <w:t>申报入口”进行办理；或搜索打开“广东政务服务网”，选择“东莞市”，在首页点击“企莞家”平台入口进入平台。</w:t>
      </w:r>
    </w:p>
    <w:p>
      <w:pPr>
        <w:numPr>
          <w:ilvl w:val="0"/>
          <w:numId w:val="0"/>
        </w:numPr>
        <w:jc w:val="center"/>
        <w:rPr>
          <w:highlight w:val="none"/>
        </w:rPr>
      </w:pPr>
      <w:r>
        <w:rPr>
          <w:highlight w:val="none"/>
        </w:rPr>
        <w:drawing>
          <wp:inline distT="0" distB="0" distL="114300" distR="114300">
            <wp:extent cx="2969895" cy="3576320"/>
            <wp:effectExtent l="83185" t="76835" r="83820" b="933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
                    <a:stretch>
                      <a:fillRect/>
                    </a:stretch>
                  </pic:blipFill>
                  <pic:spPr>
                    <a:xfrm>
                      <a:off x="0" y="0"/>
                      <a:ext cx="2969895" cy="3576320"/>
                    </a:xfrm>
                    <a:prstGeom prst="rect">
                      <a:avLst/>
                    </a:prstGeom>
                    <a:effectLst>
                      <a:outerShdw blurRad="63500" sx="102000" sy="102000" algn="ctr" rotWithShape="0">
                        <a:prstClr val="black">
                          <a:alpha val="40000"/>
                        </a:prstClr>
                      </a:outerShdw>
                    </a:effectLst>
                  </pic:spPr>
                </pic:pic>
              </a:graphicData>
            </a:graphic>
          </wp:inline>
        </w:drawing>
      </w:r>
    </w:p>
    <w:p>
      <w:pPr>
        <w:ind w:firstLine="640" w:firstLineChars="200"/>
        <w:rPr>
          <w:rFonts w:hint="eastAsia" w:ascii="仿宋_GB2312" w:hAnsi="仿宋_GB2312" w:eastAsia="仿宋_GB2312" w:cs="仿宋_GB2312"/>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lang w:val="en-US" w:eastAsia="zh-CN"/>
        </w:rPr>
        <w:t>在“企莞家”首页，点击右上角“登录”按钮登录，登录后点击“我要享政策”。</w:t>
      </w:r>
    </w:p>
    <w:p>
      <w:pPr>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drawing>
          <wp:inline distT="0" distB="0" distL="114300" distR="114300">
            <wp:extent cx="5267960" cy="270637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7960" cy="2706370"/>
                    </a:xfrm>
                    <a:prstGeom prst="rect">
                      <a:avLst/>
                    </a:prstGeom>
                    <a:noFill/>
                    <a:ln>
                      <a:noFill/>
                    </a:ln>
                  </pic:spPr>
                </pic:pic>
              </a:graphicData>
            </a:graphic>
          </wp:inline>
        </w:drawing>
      </w:r>
    </w:p>
    <w:p>
      <w:pPr>
        <w:ind w:firstLine="640" w:firstLineChars="200"/>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3.</w:t>
      </w:r>
      <w:r>
        <w:rPr>
          <w:rFonts w:hint="default" w:ascii="Times New Roman" w:hAnsi="Times New Roman" w:eastAsia="仿宋_GB2312" w:cs="Times New Roman"/>
          <w:b w:val="0"/>
          <w:bCs w:val="0"/>
          <w:sz w:val="32"/>
          <w:szCs w:val="32"/>
          <w:highlight w:val="none"/>
          <w:lang w:val="en-US" w:eastAsia="zh-CN"/>
        </w:rPr>
        <w:t>点击【申报】，页面跳转后搜索事项名称，找到对应事项名称进入申报界面。</w:t>
      </w:r>
    </w:p>
    <w:p>
      <w:pPr>
        <w:numPr>
          <w:ilvl w:val="0"/>
          <w:numId w:val="0"/>
        </w:numPr>
        <w:rPr>
          <w:highlight w:val="none"/>
        </w:rPr>
      </w:pPr>
      <w:r>
        <w:rPr>
          <w:highlight w:val="none"/>
        </w:rPr>
        <w:drawing>
          <wp:inline distT="0" distB="0" distL="114300" distR="114300">
            <wp:extent cx="5270500" cy="2933700"/>
            <wp:effectExtent l="0" t="0" r="635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0500" cy="2933700"/>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default" w:ascii="仿宋_GB2312" w:hAnsi="仿宋_GB2312" w:eastAsia="仿宋_GB2312" w:cs="仿宋_GB2312"/>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4.</w:t>
      </w:r>
      <w:r>
        <w:rPr>
          <w:rFonts w:hint="default" w:ascii="Times New Roman" w:hAnsi="Times New Roman" w:eastAsia="仿宋_GB2312" w:cs="Times New Roman"/>
          <w:b w:val="0"/>
          <w:bCs w:val="0"/>
          <w:sz w:val="32"/>
          <w:szCs w:val="32"/>
          <w:highlight w:val="none"/>
          <w:lang w:val="en-US" w:eastAsia="zh-CN"/>
        </w:rPr>
        <w:t>进</w:t>
      </w:r>
      <w:r>
        <w:rPr>
          <w:rFonts w:hint="default" w:ascii="仿宋_GB2312" w:hAnsi="仿宋_GB2312" w:eastAsia="仿宋_GB2312" w:cs="仿宋_GB2312"/>
          <w:b w:val="0"/>
          <w:bCs w:val="0"/>
          <w:sz w:val="32"/>
          <w:szCs w:val="32"/>
          <w:highlight w:val="none"/>
          <w:lang w:val="en-US" w:eastAsia="zh-CN"/>
        </w:rPr>
        <w:t>入政策界面后可浏览政策相关信息，点击【申报入口】跳转至申报界面。</w:t>
      </w:r>
    </w:p>
    <w:p>
      <w:pPr>
        <w:numPr>
          <w:ilvl w:val="0"/>
          <w:numId w:val="0"/>
        </w:numPr>
        <w:jc w:val="center"/>
        <w:rPr>
          <w:highlight w:val="none"/>
        </w:rPr>
      </w:pPr>
      <w:r>
        <w:rPr>
          <w:highlight w:val="none"/>
        </w:rPr>
        <w:drawing>
          <wp:inline distT="0" distB="0" distL="114300" distR="114300">
            <wp:extent cx="5272405" cy="2837180"/>
            <wp:effectExtent l="0" t="0" r="4445" b="12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5272405" cy="2837180"/>
                    </a:xfrm>
                    <a:prstGeom prst="rect">
                      <a:avLst/>
                    </a:prstGeom>
                    <a:noFill/>
                    <a:ln>
                      <a:noFill/>
                    </a:ln>
                  </pic:spPr>
                </pic:pic>
              </a:graphicData>
            </a:graphic>
          </wp:inline>
        </w:drawing>
      </w: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default" w:ascii="仿宋_GB2312" w:hAnsi="仿宋_GB2312" w:eastAsia="仿宋_GB2312" w:cs="仿宋_GB2312"/>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5.进入申报界面</w:t>
      </w:r>
      <w:r>
        <w:rPr>
          <w:rFonts w:hint="default" w:ascii="仿宋_GB2312" w:hAnsi="仿宋_GB2312" w:eastAsia="仿宋_GB2312" w:cs="仿宋_GB2312"/>
          <w:b w:val="0"/>
          <w:bCs w:val="0"/>
          <w:sz w:val="32"/>
          <w:szCs w:val="32"/>
          <w:highlight w:val="none"/>
          <w:lang w:val="en-US" w:eastAsia="zh-CN"/>
        </w:rPr>
        <w:t>后，按照实际情况勾选“办理条件自检”。</w:t>
      </w:r>
    </w:p>
    <w:p>
      <w:pPr>
        <w:numPr>
          <w:ilvl w:val="0"/>
          <w:numId w:val="0"/>
        </w:numPr>
        <w:jc w:val="both"/>
        <w:rPr>
          <w:highlight w:val="none"/>
        </w:rPr>
      </w:pPr>
      <w:r>
        <w:rPr>
          <w:highlight w:val="none"/>
        </w:rPr>
        <w:drawing>
          <wp:inline distT="0" distB="0" distL="114300" distR="114300">
            <wp:extent cx="5026660" cy="2677160"/>
            <wp:effectExtent l="0" t="0" r="2540"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9"/>
                    <a:stretch>
                      <a:fillRect/>
                    </a:stretch>
                  </pic:blipFill>
                  <pic:spPr>
                    <a:xfrm>
                      <a:off x="0" y="0"/>
                      <a:ext cx="5026660" cy="2677160"/>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default"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6.</w:t>
      </w:r>
      <w:r>
        <w:rPr>
          <w:rFonts w:hint="default" w:ascii="Times New Roman" w:hAnsi="Times New Roman" w:eastAsia="仿宋_GB2312" w:cs="Times New Roman"/>
          <w:b w:val="0"/>
          <w:bCs w:val="0"/>
          <w:sz w:val="32"/>
          <w:szCs w:val="32"/>
          <w:highlight w:val="none"/>
          <w:lang w:val="en-US" w:eastAsia="zh-CN"/>
        </w:rPr>
        <w:t>选择办理情形生成材料自检清单。</w:t>
      </w:r>
    </w:p>
    <w:p>
      <w:pPr>
        <w:numPr>
          <w:ilvl w:val="0"/>
          <w:numId w:val="0"/>
        </w:numPr>
        <w:rPr>
          <w:highlight w:val="none"/>
        </w:rPr>
      </w:pPr>
      <w:r>
        <w:rPr>
          <w:highlight w:val="none"/>
        </w:rPr>
        <w:drawing>
          <wp:inline distT="0" distB="0" distL="114300" distR="114300">
            <wp:extent cx="5268595" cy="3479165"/>
            <wp:effectExtent l="0" t="0" r="8255"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0"/>
                    <a:stretch>
                      <a:fillRect/>
                    </a:stretch>
                  </pic:blipFill>
                  <pic:spPr>
                    <a:xfrm>
                      <a:off x="0" y="0"/>
                      <a:ext cx="5268595" cy="3479165"/>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highlight w:val="none"/>
        </w:rPr>
      </w:pPr>
      <w:r>
        <w:rPr>
          <w:rFonts w:hint="eastAsia" w:ascii="Times New Roman" w:hAnsi="Times New Roman" w:eastAsia="仿宋_GB2312" w:cs="Times New Roman"/>
          <w:b w:val="0"/>
          <w:bCs w:val="0"/>
          <w:sz w:val="32"/>
          <w:szCs w:val="32"/>
          <w:highlight w:val="none"/>
          <w:lang w:val="en-US" w:eastAsia="zh-CN"/>
        </w:rPr>
        <w:t>7.选择并填写开户银行、开户银行支行、银行账号</w:t>
      </w:r>
      <w:r>
        <w:rPr>
          <w:highlight w:val="none"/>
        </w:rPr>
        <w:drawing>
          <wp:inline distT="0" distB="0" distL="114300" distR="114300">
            <wp:extent cx="5271135" cy="2337435"/>
            <wp:effectExtent l="0" t="0" r="5715" b="571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
                    <a:stretch>
                      <a:fillRect/>
                    </a:stretch>
                  </pic:blipFill>
                  <pic:spPr>
                    <a:xfrm>
                      <a:off x="0" y="0"/>
                      <a:ext cx="5271135" cy="2337435"/>
                    </a:xfrm>
                    <a:prstGeom prst="rect">
                      <a:avLst/>
                    </a:prstGeom>
                    <a:noFill/>
                    <a:ln>
                      <a:noFill/>
                    </a:ln>
                  </pic:spPr>
                </pic:pic>
              </a:graphicData>
            </a:graphic>
          </wp:inline>
        </w:drawing>
      </w:r>
    </w:p>
    <w:p>
      <w:pPr>
        <w:numPr>
          <w:ilvl w:val="0"/>
          <w:numId w:val="0"/>
        </w:numPr>
        <w:ind w:firstLine="0" w:firstLineChars="0"/>
        <w:jc w:val="center"/>
        <w:rPr>
          <w:rFonts w:hint="default"/>
          <w:highlight w:val="none"/>
          <w:lang w:val="en-US" w:eastAsia="zh-CN"/>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default"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8.</w:t>
      </w:r>
      <w:r>
        <w:rPr>
          <w:rFonts w:hint="default" w:ascii="Times New Roman" w:hAnsi="Times New Roman" w:eastAsia="仿宋_GB2312" w:cs="Times New Roman"/>
          <w:b w:val="0"/>
          <w:bCs w:val="0"/>
          <w:sz w:val="32"/>
          <w:szCs w:val="32"/>
          <w:highlight w:val="none"/>
          <w:lang w:val="en-US" w:eastAsia="zh-CN"/>
        </w:rPr>
        <w:t>填写申请人和经办人信息，</w:t>
      </w:r>
      <w:r>
        <w:rPr>
          <w:rFonts w:hint="eastAsia" w:ascii="Times New Roman" w:hAnsi="Times New Roman" w:eastAsia="仿宋_GB2312" w:cs="Times New Roman"/>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号栏目为必填项。</w:t>
      </w:r>
    </w:p>
    <w:p>
      <w:pPr>
        <w:numPr>
          <w:ilvl w:val="0"/>
          <w:numId w:val="0"/>
        </w:numPr>
        <w:rPr>
          <w:highlight w:val="none"/>
        </w:rPr>
      </w:pPr>
      <w:r>
        <w:rPr>
          <w:highlight w:val="none"/>
        </w:rPr>
        <w:drawing>
          <wp:inline distT="0" distB="0" distL="114300" distR="114300">
            <wp:extent cx="5267325" cy="3630930"/>
            <wp:effectExtent l="0" t="0" r="3175" b="127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2"/>
                    <a:stretch>
                      <a:fillRect/>
                    </a:stretch>
                  </pic:blipFill>
                  <pic:spPr>
                    <a:xfrm>
                      <a:off x="0" y="0"/>
                      <a:ext cx="5267325" cy="3630930"/>
                    </a:xfrm>
                    <a:prstGeom prst="rect">
                      <a:avLst/>
                    </a:prstGeom>
                    <a:noFill/>
                    <a:ln>
                      <a:noFill/>
                    </a:ln>
                  </pic:spPr>
                </pic:pic>
              </a:graphicData>
            </a:graphic>
          </wp:inline>
        </w:drawing>
      </w:r>
    </w:p>
    <w:p>
      <w:pPr>
        <w:numPr>
          <w:ilvl w:val="0"/>
          <w:numId w:val="0"/>
        </w:numPr>
        <w:jc w:val="center"/>
        <w:rPr>
          <w:rFonts w:hint="default"/>
          <w:highlight w:val="none"/>
          <w:lang w:val="en-US" w:eastAsia="zh-CN"/>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default"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9.</w:t>
      </w:r>
      <w:r>
        <w:rPr>
          <w:rFonts w:hint="default" w:ascii="Times New Roman" w:hAnsi="Times New Roman" w:eastAsia="仿宋_GB2312" w:cs="Times New Roman"/>
          <w:b w:val="0"/>
          <w:bCs w:val="0"/>
          <w:sz w:val="32"/>
          <w:szCs w:val="32"/>
          <w:highlight w:val="none"/>
          <w:lang w:val="en-US" w:eastAsia="zh-CN"/>
        </w:rPr>
        <w:t>按要求上传材料并【提交申请】。提交成功后，出现唯一流水号</w:t>
      </w:r>
      <w:r>
        <w:rPr>
          <w:rFonts w:hint="eastAsia" w:ascii="Times New Roman" w:hAnsi="Times New Roman" w:eastAsia="仿宋_GB2312" w:cs="Times New Roman"/>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后续该事项进度请以此流水号进行查询。</w:t>
      </w:r>
    </w:p>
    <w:p>
      <w:pPr>
        <w:numPr>
          <w:ilvl w:val="0"/>
          <w:numId w:val="0"/>
        </w:numPr>
        <w:ind w:leftChars="0"/>
        <w:jc w:val="center"/>
        <w:rPr>
          <w:highlight w:val="none"/>
        </w:rPr>
      </w:pPr>
      <w:r>
        <w:rPr>
          <w:highlight w:val="none"/>
        </w:rPr>
        <w:drawing>
          <wp:inline distT="0" distB="0" distL="114300" distR="114300">
            <wp:extent cx="5265420" cy="2731135"/>
            <wp:effectExtent l="0" t="0" r="11430" b="1206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3"/>
                    <a:stretch>
                      <a:fillRect/>
                    </a:stretch>
                  </pic:blipFill>
                  <pic:spPr>
                    <a:xfrm>
                      <a:off x="0" y="0"/>
                      <a:ext cx="5265420" cy="2731135"/>
                    </a:xfrm>
                    <a:prstGeom prst="rect">
                      <a:avLst/>
                    </a:prstGeom>
                    <a:noFill/>
                    <a:ln>
                      <a:noFill/>
                    </a:ln>
                  </pic:spPr>
                </pic:pic>
              </a:graphicData>
            </a:graphic>
          </wp:inline>
        </w:drawing>
      </w:r>
    </w:p>
    <w:p>
      <w:pPr>
        <w:numPr>
          <w:ilvl w:val="0"/>
          <w:numId w:val="0"/>
        </w:numPr>
        <w:ind w:leftChars="0"/>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pStyle w:val="2"/>
        <w:bidi w:val="0"/>
        <w:ind w:firstLine="640" w:firstLineChars="200"/>
        <w:rPr>
          <w:rFonts w:hint="eastAsia" w:ascii="黑体" w:hAnsi="黑体" w:eastAsia="黑体" w:cs="黑体"/>
          <w:b w:val="0"/>
          <w:bCs w:val="0"/>
          <w:i w:val="0"/>
          <w:iCs w:val="0"/>
          <w:sz w:val="32"/>
          <w:szCs w:val="32"/>
          <w:highlight w:val="none"/>
          <w:lang w:val="en-US" w:eastAsia="zh-CN"/>
        </w:rPr>
      </w:pPr>
      <w:r>
        <w:rPr>
          <w:rFonts w:hint="eastAsia" w:ascii="黑体" w:hAnsi="黑体" w:eastAsia="黑体" w:cs="黑体"/>
          <w:b w:val="0"/>
          <w:bCs w:val="0"/>
          <w:i w:val="0"/>
          <w:iCs w:val="0"/>
          <w:sz w:val="32"/>
          <w:szCs w:val="32"/>
          <w:highlight w:val="none"/>
          <w:lang w:val="en-US" w:eastAsia="zh-CN"/>
        </w:rPr>
        <w:t>二、授权流程</w:t>
      </w:r>
    </w:p>
    <w:p>
      <w:p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如登录身份非企业法定代表人或未在省统一认证平台进行授权的经办人，需先由企业法定代表人通过“粤商通”APP或广东政务服务网添加企业经办人，添加成功后企业经办人可以通过个人身份扫码登录使用。</w:t>
      </w:r>
    </w:p>
    <w:p>
      <w:pPr>
        <w:ind w:firstLine="320" w:firstLineChars="1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下面介绍：企业法定代表人通过“广东政务服务网”授权企业经办人的方法。</w:t>
      </w:r>
    </w:p>
    <w:p>
      <w:pPr>
        <w:rPr>
          <w:highlight w:val="none"/>
        </w:rPr>
      </w:pPr>
      <w:r>
        <w:rPr>
          <w:highlight w:val="none"/>
        </w:rPr>
        <w:drawing>
          <wp:inline distT="0" distB="0" distL="114300" distR="114300">
            <wp:extent cx="5129530" cy="2085975"/>
            <wp:effectExtent l="104775" t="61595" r="112395" b="7493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4"/>
                    <a:srcRect l="10813" b="30624"/>
                    <a:stretch>
                      <a:fillRect/>
                    </a:stretch>
                  </pic:blipFill>
                  <pic:spPr>
                    <a:xfrm>
                      <a:off x="0" y="0"/>
                      <a:ext cx="5129530" cy="2085975"/>
                    </a:xfrm>
                    <a:prstGeom prst="rect">
                      <a:avLst/>
                    </a:prstGeom>
                    <a:effectLst>
                      <a:outerShdw blurRad="63500" sx="102000" sy="102000" algn="ctr" rotWithShape="0">
                        <a:prstClr val="black">
                          <a:alpha val="40000"/>
                        </a:prstClr>
                      </a:outerShdw>
                    </a:effectLst>
                  </pic:spPr>
                </pic:pic>
              </a:graphicData>
            </a:graphic>
          </wp:inline>
        </w:drawing>
      </w:r>
    </w:p>
    <w:p>
      <w:p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lang w:val="en-US" w:eastAsia="zh-CN"/>
        </w:rPr>
        <w:t>）企业法人登录后，进入“企业中心”点击“账户管理”；</w:t>
      </w:r>
    </w:p>
    <w:p>
      <w:pPr>
        <w:rPr>
          <w:highlight w:val="none"/>
        </w:rPr>
      </w:pPr>
      <w:r>
        <w:rPr>
          <w:highlight w:val="none"/>
        </w:rPr>
        <w:drawing>
          <wp:inline distT="0" distB="0" distL="114300" distR="114300">
            <wp:extent cx="5633720" cy="3376295"/>
            <wp:effectExtent l="109855" t="74295" r="111125" b="927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rcRect l="12620" r="7671" b="8070"/>
                    <a:stretch>
                      <a:fillRect/>
                    </a:stretch>
                  </pic:blipFill>
                  <pic:spPr>
                    <a:xfrm>
                      <a:off x="0" y="0"/>
                      <a:ext cx="5633720" cy="3376295"/>
                    </a:xfrm>
                    <a:prstGeom prst="rect">
                      <a:avLst/>
                    </a:prstGeom>
                    <a:effectLst>
                      <a:outerShdw blurRad="63500" sx="102000" sy="102000" algn="ctr" rotWithShape="0">
                        <a:prstClr val="black">
                          <a:alpha val="40000"/>
                        </a:prstClr>
                      </a:outerShdw>
                    </a:effectLst>
                  </pic:spPr>
                </pic:pic>
              </a:graphicData>
            </a:graphic>
          </wp:inline>
        </w:drawing>
      </w:r>
    </w:p>
    <w:p>
      <w:p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lang w:val="en-US" w:eastAsia="zh-CN"/>
        </w:rPr>
        <w:t>）进去账号管理菜单栏点击“我的经办人”→“添加经办人”，填写经办人信息后点击“立即添加”，此时页面会出现提示框，等待经办人账号确认绑定信息；</w:t>
      </w:r>
    </w:p>
    <w:p>
      <w:pPr>
        <w:rPr>
          <w:highlight w:val="none"/>
        </w:rPr>
      </w:pPr>
    </w:p>
    <w:p>
      <w:pPr>
        <w:rPr>
          <w:highlight w:val="none"/>
        </w:rPr>
      </w:pPr>
      <w:r>
        <w:rPr>
          <w:highlight w:val="none"/>
        </w:rPr>
        <w:drawing>
          <wp:inline distT="0" distB="0" distL="114300" distR="114300">
            <wp:extent cx="5260340" cy="2435225"/>
            <wp:effectExtent l="0" t="0" r="1016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0340" cy="2435225"/>
                    </a:xfrm>
                    <a:prstGeom prst="rect">
                      <a:avLst/>
                    </a:prstGeom>
                    <a:noFill/>
                    <a:ln>
                      <a:noFill/>
                    </a:ln>
                  </pic:spPr>
                </pic:pic>
              </a:graphicData>
            </a:graphic>
          </wp:inline>
        </w:drawing>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w:t>
      </w:r>
      <w:r>
        <w:rPr>
          <w:rFonts w:hint="eastAsia" w:ascii="Times New Roman" w:hAnsi="Times New Roman" w:eastAsia="仿宋_GB2312" w:cs="Times New Roman"/>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lang w:val="en-US" w:eastAsia="zh-CN"/>
        </w:rPr>
        <w:t>）被授权经办人登录个人账号后，点击右上角“账户管理”；进入“个人中心”，点击“我经办的法人”，选择需要绑定的企业点击“绑定”即完成授权。</w:t>
      </w:r>
    </w:p>
    <w:p>
      <w:pPr>
        <w:numPr>
          <w:ilvl w:val="0"/>
          <w:numId w:val="0"/>
        </w:numPr>
        <w:rPr>
          <w:highlight w:val="none"/>
        </w:rPr>
      </w:pPr>
      <w:r>
        <w:rPr>
          <w:highlight w:val="none"/>
        </w:rPr>
        <w:drawing>
          <wp:inline distT="0" distB="0" distL="114300" distR="114300">
            <wp:extent cx="5259070" cy="2494915"/>
            <wp:effectExtent l="0" t="0" r="1143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259070" cy="2494915"/>
                    </a:xfrm>
                    <a:prstGeom prst="rect">
                      <a:avLst/>
                    </a:prstGeom>
                    <a:noFill/>
                    <a:ln>
                      <a:noFill/>
                    </a:ln>
                  </pic:spPr>
                </pic:pic>
              </a:graphicData>
            </a:graphic>
          </wp:inline>
        </w:drawing>
      </w:r>
    </w:p>
    <w:p>
      <w:pPr>
        <w:pStyle w:val="2"/>
        <w:bidi w:val="0"/>
        <w:ind w:firstLine="640" w:firstLineChars="200"/>
        <w:rPr>
          <w:rFonts w:hint="eastAsia" w:ascii="黑体" w:hAnsi="黑体" w:eastAsia="黑体" w:cs="黑体"/>
          <w:b w:val="0"/>
          <w:bCs w:val="0"/>
          <w:i w:val="0"/>
          <w:iCs w:val="0"/>
          <w:sz w:val="32"/>
          <w:szCs w:val="32"/>
          <w:highlight w:val="none"/>
          <w:lang w:val="en-US" w:eastAsia="zh-CN"/>
        </w:rPr>
      </w:pPr>
      <w:r>
        <w:rPr>
          <w:rFonts w:hint="eastAsia" w:ascii="黑体" w:hAnsi="黑体" w:eastAsia="黑体" w:cs="黑体"/>
          <w:b w:val="0"/>
          <w:bCs w:val="0"/>
          <w:i w:val="0"/>
          <w:iCs w:val="0"/>
          <w:sz w:val="32"/>
          <w:szCs w:val="32"/>
          <w:highlight w:val="none"/>
          <w:lang w:val="en-US" w:eastAsia="zh-CN"/>
        </w:rPr>
        <w:t>三、线上补正</w:t>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打开补正链接跳转至补正界面，点击“立即补正”，查看补正材料上传界面。</w:t>
      </w:r>
    </w:p>
    <w:p>
      <w:pPr>
        <w:numPr>
          <w:ilvl w:val="0"/>
          <w:numId w:val="0"/>
        </w:numPr>
        <w:ind w:firstLine="420" w:firstLineChars="200"/>
        <w:rPr>
          <w:highlight w:val="none"/>
        </w:rPr>
      </w:pPr>
    </w:p>
    <w:p>
      <w:pPr>
        <w:numPr>
          <w:ilvl w:val="0"/>
          <w:numId w:val="0"/>
        </w:numPr>
        <w:ind w:firstLine="420" w:firstLineChars="200"/>
        <w:rPr>
          <w:highlight w:val="none"/>
        </w:rPr>
      </w:pPr>
      <w:r>
        <w:rPr>
          <w:highlight w:val="none"/>
        </w:rPr>
        <w:drawing>
          <wp:inline distT="0" distB="0" distL="114300" distR="114300">
            <wp:extent cx="5262245" cy="2577465"/>
            <wp:effectExtent l="0" t="0" r="8255" b="63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8"/>
                    <a:stretch>
                      <a:fillRect/>
                    </a:stretch>
                  </pic:blipFill>
                  <pic:spPr>
                    <a:xfrm>
                      <a:off x="0" y="0"/>
                      <a:ext cx="5262245" cy="2577465"/>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420" w:firstLineChars="200"/>
        <w:rPr>
          <w:rFonts w:hint="eastAsia"/>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第一步：点击【立即补正】</w:t>
      </w:r>
    </w:p>
    <w:p>
      <w:pPr>
        <w:rPr>
          <w:highlight w:val="none"/>
        </w:rPr>
      </w:pPr>
      <w:r>
        <w:rPr>
          <w:highlight w:val="none"/>
        </w:rPr>
        <w:drawing>
          <wp:inline distT="0" distB="0" distL="114300" distR="114300">
            <wp:extent cx="5267325" cy="2780665"/>
            <wp:effectExtent l="0" t="0" r="317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5267325" cy="2780665"/>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第二步：“材料补正通知书”一栏可查看需补正材料和补正意见，结合补正意见准备材料。</w:t>
      </w:r>
    </w:p>
    <w:p>
      <w:pPr>
        <w:rPr>
          <w:highlight w:val="none"/>
        </w:rPr>
      </w:pPr>
      <w:r>
        <w:rPr>
          <w:highlight w:val="none"/>
        </w:rPr>
        <w:drawing>
          <wp:inline distT="0" distB="0" distL="114300" distR="114300">
            <wp:extent cx="5262880" cy="3222625"/>
            <wp:effectExtent l="0" t="0" r="762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5262880" cy="3222625"/>
                    </a:xfrm>
                    <a:prstGeom prst="rect">
                      <a:avLst/>
                    </a:prstGeom>
                    <a:noFill/>
                    <a:ln>
                      <a:noFill/>
                    </a:ln>
                  </pic:spPr>
                </pic:pic>
              </a:graphicData>
            </a:graphic>
          </wp:inline>
        </w:drawing>
      </w:r>
    </w:p>
    <w:p>
      <w:pPr>
        <w:numPr>
          <w:ilvl w:val="0"/>
          <w:numId w:val="0"/>
        </w:numPr>
        <w:jc w:val="center"/>
        <w:rPr>
          <w:highlight w:val="none"/>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第三步：删除旧的材料，点击“附件上传”上传新材料，提示“上传附件成功”，点击“完成补正”。</w:t>
      </w:r>
    </w:p>
    <w:p>
      <w:pPr>
        <w:numPr>
          <w:ilvl w:val="0"/>
          <w:numId w:val="0"/>
        </w:numPr>
        <w:jc w:val="center"/>
        <w:rPr>
          <w:highlight w:val="none"/>
        </w:rPr>
      </w:pPr>
      <w:r>
        <w:rPr>
          <w:highlight w:val="none"/>
        </w:rPr>
        <w:drawing>
          <wp:inline distT="0" distB="0" distL="114300" distR="114300">
            <wp:extent cx="5265420" cy="3061335"/>
            <wp:effectExtent l="0" t="0" r="5080"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5265420" cy="3061335"/>
                    </a:xfrm>
                    <a:prstGeom prst="rect">
                      <a:avLst/>
                    </a:prstGeom>
                    <a:noFill/>
                    <a:ln>
                      <a:noFill/>
                    </a:ln>
                  </pic:spPr>
                </pic:pic>
              </a:graphicData>
            </a:graphic>
          </wp:inline>
        </w:drawing>
      </w: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第四步：确认温馨提示内容，出现成功提交界面，注意补正提交流水号不会改变，仍以第一次申报流水号为准。</w:t>
      </w:r>
    </w:p>
    <w:p>
      <w:pPr>
        <w:numPr>
          <w:ilvl w:val="0"/>
          <w:numId w:val="0"/>
        </w:numPr>
        <w:ind w:leftChars="200"/>
        <w:rPr>
          <w:highlight w:val="none"/>
        </w:rPr>
      </w:pPr>
      <w:r>
        <w:rPr>
          <w:highlight w:val="none"/>
        </w:rPr>
        <w:drawing>
          <wp:inline distT="0" distB="0" distL="114300" distR="114300">
            <wp:extent cx="5262880" cy="3571240"/>
            <wp:effectExtent l="0" t="0" r="762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5262880" cy="3571240"/>
                    </a:xfrm>
                    <a:prstGeom prst="rect">
                      <a:avLst/>
                    </a:prstGeom>
                    <a:noFill/>
                    <a:ln>
                      <a:noFill/>
                    </a:ln>
                  </pic:spPr>
                </pic:pic>
              </a:graphicData>
            </a:graphic>
          </wp:inline>
        </w:drawing>
      </w:r>
    </w:p>
    <w:p>
      <w:pPr>
        <w:numPr>
          <w:ilvl w:val="0"/>
          <w:numId w:val="0"/>
        </w:numPr>
        <w:ind w:leftChars="0"/>
        <w:jc w:val="center"/>
        <w:rPr>
          <w:rFonts w:hint="default"/>
          <w:highlight w:val="none"/>
          <w:lang w:val="en-US" w:eastAsia="zh-CN"/>
        </w:rPr>
      </w:pPr>
      <w:r>
        <w:rPr>
          <w:color w:val="000000" w:themeColor="text1"/>
          <w:highlight w:val="none"/>
          <w14:textFill>
            <w14:solidFill>
              <w14:schemeClr w14:val="tx1"/>
            </w14:solidFill>
          </w14:textFill>
        </w:rPr>
        <w:t>（图片</w:t>
      </w:r>
      <w:r>
        <w:rPr>
          <w:rFonts w:hint="eastAsia"/>
          <w:color w:val="000000" w:themeColor="text1"/>
          <w:highlight w:val="none"/>
          <w:lang w:eastAsia="zh-CN"/>
          <w14:textFill>
            <w14:solidFill>
              <w14:schemeClr w14:val="tx1"/>
            </w14:solidFill>
          </w14:textFill>
        </w:rPr>
        <w:t>仅为</w:t>
      </w:r>
      <w:r>
        <w:rPr>
          <w:color w:val="000000" w:themeColor="text1"/>
          <w:highlight w:val="none"/>
          <w14:textFill>
            <w14:solidFill>
              <w14:schemeClr w14:val="tx1"/>
            </w14:solidFill>
          </w14:textFill>
        </w:rPr>
        <w:t>示意）</w:t>
      </w:r>
      <w:bookmarkStart w:id="0" w:name="_GoBack"/>
      <w:bookmarkEnd w:id="0"/>
    </w:p>
    <w:p>
      <w:pPr>
        <w:pStyle w:val="2"/>
        <w:bidi w:val="0"/>
        <w:ind w:firstLine="640" w:firstLineChars="200"/>
        <w:rPr>
          <w:rFonts w:hint="eastAsia" w:ascii="黑体" w:hAnsi="黑体" w:eastAsia="黑体" w:cs="黑体"/>
          <w:b w:val="0"/>
          <w:bCs w:val="0"/>
          <w:i w:val="0"/>
          <w:iCs w:val="0"/>
          <w:sz w:val="32"/>
          <w:szCs w:val="32"/>
          <w:highlight w:val="none"/>
          <w:lang w:val="en-US" w:eastAsia="zh-CN"/>
        </w:rPr>
      </w:pPr>
      <w:r>
        <w:rPr>
          <w:rFonts w:hint="eastAsia" w:ascii="黑体" w:hAnsi="黑体" w:eastAsia="黑体" w:cs="黑体"/>
          <w:b w:val="0"/>
          <w:bCs w:val="0"/>
          <w:i w:val="0"/>
          <w:iCs w:val="0"/>
          <w:sz w:val="32"/>
          <w:szCs w:val="32"/>
          <w:highlight w:val="none"/>
          <w:lang w:val="en-US" w:eastAsia="zh-CN"/>
        </w:rPr>
        <w:t>四、进度查询</w:t>
      </w:r>
    </w:p>
    <w:p>
      <w:pPr>
        <w:numPr>
          <w:ilvl w:val="0"/>
          <w:numId w:val="0"/>
        </w:numPr>
        <w:ind w:firstLine="640" w:firstLineChars="200"/>
        <w:rPr>
          <w:rFonts w:hint="default" w:ascii="仿宋_GB2312" w:hAnsi="仿宋_GB2312" w:eastAsia="仿宋_GB2312" w:cs="仿宋_GB2312"/>
          <w:b w:val="0"/>
          <w:bCs w:val="0"/>
          <w:sz w:val="32"/>
          <w:szCs w:val="32"/>
          <w:highlight w:val="none"/>
          <w:lang w:val="en-US" w:eastAsia="zh-CN"/>
        </w:rPr>
      </w:pPr>
      <w:r>
        <w:rPr>
          <w:rFonts w:hint="default" w:ascii="仿宋_GB2312" w:hAnsi="仿宋_GB2312" w:eastAsia="仿宋_GB2312" w:cs="仿宋_GB2312"/>
          <w:b w:val="0"/>
          <w:bCs w:val="0"/>
          <w:sz w:val="32"/>
          <w:szCs w:val="32"/>
          <w:highlight w:val="none"/>
          <w:lang w:val="en-US" w:eastAsia="zh-CN"/>
        </w:rPr>
        <w:t>申报单位查询可通过</w:t>
      </w:r>
      <w:r>
        <w:rPr>
          <w:rFonts w:hint="eastAsia" w:ascii="仿宋_GB2312" w:hAnsi="仿宋_GB2312" w:eastAsia="仿宋_GB2312" w:cs="仿宋_GB2312"/>
          <w:b w:val="0"/>
          <w:bCs w:val="0"/>
          <w:sz w:val="32"/>
          <w:szCs w:val="32"/>
          <w:highlight w:val="none"/>
          <w:lang w:val="en-US" w:eastAsia="zh-CN"/>
        </w:rPr>
        <w:t>“企莞家-</w:t>
      </w:r>
      <w:r>
        <w:rPr>
          <w:rFonts w:hint="default" w:ascii="仿宋_GB2312" w:hAnsi="仿宋_GB2312" w:eastAsia="仿宋_GB2312" w:cs="仿宋_GB2312"/>
          <w:b w:val="0"/>
          <w:bCs w:val="0"/>
          <w:sz w:val="32"/>
          <w:szCs w:val="32"/>
          <w:highlight w:val="none"/>
          <w:lang w:val="en-US" w:eastAsia="zh-CN"/>
        </w:rPr>
        <w:t>企业空间”进行查询办件进度。</w:t>
      </w:r>
    </w:p>
    <w:p>
      <w:pPr>
        <w:numPr>
          <w:ilvl w:val="0"/>
          <w:numId w:val="0"/>
        </w:numPr>
        <w:jc w:val="center"/>
        <w:rPr>
          <w:rFonts w:hint="default" w:ascii="仿宋_GB2312" w:hAnsi="仿宋_GB2312" w:eastAsia="仿宋_GB2312" w:cs="仿宋_GB2312"/>
          <w:b w:val="0"/>
          <w:bCs w:val="0"/>
          <w:sz w:val="32"/>
          <w:szCs w:val="32"/>
          <w:highlight w:val="none"/>
          <w:lang w:val="en-US" w:eastAsia="zh-CN"/>
        </w:rPr>
      </w:pPr>
      <w:r>
        <w:rPr>
          <w:highlight w:val="none"/>
        </w:rPr>
        <w:drawing>
          <wp:inline distT="0" distB="0" distL="114300" distR="114300">
            <wp:extent cx="4315460" cy="2423795"/>
            <wp:effectExtent l="0" t="0" r="2540" b="19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4315460" cy="2423795"/>
                    </a:xfrm>
                    <a:prstGeom prst="rect">
                      <a:avLst/>
                    </a:prstGeom>
                    <a:noFill/>
                    <a:ln>
                      <a:noFill/>
                    </a:ln>
                  </pic:spPr>
                </pic:pic>
              </a:graphicData>
            </a:graphic>
          </wp:inline>
        </w:drawing>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lang w:val="en-US" w:eastAsia="zh-CN"/>
        </w:rPr>
        <w:t>进入企业空间后，点击【我的政策兑现】或【我的办件】进行查询。</w:t>
      </w:r>
    </w:p>
    <w:p>
      <w:pPr>
        <w:numPr>
          <w:ilvl w:val="0"/>
          <w:numId w:val="0"/>
        </w:numPr>
        <w:ind w:leftChars="0"/>
        <w:jc w:val="center"/>
        <w:rPr>
          <w:highlight w:val="none"/>
        </w:rPr>
      </w:pPr>
      <w:r>
        <w:rPr>
          <w:highlight w:val="none"/>
        </w:rPr>
        <w:drawing>
          <wp:inline distT="0" distB="0" distL="114300" distR="114300">
            <wp:extent cx="4481195" cy="2520315"/>
            <wp:effectExtent l="0" t="0" r="1905" b="698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4"/>
                    <a:stretch>
                      <a:fillRect/>
                    </a:stretch>
                  </pic:blipFill>
                  <pic:spPr>
                    <a:xfrm>
                      <a:off x="0" y="0"/>
                      <a:ext cx="4481195" cy="2520315"/>
                    </a:xfrm>
                    <a:prstGeom prst="rect">
                      <a:avLst/>
                    </a:prstGeom>
                    <a:noFill/>
                    <a:ln>
                      <a:noFill/>
                    </a:ln>
                  </pic:spPr>
                </pic:pic>
              </a:graphicData>
            </a:graphic>
          </wp:inline>
        </w:drawing>
      </w:r>
    </w:p>
    <w:p>
      <w:pPr>
        <w:numPr>
          <w:ilvl w:val="0"/>
          <w:numId w:val="0"/>
        </w:numPr>
        <w:ind w:firstLine="640" w:firstLineChars="200"/>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（2）进入“我的办件”列表，选择需要查看的事项名称，点击【查看】，进入办件详情界面。</w:t>
      </w:r>
    </w:p>
    <w:p>
      <w:pPr>
        <w:numPr>
          <w:ilvl w:val="0"/>
          <w:numId w:val="0"/>
        </w:numPr>
        <w:ind w:leftChars="0"/>
        <w:rPr>
          <w:highlight w:val="none"/>
        </w:rPr>
      </w:pPr>
      <w:r>
        <w:rPr>
          <w:highlight w:val="none"/>
        </w:rPr>
        <w:drawing>
          <wp:inline distT="0" distB="0" distL="114300" distR="114300">
            <wp:extent cx="5273040" cy="2687955"/>
            <wp:effectExtent l="0" t="0" r="10160" b="444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a:stretch>
                      <a:fillRect/>
                    </a:stretch>
                  </pic:blipFill>
                  <pic:spPr>
                    <a:xfrm>
                      <a:off x="0" y="0"/>
                      <a:ext cx="5273040" cy="2687955"/>
                    </a:xfrm>
                    <a:prstGeom prst="rect">
                      <a:avLst/>
                    </a:prstGeom>
                    <a:noFill/>
                    <a:ln>
                      <a:noFill/>
                    </a:ln>
                  </pic:spPr>
                </pic:pic>
              </a:graphicData>
            </a:graphic>
          </wp:inline>
        </w:drawing>
      </w:r>
    </w:p>
    <w:p>
      <w:pPr>
        <w:numPr>
          <w:ilvl w:val="0"/>
          <w:numId w:val="0"/>
        </w:numPr>
        <w:ind w:firstLine="640" w:firstLineChars="200"/>
        <w:rPr>
          <w:rFonts w:hint="default" w:eastAsia="等线"/>
          <w:highlight w:val="none"/>
          <w:lang w:val="en-US" w:eastAsia="zh-CN"/>
        </w:rPr>
      </w:pPr>
      <w:r>
        <w:rPr>
          <w:rFonts w:hint="eastAsia" w:ascii="Times New Roman" w:hAnsi="Times New Roman" w:eastAsia="仿宋_GB2312" w:cs="Times New Roman"/>
          <w:b w:val="0"/>
          <w:bCs w:val="0"/>
          <w:sz w:val="32"/>
          <w:szCs w:val="32"/>
          <w:highlight w:val="none"/>
          <w:lang w:val="en-US" w:eastAsia="zh-CN"/>
        </w:rPr>
        <w:t>（3）进入办件详情界面，可以看到办件进度的各个时间节点以及事项的所有信息。</w:t>
      </w:r>
    </w:p>
    <w:p>
      <w:pPr>
        <w:rPr>
          <w:highlight w:val="none"/>
        </w:rPr>
      </w:pPr>
      <w:r>
        <w:rPr>
          <w:highlight w:val="none"/>
        </w:rPr>
        <w:drawing>
          <wp:inline distT="0" distB="0" distL="114300" distR="114300">
            <wp:extent cx="5270500" cy="3018155"/>
            <wp:effectExtent l="0" t="0" r="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6"/>
                    <a:stretch>
                      <a:fillRect/>
                    </a:stretch>
                  </pic:blipFill>
                  <pic:spPr>
                    <a:xfrm>
                      <a:off x="0" y="0"/>
                      <a:ext cx="5270500" cy="3018155"/>
                    </a:xfrm>
                    <a:prstGeom prst="rect">
                      <a:avLst/>
                    </a:prstGeom>
                    <a:noFill/>
                    <a:ln>
                      <a:noFill/>
                    </a:ln>
                  </pic:spPr>
                </pic:pic>
              </a:graphicData>
            </a:graphic>
          </wp:inline>
        </w:drawing>
      </w:r>
    </w:p>
    <w:p>
      <w:pPr>
        <w:pStyle w:val="4"/>
        <w:rPr>
          <w:highlight w:val="none"/>
        </w:rPr>
      </w:pP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2010600030101010101"/>
    <w:charset w:val="88"/>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pP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9264;mso-width-relative:page;mso-height-relative:page;" filled="f" stroked="f" coordsize="21600,21600" o:gfxdata="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m84hJ9EAAAADAQAADwAA&#10;AAAAAAABACAAAAA4AAAAZHJzL2Rvd25yZXYueG1sUEsBAhQAFAAAAAgAh07iQK5KPhXOAQAAlwMA&#10;AA4AAAAAAAAAAQAgAAAANgEAAGRycy9lMm9Eb2MueG1sUEsFBgAAAAAGAAYAWQEAAHYFAAAAAA==&#10;">
              <v:fill on="f" focussize="0,0"/>
              <v:stroke on="f"/>
              <v:imagedata o:title=""/>
              <o:lock v:ext="edit" aspectratio="f"/>
              <v:textbox inset="0mm,0mm,0mm,0mm" style="mso-fit-shape-to-text:t;">
                <w:txbxContent>
                  <w:p>
                    <w:pP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revisionView w:markup="0"/>
  <w:trackRevisions w:val="1"/>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172A27"/>
    <w:rsid w:val="000115B9"/>
    <w:rsid w:val="00064FFC"/>
    <w:rsid w:val="000C1408"/>
    <w:rsid w:val="00166FCE"/>
    <w:rsid w:val="00177FFE"/>
    <w:rsid w:val="001A528B"/>
    <w:rsid w:val="002006EB"/>
    <w:rsid w:val="00247E21"/>
    <w:rsid w:val="0025626C"/>
    <w:rsid w:val="00262FB4"/>
    <w:rsid w:val="002656BD"/>
    <w:rsid w:val="002906D6"/>
    <w:rsid w:val="002912B5"/>
    <w:rsid w:val="002A062D"/>
    <w:rsid w:val="00353424"/>
    <w:rsid w:val="003672AB"/>
    <w:rsid w:val="003965F9"/>
    <w:rsid w:val="003B3633"/>
    <w:rsid w:val="003C223E"/>
    <w:rsid w:val="003C4020"/>
    <w:rsid w:val="004465F0"/>
    <w:rsid w:val="0045719B"/>
    <w:rsid w:val="00491BDB"/>
    <w:rsid w:val="00494E81"/>
    <w:rsid w:val="004C777F"/>
    <w:rsid w:val="004F5439"/>
    <w:rsid w:val="00512242"/>
    <w:rsid w:val="005367A5"/>
    <w:rsid w:val="00536F4D"/>
    <w:rsid w:val="00556EC1"/>
    <w:rsid w:val="00572093"/>
    <w:rsid w:val="005F134A"/>
    <w:rsid w:val="005F736A"/>
    <w:rsid w:val="0064155C"/>
    <w:rsid w:val="00654A86"/>
    <w:rsid w:val="00673A9C"/>
    <w:rsid w:val="00684BFA"/>
    <w:rsid w:val="006A2155"/>
    <w:rsid w:val="0071659C"/>
    <w:rsid w:val="00727796"/>
    <w:rsid w:val="007F3025"/>
    <w:rsid w:val="00837194"/>
    <w:rsid w:val="00862E16"/>
    <w:rsid w:val="00891897"/>
    <w:rsid w:val="008C0F41"/>
    <w:rsid w:val="008C2358"/>
    <w:rsid w:val="008C3CD3"/>
    <w:rsid w:val="008E2213"/>
    <w:rsid w:val="00903857"/>
    <w:rsid w:val="009131BA"/>
    <w:rsid w:val="00922440"/>
    <w:rsid w:val="0094647B"/>
    <w:rsid w:val="00946D23"/>
    <w:rsid w:val="0098058E"/>
    <w:rsid w:val="009A6B7E"/>
    <w:rsid w:val="00A01DB5"/>
    <w:rsid w:val="00A074D5"/>
    <w:rsid w:val="00A55C7A"/>
    <w:rsid w:val="00A61865"/>
    <w:rsid w:val="00AD19D2"/>
    <w:rsid w:val="00AD72B1"/>
    <w:rsid w:val="00AF0A74"/>
    <w:rsid w:val="00AF4965"/>
    <w:rsid w:val="00B0556A"/>
    <w:rsid w:val="00B07CE8"/>
    <w:rsid w:val="00B8442D"/>
    <w:rsid w:val="00BF2734"/>
    <w:rsid w:val="00C135C3"/>
    <w:rsid w:val="00C24CC3"/>
    <w:rsid w:val="00C336F6"/>
    <w:rsid w:val="00C35FA5"/>
    <w:rsid w:val="00C86A5A"/>
    <w:rsid w:val="00CE115F"/>
    <w:rsid w:val="00CE50D0"/>
    <w:rsid w:val="00D26505"/>
    <w:rsid w:val="00D512C5"/>
    <w:rsid w:val="00D65F6B"/>
    <w:rsid w:val="00D91305"/>
    <w:rsid w:val="00E824B0"/>
    <w:rsid w:val="00E87A82"/>
    <w:rsid w:val="00EA6A41"/>
    <w:rsid w:val="00EF0310"/>
    <w:rsid w:val="00F750E8"/>
    <w:rsid w:val="00F80891"/>
    <w:rsid w:val="00F90948"/>
    <w:rsid w:val="00FA5365"/>
    <w:rsid w:val="00FB1777"/>
    <w:rsid w:val="00FF64CB"/>
    <w:rsid w:val="044664F2"/>
    <w:rsid w:val="053C72AC"/>
    <w:rsid w:val="08180608"/>
    <w:rsid w:val="0AC534D0"/>
    <w:rsid w:val="0AF22713"/>
    <w:rsid w:val="0D331E0D"/>
    <w:rsid w:val="0FD15A84"/>
    <w:rsid w:val="19C703FB"/>
    <w:rsid w:val="1DD3180C"/>
    <w:rsid w:val="208F5125"/>
    <w:rsid w:val="20D248D8"/>
    <w:rsid w:val="2CCA28D9"/>
    <w:rsid w:val="32D86565"/>
    <w:rsid w:val="33EDC8D1"/>
    <w:rsid w:val="3481200A"/>
    <w:rsid w:val="36B73A45"/>
    <w:rsid w:val="37A32CEE"/>
    <w:rsid w:val="3C495460"/>
    <w:rsid w:val="3FE7AF9A"/>
    <w:rsid w:val="43306430"/>
    <w:rsid w:val="449073B0"/>
    <w:rsid w:val="4A7D1227"/>
    <w:rsid w:val="4D7246EB"/>
    <w:rsid w:val="518C4176"/>
    <w:rsid w:val="54493F4E"/>
    <w:rsid w:val="575061C9"/>
    <w:rsid w:val="5A96A074"/>
    <w:rsid w:val="5B65211B"/>
    <w:rsid w:val="5E5977D2"/>
    <w:rsid w:val="6361ACE7"/>
    <w:rsid w:val="67AF0825"/>
    <w:rsid w:val="689918CF"/>
    <w:rsid w:val="69586B5E"/>
    <w:rsid w:val="6A416F6B"/>
    <w:rsid w:val="6AC25F82"/>
    <w:rsid w:val="6B79ACC4"/>
    <w:rsid w:val="711D5954"/>
    <w:rsid w:val="71B6E14C"/>
    <w:rsid w:val="71D3C503"/>
    <w:rsid w:val="71DFFB01"/>
    <w:rsid w:val="75AE654D"/>
    <w:rsid w:val="775F0D45"/>
    <w:rsid w:val="78375613"/>
    <w:rsid w:val="7A656E5D"/>
    <w:rsid w:val="7B57FC88"/>
    <w:rsid w:val="7F7E5259"/>
    <w:rsid w:val="7FAE7CA6"/>
    <w:rsid w:val="7FFDCD1F"/>
    <w:rsid w:val="8FF998B8"/>
    <w:rsid w:val="9CEDA3CD"/>
    <w:rsid w:val="BBAF2BD7"/>
    <w:rsid w:val="DFF34E58"/>
    <w:rsid w:val="E0DDFD46"/>
    <w:rsid w:val="E9F7A8F3"/>
    <w:rsid w:val="EFF748BD"/>
    <w:rsid w:val="EFFD3EED"/>
    <w:rsid w:val="F7FF2B48"/>
    <w:rsid w:val="FBBE6698"/>
    <w:rsid w:val="FBF92EE0"/>
    <w:rsid w:val="FC0F2072"/>
    <w:rsid w:val="FDD2887D"/>
    <w:rsid w:val="FDFEB1E6"/>
    <w:rsid w:val="FEA4BB7E"/>
    <w:rsid w:val="FEDFC8D0"/>
    <w:rsid w:val="FF776432"/>
    <w:rsid w:val="FFBE712A"/>
    <w:rsid w:val="FFDEAE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paragraph" w:styleId="2">
    <w:name w:val="heading 1"/>
    <w:basedOn w:val="1"/>
    <w:next w:val="1"/>
    <w:qFormat/>
    <w:uiPriority w:val="0"/>
    <w:pPr>
      <w:spacing w:beforeAutospacing="0" w:after="0" w:afterAutospacing="0" w:line="600" w:lineRule="exact"/>
      <w:jc w:val="left"/>
      <w:outlineLvl w:val="0"/>
    </w:pPr>
    <w:rPr>
      <w:rFonts w:hint="eastAsia" w:ascii="宋体" w:hAnsi="宋体" w:eastAsia="宋体" w:cs="宋体"/>
      <w:b/>
      <w:bCs/>
      <w:kern w:val="44"/>
      <w:sz w:val="48"/>
      <w:szCs w:val="48"/>
      <w:lang w:bidi="ar"/>
    </w:rPr>
  </w:style>
  <w:style w:type="character" w:default="1" w:styleId="11">
    <w:name w:val="Default Paragraph Font"/>
    <w:qFormat/>
    <w:uiPriority w:val="0"/>
    <w:rPr>
      <w:rFonts w:ascii="Times New Roman" w:hAnsi="Times New Roman" w:eastAsia="宋体" w:cs="Times New Roman"/>
    </w:rPr>
  </w:style>
  <w:style w:type="table" w:default="1" w:styleId="10">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link w:val="12"/>
    <w:qFormat/>
    <w:uiPriority w:val="0"/>
    <w:rPr>
      <w:rFonts w:ascii="Times New Roman" w:hAnsi="Times New Roman" w:eastAsia="仿宋_GB2312" w:cs="Times New Roman"/>
      <w:sz w:val="28"/>
    </w:rPr>
  </w:style>
  <w:style w:type="paragraph" w:styleId="5">
    <w:name w:val="Title"/>
    <w:next w:val="1"/>
    <w:qFormat/>
    <w:uiPriority w:val="0"/>
    <w:pPr>
      <w:widowControl w:val="0"/>
      <w:spacing w:after="160" w:line="278" w:lineRule="auto"/>
      <w:jc w:val="center"/>
      <w:outlineLvl w:val="0"/>
    </w:pPr>
    <w:rPr>
      <w:rFonts w:ascii="方正小标宋_GBK" w:hAnsi="方正小标宋_GBK" w:eastAsia="方正小标宋_GBK" w:cs="方正小标宋_GBK"/>
      <w:kern w:val="2"/>
      <w:sz w:val="44"/>
      <w:szCs w:val="44"/>
      <w:lang w:val="en-US" w:eastAsia="zh-CN" w:bidi="ar-SA"/>
    </w:rPr>
  </w:style>
  <w:style w:type="paragraph" w:styleId="6">
    <w:name w:val="footer"/>
    <w:basedOn w:val="1"/>
    <w:link w:val="14"/>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7">
    <w:name w:val="header"/>
    <w:basedOn w:val="1"/>
    <w:link w:val="15"/>
    <w:qFormat/>
    <w:uiPriority w:val="0"/>
    <w:pPr>
      <w:tabs>
        <w:tab w:val="center" w:pos="4153"/>
        <w:tab w:val="right" w:pos="8306"/>
      </w:tabs>
      <w:snapToGrid w:val="0"/>
      <w:jc w:val="center"/>
    </w:pPr>
    <w:rPr>
      <w:rFonts w:ascii="Times New Roman" w:hAnsi="Times New Roman" w:eastAsia="宋体" w:cs="Times New Roman"/>
      <w:sz w:val="18"/>
      <w:szCs w:val="18"/>
    </w:rPr>
  </w:style>
  <w:style w:type="paragraph" w:styleId="8">
    <w:name w:val="Normal (Web)"/>
    <w:basedOn w:val="1"/>
    <w:qFormat/>
    <w:uiPriority w:val="99"/>
    <w:pPr>
      <w:spacing w:beforeAutospacing="1" w:afterAutospacing="1"/>
      <w:jc w:val="left"/>
    </w:pPr>
    <w:rPr>
      <w:rFonts w:ascii="Calibri" w:hAnsi="Calibri" w:eastAsia="宋体" w:cs="Times New Roman"/>
      <w:kern w:val="0"/>
      <w:sz w:val="24"/>
    </w:rPr>
  </w:style>
  <w:style w:type="paragraph" w:styleId="9">
    <w:name w:val="Body Text First Indent"/>
    <w:basedOn w:val="4"/>
    <w:unhideWhenUsed/>
    <w:qFormat/>
    <w:uiPriority w:val="99"/>
    <w:pPr>
      <w:widowControl w:val="0"/>
      <w:spacing w:after="120" w:line="240" w:lineRule="atLeast"/>
      <w:ind w:firstLine="420" w:firstLineChars="100"/>
      <w:jc w:val="both"/>
    </w:pPr>
    <w:rPr>
      <w:rFonts w:ascii="Times New Roman" w:hAnsi="Times New Roman" w:eastAsia="仿宋_GB2312" w:cs="Times New Roman"/>
      <w:spacing w:val="-6"/>
      <w:kern w:val="2"/>
      <w:sz w:val="32"/>
      <w:lang w:val="en-US" w:eastAsia="zh-CN" w:bidi="ar-SA"/>
    </w:rPr>
  </w:style>
  <w:style w:type="character" w:customStyle="1" w:styleId="12">
    <w:name w:val="正文文本 字符"/>
    <w:link w:val="4"/>
    <w:qFormat/>
    <w:uiPriority w:val="0"/>
    <w:rPr>
      <w:rFonts w:ascii="Times New Roman" w:hAnsi="Times New Roman" w:eastAsia="仿宋_GB2312" w:cs="Times New Roman"/>
      <w:sz w:val="28"/>
      <w:szCs w:val="24"/>
    </w:rPr>
  </w:style>
  <w:style w:type="paragraph" w:customStyle="1" w:styleId="13">
    <w:name w:val="目录 11"/>
    <w:next w:val="1"/>
    <w:qFormat/>
    <w:uiPriority w:val="0"/>
    <w:pPr>
      <w:wordWrap w:val="0"/>
      <w:jc w:val="both"/>
    </w:pPr>
    <w:rPr>
      <w:rFonts w:ascii="Times New Roman" w:hAnsi="Times New Roman" w:eastAsia="宋体" w:cs="Times New Roman"/>
      <w:sz w:val="21"/>
      <w:szCs w:val="22"/>
      <w:lang w:val="en-US" w:eastAsia="zh-CN" w:bidi="ar-SA"/>
    </w:rPr>
  </w:style>
  <w:style w:type="character" w:customStyle="1" w:styleId="14">
    <w:name w:val="页脚 字符"/>
    <w:link w:val="6"/>
    <w:qFormat/>
    <w:uiPriority w:val="0"/>
    <w:rPr>
      <w:rFonts w:ascii="Times New Roman" w:hAnsi="Times New Roman" w:eastAsia="宋体" w:cs="Times New Roman"/>
      <w:sz w:val="18"/>
      <w:szCs w:val="18"/>
    </w:rPr>
  </w:style>
  <w:style w:type="character" w:customStyle="1" w:styleId="15">
    <w:name w:val="页眉 字符"/>
    <w:link w:val="7"/>
    <w:qFormat/>
    <w:uiPriority w:val="0"/>
    <w:rPr>
      <w:rFonts w:ascii="Times New Roman" w:hAnsi="Times New Roman" w:eastAsia="宋体" w:cs="Times New Roman"/>
      <w:sz w:val="18"/>
      <w:szCs w:val="18"/>
    </w:rPr>
  </w:style>
  <w:style w:type="paragraph" w:styleId="16">
    <w:name w:val="List Paragraph"/>
    <w:basedOn w:val="1"/>
    <w:qFormat/>
    <w:uiPriority w:val="0"/>
    <w:pPr>
      <w:ind w:firstLine="420" w:firstLineChars="200"/>
    </w:pPr>
    <w:rPr>
      <w:rFonts w:ascii="Calibri" w:hAnsi="Calibri" w:eastAsia="宋体" w:cs="Times New Roman"/>
    </w:rPr>
  </w:style>
  <w:style w:type="paragraph" w:customStyle="1" w:styleId="17">
    <w:name w:val="msonormalcxspmidd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8">
    <w:name w:val="_Style 16"/>
    <w:unhideWhenUsed/>
    <w:qFormat/>
    <w:uiPriority w:val="99"/>
    <w:rPr>
      <w:rFonts w:ascii="等线" w:hAnsi="等线" w:eastAsia="等线"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1064</Words>
  <Characters>1160</Characters>
  <Lines>17</Lines>
  <Paragraphs>4</Paragraphs>
  <TotalTime>1</TotalTime>
  <ScaleCrop>false</ScaleCrop>
  <LinksUpToDate>false</LinksUpToDate>
  <CharactersWithSpaces>1160</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2024-01-19T22:35:00Z</dcterms:created>
  <dc:creator>晓红 李</dc:creator>
  <cp:lastModifiedBy>sunqing</cp:lastModifiedBy>
  <cp:lastPrinted>2025-08-23T02:36:00Z</cp:lastPrinted>
  <dcterms:modified xsi:type="dcterms:W3CDTF">2025-08-27T11:41:33Z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C3403D951C48F6F46358AE686892F89E</vt:lpwstr>
  </property>
  <property fmtid="{D5CDD505-2E9C-101B-9397-08002B2CF9AE}" pid="4" name="KSOTemplateDocerSaveRecord">
    <vt:lpwstr>eyJoZGlkIjoiOGFkZWYzMzU3OTMxOTAxZDc4YzQ3YzFiZWIxN2FjMmQiLCJ1c2VySWQiOiIzNjY4NzQ0NjcifQ==</vt:lpwstr>
  </property>
</Properties>
</file>