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t>东莞市</w:t>
      </w:r>
      <w:r>
        <w:rPr>
          <w:rFonts w:hint="eastAsia" w:ascii="方正小标宋简体" w:hAnsi="方正小标宋简体" w:eastAsia="方正小标宋简体" w:cs="方正小标宋简体"/>
          <w:sz w:val="44"/>
          <w:szCs w:val="44"/>
        </w:rPr>
        <w:t>数据产业高质量发</w:t>
      </w:r>
      <w:r>
        <w:rPr>
          <w:rFonts w:hint="eastAsia" w:ascii="方正小标宋简体" w:hAnsi="方正小标宋简体" w:eastAsia="方正小标宋简体" w:cs="方正小标宋简体"/>
          <w:sz w:val="44"/>
          <w:szCs w:val="44"/>
          <w:lang w:val="en-US" w:eastAsia="zh-CN"/>
        </w:rPr>
        <w:t>展</w:t>
      </w:r>
      <w:r>
        <w:rPr>
          <w:rFonts w:hint="eastAsia" w:ascii="Times New Roman" w:hAnsi="Times New Roman" w:eastAsia="方正小标宋简体" w:cs="Times New Roman"/>
          <w:bCs/>
          <w:sz w:val="44"/>
          <w:szCs w:val="44"/>
          <w:lang w:val="en-US" w:eastAsia="zh-CN"/>
        </w:rPr>
        <w:t>专项资金管理办法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（征求意见稿）</w:t>
      </w:r>
    </w:p>
    <w:p>
      <w:pPr>
        <w:pStyle w:val="2"/>
        <w:keepNext w:val="0"/>
        <w:keepLines w:val="0"/>
        <w:pageBreakBefore w:val="0"/>
        <w:kinsoku/>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40"/>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color w:val="auto"/>
          <w:kern w:val="2"/>
          <w:sz w:val="32"/>
          <w:szCs w:val="40"/>
          <w:highlight w:val="none"/>
          <w:lang w:val="en-US" w:eastAsia="zh-CN"/>
        </w:rPr>
        <w:t>第一条</w:t>
      </w:r>
      <w:r>
        <w:rPr>
          <w:rFonts w:hint="eastAsia" w:ascii="楷体_GB2312" w:hAnsi="楷体_GB2312" w:eastAsia="楷体_GB2312" w:cs="楷体_GB2312"/>
          <w:bCs w:val="0"/>
          <w:kern w:val="2"/>
          <w:sz w:val="32"/>
          <w:szCs w:val="40"/>
          <w:lang w:val="en-US" w:eastAsia="zh-CN"/>
        </w:rPr>
        <w:t xml:space="preserve"> </w:t>
      </w:r>
      <w:r>
        <w:rPr>
          <w:rFonts w:hint="eastAsia" w:ascii="Times New Roman Regular" w:hAnsi="Times New Roman Regular" w:cs="Times New Roman Regular"/>
          <w:bCs/>
          <w:color w:val="000000"/>
          <w:kern w:val="2"/>
          <w:sz w:val="32"/>
          <w:szCs w:val="32"/>
          <w:highlight w:val="none"/>
          <w:lang w:val="en-US" w:eastAsia="zh-CN"/>
        </w:rPr>
        <w:t>【目的依据】</w:t>
      </w:r>
      <w:r>
        <w:rPr>
          <w:rFonts w:hint="eastAsia" w:ascii="Times New Roman Regular" w:hAnsi="Times New Roman Regular" w:eastAsia="仿宋_GB2312" w:cs="Times New Roman Regular"/>
          <w:bCs/>
          <w:color w:val="000000"/>
          <w:kern w:val="2"/>
          <w:sz w:val="32"/>
          <w:szCs w:val="32"/>
          <w:highlight w:val="none"/>
          <w:lang w:val="en-US" w:eastAsia="zh-CN"/>
        </w:rPr>
        <w:t>为深入</w:t>
      </w:r>
      <w:r>
        <w:rPr>
          <w:rFonts w:ascii="Times New Roman Regular" w:hAnsi="Times New Roman Regular" w:eastAsia="仿宋_GB2312" w:cs="Times New Roman Regular"/>
          <w:bCs/>
          <w:color w:val="000000"/>
          <w:kern w:val="2"/>
          <w:sz w:val="32"/>
          <w:szCs w:val="32"/>
          <w:highlight w:val="none"/>
        </w:rPr>
        <w:t>贯彻落实</w:t>
      </w:r>
      <w:r>
        <w:rPr>
          <w:rFonts w:ascii="Times New Roman Regular" w:hAnsi="Times New Roman Regular" w:eastAsia="仿宋_GB2312" w:cs="Times New Roman Regular"/>
          <w:bCs/>
          <w:sz w:val="32"/>
          <w:szCs w:val="32"/>
          <w:highlight w:val="none"/>
        </w:rPr>
        <w:t>《国家发展改革委等部门关于促进数据产业高质量发展的指导意见》</w:t>
      </w:r>
      <w:r>
        <w:rPr>
          <w:rFonts w:ascii="Times New Roman Regular" w:hAnsi="Times New Roman Regular" w:eastAsia="仿宋_GB2312" w:cs="Times New Roman Regular"/>
          <w:bCs/>
          <w:kern w:val="2"/>
          <w:sz w:val="32"/>
          <w:szCs w:val="32"/>
          <w:highlight w:val="none"/>
        </w:rPr>
        <w:t>等文件精神</w:t>
      </w:r>
      <w:r>
        <w:rPr>
          <w:rFonts w:hint="eastAsia" w:ascii="Times New Roman Regular" w:hAnsi="Times New Roman Regular" w:cs="Times New Roman Regular"/>
          <w:bCs/>
          <w:kern w:val="2"/>
          <w:sz w:val="32"/>
          <w:szCs w:val="32"/>
          <w:highlight w:val="none"/>
          <w:lang w:eastAsia="zh-CN"/>
        </w:rPr>
        <w:t>，</w:t>
      </w:r>
      <w:r>
        <w:rPr>
          <w:rFonts w:ascii="Times New Roman" w:hAnsi="Times New Roman" w:eastAsia="仿宋_GB2312" w:cs="Times New Roman"/>
          <w:sz w:val="32"/>
          <w:szCs w:val="32"/>
          <w:highlight w:val="none"/>
        </w:rPr>
        <w:t>充分发挥数据要素作用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赋能人工智能产业高质量发展</w:t>
      </w:r>
      <w:r>
        <w:rPr>
          <w:rFonts w:hint="eastAsia" w:ascii="Times New Roman" w:hAnsi="Times New Roman" w:cs="Times New Roman"/>
          <w:sz w:val="32"/>
          <w:szCs w:val="32"/>
          <w:highlight w:val="none"/>
          <w:lang w:eastAsia="zh-CN"/>
        </w:rPr>
        <w:t>，</w:t>
      </w:r>
      <w:r>
        <w:rPr>
          <w:rFonts w:hint="eastAsia" w:ascii="Times New Roman" w:hAnsi="Times New Roman" w:eastAsia="仿宋_GB2312" w:cs="Times New Roman"/>
          <w:sz w:val="32"/>
          <w:szCs w:val="32"/>
          <w:lang w:val="en-US" w:eastAsia="zh-CN"/>
        </w:rPr>
        <w:t>根据《东莞市市级财政专项资金管理办法》（东府〔2016〕73号）文件精神，结合东莞实际，制定本办法。</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2" w:firstLineChars="200"/>
        <w:jc w:val="both"/>
        <w:textAlignment w:val="auto"/>
        <w:rPr>
          <w:rFonts w:hint="default"/>
          <w:lang w:val="en-US" w:eastAsia="zh-CN"/>
        </w:rPr>
      </w:pPr>
      <w:r>
        <w:rPr>
          <w:rFonts w:hint="eastAsia" w:ascii="楷体_GB2312" w:hAnsi="楷体_GB2312" w:eastAsia="楷体_GB2312" w:cs="楷体_GB2312"/>
          <w:b/>
          <w:bCs/>
          <w:color w:val="auto"/>
          <w:kern w:val="2"/>
          <w:sz w:val="32"/>
          <w:szCs w:val="40"/>
          <w:highlight w:val="none"/>
          <w:lang w:val="en-US" w:eastAsia="zh-CN"/>
        </w:rPr>
        <w:t>第二条</w:t>
      </w:r>
      <w:r>
        <w:rPr>
          <w:rFonts w:hint="eastAsia"/>
          <w:lang w:val="en-US" w:eastAsia="zh-CN"/>
        </w:rPr>
        <w:t xml:space="preserve"> 【名词解释】本办法所称专项资金是指用于加快推动数据产业高质量发展，市财政局通过一般公共预算安排，由市政务服务和数据管理局（下称“市政务和数据局”）负责管理的，具有专门用途和绩效目标的财政资金。专项资金年度预算根据东莞市政务和数据局领域规划、年度工作计划及市财政财力情况确定。</w:t>
      </w:r>
    </w:p>
    <w:p>
      <w:pPr>
        <w:pStyle w:val="2"/>
        <w:spacing w:line="600" w:lineRule="exact"/>
        <w:rPr>
          <w:rFonts w:hint="default"/>
          <w:lang w:val="en-US" w:eastAsia="zh-CN"/>
        </w:rPr>
      </w:pPr>
      <w:r>
        <w:rPr>
          <w:rFonts w:hint="eastAsia" w:ascii="楷体_GB2312" w:hAnsi="楷体_GB2312" w:eastAsia="楷体_GB2312" w:cs="楷体_GB2312"/>
          <w:b/>
          <w:bCs/>
          <w:color w:val="auto"/>
          <w:kern w:val="2"/>
          <w:sz w:val="32"/>
          <w:szCs w:val="40"/>
          <w:highlight w:val="none"/>
          <w:lang w:val="en-US" w:eastAsia="zh-CN"/>
        </w:rPr>
        <w:t>第三条</w:t>
      </w:r>
      <w:r>
        <w:rPr>
          <w:rFonts w:hint="eastAsia"/>
          <w:lang w:val="en-US" w:eastAsia="zh-CN"/>
        </w:rPr>
        <w:t xml:space="preserve"> </w:t>
      </w:r>
      <w:r>
        <w:rPr>
          <w:rFonts w:hint="eastAsia" w:ascii="Times New Roman" w:hAnsi="Times New Roman" w:eastAsia="仿宋_GB2312" w:cs="Times New Roman"/>
          <w:kern w:val="2"/>
          <w:sz w:val="32"/>
          <w:szCs w:val="32"/>
          <w:lang w:val="en-US" w:eastAsia="zh-CN" w:bidi="ar-SA"/>
        </w:rPr>
        <w:t>【基本原则】专项资金使用和管理遵循“依法依规、公正公开</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突出重点、科学分配、</w:t>
      </w:r>
      <w:r>
        <w:rPr>
          <w:rFonts w:hint="eastAsia" w:cs="Times New Roman"/>
          <w:kern w:val="2"/>
          <w:sz w:val="32"/>
          <w:szCs w:val="32"/>
          <w:lang w:val="en-US" w:eastAsia="zh-CN" w:bidi="ar-SA"/>
        </w:rPr>
        <w:t>注重绩效、</w:t>
      </w:r>
      <w:r>
        <w:rPr>
          <w:rFonts w:hint="eastAsia" w:ascii="Times New Roman" w:hAnsi="Times New Roman" w:eastAsia="仿宋_GB2312" w:cs="Times New Roman"/>
          <w:kern w:val="2"/>
          <w:sz w:val="32"/>
          <w:szCs w:val="32"/>
          <w:lang w:val="en-US" w:eastAsia="zh-CN" w:bidi="ar-SA"/>
        </w:rPr>
        <w:t>规范管理”的</w:t>
      </w:r>
      <w:r>
        <w:rPr>
          <w:rFonts w:hint="eastAsia" w:cs="Times New Roman"/>
          <w:kern w:val="2"/>
          <w:sz w:val="32"/>
          <w:szCs w:val="32"/>
          <w:lang w:val="en-US" w:eastAsia="zh-CN" w:bidi="ar-SA"/>
        </w:rPr>
        <w:t>原则</w:t>
      </w:r>
      <w:r>
        <w:rPr>
          <w:rFonts w:hint="eastAsia"/>
          <w:sz w:val="32"/>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部门职责</w:t>
      </w:r>
    </w:p>
    <w:p>
      <w:pPr>
        <w:numPr>
          <w:ilvl w:val="0"/>
          <w:numId w:val="0"/>
        </w:numPr>
        <w:spacing w:line="600" w:lineRule="exact"/>
        <w:ind w:firstLine="643"/>
        <w:rPr>
          <w:rFonts w:hint="eastAsia" w:cs="Times New Roman"/>
          <w:kern w:val="2"/>
          <w:sz w:val="32"/>
          <w:szCs w:val="32"/>
          <w:lang w:val="en-US" w:eastAsia="zh-CN" w:bidi="ar-SA"/>
        </w:rPr>
      </w:pPr>
      <w:r>
        <w:rPr>
          <w:rFonts w:hint="eastAsia" w:ascii="楷体_GB2312" w:hAnsi="楷体_GB2312" w:eastAsia="楷体_GB2312" w:cs="楷体_GB2312"/>
          <w:b/>
          <w:bCs/>
          <w:color w:val="auto"/>
          <w:kern w:val="2"/>
          <w:sz w:val="32"/>
          <w:szCs w:val="40"/>
          <w:highlight w:val="none"/>
          <w:lang w:val="en-US" w:eastAsia="zh-CN"/>
        </w:rPr>
        <w:t>第四条</w:t>
      </w:r>
      <w:r>
        <w:rPr>
          <w:rFonts w:hint="eastAsia" w:ascii="楷体_GB2312" w:hAnsi="楷体_GB2312" w:eastAsia="楷体_GB2312" w:cs="楷体_GB2312"/>
          <w:b/>
          <w:bCs/>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【市政务和数据局】市政务和数据局</w:t>
      </w:r>
      <w:r>
        <w:rPr>
          <w:rFonts w:hint="eastAsia" w:cs="Times New Roman"/>
          <w:kern w:val="2"/>
          <w:sz w:val="32"/>
          <w:szCs w:val="32"/>
          <w:lang w:val="en-US" w:eastAsia="zh-CN" w:bidi="ar-SA"/>
        </w:rPr>
        <w:t>主要职责：</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（一）制定（修订）专项资金管理办法及实施细则等相关政策文件，明确资金扶持范围、细则，规范审批、评审程序，加强监督管理，完善专项资金内控制度，确保专项资金安全；</w:t>
      </w:r>
      <w:r>
        <w:rPr>
          <w:rFonts w:hint="eastAsia" w:cs="Times New Roman"/>
          <w:kern w:val="2"/>
          <w:sz w:val="32"/>
          <w:szCs w:val="32"/>
          <w:lang w:val="en-US" w:eastAsia="zh-CN" w:bidi="ar-SA"/>
        </w:rPr>
        <w:br w:type="textWrapping"/>
      </w:r>
      <w:r>
        <w:rPr>
          <w:rFonts w:hint="eastAsia" w:cs="Times New Roman"/>
          <w:kern w:val="2"/>
          <w:sz w:val="32"/>
          <w:szCs w:val="32"/>
          <w:lang w:val="en-US" w:eastAsia="zh-CN" w:bidi="ar-SA"/>
        </w:rPr>
        <w:t>　　（二）编制年度预算，提出资金调整意见，执行已批复的资金预算；</w:t>
      </w:r>
      <w:r>
        <w:rPr>
          <w:rFonts w:hint="eastAsia" w:cs="Times New Roman"/>
          <w:kern w:val="2"/>
          <w:sz w:val="32"/>
          <w:szCs w:val="32"/>
          <w:lang w:val="en-US" w:eastAsia="zh-CN" w:bidi="ar-SA"/>
        </w:rPr>
        <w:br w:type="textWrapping"/>
      </w:r>
      <w:r>
        <w:rPr>
          <w:rFonts w:hint="eastAsia" w:cs="Times New Roman"/>
          <w:kern w:val="2"/>
          <w:sz w:val="32"/>
          <w:szCs w:val="32"/>
          <w:lang w:val="en-US" w:eastAsia="zh-CN" w:bidi="ar-SA"/>
        </w:rPr>
        <w:t>　　（三）统筹制定及发布专项资金相关信息，实行从申报通知、指南发布到项目申报、评审、资金拨付、资金使用、项目实施、项目验收、绩效评价、资金退出和回收的全周期管理；</w:t>
      </w:r>
      <w:r>
        <w:rPr>
          <w:rFonts w:hint="eastAsia" w:cs="Times New Roman"/>
          <w:kern w:val="2"/>
          <w:sz w:val="32"/>
          <w:szCs w:val="32"/>
          <w:lang w:val="en-US" w:eastAsia="zh-CN" w:bidi="ar-SA"/>
        </w:rPr>
        <w:br w:type="textWrapping"/>
      </w:r>
      <w:r>
        <w:rPr>
          <w:rFonts w:hint="eastAsia" w:cs="Times New Roman"/>
          <w:kern w:val="2"/>
          <w:sz w:val="32"/>
          <w:szCs w:val="32"/>
          <w:lang w:val="en-US" w:eastAsia="zh-CN" w:bidi="ar-SA"/>
        </w:rPr>
        <w:t>　　（四）加强对评审专家以及第三方机构的管理，确保项目评审规范、资金安全；</w:t>
      </w:r>
      <w:r>
        <w:rPr>
          <w:rFonts w:hint="eastAsia" w:cs="Times New Roman"/>
          <w:kern w:val="2"/>
          <w:sz w:val="32"/>
          <w:szCs w:val="32"/>
          <w:lang w:val="en-US" w:eastAsia="zh-CN" w:bidi="ar-SA"/>
        </w:rPr>
        <w:br w:type="textWrapping"/>
      </w:r>
      <w:r>
        <w:rPr>
          <w:rFonts w:hint="eastAsia" w:cs="Times New Roman"/>
          <w:kern w:val="2"/>
          <w:sz w:val="32"/>
          <w:szCs w:val="32"/>
          <w:lang w:val="en-US" w:eastAsia="zh-CN" w:bidi="ar-SA"/>
        </w:rPr>
        <w:t>　　（五）根据实际情况，向协助单位下放其工作职能领域内专项资金项目的相关工作权限。</w:t>
      </w:r>
    </w:p>
    <w:p>
      <w:pPr>
        <w:widowControl/>
        <w:rPr>
          <w:rFonts w:hint="default" w:cs="Times New Roman"/>
          <w:szCs w:val="32"/>
          <w:lang w:val="en-US" w:eastAsia="zh-CN"/>
        </w:rPr>
      </w:pPr>
      <w:r>
        <w:rPr>
          <w:rFonts w:hint="eastAsia" w:ascii="CESI楷体-GB2312" w:hAnsi="CESI楷体-GB2312" w:eastAsia="CESI楷体-GB2312" w:cs="CESI楷体-GB2312"/>
          <w:b/>
          <w:bCs/>
          <w:kern w:val="2"/>
          <w:sz w:val="32"/>
          <w:szCs w:val="24"/>
          <w:lang w:val="en-US" w:eastAsia="zh-CN" w:bidi="ar-SA"/>
        </w:rPr>
        <w:t>第五条</w:t>
      </w:r>
      <w:r>
        <w:rPr>
          <w:rFonts w:hint="eastAsia" w:ascii="黑体" w:hAnsi="黑体" w:eastAsia="黑体" w:cs="黑体"/>
          <w:b w:val="0"/>
          <w:bCs w:val="0"/>
          <w:kern w:val="2"/>
          <w:sz w:val="32"/>
          <w:szCs w:val="24"/>
          <w:lang w:val="en-US" w:eastAsia="zh-CN" w:bidi="ar-SA"/>
        </w:rPr>
        <w:t xml:space="preserve"> </w:t>
      </w:r>
      <w:r>
        <w:rPr>
          <w:rFonts w:hint="eastAsia" w:ascii="Times New Roman" w:hAnsi="Times New Roman" w:eastAsia="仿宋_GB2312" w:cs="Times New Roman"/>
          <w:kern w:val="2"/>
          <w:sz w:val="32"/>
          <w:szCs w:val="32"/>
          <w:lang w:val="en-US" w:eastAsia="zh-CN" w:bidi="ar-SA"/>
        </w:rPr>
        <w:t>【市财政局】市财政局主要职责：</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（一）配合</w:t>
      </w:r>
      <w:r>
        <w:rPr>
          <w:rFonts w:hint="eastAsia" w:cs="Times New Roman"/>
          <w:kern w:val="2"/>
          <w:sz w:val="32"/>
          <w:szCs w:val="32"/>
          <w:lang w:val="en-US" w:eastAsia="zh-CN" w:bidi="ar-SA"/>
        </w:rPr>
        <w:t>市政务和数据局</w:t>
      </w:r>
      <w:r>
        <w:rPr>
          <w:rFonts w:hint="eastAsia" w:ascii="Times New Roman" w:hAnsi="Times New Roman" w:eastAsia="仿宋_GB2312" w:cs="Times New Roman"/>
          <w:kern w:val="2"/>
          <w:sz w:val="32"/>
          <w:szCs w:val="32"/>
          <w:lang w:val="en-US" w:eastAsia="zh-CN" w:bidi="ar-SA"/>
        </w:rPr>
        <w:t>制定（修订）专项资金管理办法，负责审核专项资金的设立、预决算、续期、调整和撤销，统筹安排资金预算规模；</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（二）负责对专项资金绩效目标和绩效评价报告进行审核，根据需要实施重点绩效评价或再评价。</w:t>
      </w:r>
    </w:p>
    <w:p>
      <w:pPr>
        <w:pStyle w:val="3"/>
        <w:keepNext w:val="0"/>
        <w:keepLines w:val="0"/>
        <w:pageBreakBefore w:val="0"/>
        <w:widowControl/>
        <w:numPr>
          <w:ilvl w:val="-1"/>
          <w:numId w:val="0"/>
        </w:numPr>
        <w:kinsoku/>
        <w:overflowPunct/>
        <w:topLinePunct w:val="0"/>
        <w:autoSpaceDE/>
        <w:autoSpaceDN/>
        <w:bidi w:val="0"/>
        <w:adjustRightInd/>
        <w:snapToGrid/>
        <w:spacing w:line="600" w:lineRule="exact"/>
        <w:ind w:leftChars="0" w:firstLine="0" w:firstLineChars="0"/>
        <w:jc w:val="center"/>
        <w:textAlignment w:val="auto"/>
        <w:rPr>
          <w:rFonts w:hint="eastAsia" w:ascii="黑体" w:hAnsi="黑体" w:eastAsia="黑体" w:cs="黑体"/>
          <w:sz w:val="32"/>
          <w:szCs w:val="32"/>
          <w:lang w:val="en-US" w:eastAsia="zh-CN"/>
        </w:rPr>
      </w:pPr>
    </w:p>
    <w:p>
      <w:pPr>
        <w:pStyle w:val="3"/>
        <w:keepNext w:val="0"/>
        <w:keepLines w:val="0"/>
        <w:pageBreakBefore w:val="0"/>
        <w:widowControl/>
        <w:numPr>
          <w:ilvl w:val="-1"/>
          <w:numId w:val="0"/>
        </w:numPr>
        <w:kinsoku/>
        <w:overflowPunct/>
        <w:topLinePunct w:val="0"/>
        <w:autoSpaceDE/>
        <w:autoSpaceDN/>
        <w:bidi w:val="0"/>
        <w:adjustRightInd/>
        <w:snapToGrid/>
        <w:spacing w:line="600" w:lineRule="exact"/>
        <w:ind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支持范围和方式</w:t>
      </w:r>
    </w:p>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cs="Times New Roman"/>
          <w:kern w:val="2"/>
          <w:sz w:val="32"/>
          <w:szCs w:val="32"/>
          <w:lang w:val="en-US" w:eastAsia="zh-CN" w:bidi="ar-SA"/>
        </w:rPr>
      </w:pPr>
      <w:r>
        <w:rPr>
          <w:rFonts w:hint="eastAsia" w:ascii="楷体_GB2312" w:hAnsi="楷体_GB2312" w:eastAsia="楷体_GB2312" w:cs="楷体_GB2312"/>
          <w:b/>
          <w:bCs/>
          <w:color w:val="auto"/>
          <w:kern w:val="2"/>
          <w:sz w:val="32"/>
          <w:szCs w:val="40"/>
          <w:highlight w:val="none"/>
          <w:lang w:val="en-US" w:eastAsia="zh-CN"/>
        </w:rPr>
        <w:t>第六条</w:t>
      </w:r>
      <w:r>
        <w:rPr>
          <w:rFonts w:hint="eastAsia" w:ascii="楷体_GB2312" w:hAnsi="楷体_GB2312" w:eastAsia="楷体_GB2312" w:cs="楷体_GB2312"/>
          <w:b/>
          <w:bCs/>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【支持范围】资金支持包括但不限于以下用途</w:t>
      </w:r>
      <w:r>
        <w:rPr>
          <w:rFonts w:hint="eastAsia" w:ascii="Times New Roman" w:hAnsi="Times New Roman" w:cs="Times New Roman"/>
          <w:kern w:val="2"/>
          <w:sz w:val="32"/>
          <w:szCs w:val="32"/>
          <w:lang w:val="en-US" w:eastAsia="zh-CN" w:bidi="ar-SA"/>
        </w:rPr>
        <w:t>：</w:t>
      </w:r>
    </w:p>
    <w:p>
      <w:pPr>
        <w:pStyle w:val="2"/>
        <w:keepNext w:val="0"/>
        <w:keepLines w:val="0"/>
        <w:widowControl/>
        <w:suppressLineNumbers w:val="0"/>
        <w:spacing w:line="600" w:lineRule="exact"/>
        <w:jc w:val="left"/>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（一）支持数据基础设施布局。</w:t>
      </w:r>
      <w:r>
        <w:rPr>
          <w:rFonts w:hint="eastAsia" w:ascii="Times New Roman" w:hAnsi="Times New Roman" w:eastAsia="仿宋_GB2312" w:cs="Times New Roman"/>
          <w:kern w:val="2"/>
          <w:sz w:val="32"/>
          <w:szCs w:val="32"/>
          <w:lang w:val="en-US" w:eastAsia="zh-CN" w:bidi="ar-SA"/>
        </w:rPr>
        <w:t>支持开展前沿引领技术和关键共性技术创新攻关，提升数据技术创新能力</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支持</w:t>
      </w:r>
      <w:r>
        <w:rPr>
          <w:rFonts w:hint="eastAsia" w:eastAsia="仿宋_GB2312" w:cs="Times New Roman"/>
          <w:kern w:val="2"/>
          <w:sz w:val="32"/>
          <w:szCs w:val="32"/>
          <w:lang w:val="en-US" w:eastAsia="zh-CN" w:bidi="ar-SA"/>
        </w:rPr>
        <w:t>数据</w:t>
      </w:r>
      <w:r>
        <w:rPr>
          <w:rFonts w:hint="eastAsia" w:ascii="Times New Roman" w:hAnsi="Times New Roman" w:eastAsia="仿宋_GB2312" w:cs="Times New Roman"/>
          <w:kern w:val="2"/>
          <w:sz w:val="32"/>
          <w:szCs w:val="32"/>
          <w:lang w:val="en-US" w:eastAsia="zh-CN" w:bidi="ar-SA"/>
        </w:rPr>
        <w:t>基础设施高质量发展，</w:t>
      </w:r>
      <w:r>
        <w:rPr>
          <w:rFonts w:hint="default" w:ascii="Times New Roman" w:hAnsi="Times New Roman" w:eastAsia="仿宋_GB2312" w:cs="Times New Roman"/>
          <w:kern w:val="2"/>
          <w:sz w:val="32"/>
          <w:szCs w:val="32"/>
          <w:lang w:val="en-US" w:eastAsia="zh-CN" w:bidi="ar-SA"/>
        </w:rPr>
        <w:t>推动建设</w:t>
      </w:r>
      <w:r>
        <w:rPr>
          <w:rFonts w:hint="eastAsia" w:cs="Times New Roman"/>
          <w:kern w:val="2"/>
          <w:sz w:val="32"/>
          <w:szCs w:val="32"/>
          <w:lang w:val="en-US" w:eastAsia="zh-CN" w:bidi="ar-SA"/>
        </w:rPr>
        <w:t>具有</w:t>
      </w:r>
      <w:r>
        <w:rPr>
          <w:rFonts w:hint="default" w:ascii="Times New Roman" w:hAnsi="Times New Roman" w:eastAsia="仿宋_GB2312" w:cs="Times New Roman"/>
          <w:kern w:val="2"/>
          <w:sz w:val="32"/>
          <w:szCs w:val="32"/>
          <w:lang w:val="en-US" w:eastAsia="zh-CN" w:bidi="ar-SA"/>
        </w:rPr>
        <w:t>全局性、支撑性、创新性的重大</w:t>
      </w:r>
      <w:r>
        <w:rPr>
          <w:rFonts w:hint="eastAsia" w:ascii="Times New Roman" w:hAnsi="Times New Roman" w:eastAsia="仿宋_GB2312" w:cs="Times New Roman"/>
          <w:kern w:val="2"/>
          <w:sz w:val="32"/>
          <w:szCs w:val="32"/>
          <w:lang w:val="en-US" w:eastAsia="zh-CN" w:bidi="ar-SA"/>
        </w:rPr>
        <w:t>数据</w:t>
      </w:r>
      <w:r>
        <w:rPr>
          <w:rFonts w:hint="default" w:ascii="Times New Roman" w:hAnsi="Times New Roman" w:eastAsia="仿宋_GB2312" w:cs="Times New Roman"/>
          <w:kern w:val="2"/>
          <w:sz w:val="32"/>
          <w:szCs w:val="32"/>
          <w:lang w:val="en-US" w:eastAsia="zh-CN" w:bidi="ar-SA"/>
        </w:rPr>
        <w:t>基础设施项目</w:t>
      </w:r>
      <w:r>
        <w:rPr>
          <w:rFonts w:hint="eastAsia" w:ascii="Times New Roman" w:hAnsi="Times New Roman" w:eastAsia="仿宋_GB2312" w:cs="Times New Roman"/>
          <w:kern w:val="2"/>
          <w:sz w:val="32"/>
          <w:szCs w:val="32"/>
          <w:lang w:val="en-US" w:eastAsia="zh-CN" w:bidi="ar-SA"/>
        </w:rPr>
        <w:t>，如</w:t>
      </w:r>
      <w:r>
        <w:rPr>
          <w:rFonts w:hint="default" w:ascii="Times New Roman" w:hAnsi="Times New Roman" w:eastAsia="仿宋_GB2312" w:cs="Times New Roman"/>
          <w:kern w:val="2"/>
          <w:sz w:val="32"/>
          <w:szCs w:val="32"/>
          <w:lang w:val="en-US" w:eastAsia="zh-CN" w:bidi="ar-SA"/>
        </w:rPr>
        <w:t>数据流通</w:t>
      </w:r>
      <w:r>
        <w:rPr>
          <w:rFonts w:hint="eastAsia" w:cs="Times New Roman"/>
          <w:kern w:val="2"/>
          <w:sz w:val="32"/>
          <w:szCs w:val="32"/>
          <w:lang w:val="en-US" w:eastAsia="zh-CN" w:bidi="ar-SA"/>
        </w:rPr>
        <w:t>利用基础设施、</w:t>
      </w:r>
      <w:r>
        <w:rPr>
          <w:rFonts w:hint="default" w:ascii="Times New Roman" w:hAnsi="Times New Roman" w:eastAsia="仿宋_GB2312" w:cs="Times New Roman"/>
          <w:kern w:val="2"/>
          <w:sz w:val="32"/>
          <w:szCs w:val="32"/>
          <w:lang w:val="en-US" w:eastAsia="zh-CN" w:bidi="ar-SA"/>
        </w:rPr>
        <w:t>算力基础设施、数据存储与管理平台、数据安全基础设施及公共数据平台</w:t>
      </w:r>
      <w:r>
        <w:rPr>
          <w:rFonts w:hint="eastAsia" w:cs="Times New Roman"/>
          <w:kern w:val="2"/>
          <w:sz w:val="32"/>
          <w:szCs w:val="32"/>
          <w:lang w:val="en-US" w:eastAsia="zh-CN" w:bidi="ar-SA"/>
        </w:rPr>
        <w:t>等。</w:t>
      </w:r>
    </w:p>
    <w:p>
      <w:pPr>
        <w:pStyle w:val="2"/>
        <w:keepNext w:val="0"/>
        <w:keepLines w:val="0"/>
        <w:widowControl/>
        <w:suppressLineNumbers w:val="0"/>
        <w:spacing w:line="600" w:lineRule="exact"/>
        <w:jc w:val="both"/>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（二）支持数据资源高效供给。</w:t>
      </w:r>
      <w:r>
        <w:rPr>
          <w:rFonts w:hint="eastAsia" w:ascii="Times New Roman" w:hAnsi="Times New Roman" w:eastAsia="仿宋_GB2312" w:cs="Times New Roman"/>
          <w:kern w:val="2"/>
          <w:sz w:val="32"/>
          <w:szCs w:val="32"/>
          <w:lang w:val="en-US" w:eastAsia="zh-CN" w:bidi="ar-SA"/>
        </w:rPr>
        <w:t>支持公共数据有序开发利用，鼓励企业、机构合规参与市场化经营</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激发企业数据治理与应用活力，支持企业开展数据资源化、资产化实践</w:t>
      </w:r>
      <w:r>
        <w:rPr>
          <w:rFonts w:hint="eastAsia" w:cs="Times New Roman"/>
          <w:kern w:val="2"/>
          <w:sz w:val="32"/>
          <w:szCs w:val="32"/>
          <w:lang w:val="en-US" w:eastAsia="zh-CN" w:bidi="ar-SA"/>
        </w:rPr>
        <w:t>。</w:t>
      </w:r>
      <w:r>
        <w:rPr>
          <w:rFonts w:hint="eastAsia" w:ascii="Times New Roman" w:hAnsi="Times New Roman" w:eastAsia="仿宋_GB2312" w:cs="Times New Roman"/>
          <w:i w:val="0"/>
          <w:iCs w:val="0"/>
          <w:caps w:val="0"/>
          <w:color w:val="auto"/>
          <w:spacing w:val="0"/>
          <w:kern w:val="2"/>
          <w:sz w:val="32"/>
          <w:szCs w:val="32"/>
          <w:shd w:val="clear" w:fill="auto"/>
          <w:lang w:val="en-US" w:eastAsia="zh-CN" w:bidi="ar-SA"/>
        </w:rPr>
        <w:t>鼓励发展专业化、规模化、高质量的数据标注服务，支持建设高标准数据标注基地或平台。</w:t>
      </w:r>
      <w:r>
        <w:rPr>
          <w:rFonts w:hint="eastAsia" w:ascii="Times New Roman" w:hAnsi="Times New Roman" w:eastAsia="仿宋_GB2312" w:cs="Times New Roman"/>
          <w:kern w:val="2"/>
          <w:sz w:val="32"/>
          <w:szCs w:val="32"/>
          <w:lang w:val="en-US" w:eastAsia="zh-CN" w:bidi="ar-SA"/>
        </w:rPr>
        <w:t>支持企业</w:t>
      </w:r>
      <w:r>
        <w:rPr>
          <w:rFonts w:hint="eastAsia" w:ascii="Times New Roman" w:hAnsi="Times New Roman" w:cs="Times New Roman"/>
          <w:kern w:val="2"/>
          <w:sz w:val="32"/>
          <w:szCs w:val="32"/>
          <w:lang w:val="en-US" w:eastAsia="zh-CN" w:bidi="ar-SA"/>
        </w:rPr>
        <w:t>开展</w:t>
      </w:r>
      <w:r>
        <w:rPr>
          <w:rFonts w:hint="eastAsia" w:ascii="Times New Roman" w:hAnsi="Times New Roman" w:eastAsia="仿宋_GB2312" w:cs="Times New Roman"/>
          <w:kern w:val="2"/>
          <w:sz w:val="32"/>
          <w:szCs w:val="32"/>
          <w:lang w:val="en-US" w:eastAsia="zh-CN" w:bidi="ar-SA"/>
        </w:rPr>
        <w:t>数据质量评估</w:t>
      </w:r>
      <w:r>
        <w:rPr>
          <w:rFonts w:hint="eastAsia" w:ascii="Times New Roman" w:hAnsi="Times New Roman" w:cs="Times New Roman"/>
          <w:kern w:val="2"/>
          <w:sz w:val="32"/>
          <w:szCs w:val="32"/>
          <w:lang w:val="en-US" w:eastAsia="zh-CN" w:bidi="ar-SA"/>
        </w:rPr>
        <w:t>、数据标准建设，</w:t>
      </w:r>
      <w:r>
        <w:rPr>
          <w:rFonts w:hint="eastAsia" w:ascii="Times New Roman" w:hAnsi="Times New Roman" w:eastAsia="仿宋_GB2312" w:cs="Times New Roman"/>
          <w:kern w:val="2"/>
          <w:sz w:val="32"/>
          <w:szCs w:val="32"/>
          <w:lang w:val="en-US" w:eastAsia="zh-CN" w:bidi="ar-SA"/>
        </w:rPr>
        <w:t>鼓励构建多模态、高质量行业数据集，推动社会数据有序汇聚、合规开放与融合创新</w:t>
      </w:r>
      <w:r>
        <w:rPr>
          <w:rFonts w:hint="eastAsia" w:cs="Times New Roman"/>
          <w:kern w:val="2"/>
          <w:sz w:val="32"/>
          <w:szCs w:val="32"/>
          <w:lang w:val="en-US" w:eastAsia="zh-CN" w:bidi="ar-SA"/>
        </w:rPr>
        <w:t>。</w:t>
      </w:r>
    </w:p>
    <w:p>
      <w:pPr>
        <w:pStyle w:val="2"/>
        <w:keepNext w:val="0"/>
        <w:keepLines w:val="0"/>
        <w:widowControl/>
        <w:suppressLineNumbers w:val="0"/>
        <w:spacing w:line="600" w:lineRule="exact"/>
        <w:jc w:val="both"/>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（三）支持数据要素市场繁荣。</w:t>
      </w:r>
      <w:r>
        <w:rPr>
          <w:rFonts w:hint="eastAsia" w:ascii="Times New Roman" w:hAnsi="Times New Roman" w:eastAsia="仿宋_GB2312" w:cs="Times New Roman"/>
          <w:kern w:val="2"/>
          <w:sz w:val="32"/>
          <w:szCs w:val="32"/>
          <w:lang w:val="en-US" w:eastAsia="zh-CN" w:bidi="ar-SA"/>
        </w:rPr>
        <w:t>聚焦重点行业和领域，提升数据高效流通水平，培育壮大数据要素产业生态。鼓励多元化数据市场主体发展，重点引育技术型、资源型、应用型和服务型数商，提供</w:t>
      </w:r>
      <w:r>
        <w:rPr>
          <w:rFonts w:hint="eastAsia" w:cs="Times New Roman"/>
          <w:kern w:val="2"/>
          <w:sz w:val="32"/>
          <w:szCs w:val="32"/>
          <w:lang w:val="en-US" w:eastAsia="zh-CN" w:bidi="ar-SA"/>
        </w:rPr>
        <w:t>数据交易</w:t>
      </w:r>
      <w:r>
        <w:rPr>
          <w:rFonts w:hint="eastAsia" w:ascii="Times New Roman" w:hAnsi="Times New Roman" w:eastAsia="仿宋_GB2312" w:cs="Times New Roman"/>
          <w:kern w:val="2"/>
          <w:sz w:val="32"/>
          <w:szCs w:val="32"/>
          <w:lang w:val="en-US" w:eastAsia="zh-CN" w:bidi="ar-SA"/>
        </w:rPr>
        <w:t>等专业服务</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支持数据交易场所功能</w:t>
      </w:r>
      <w:r>
        <w:rPr>
          <w:rFonts w:hint="eastAsia" w:cs="Times New Roman"/>
          <w:kern w:val="2"/>
          <w:sz w:val="32"/>
          <w:szCs w:val="32"/>
          <w:lang w:val="en-US" w:eastAsia="zh-CN" w:bidi="ar-SA"/>
        </w:rPr>
        <w:t>升级</w:t>
      </w:r>
      <w:r>
        <w:rPr>
          <w:rFonts w:hint="eastAsia" w:ascii="Times New Roman" w:hAnsi="Times New Roman" w:eastAsia="仿宋_GB2312" w:cs="Times New Roman"/>
          <w:kern w:val="2"/>
          <w:sz w:val="32"/>
          <w:szCs w:val="32"/>
          <w:lang w:val="en-US" w:eastAsia="zh-CN" w:bidi="ar-SA"/>
        </w:rPr>
        <w:t>与生态建设，促进数据产品登记挂牌与场内规模化、规范化交易。探索数据定价、收益分配及跨境流通机制创新。</w:t>
      </w:r>
    </w:p>
    <w:p>
      <w:pPr>
        <w:pStyle w:val="2"/>
        <w:keepNext w:val="0"/>
        <w:keepLines w:val="0"/>
        <w:widowControl/>
        <w:numPr>
          <w:ilvl w:val="0"/>
          <w:numId w:val="2"/>
        </w:numPr>
        <w:suppressLineNumbers w:val="0"/>
        <w:spacing w:line="600" w:lineRule="exact"/>
        <w:jc w:val="both"/>
        <w:rPr>
          <w:rFonts w:hint="eastAsia"/>
          <w:lang w:val="en-US" w:eastAsia="zh-CN"/>
        </w:rPr>
      </w:pPr>
      <w:r>
        <w:rPr>
          <w:rFonts w:hint="eastAsia" w:ascii="楷体_GB2312" w:hAnsi="楷体_GB2312" w:eastAsia="楷体_GB2312" w:cs="楷体_GB2312"/>
          <w:kern w:val="2"/>
          <w:sz w:val="32"/>
          <w:szCs w:val="32"/>
          <w:lang w:val="en-US" w:eastAsia="zh-CN" w:bidi="ar-SA"/>
        </w:rPr>
        <w:t>支持数据应用场景落地。</w:t>
      </w:r>
      <w:r>
        <w:rPr>
          <w:rFonts w:hint="eastAsia" w:cs="Times New Roman"/>
          <w:kern w:val="2"/>
          <w:sz w:val="32"/>
          <w:szCs w:val="32"/>
          <w:lang w:val="en-US" w:eastAsia="zh-CN" w:bidi="ar-SA"/>
        </w:rPr>
        <w:t>支持构建多层次数据应用示范激励体系。鼓励在智能制造、智慧城市、金融服务、商贸流通、医疗健康等重点领域打造标杆性“数据要素×”应用场景，推动数据赋能千行百业。促进数据链与产业链深度融合，培育数据驱动的新模式、新业态。</w:t>
      </w:r>
    </w:p>
    <w:p>
      <w:pPr>
        <w:pStyle w:val="2"/>
        <w:keepNext w:val="0"/>
        <w:keepLines w:val="0"/>
        <w:widowControl/>
        <w:numPr>
          <w:ilvl w:val="0"/>
          <w:numId w:val="2"/>
        </w:numPr>
        <w:suppressLineNumbers w:val="0"/>
        <w:spacing w:line="600" w:lineRule="exact"/>
        <w:jc w:val="both"/>
        <w:rPr>
          <w:rFonts w:hint="eastAsia" w:ascii="Times New Roman" w:hAnsi="Times New Roman"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支持数据产业综合支撑。</w:t>
      </w:r>
      <w:r>
        <w:rPr>
          <w:rFonts w:hint="eastAsia" w:ascii="Times New Roman" w:hAnsi="Times New Roman" w:cs="Times New Roman"/>
          <w:kern w:val="2"/>
          <w:sz w:val="32"/>
          <w:szCs w:val="32"/>
          <w:lang w:val="en-US" w:eastAsia="zh-CN" w:bidi="ar-SA"/>
        </w:rPr>
        <w:t>支持数据产业园区规划建设</w:t>
      </w:r>
      <w:r>
        <w:rPr>
          <w:rFonts w:hint="eastAsia" w:cs="Times New Roman"/>
          <w:kern w:val="2"/>
          <w:sz w:val="32"/>
          <w:szCs w:val="32"/>
          <w:lang w:val="en-US" w:eastAsia="zh-CN" w:bidi="ar-SA"/>
        </w:rPr>
        <w:t>及</w:t>
      </w:r>
      <w:r>
        <w:rPr>
          <w:rFonts w:hint="eastAsia" w:ascii="Times New Roman" w:hAnsi="Times New Roman" w:cs="Times New Roman"/>
          <w:kern w:val="2"/>
          <w:sz w:val="32"/>
          <w:szCs w:val="32"/>
          <w:lang w:val="en-US" w:eastAsia="zh-CN" w:bidi="ar-SA"/>
        </w:rPr>
        <w:t>专业化运营服务，鼓励出台配套政策，招引高质量企业入驻</w:t>
      </w:r>
      <w:r>
        <w:rPr>
          <w:rFonts w:hint="eastAsia"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引导形成特色鲜明、优势互补的产业空间布局。支持数据人才梯队引育，包括高层次人才引进和实用型、复合型人才培养。强化数据安全保障能力建设，支持数据安全技术创新、产品应用、风险评估、合规治理及保险模式探索</w:t>
      </w:r>
      <w:r>
        <w:rPr>
          <w:rFonts w:hint="eastAsia" w:cs="Times New Roman"/>
          <w:kern w:val="2"/>
          <w:sz w:val="32"/>
          <w:szCs w:val="32"/>
          <w:lang w:val="en-US" w:eastAsia="zh-CN" w:bidi="ar-SA"/>
        </w:rPr>
        <w:t>等</w:t>
      </w:r>
      <w:r>
        <w:rPr>
          <w:rFonts w:hint="eastAsia" w:ascii="Times New Roman" w:hAnsi="Times New Roman" w:cs="Times New Roman"/>
          <w:kern w:val="2"/>
          <w:sz w:val="32"/>
          <w:szCs w:val="32"/>
          <w:lang w:val="en-US" w:eastAsia="zh-CN" w:bidi="ar-SA"/>
        </w:rPr>
        <w:t>。</w:t>
      </w:r>
    </w:p>
    <w:p>
      <w:pPr>
        <w:pStyle w:val="2"/>
        <w:keepNext w:val="0"/>
        <w:keepLines w:val="0"/>
        <w:widowControl/>
        <w:numPr>
          <w:ilvl w:val="0"/>
          <w:numId w:val="2"/>
        </w:numPr>
        <w:suppressLineNumbers w:val="0"/>
        <w:spacing w:line="600" w:lineRule="exact"/>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为落实国家、省重大战略任务，市委、市政府明确支持的其他数据产业项目。</w:t>
      </w:r>
    </w:p>
    <w:p>
      <w:pPr>
        <w:pStyle w:val="2"/>
        <w:rPr>
          <w:rFonts w:hint="eastAsia"/>
          <w:sz w:val="32"/>
          <w:szCs w:val="32"/>
          <w:highlight w:val="none"/>
          <w:lang w:val="en-US" w:eastAsia="zh-CN"/>
        </w:rPr>
      </w:pPr>
      <w:r>
        <w:rPr>
          <w:rFonts w:hint="eastAsia" w:ascii="楷体_GB2312" w:hAnsi="楷体_GB2312" w:eastAsia="楷体_GB2312" w:cs="楷体_GB2312"/>
          <w:b/>
          <w:bCs/>
          <w:color w:val="auto"/>
          <w:kern w:val="2"/>
          <w:sz w:val="32"/>
          <w:szCs w:val="40"/>
          <w:highlight w:val="none"/>
          <w:lang w:val="en-US" w:eastAsia="zh-CN"/>
        </w:rPr>
        <w:t xml:space="preserve">第七条 </w:t>
      </w:r>
      <w:r>
        <w:rPr>
          <w:rFonts w:hint="eastAsia" w:ascii="Times New Roman" w:hAnsi="Times New Roman" w:eastAsia="仿宋_GB2312" w:cs="Times New Roman"/>
          <w:b w:val="0"/>
          <w:bCs w:val="0"/>
          <w:color w:val="auto"/>
          <w:kern w:val="2"/>
          <w:sz w:val="32"/>
          <w:szCs w:val="32"/>
          <w:highlight w:val="none"/>
          <w:lang w:val="en-US" w:eastAsia="zh-CN"/>
        </w:rPr>
        <w:t>【支持方式】专项资金采取项目法、因素法、项目法和因素法相结合等方式分配</w:t>
      </w:r>
      <w:bookmarkStart w:id="0" w:name="_GoBack"/>
      <w:bookmarkEnd w:id="0"/>
      <w:r>
        <w:rPr>
          <w:rFonts w:hint="eastAsia" w:ascii="Times New Roman" w:hAnsi="Times New Roman" w:eastAsia="仿宋_GB2312" w:cs="Times New Roman"/>
          <w:b w:val="0"/>
          <w:bCs w:val="0"/>
          <w:color w:val="auto"/>
          <w:kern w:val="2"/>
          <w:sz w:val="32"/>
          <w:szCs w:val="32"/>
          <w:highlight w:val="none"/>
          <w:lang w:val="en-US" w:eastAsia="zh-CN"/>
        </w:rPr>
        <w:t>。扶持方式包括但不限于立项资助、事后奖补</w:t>
      </w:r>
      <w:r>
        <w:rPr>
          <w:rFonts w:hint="eastAsia" w:cs="Times New Roman"/>
          <w:b w:val="0"/>
          <w:bCs w:val="0"/>
          <w:color w:val="auto"/>
          <w:kern w:val="2"/>
          <w:sz w:val="32"/>
          <w:szCs w:val="32"/>
          <w:highlight w:val="none"/>
          <w:lang w:val="en-US" w:eastAsia="zh-CN"/>
        </w:rPr>
        <w:t>等。对市委市政府或上级部门有明确要求的，按“一事一议”原则确定。</w:t>
      </w:r>
    </w:p>
    <w:p>
      <w:pPr>
        <w:keepNext w:val="0"/>
        <w:keepLines w:val="0"/>
        <w:pageBreakBefore w:val="0"/>
        <w:widowControl/>
        <w:suppressLineNumbers w:val="0"/>
        <w:kinsoku/>
        <w:overflowPunct/>
        <w:topLinePunct w:val="0"/>
        <w:autoSpaceDE/>
        <w:autoSpaceDN/>
        <w:bidi w:val="0"/>
        <w:adjustRightInd/>
        <w:snapToGrid/>
        <w:spacing w:line="600" w:lineRule="exact"/>
        <w:jc w:val="both"/>
        <w:textAlignment w:val="auto"/>
        <w:rPr>
          <w:rFonts w:hint="eastAsia" w:ascii="Times New Roman" w:hAnsi="Times New Roman" w:cs="Times New Roman"/>
          <w:kern w:val="2"/>
          <w:sz w:val="32"/>
          <w:szCs w:val="32"/>
          <w:lang w:val="en-US" w:eastAsia="zh-CN" w:bidi="ar-SA"/>
        </w:rPr>
      </w:pPr>
      <w:r>
        <w:rPr>
          <w:rFonts w:hint="eastAsia" w:ascii="CESI楷体-GB2312" w:hAnsi="CESI楷体-GB2312" w:eastAsia="CESI楷体-GB2312" w:cs="CESI楷体-GB2312"/>
          <w:b/>
          <w:bCs/>
          <w:kern w:val="2"/>
          <w:sz w:val="32"/>
          <w:szCs w:val="24"/>
          <w:lang w:val="en-US" w:eastAsia="zh-CN" w:bidi="ar-SA"/>
        </w:rPr>
        <w:t>第八条</w:t>
      </w:r>
      <w:r>
        <w:rPr>
          <w:rFonts w:hint="eastAsia" w:ascii="楷体_GB2312" w:hAnsi="楷体_GB2312" w:eastAsia="楷体_GB2312" w:cs="楷体_GB2312"/>
          <w:b/>
          <w:bCs/>
          <w:kern w:val="2"/>
          <w:sz w:val="32"/>
          <w:szCs w:val="32"/>
          <w:lang w:val="en-US" w:eastAsia="zh-CN" w:bidi="ar-SA"/>
        </w:rPr>
        <w:t xml:space="preserve"> </w:t>
      </w:r>
      <w:r>
        <w:rPr>
          <w:rFonts w:hint="eastAsia" w:ascii="Times New Roman" w:hAnsi="Times New Roman" w:cs="Times New Roman"/>
          <w:kern w:val="2"/>
          <w:sz w:val="32"/>
          <w:szCs w:val="32"/>
          <w:lang w:val="en-US" w:eastAsia="zh-CN" w:bidi="ar-SA"/>
        </w:rPr>
        <w:t>【其他】本办法支持范围与其他市级财政扶持政策存在交叉的，由申报单位择优申请，不重复资助。</w:t>
      </w:r>
    </w:p>
    <w:p>
      <w:pPr>
        <w:pStyle w:val="2"/>
        <w:rPr>
          <w:rFonts w:hint="default"/>
          <w:lang w:val="en-US" w:eastAsia="zh-CN"/>
        </w:rPr>
      </w:pPr>
    </w:p>
    <w:p>
      <w:pPr>
        <w:pStyle w:val="3"/>
        <w:keepNext w:val="0"/>
        <w:keepLines w:val="0"/>
        <w:pageBreakBefore w:val="0"/>
        <w:widowControl/>
        <w:numPr>
          <w:ilvl w:val="-1"/>
          <w:numId w:val="0"/>
        </w:numPr>
        <w:kinsoku/>
        <w:wordWrap w:val="0"/>
        <w:overflowPunct/>
        <w:topLinePunct w:val="0"/>
        <w:autoSpaceDE/>
        <w:autoSpaceDN/>
        <w:bidi w:val="0"/>
        <w:adjustRightInd/>
        <w:snapToGrid/>
        <w:spacing w:line="600" w:lineRule="exact"/>
        <w:ind w:left="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资金使用与管理</w:t>
      </w:r>
    </w:p>
    <w:p>
      <w:pPr>
        <w:keepNext w:val="0"/>
        <w:keepLines w:val="0"/>
        <w:pageBreakBefore w:val="0"/>
        <w:widowControl/>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sz w:val="32"/>
          <w:szCs w:val="32"/>
          <w:lang w:val="en-US" w:eastAsia="zh-CN"/>
        </w:rPr>
      </w:pPr>
      <w:r>
        <w:rPr>
          <w:rFonts w:hint="eastAsia" w:ascii="CESI楷体-GB2312" w:hAnsi="CESI楷体-GB2312" w:eastAsia="CESI楷体-GB2312" w:cs="CESI楷体-GB2312"/>
          <w:b/>
          <w:bCs/>
          <w:kern w:val="2"/>
          <w:sz w:val="32"/>
          <w:szCs w:val="24"/>
          <w:lang w:val="en-US" w:eastAsia="zh-CN" w:bidi="ar-SA"/>
        </w:rPr>
        <w:t>第九条</w:t>
      </w:r>
      <w:r>
        <w:rPr>
          <w:rFonts w:hint="eastAsia" w:ascii="楷体_GB2312" w:hAnsi="楷体_GB2312" w:eastAsia="楷体_GB2312" w:cs="楷体_GB2312"/>
          <w:b/>
          <w:bCs/>
          <w:kern w:val="2"/>
          <w:sz w:val="32"/>
          <w:szCs w:val="32"/>
          <w:lang w:val="en-US" w:eastAsia="zh-CN" w:bidi="ar-SA"/>
        </w:rPr>
        <w:t xml:space="preserve"> </w:t>
      </w:r>
      <w:r>
        <w:rPr>
          <w:rFonts w:hint="eastAsia" w:ascii="Times New Roman" w:hAnsi="Times New Roman" w:cs="Times New Roman"/>
          <w:kern w:val="2"/>
          <w:sz w:val="32"/>
          <w:szCs w:val="32"/>
          <w:lang w:val="en-US" w:eastAsia="zh-CN" w:bidi="ar-SA"/>
        </w:rPr>
        <w:t>【</w:t>
      </w:r>
      <w:r>
        <w:rPr>
          <w:rFonts w:hint="eastAsia" w:cs="Times New Roman"/>
          <w:kern w:val="2"/>
          <w:sz w:val="32"/>
          <w:szCs w:val="32"/>
          <w:lang w:val="en-US" w:eastAsia="zh-CN" w:bidi="ar-SA"/>
        </w:rPr>
        <w:t>动态管理</w:t>
      </w:r>
      <w:r>
        <w:rPr>
          <w:rFonts w:hint="eastAsia" w:ascii="Times New Roman" w:hAnsi="Times New Roman" w:cs="Times New Roman"/>
          <w:kern w:val="2"/>
          <w:sz w:val="32"/>
          <w:szCs w:val="32"/>
          <w:lang w:val="en-US" w:eastAsia="zh-CN" w:bidi="ar-SA"/>
        </w:rPr>
        <w:t>】</w:t>
      </w:r>
      <w:r>
        <w:rPr>
          <w:rFonts w:hint="eastAsia" w:cs="Times New Roman"/>
          <w:kern w:val="2"/>
          <w:sz w:val="32"/>
          <w:szCs w:val="32"/>
          <w:lang w:val="en-US" w:eastAsia="zh-CN" w:bidi="ar-SA"/>
        </w:rPr>
        <w:t>市政务和数据局</w:t>
      </w:r>
      <w:r>
        <w:rPr>
          <w:rFonts w:hint="eastAsia" w:ascii="Times New Roman" w:hAnsi="Times New Roman" w:cs="Times New Roman"/>
          <w:kern w:val="2"/>
          <w:sz w:val="32"/>
          <w:szCs w:val="32"/>
          <w:lang w:val="en-US" w:eastAsia="zh-CN" w:bidi="ar-SA"/>
        </w:rPr>
        <w:t>根据年度预算控制额度</w:t>
      </w:r>
      <w:r>
        <w:rPr>
          <w:rFonts w:hint="eastAsia" w:cs="Times New Roman"/>
          <w:kern w:val="2"/>
          <w:sz w:val="32"/>
          <w:szCs w:val="32"/>
          <w:lang w:val="en-US" w:eastAsia="zh-CN" w:bidi="ar-SA"/>
        </w:rPr>
        <w:t>、数据</w:t>
      </w:r>
      <w:r>
        <w:rPr>
          <w:rFonts w:hint="eastAsia" w:ascii="Times New Roman" w:hAnsi="Times New Roman" w:cs="Times New Roman"/>
          <w:kern w:val="2"/>
          <w:sz w:val="32"/>
          <w:szCs w:val="32"/>
          <w:lang w:val="en-US" w:eastAsia="zh-CN" w:bidi="ar-SA"/>
        </w:rPr>
        <w:t>领域发展的目标任务、市委市政府确定的年度重点工作，制定专项资金实施细则、申报指南，明确支持对象、标准、申报程序和分配方式等内容，可根据政策执行及实际情况每年进行动态调整。</w:t>
      </w:r>
    </w:p>
    <w:p>
      <w:pPr>
        <w:keepNext w:val="0"/>
        <w:keepLines w:val="0"/>
        <w:pageBreakBefore w:val="0"/>
        <w:widowControl/>
        <w:suppressLineNumbers w:val="0"/>
        <w:kinsoku/>
        <w:overflowPunct/>
        <w:topLinePunct w:val="0"/>
        <w:autoSpaceDE/>
        <w:autoSpaceDN/>
        <w:bidi w:val="0"/>
        <w:adjustRightInd/>
        <w:snapToGrid/>
        <w:spacing w:line="600" w:lineRule="exact"/>
        <w:jc w:val="both"/>
        <w:textAlignment w:val="auto"/>
        <w:rPr>
          <w:rFonts w:hint="eastAsia" w:ascii="Times New Roman" w:hAnsi="Times New Roman" w:cs="Times New Roman"/>
          <w:kern w:val="2"/>
          <w:sz w:val="32"/>
          <w:szCs w:val="32"/>
          <w:lang w:val="en-US" w:eastAsia="zh-CN" w:bidi="ar-SA"/>
        </w:rPr>
      </w:pPr>
      <w:r>
        <w:rPr>
          <w:rFonts w:hint="eastAsia" w:ascii="CESI楷体-GB2312" w:hAnsi="CESI楷体-GB2312" w:eastAsia="CESI楷体-GB2312" w:cs="CESI楷体-GB2312"/>
          <w:b/>
          <w:bCs/>
          <w:kern w:val="2"/>
          <w:sz w:val="32"/>
          <w:szCs w:val="24"/>
          <w:lang w:val="en-US" w:eastAsia="zh-CN" w:bidi="ar-SA"/>
        </w:rPr>
        <w:t>第</w:t>
      </w:r>
      <w:r>
        <w:rPr>
          <w:rFonts w:hint="eastAsia" w:ascii="CESI楷体-GB2312" w:hAnsi="CESI楷体-GB2312" w:eastAsia="CESI楷体-GB2312" w:cs="CESI楷体-GB2312"/>
          <w:b/>
          <w:bCs/>
          <w:kern w:val="2"/>
          <w:sz w:val="32"/>
          <w:szCs w:val="24"/>
          <w:lang w:val="en-US" w:eastAsia="zh-CN" w:bidi="ar-SA"/>
        </w:rPr>
        <w:t>十</w:t>
      </w:r>
      <w:r>
        <w:rPr>
          <w:rFonts w:hint="eastAsia" w:ascii="CESI楷体-GB2312" w:hAnsi="CESI楷体-GB2312" w:eastAsia="CESI楷体-GB2312" w:cs="CESI楷体-GB2312"/>
          <w:b/>
          <w:bCs/>
          <w:kern w:val="2"/>
          <w:sz w:val="32"/>
          <w:szCs w:val="24"/>
          <w:lang w:val="en-US" w:eastAsia="zh-CN" w:bidi="ar-SA"/>
        </w:rPr>
        <w:t>条</w:t>
      </w:r>
      <w:r>
        <w:rPr>
          <w:rFonts w:hint="eastAsia" w:ascii="楷体_GB2312" w:hAnsi="楷体_GB2312" w:eastAsia="楷体_GB2312" w:cs="楷体_GB2312"/>
          <w:b/>
          <w:bCs/>
          <w:kern w:val="2"/>
          <w:sz w:val="32"/>
          <w:szCs w:val="32"/>
          <w:lang w:val="en-US" w:eastAsia="zh-CN" w:bidi="ar-SA"/>
        </w:rPr>
        <w:t xml:space="preserve"> </w:t>
      </w:r>
      <w:r>
        <w:rPr>
          <w:rFonts w:hint="eastAsia" w:ascii="Times New Roman" w:hAnsi="Times New Roman" w:cs="Times New Roman"/>
          <w:kern w:val="2"/>
          <w:sz w:val="32"/>
          <w:szCs w:val="32"/>
          <w:lang w:val="en-US" w:eastAsia="zh-CN" w:bidi="ar-SA"/>
        </w:rPr>
        <w:t>【规模控制】专项资金</w:t>
      </w:r>
      <w:r>
        <w:rPr>
          <w:rFonts w:hint="eastAsia" w:cs="Times New Roman"/>
          <w:kern w:val="2"/>
          <w:sz w:val="32"/>
          <w:szCs w:val="32"/>
          <w:lang w:val="en-US" w:eastAsia="zh-CN" w:bidi="ar-SA"/>
        </w:rPr>
        <w:t>年度所需资金原则上在批准预算范围内统筹解决</w:t>
      </w:r>
      <w:r>
        <w:rPr>
          <w:rFonts w:hint="eastAsia" w:ascii="Times New Roman" w:hAnsi="Times New Roman" w:cs="Times New Roman"/>
          <w:kern w:val="2"/>
          <w:sz w:val="32"/>
          <w:szCs w:val="32"/>
          <w:lang w:val="en-US" w:eastAsia="zh-CN" w:bidi="ar-SA"/>
        </w:rPr>
        <w:t>，其年度预算的管理与调整，按照市财政专项资金在财务、绩效评价等方面的有关文件规定执行，在实施期内需要调整或增加支出范围的，按程序审批。市财政另有规定的，按照有关规定执行。</w:t>
      </w:r>
    </w:p>
    <w:p>
      <w:pPr>
        <w:pStyle w:val="2"/>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Times New Roman"/>
          <w:kern w:val="2"/>
          <w:sz w:val="32"/>
          <w:szCs w:val="32"/>
          <w:lang w:val="en-US" w:eastAsia="zh-CN" w:bidi="ar-SA"/>
        </w:rPr>
      </w:pPr>
      <w:r>
        <w:rPr>
          <w:rFonts w:hint="eastAsia" w:ascii="CESI楷体-GB2312" w:hAnsi="CESI楷体-GB2312" w:eastAsia="CESI楷体-GB2312" w:cs="CESI楷体-GB2312"/>
          <w:b/>
          <w:bCs/>
          <w:kern w:val="2"/>
          <w:sz w:val="32"/>
          <w:szCs w:val="24"/>
          <w:lang w:val="en-US" w:eastAsia="zh-CN" w:bidi="ar-SA"/>
        </w:rPr>
        <w:t>第十</w:t>
      </w:r>
      <w:r>
        <w:rPr>
          <w:rFonts w:hint="eastAsia" w:ascii="CESI楷体-GB2312" w:hAnsi="CESI楷体-GB2312" w:eastAsia="CESI楷体-GB2312" w:cs="CESI楷体-GB2312"/>
          <w:b/>
          <w:bCs/>
          <w:kern w:val="2"/>
          <w:sz w:val="32"/>
          <w:szCs w:val="24"/>
          <w:lang w:val="en-US" w:eastAsia="zh-CN" w:bidi="ar-SA"/>
        </w:rPr>
        <w:t>一</w:t>
      </w:r>
      <w:r>
        <w:rPr>
          <w:rFonts w:hint="eastAsia" w:ascii="CESI楷体-GB2312" w:hAnsi="CESI楷体-GB2312" w:eastAsia="CESI楷体-GB2312" w:cs="CESI楷体-GB2312"/>
          <w:b/>
          <w:bCs/>
          <w:kern w:val="2"/>
          <w:sz w:val="32"/>
          <w:szCs w:val="24"/>
          <w:lang w:val="en-US" w:eastAsia="zh-CN" w:bidi="ar-SA"/>
        </w:rPr>
        <w:t>条</w:t>
      </w:r>
      <w:r>
        <w:rPr>
          <w:rFonts w:hint="eastAsia"/>
          <w:lang w:val="en-US" w:eastAsia="zh-CN"/>
        </w:rPr>
        <w:t xml:space="preserve"> </w:t>
      </w:r>
      <w:r>
        <w:rPr>
          <w:rFonts w:hint="eastAsia" w:ascii="Times New Roman" w:hAnsi="Times New Roman" w:eastAsia="仿宋_GB2312" w:cs="Times New Roman"/>
          <w:kern w:val="2"/>
          <w:sz w:val="32"/>
          <w:szCs w:val="32"/>
          <w:lang w:val="en-US" w:eastAsia="zh-CN" w:bidi="ar-SA"/>
        </w:rPr>
        <w:t>【资金使用】专项资金实行预算总额控制管理，当年申报资金超出年度预算总金额时，以预算余额按比例进行支持。根据每年预算规模和重点工作申报数量，在规定的资助限额内，以合理的方式确定受资助项目、单位的数量，以及最终奖励的金额。其中，合理的方式主要包括：在预算资金和预算项目确定的情况下，</w:t>
      </w:r>
      <w:r>
        <w:rPr>
          <w:rFonts w:hint="eastAsia" w:cs="Times New Roman"/>
          <w:kern w:val="2"/>
          <w:sz w:val="32"/>
          <w:szCs w:val="32"/>
          <w:lang w:val="en-US" w:eastAsia="zh-CN" w:bidi="ar-SA"/>
        </w:rPr>
        <w:t>优先</w:t>
      </w:r>
      <w:r>
        <w:rPr>
          <w:rFonts w:hint="eastAsia" w:ascii="Times New Roman" w:hAnsi="Times New Roman" w:eastAsia="仿宋_GB2312" w:cs="Times New Roman"/>
          <w:kern w:val="2"/>
          <w:sz w:val="32"/>
          <w:szCs w:val="32"/>
          <w:lang w:val="en-US" w:eastAsia="zh-CN" w:bidi="ar-SA"/>
        </w:rPr>
        <w:t>采用评分制等竞争性分配方式，择优选择企业支持；不适用竞争性分配方式的，选择先到先得用完即止、适当下调比例和金额等方式。</w:t>
      </w:r>
    </w:p>
    <w:p>
      <w:pPr>
        <w:pStyle w:val="3"/>
        <w:spacing w:line="600" w:lineRule="exact"/>
        <w:ind w:firstLine="640" w:firstLineChars="200"/>
        <w:rPr>
          <w:rFonts w:hint="eastAsia" w:eastAsia="仿宋_GB2312"/>
          <w:kern w:val="2"/>
          <w:sz w:val="32"/>
          <w:szCs w:val="32"/>
          <w:lang w:val="en-US" w:eastAsia="zh-CN"/>
        </w:rPr>
      </w:pPr>
      <w:r>
        <w:rPr>
          <w:rFonts w:hint="eastAsia" w:ascii="CESI楷体-GB2312" w:hAnsi="CESI楷体-GB2312" w:eastAsia="CESI楷体-GB2312" w:cs="CESI楷体-GB2312"/>
          <w:b/>
          <w:bCs/>
          <w:kern w:val="2"/>
          <w:sz w:val="32"/>
          <w:szCs w:val="32"/>
          <w:lang w:val="en-US" w:eastAsia="zh-CN"/>
        </w:rPr>
        <w:t xml:space="preserve">第十二条 </w:t>
      </w:r>
      <w:r>
        <w:rPr>
          <w:rFonts w:hint="eastAsia" w:eastAsia="仿宋_GB2312"/>
          <w:kern w:val="2"/>
          <w:sz w:val="32"/>
          <w:szCs w:val="32"/>
          <w:lang w:val="en-US" w:eastAsia="zh-CN"/>
        </w:rPr>
        <w:t>【组织申报】本办法资助项目相对应的申报文件由市政务和数据局制定印发，并抄送市财政局。</w:t>
      </w:r>
      <w:r>
        <w:rPr>
          <w:rFonts w:hint="eastAsia" w:ascii="Times New Roman" w:hAnsi="Times New Roman" w:eastAsia="仿宋_GB2312" w:cs="Times New Roman"/>
          <w:kern w:val="2"/>
          <w:sz w:val="32"/>
          <w:szCs w:val="32"/>
          <w:lang w:val="en-US" w:eastAsia="zh-CN" w:bidi="ar-SA"/>
        </w:rPr>
        <w:t>市政务和数据局</w:t>
      </w:r>
      <w:r>
        <w:rPr>
          <w:rFonts w:hint="eastAsia" w:eastAsia="仿宋_GB2312"/>
          <w:kern w:val="2"/>
          <w:sz w:val="32"/>
          <w:szCs w:val="32"/>
          <w:lang w:val="en-US" w:eastAsia="zh-CN"/>
        </w:rPr>
        <w:t>公布专项资金申报指南，组织申报专项资金，每年可根据需要对申报指南进行修订。申报单位按照申报指南的相关规定进行申报。符合条件的单位向市政务和数据局提出申请支持或奖励，同一项目不得重复申请，市财政不重复给予支持或奖励。</w:t>
      </w:r>
    </w:p>
    <w:p>
      <w:pPr>
        <w:pStyle w:val="3"/>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CESI楷体-GB2312" w:hAnsi="CESI楷体-GB2312" w:eastAsia="CESI楷体-GB2312" w:cs="CESI楷体-GB2312"/>
          <w:b/>
          <w:bCs/>
          <w:kern w:val="2"/>
          <w:sz w:val="32"/>
          <w:szCs w:val="32"/>
          <w:lang w:val="en-US" w:eastAsia="zh-CN"/>
        </w:rPr>
        <w:t xml:space="preserve">第十三条 </w:t>
      </w:r>
      <w:r>
        <w:rPr>
          <w:rFonts w:hint="eastAsia" w:eastAsia="仿宋_GB2312"/>
          <w:kern w:val="2"/>
          <w:sz w:val="32"/>
          <w:szCs w:val="32"/>
          <w:lang w:val="en-US" w:eastAsia="zh-CN"/>
        </w:rPr>
        <w:t>【审核拨付】市政务和数据局负责审核和组织评审申报单位提出的项目支持申请，拟定项目支持计划。经审定的支持项目，通过网站向社会公示，公示期为5个工作日。</w:t>
      </w:r>
      <w:r>
        <w:rPr>
          <w:rFonts w:hint="eastAsia" w:ascii="Times New Roman" w:hAnsi="Times New Roman" w:eastAsia="仿宋_GB2312" w:cs="Times New Roman"/>
          <w:kern w:val="2"/>
          <w:sz w:val="32"/>
          <w:szCs w:val="32"/>
          <w:lang w:val="en-US" w:eastAsia="zh-CN" w:bidi="ar-SA"/>
        </w:rPr>
        <w:t>经公示无异议的申报单位及项目，由市政务和数据局上报市政府。市政府审定通过后，由市政务和数据局办理资金拨付。</w:t>
      </w:r>
    </w:p>
    <w:p>
      <w:pPr>
        <w:pStyle w:val="3"/>
        <w:spacing w:line="600" w:lineRule="exact"/>
        <w:ind w:firstLine="640" w:firstLineChars="200"/>
        <w:rPr>
          <w:rFonts w:hint="eastAsia" w:eastAsia="仿宋_GB2312"/>
          <w:kern w:val="2"/>
          <w:sz w:val="32"/>
          <w:szCs w:val="32"/>
          <w:lang w:val="en-US" w:eastAsia="zh-CN"/>
        </w:rPr>
      </w:pPr>
    </w:p>
    <w:p>
      <w:pPr>
        <w:pStyle w:val="3"/>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第五章 绩效管理和监督检查</w:t>
      </w:r>
    </w:p>
    <w:p>
      <w:pPr>
        <w:pStyle w:val="2"/>
        <w:rPr>
          <w:rFonts w:hint="default"/>
          <w:lang w:val="en-US" w:eastAsia="zh-CN"/>
        </w:rPr>
      </w:pPr>
      <w:r>
        <w:rPr>
          <w:rFonts w:hint="eastAsia" w:ascii="CESI楷体-GB2312" w:hAnsi="CESI楷体-GB2312" w:eastAsia="CESI楷体-GB2312" w:cs="CESI楷体-GB2312"/>
          <w:b/>
          <w:bCs/>
          <w:kern w:val="2"/>
          <w:sz w:val="32"/>
          <w:szCs w:val="24"/>
          <w:lang w:val="en-US" w:eastAsia="zh-CN" w:bidi="ar-SA"/>
        </w:rPr>
        <w:t>第十</w:t>
      </w:r>
      <w:r>
        <w:rPr>
          <w:rFonts w:hint="eastAsia" w:ascii="CESI楷体-GB2312" w:hAnsi="CESI楷体-GB2312" w:eastAsia="CESI楷体-GB2312" w:cs="CESI楷体-GB2312"/>
          <w:b/>
          <w:bCs/>
          <w:kern w:val="2"/>
          <w:sz w:val="32"/>
          <w:szCs w:val="24"/>
          <w:lang w:val="en-US" w:eastAsia="zh-CN" w:bidi="ar-SA"/>
        </w:rPr>
        <w:t>四</w:t>
      </w:r>
      <w:r>
        <w:rPr>
          <w:rFonts w:hint="eastAsia" w:ascii="CESI楷体-GB2312" w:hAnsi="CESI楷体-GB2312" w:eastAsia="CESI楷体-GB2312" w:cs="CESI楷体-GB2312"/>
          <w:b/>
          <w:bCs/>
          <w:kern w:val="2"/>
          <w:sz w:val="32"/>
          <w:szCs w:val="24"/>
          <w:lang w:val="en-US" w:eastAsia="zh-CN" w:bidi="ar-SA"/>
        </w:rPr>
        <w:t>条</w:t>
      </w:r>
      <w:r>
        <w:rPr>
          <w:rFonts w:hint="eastAsia" w:ascii="黑体" w:hAnsi="黑体" w:eastAsia="黑体" w:cs="黑体"/>
          <w:b w:val="0"/>
          <w:bCs w:val="0"/>
          <w:kern w:val="2"/>
          <w:sz w:val="32"/>
          <w:szCs w:val="24"/>
          <w:lang w:val="en-US" w:eastAsia="zh-CN" w:bidi="ar-SA"/>
        </w:rPr>
        <w:t xml:space="preserve"> </w:t>
      </w:r>
      <w:r>
        <w:rPr>
          <w:rFonts w:hint="eastAsia" w:ascii="Times New Roman" w:hAnsi="Times New Roman" w:cs="Times New Roman"/>
          <w:kern w:val="2"/>
          <w:sz w:val="32"/>
          <w:szCs w:val="32"/>
          <w:lang w:val="en-US" w:eastAsia="zh-CN" w:bidi="ar-SA"/>
        </w:rPr>
        <w:t>【绩效</w:t>
      </w:r>
      <w:r>
        <w:rPr>
          <w:rFonts w:hint="eastAsia" w:cs="Times New Roman"/>
          <w:kern w:val="2"/>
          <w:sz w:val="32"/>
          <w:szCs w:val="32"/>
          <w:lang w:val="en-US" w:eastAsia="zh-CN" w:bidi="ar-SA"/>
        </w:rPr>
        <w:t>评价</w:t>
      </w:r>
      <w:r>
        <w:rPr>
          <w:rFonts w:hint="eastAsia" w:ascii="Times New Roman" w:hAnsi="Times New Roman" w:cs="Times New Roman"/>
          <w:kern w:val="2"/>
          <w:sz w:val="32"/>
          <w:szCs w:val="32"/>
          <w:lang w:val="en-US" w:eastAsia="zh-CN" w:bidi="ar-SA"/>
        </w:rPr>
        <w:t>】市政务和</w:t>
      </w:r>
      <w:r>
        <w:rPr>
          <w:rFonts w:hint="eastAsia" w:cs="Times New Roman"/>
          <w:kern w:val="2"/>
          <w:sz w:val="32"/>
          <w:szCs w:val="32"/>
          <w:lang w:val="en-US" w:eastAsia="zh-CN" w:bidi="ar-SA"/>
        </w:rPr>
        <w:t>数据</w:t>
      </w:r>
      <w:r>
        <w:rPr>
          <w:rFonts w:hint="eastAsia" w:ascii="Times New Roman" w:hAnsi="Times New Roman" w:cs="Times New Roman"/>
          <w:kern w:val="2"/>
          <w:sz w:val="32"/>
          <w:szCs w:val="32"/>
          <w:lang w:val="en-US" w:eastAsia="zh-CN" w:bidi="ar-SA"/>
        </w:rPr>
        <w:t>局会同市财政局根据预算绩效管理有关要求和本办法规定，按照职责分工组织实施预算绩效管理，制定明晰、合理、精准的绩效目标，每年组织开展专项资金绩效评价，按照绩效目标实现情况动态调整政策。</w:t>
      </w:r>
    </w:p>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cs="Times New Roman"/>
          <w:kern w:val="2"/>
          <w:sz w:val="32"/>
          <w:szCs w:val="32"/>
          <w:lang w:val="en-US" w:eastAsia="zh-CN" w:bidi="ar-SA"/>
        </w:rPr>
      </w:pPr>
      <w:r>
        <w:rPr>
          <w:rFonts w:hint="eastAsia" w:ascii="CESI楷体-GB2312" w:hAnsi="CESI楷体-GB2312" w:eastAsia="CESI楷体-GB2312" w:cs="CESI楷体-GB2312"/>
          <w:b/>
          <w:bCs/>
          <w:kern w:val="2"/>
          <w:sz w:val="32"/>
          <w:szCs w:val="24"/>
          <w:lang w:val="en-US" w:eastAsia="zh-CN" w:bidi="ar-SA"/>
        </w:rPr>
        <w:t>第十</w:t>
      </w:r>
      <w:r>
        <w:rPr>
          <w:rFonts w:hint="eastAsia" w:ascii="CESI楷体-GB2312" w:hAnsi="CESI楷体-GB2312" w:eastAsia="CESI楷体-GB2312" w:cs="CESI楷体-GB2312"/>
          <w:b/>
          <w:bCs/>
          <w:kern w:val="2"/>
          <w:sz w:val="32"/>
          <w:szCs w:val="24"/>
          <w:lang w:val="en-US" w:eastAsia="zh-CN" w:bidi="ar-SA"/>
        </w:rPr>
        <w:t>五</w:t>
      </w:r>
      <w:r>
        <w:rPr>
          <w:rFonts w:hint="eastAsia" w:ascii="CESI楷体-GB2312" w:hAnsi="CESI楷体-GB2312" w:eastAsia="CESI楷体-GB2312" w:cs="CESI楷体-GB2312"/>
          <w:b/>
          <w:bCs/>
          <w:kern w:val="2"/>
          <w:sz w:val="32"/>
          <w:szCs w:val="24"/>
          <w:lang w:val="en-US" w:eastAsia="zh-CN" w:bidi="ar-SA"/>
        </w:rPr>
        <w:t>条</w:t>
      </w:r>
      <w:r>
        <w:rPr>
          <w:rFonts w:hint="eastAsia" w:ascii="CESI楷体-GB2312" w:hAnsi="CESI楷体-GB2312" w:eastAsia="CESI楷体-GB2312" w:cs="CESI楷体-GB2312"/>
          <w:b/>
          <w:bCs/>
          <w:kern w:val="2"/>
          <w:sz w:val="32"/>
          <w:szCs w:val="32"/>
          <w:lang w:val="en-US" w:eastAsia="zh-CN" w:bidi="ar-SA"/>
        </w:rPr>
        <w:t xml:space="preserve"> </w:t>
      </w:r>
      <w:r>
        <w:rPr>
          <w:rFonts w:hint="eastAsia" w:ascii="Times New Roman" w:hAnsi="Times New Roman" w:cs="Times New Roman"/>
          <w:kern w:val="2"/>
          <w:sz w:val="32"/>
          <w:szCs w:val="32"/>
          <w:lang w:val="en-US" w:eastAsia="zh-CN" w:bidi="ar-SA"/>
        </w:rPr>
        <w:t>【监督检查</w:t>
      </w:r>
      <w:r>
        <w:rPr>
          <w:rFonts w:hint="eastAsia" w:cs="Times New Roman"/>
          <w:kern w:val="2"/>
          <w:sz w:val="32"/>
          <w:szCs w:val="32"/>
          <w:lang w:val="en-US" w:eastAsia="zh-CN" w:bidi="ar-SA"/>
        </w:rPr>
        <w:t>及</w:t>
      </w:r>
      <w:r>
        <w:rPr>
          <w:rFonts w:hint="eastAsia" w:ascii="Times New Roman" w:hAnsi="Times New Roman" w:cs="Times New Roman"/>
          <w:kern w:val="2"/>
          <w:sz w:val="32"/>
          <w:szCs w:val="32"/>
          <w:lang w:val="en-US" w:eastAsia="zh-CN" w:bidi="ar-SA"/>
        </w:rPr>
        <w:t>责任追究】资金申报单位须对资金申报材料的合法性、准确性和真实性负责，不得弄虚作假。如在审核过程中发现申报单位存在弄虚作假行为</w:t>
      </w:r>
      <w:r>
        <w:rPr>
          <w:rFonts w:hint="eastAsia" w:cs="Times New Roman"/>
          <w:kern w:val="2"/>
          <w:sz w:val="32"/>
          <w:szCs w:val="32"/>
          <w:lang w:val="en-US" w:eastAsia="zh-CN" w:bidi="ar-SA"/>
        </w:rPr>
        <w:t>的</w:t>
      </w:r>
      <w:r>
        <w:rPr>
          <w:rFonts w:hint="eastAsia" w:ascii="Times New Roman" w:hAnsi="Times New Roman" w:cs="Times New Roman"/>
          <w:kern w:val="2"/>
          <w:sz w:val="32"/>
          <w:szCs w:val="32"/>
          <w:lang w:val="en-US" w:eastAsia="zh-CN" w:bidi="ar-SA"/>
        </w:rPr>
        <w:t>，一经查实可视情节轻重采取撤销支持项目、追缴项目支持资金和取消申请资格的处理</w:t>
      </w:r>
      <w:r>
        <w:rPr>
          <w:rFonts w:hint="eastAsia"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必要时由相关部门按照《财政违法行为处罚处分条例》的规定予以处罚；构成犯罪的，移交司法机关依法追究有关责任人员的法律责任。</w:t>
      </w:r>
    </w:p>
    <w:p>
      <w:pPr>
        <w:pStyle w:val="2"/>
        <w:rPr>
          <w:rFonts w:hint="eastAsia"/>
          <w:lang w:val="en-US" w:eastAsia="zh-CN"/>
        </w:rPr>
      </w:pPr>
      <w:r>
        <w:rPr>
          <w:rFonts w:hint="eastAsia" w:ascii="CESI楷体-GB2312" w:hAnsi="CESI楷体-GB2312" w:eastAsia="CESI楷体-GB2312" w:cs="CESI楷体-GB2312"/>
          <w:b/>
          <w:bCs/>
          <w:kern w:val="2"/>
          <w:sz w:val="32"/>
          <w:szCs w:val="24"/>
          <w:lang w:val="en-US" w:eastAsia="zh-CN" w:bidi="ar-SA"/>
        </w:rPr>
        <w:t>第十</w:t>
      </w:r>
      <w:r>
        <w:rPr>
          <w:rFonts w:hint="eastAsia" w:ascii="CESI楷体-GB2312" w:hAnsi="CESI楷体-GB2312" w:eastAsia="CESI楷体-GB2312" w:cs="CESI楷体-GB2312"/>
          <w:b/>
          <w:bCs/>
          <w:kern w:val="2"/>
          <w:sz w:val="32"/>
          <w:szCs w:val="24"/>
          <w:lang w:val="en-US" w:eastAsia="zh-CN" w:bidi="ar-SA"/>
        </w:rPr>
        <w:t>六</w:t>
      </w:r>
      <w:r>
        <w:rPr>
          <w:rFonts w:hint="eastAsia" w:ascii="CESI楷体-GB2312" w:hAnsi="CESI楷体-GB2312" w:eastAsia="CESI楷体-GB2312" w:cs="CESI楷体-GB2312"/>
          <w:b/>
          <w:bCs/>
          <w:kern w:val="2"/>
          <w:sz w:val="32"/>
          <w:szCs w:val="24"/>
          <w:lang w:val="en-US" w:eastAsia="zh-CN" w:bidi="ar-SA"/>
        </w:rPr>
        <w:t>条</w:t>
      </w:r>
      <w:r>
        <w:rPr>
          <w:rFonts w:hint="eastAsia" w:ascii="CESI楷体-GB2312" w:hAnsi="CESI楷体-GB2312" w:eastAsia="CESI楷体-GB2312" w:cs="CESI楷体-GB2312"/>
          <w:b/>
          <w:bCs/>
          <w:kern w:val="2"/>
          <w:sz w:val="32"/>
          <w:szCs w:val="32"/>
          <w:lang w:val="en-US" w:eastAsia="zh-CN" w:bidi="ar-SA"/>
        </w:rPr>
        <w:t xml:space="preserve"> </w:t>
      </w:r>
      <w:r>
        <w:rPr>
          <w:rFonts w:hint="eastAsia" w:cs="Times New Roman"/>
          <w:kern w:val="2"/>
          <w:sz w:val="32"/>
          <w:szCs w:val="32"/>
          <w:lang w:val="en-US" w:eastAsia="zh-CN" w:bidi="ar-SA"/>
        </w:rPr>
        <w:t>【管理执行】专项资金的监督管理、信息公开及责任追究等按照市政府出台的关于市级财政专项资金管理办法、财务管理办法、责任追究等办法规定执行。</w:t>
      </w:r>
    </w:p>
    <w:p>
      <w:pPr>
        <w:pStyle w:val="3"/>
        <w:keepNext w:val="0"/>
        <w:keepLines w:val="0"/>
        <w:pageBreakBefore w:val="0"/>
        <w:widowControl/>
        <w:kinsoku/>
        <w:wordWrap w:val="0"/>
        <w:overflowPunct/>
        <w:topLinePunct w:val="0"/>
        <w:autoSpaceDE/>
        <w:autoSpaceDN/>
        <w:bidi w:val="0"/>
        <w:adjustRightInd/>
        <w:snapToGrid/>
        <w:spacing w:line="600" w:lineRule="exact"/>
        <w:ind w:left="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kinsoku/>
        <w:overflowPunct/>
        <w:topLinePunct w:val="0"/>
        <w:autoSpaceDE/>
        <w:autoSpaceDN/>
        <w:bidi w:val="0"/>
        <w:adjustRightInd/>
        <w:snapToGrid/>
        <w:spacing w:line="600" w:lineRule="exact"/>
        <w:textAlignment w:val="auto"/>
        <w:rPr>
          <w:rFonts w:hint="eastAsia" w:cs="Times New Roman"/>
          <w:kern w:val="2"/>
          <w:sz w:val="32"/>
          <w:szCs w:val="32"/>
          <w:lang w:val="en-US" w:eastAsia="zh-CN" w:bidi="ar-SA"/>
        </w:rPr>
      </w:pPr>
      <w:r>
        <w:rPr>
          <w:rFonts w:hint="eastAsia" w:ascii="CESI楷体-GB2312" w:hAnsi="CESI楷体-GB2312" w:eastAsia="CESI楷体-GB2312" w:cs="CESI楷体-GB2312"/>
          <w:b/>
          <w:bCs/>
          <w:kern w:val="2"/>
          <w:sz w:val="32"/>
          <w:szCs w:val="24"/>
          <w:lang w:val="en-US" w:eastAsia="zh-CN" w:bidi="ar-SA"/>
        </w:rPr>
        <w:t>第十</w:t>
      </w:r>
      <w:r>
        <w:rPr>
          <w:rFonts w:hint="eastAsia" w:ascii="CESI楷体-GB2312" w:hAnsi="CESI楷体-GB2312" w:eastAsia="CESI楷体-GB2312" w:cs="CESI楷体-GB2312"/>
          <w:b/>
          <w:bCs/>
          <w:kern w:val="2"/>
          <w:sz w:val="32"/>
          <w:szCs w:val="24"/>
          <w:lang w:val="en-US" w:eastAsia="zh-CN" w:bidi="ar-SA"/>
        </w:rPr>
        <w:t>七</w:t>
      </w:r>
      <w:r>
        <w:rPr>
          <w:rFonts w:hint="eastAsia" w:ascii="CESI楷体-GB2312" w:hAnsi="CESI楷体-GB2312" w:eastAsia="CESI楷体-GB2312" w:cs="CESI楷体-GB2312"/>
          <w:b/>
          <w:bCs/>
          <w:kern w:val="2"/>
          <w:sz w:val="32"/>
          <w:szCs w:val="24"/>
          <w:lang w:val="en-US" w:eastAsia="zh-CN" w:bidi="ar-SA"/>
        </w:rPr>
        <w:t>条</w:t>
      </w:r>
      <w:r>
        <w:rPr>
          <w:rFonts w:hint="eastAsia" w:ascii="CESI楷体-GB2312" w:hAnsi="CESI楷体-GB2312" w:eastAsia="CESI楷体-GB2312" w:cs="CESI楷体-GB2312"/>
          <w:b/>
          <w:bCs/>
          <w:sz w:val="32"/>
          <w:szCs w:val="32"/>
          <w:lang w:val="en-US" w:eastAsia="zh-CN"/>
        </w:rPr>
        <w:t xml:space="preserve"> </w:t>
      </w:r>
      <w:r>
        <w:rPr>
          <w:rFonts w:hint="eastAsia" w:cs="Times New Roman"/>
          <w:kern w:val="2"/>
          <w:sz w:val="32"/>
          <w:szCs w:val="32"/>
          <w:lang w:val="en-US" w:eastAsia="zh-CN" w:bidi="ar-SA"/>
        </w:rPr>
        <w:t>【解释归属】本办法由市政务和数据局会同市财政局负责解释并落实相关申报指南。</w:t>
      </w:r>
    </w:p>
    <w:p>
      <w:pPr>
        <w:pStyle w:val="2"/>
        <w:keepNext w:val="0"/>
        <w:keepLines w:val="0"/>
        <w:pageBreakBefore w:val="0"/>
        <w:kinsoku/>
        <w:overflowPunct/>
        <w:topLinePunct w:val="0"/>
        <w:autoSpaceDE/>
        <w:autoSpaceDN/>
        <w:bidi w:val="0"/>
        <w:adjustRightInd/>
        <w:snapToGrid/>
        <w:spacing w:line="600" w:lineRule="exact"/>
        <w:textAlignment w:val="auto"/>
        <w:rPr>
          <w:rFonts w:hint="default"/>
          <w:lang w:val="en-US" w:eastAsia="zh-CN"/>
        </w:rPr>
      </w:pPr>
      <w:r>
        <w:rPr>
          <w:rFonts w:hint="eastAsia" w:ascii="CESI楷体-GB2312" w:hAnsi="CESI楷体-GB2312" w:eastAsia="CESI楷体-GB2312" w:cs="CESI楷体-GB2312"/>
          <w:b/>
          <w:bCs/>
          <w:kern w:val="2"/>
          <w:sz w:val="32"/>
          <w:szCs w:val="24"/>
          <w:lang w:val="en-US" w:eastAsia="zh-CN" w:bidi="ar-SA"/>
        </w:rPr>
        <w:t>第十</w:t>
      </w:r>
      <w:r>
        <w:rPr>
          <w:rFonts w:hint="eastAsia" w:ascii="CESI楷体-GB2312" w:hAnsi="CESI楷体-GB2312" w:eastAsia="CESI楷体-GB2312" w:cs="CESI楷体-GB2312"/>
          <w:b/>
          <w:bCs/>
          <w:kern w:val="2"/>
          <w:sz w:val="32"/>
          <w:szCs w:val="24"/>
          <w:lang w:val="en-US" w:eastAsia="zh-CN" w:bidi="ar-SA"/>
        </w:rPr>
        <w:t>八</w:t>
      </w:r>
      <w:r>
        <w:rPr>
          <w:rFonts w:hint="eastAsia" w:ascii="CESI楷体-GB2312" w:hAnsi="CESI楷体-GB2312" w:eastAsia="CESI楷体-GB2312" w:cs="CESI楷体-GB2312"/>
          <w:b/>
          <w:bCs/>
          <w:kern w:val="2"/>
          <w:sz w:val="32"/>
          <w:szCs w:val="24"/>
          <w:lang w:val="en-US" w:eastAsia="zh-CN" w:bidi="ar-SA"/>
        </w:rPr>
        <w:t>条</w:t>
      </w:r>
      <w:r>
        <w:rPr>
          <w:rFonts w:hint="eastAsia" w:cs="Times New Roman"/>
          <w:kern w:val="2"/>
          <w:sz w:val="32"/>
          <w:szCs w:val="32"/>
          <w:lang w:val="en-US" w:eastAsia="zh-CN" w:bidi="ar-SA"/>
        </w:rPr>
        <w:t xml:space="preserve"> 【有效时间】本办法自印发之日施行，有效期至2027年12月31日，实施过程中可依据实施情况依法评估修订。</w:t>
      </w:r>
    </w:p>
    <w:p>
      <w:pPr>
        <w:keepNext w:val="0"/>
        <w:keepLines w:val="0"/>
        <w:pageBreakBefore w:val="0"/>
        <w:kinsoku/>
        <w:overflowPunct/>
        <w:topLinePunct w:val="0"/>
        <w:autoSpaceDE/>
        <w:autoSpaceDN/>
        <w:bidi w:val="0"/>
        <w:adjustRightInd/>
        <w:snapToGrid/>
        <w:spacing w:line="600" w:lineRule="exact"/>
        <w:ind w:firstLine="0" w:firstLineChars="0"/>
        <w:textAlignment w:val="auto"/>
        <w:rPr>
          <w:rFonts w:hint="eastAsia" w:ascii="Times New Roman" w:hAnsi="Times New Roman" w:cs="Times New Roman"/>
          <w:kern w:val="2"/>
          <w:sz w:val="32"/>
          <w:szCs w:val="32"/>
          <w:lang w:val="en-US" w:eastAsia="zh-CN" w:bidi="ar-SA"/>
        </w:rPr>
      </w:pPr>
    </w:p>
    <w:p>
      <w:pPr>
        <w:keepNext w:val="0"/>
        <w:keepLines w:val="0"/>
        <w:pageBreakBefore w:val="0"/>
        <w:kinsoku/>
        <w:overflowPunct/>
        <w:topLinePunct w:val="0"/>
        <w:autoSpaceDE/>
        <w:autoSpaceDN/>
        <w:bidi w:val="0"/>
        <w:adjustRightInd/>
        <w:snapToGrid/>
        <w:spacing w:line="600" w:lineRule="exact"/>
        <w:ind w:firstLine="0" w:firstLineChars="0"/>
        <w:textAlignment w:val="auto"/>
        <w:rPr>
          <w:rFonts w:hint="eastAsia"/>
          <w:lang w:val="en-US" w:eastAsia="zh-CN"/>
        </w:rPr>
      </w:pPr>
    </w:p>
    <w:sectPr>
      <w:footerReference r:id="rId5" w:type="default"/>
      <w:pgSz w:w="11906" w:h="16838"/>
      <w:pgMar w:top="2098" w:right="1474" w:bottom="1984" w:left="1587" w:header="851" w:footer="992" w:gutter="0"/>
      <w:pgNumType w:fmt="decimal" w:start="1"/>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CESI楷体-GB2312">
    <w:panose1 w:val="02000500000000000000"/>
    <w:charset w:val="86"/>
    <w:family w:val="auto"/>
    <w:pitch w:val="default"/>
    <w:sig w:usb0="800002BF" w:usb1="184F6CF8" w:usb2="00000012" w:usb3="00000000" w:csb0="0004000F" w:csb1="00000000"/>
  </w:font>
  <w:font w:name="Helvetica Neue">
    <w:altName w:val="Times New Roman"/>
    <w:panose1 w:val="02000503000000020004"/>
    <w:charset w:val="00"/>
    <w:family w:val="auto"/>
    <w:pitch w:val="default"/>
    <w:sig w:usb0="00000000" w:usb1="00000000" w:usb2="0000001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仿宋_GB2312" w:cs="Times New Roman"/>
                              <w:sz w:val="30"/>
                              <w:szCs w:val="30"/>
                              <w:lang w:eastAsia="zh-CN"/>
                            </w:rPr>
                          </w:pPr>
                          <w:r>
                            <w:rPr>
                              <w:rFonts w:hint="default" w:cs="Times New Roman"/>
                              <w:sz w:val="30"/>
                              <w:szCs w:val="30"/>
                              <w:lang w:eastAsia="zh-CN"/>
                            </w:rPr>
                            <w:t xml:space="preserve">— </w:t>
                          </w:r>
                          <w:r>
                            <w:rPr>
                              <w:rFonts w:hint="default" w:cs="Times New Roman"/>
                              <w:sz w:val="30"/>
                              <w:szCs w:val="30"/>
                              <w:lang w:eastAsia="zh-CN"/>
                            </w:rPr>
                            <w:fldChar w:fldCharType="begin"/>
                          </w:r>
                          <w:r>
                            <w:rPr>
                              <w:rFonts w:hint="default" w:cs="Times New Roman"/>
                              <w:sz w:val="30"/>
                              <w:szCs w:val="30"/>
                              <w:lang w:eastAsia="zh-CN"/>
                            </w:rPr>
                            <w:instrText xml:space="preserve"> PAGE  \* MERGEFORMAT </w:instrText>
                          </w:r>
                          <w:r>
                            <w:rPr>
                              <w:rFonts w:hint="default" w:cs="Times New Roman"/>
                              <w:sz w:val="30"/>
                              <w:szCs w:val="30"/>
                              <w:lang w:eastAsia="zh-CN"/>
                            </w:rPr>
                            <w:fldChar w:fldCharType="separate"/>
                          </w:r>
                          <w:r>
                            <w:rPr>
                              <w:rFonts w:hint="default" w:cs="Times New Roman"/>
                              <w:sz w:val="30"/>
                              <w:szCs w:val="30"/>
                              <w:lang w:eastAsia="zh-CN"/>
                            </w:rPr>
                            <w:t>2</w:t>
                          </w:r>
                          <w:r>
                            <w:rPr>
                              <w:rFonts w:hint="default" w:cs="Times New Roman"/>
                              <w:sz w:val="30"/>
                              <w:szCs w:val="30"/>
                              <w:lang w:eastAsia="zh-CN"/>
                            </w:rPr>
                            <w:fldChar w:fldCharType="end"/>
                          </w:r>
                          <w:r>
                            <w:rPr>
                              <w:rFonts w:hint="default" w:cs="Times New Roman"/>
                              <w:sz w:val="30"/>
                              <w:szCs w:val="30"/>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default" w:eastAsia="仿宋_GB2312" w:cs="Times New Roman"/>
                        <w:sz w:val="30"/>
                        <w:szCs w:val="30"/>
                        <w:lang w:eastAsia="zh-CN"/>
                      </w:rPr>
                    </w:pPr>
                    <w:r>
                      <w:rPr>
                        <w:rFonts w:hint="default" w:cs="Times New Roman"/>
                        <w:sz w:val="30"/>
                        <w:szCs w:val="30"/>
                        <w:lang w:eastAsia="zh-CN"/>
                      </w:rPr>
                      <w:t xml:space="preserve">— </w:t>
                    </w:r>
                    <w:r>
                      <w:rPr>
                        <w:rFonts w:hint="default" w:cs="Times New Roman"/>
                        <w:sz w:val="30"/>
                        <w:szCs w:val="30"/>
                        <w:lang w:eastAsia="zh-CN"/>
                      </w:rPr>
                      <w:fldChar w:fldCharType="begin"/>
                    </w:r>
                    <w:r>
                      <w:rPr>
                        <w:rFonts w:hint="default" w:cs="Times New Roman"/>
                        <w:sz w:val="30"/>
                        <w:szCs w:val="30"/>
                        <w:lang w:eastAsia="zh-CN"/>
                      </w:rPr>
                      <w:instrText xml:space="preserve"> PAGE  \* MERGEFORMAT </w:instrText>
                    </w:r>
                    <w:r>
                      <w:rPr>
                        <w:rFonts w:hint="default" w:cs="Times New Roman"/>
                        <w:sz w:val="30"/>
                        <w:szCs w:val="30"/>
                        <w:lang w:eastAsia="zh-CN"/>
                      </w:rPr>
                      <w:fldChar w:fldCharType="separate"/>
                    </w:r>
                    <w:r>
                      <w:rPr>
                        <w:rFonts w:hint="default" w:cs="Times New Roman"/>
                        <w:sz w:val="30"/>
                        <w:szCs w:val="30"/>
                        <w:lang w:eastAsia="zh-CN"/>
                      </w:rPr>
                      <w:t>2</w:t>
                    </w:r>
                    <w:r>
                      <w:rPr>
                        <w:rFonts w:hint="default" w:cs="Times New Roman"/>
                        <w:sz w:val="30"/>
                        <w:szCs w:val="30"/>
                        <w:lang w:eastAsia="zh-CN"/>
                      </w:rPr>
                      <w:fldChar w:fldCharType="end"/>
                    </w:r>
                    <w:r>
                      <w:rPr>
                        <w:rFonts w:hint="default" w:cs="Times New Roman"/>
                        <w:sz w:val="30"/>
                        <w:szCs w:val="30"/>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ABC76"/>
    <w:multiLevelType w:val="singleLevel"/>
    <w:tmpl w:val="EFFABC76"/>
    <w:lvl w:ilvl="0" w:tentative="0">
      <w:start w:val="4"/>
      <w:numFmt w:val="chineseCounting"/>
      <w:suff w:val="nothing"/>
      <w:lvlText w:val="（%1）"/>
      <w:lvlJc w:val="left"/>
      <w:rPr>
        <w:rFonts w:hint="eastAsia" w:ascii="楷体_GB2312" w:hAnsi="楷体_GB2312" w:eastAsia="楷体_GB2312" w:cs="楷体_GB2312"/>
      </w:rPr>
    </w:lvl>
  </w:abstractNum>
  <w:abstractNum w:abstractNumId="1">
    <w:nsid w:val="0EF48278"/>
    <w:multiLevelType w:val="singleLevel"/>
    <w:tmpl w:val="0EF48278"/>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trackRevisions w:val="1"/>
  <w:documentProtection w:enforcement="0"/>
  <w:defaultTabStop w:val="420"/>
  <w:drawingGridVerticalSpacing w:val="22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6FDF27"/>
    <w:rsid w:val="0FF4868B"/>
    <w:rsid w:val="17EFC3D2"/>
    <w:rsid w:val="1D510AE8"/>
    <w:rsid w:val="1FF79125"/>
    <w:rsid w:val="29FFA723"/>
    <w:rsid w:val="376F205E"/>
    <w:rsid w:val="39BE8E7A"/>
    <w:rsid w:val="3D777EDA"/>
    <w:rsid w:val="3F7F71C4"/>
    <w:rsid w:val="3FFB59C7"/>
    <w:rsid w:val="425FC075"/>
    <w:rsid w:val="5DB38645"/>
    <w:rsid w:val="5FE58250"/>
    <w:rsid w:val="5FFECD6B"/>
    <w:rsid w:val="66AF5C57"/>
    <w:rsid w:val="67CA7E87"/>
    <w:rsid w:val="67FBE1BA"/>
    <w:rsid w:val="6BFF3671"/>
    <w:rsid w:val="6CAD7061"/>
    <w:rsid w:val="6F77F84C"/>
    <w:rsid w:val="6FCF84F6"/>
    <w:rsid w:val="72D100F6"/>
    <w:rsid w:val="76FFF136"/>
    <w:rsid w:val="7BE3A822"/>
    <w:rsid w:val="7D7F114F"/>
    <w:rsid w:val="7DEFAEDA"/>
    <w:rsid w:val="7E6F4D07"/>
    <w:rsid w:val="7EDFCF76"/>
    <w:rsid w:val="7F2FDE6B"/>
    <w:rsid w:val="7F3E5760"/>
    <w:rsid w:val="7F5FA7FB"/>
    <w:rsid w:val="7FD67E68"/>
    <w:rsid w:val="7FEF7C85"/>
    <w:rsid w:val="9A8F9CC6"/>
    <w:rsid w:val="9BDF6EA3"/>
    <w:rsid w:val="AF7E472C"/>
    <w:rsid w:val="AFBFB91B"/>
    <w:rsid w:val="BF7F73EA"/>
    <w:rsid w:val="CDBFC2B9"/>
    <w:rsid w:val="D5F544E7"/>
    <w:rsid w:val="DB6FDF27"/>
    <w:rsid w:val="DEF92E2A"/>
    <w:rsid w:val="E5FA92E8"/>
    <w:rsid w:val="EACAD5E5"/>
    <w:rsid w:val="EDDFF565"/>
    <w:rsid w:val="EDF528E7"/>
    <w:rsid w:val="EF3FC314"/>
    <w:rsid w:val="F4B3B41C"/>
    <w:rsid w:val="F7975A32"/>
    <w:rsid w:val="F7D98FE3"/>
    <w:rsid w:val="F86F93D1"/>
    <w:rsid w:val="F92F6A86"/>
    <w:rsid w:val="FAB76A1A"/>
    <w:rsid w:val="FF120F46"/>
    <w:rsid w:val="FF4792C9"/>
    <w:rsid w:val="FFFF3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20" w:lineRule="exact"/>
      <w:ind w:firstLine="420" w:firstLineChars="200"/>
      <w:jc w:val="both"/>
    </w:pPr>
    <w:rPr>
      <w:rFonts w:ascii="Times New Roman" w:hAnsi="Times New Roman" w:eastAsia="仿宋_GB2312" w:cs="宋体"/>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cs="Times New Roman"/>
      <w:sz w:val="28"/>
    </w:r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2896</Words>
  <Characters>2905</Characters>
  <Lines>0</Lines>
  <Paragraphs>0</Paragraphs>
  <TotalTime>123</TotalTime>
  <ScaleCrop>false</ScaleCrop>
  <LinksUpToDate>false</LinksUpToDate>
  <CharactersWithSpaces>2940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2025-07-11T20:01:00Z</dcterms:created>
  <dc:creator>zyp</dc:creator>
  <cp:lastModifiedBy>sunqing</cp:lastModifiedBy>
  <cp:lastPrinted>2025-07-14T19:37:00Z</cp:lastPrinted>
  <dcterms:modified xsi:type="dcterms:W3CDTF">2025-08-07T11:55:18Z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58B0347B7B07FF62A62394686502E5D3</vt:lpwstr>
  </property>
</Properties>
</file>