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83CD0">
      <w:pPr>
        <w:spacing w:line="240" w:lineRule="auto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：</w:t>
      </w:r>
    </w:p>
    <w:p w14:paraId="48A5239B">
      <w:pPr>
        <w:spacing w:before="156" w:beforeLines="50"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产业导向</w:t>
      </w:r>
    </w:p>
    <w:bookmarkEnd w:id="0"/>
    <w:p w14:paraId="07DB5EB2">
      <w:pPr>
        <w:spacing w:line="560" w:lineRule="exact"/>
        <w:ind w:firstLine="640" w:firstLineChars="200"/>
        <w:rPr>
          <w:rFonts w:ascii="Times New Roman" w:hAnsi="Times New Roman" w:eastAsia="华文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分类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：</w:t>
      </w:r>
      <w:r>
        <w:rPr>
          <w:rFonts w:ascii="Times New Roman" w:hAnsi="Times New Roman" w:eastAsia="华文仿宋" w:cs="Times New Roman"/>
          <w:color w:val="auto"/>
          <w:sz w:val="32"/>
          <w:szCs w:val="32"/>
          <w:highlight w:val="none"/>
        </w:rPr>
        <w:t>东莞市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8大战略性新兴产业集群</w:t>
      </w:r>
      <w:r>
        <w:rPr>
          <w:rFonts w:ascii="Times New Roman" w:hAnsi="Times New Roman" w:eastAsia="华文仿宋" w:cs="Times New Roman"/>
          <w:color w:val="auto"/>
          <w:sz w:val="32"/>
          <w:szCs w:val="32"/>
          <w:highlight w:val="none"/>
        </w:rPr>
        <w:t>和4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大大未来产业重点发展方向</w:t>
      </w:r>
      <w:r>
        <w:rPr>
          <w:rFonts w:ascii="Times New Roman" w:hAnsi="Times New Roman" w:eastAsia="华文仿宋" w:cs="Times New Roman"/>
          <w:color w:val="auto"/>
          <w:sz w:val="32"/>
          <w:szCs w:val="32"/>
          <w:highlight w:val="none"/>
        </w:rPr>
        <w:t>的企业，具体为：</w:t>
      </w:r>
    </w:p>
    <w:p w14:paraId="2E19D486">
      <w:pPr>
        <w:spacing w:line="560" w:lineRule="exact"/>
        <w:ind w:firstLine="641" w:firstLineChars="200"/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大战略性新兴产业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集群</w:t>
      </w:r>
    </w:p>
    <w:p w14:paraId="7ACF42A5">
      <w:pPr>
        <w:spacing w:line="560" w:lineRule="exact"/>
        <w:ind w:firstLine="641" w:firstLineChars="200"/>
        <w:rPr>
          <w:rFonts w:ascii="Times New Roman" w:hAnsi="Times New Roman" w:eastAsia="华文仿宋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1.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新一代电子信息产业集群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华文仿宋" w:cs="Times New Roman"/>
          <w:b w:val="0"/>
          <w:bCs w:val="0"/>
          <w:color w:val="auto"/>
          <w:sz w:val="32"/>
          <w:szCs w:val="32"/>
        </w:rPr>
        <w:t>重点发展智能移动终端、高清显示、汽车电子核心技术和应用创新。</w:t>
      </w:r>
    </w:p>
    <w:p w14:paraId="601B108D">
      <w:pPr>
        <w:spacing w:line="560" w:lineRule="exact"/>
        <w:ind w:firstLine="641" w:firstLineChars="200"/>
        <w:rPr>
          <w:rFonts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2.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  <w:u w:val="single"/>
        </w:rPr>
        <w:t>高端装备产业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集群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  <w:u w:val="single"/>
        </w:rPr>
        <w:t>。</w:t>
      </w:r>
      <w:r>
        <w:rPr>
          <w:rFonts w:ascii="Times New Roman" w:hAnsi="Times New Roman" w:eastAsia="华文仿宋" w:cs="Times New Roman"/>
          <w:b w:val="0"/>
          <w:bCs w:val="0"/>
          <w:color w:val="auto"/>
          <w:sz w:val="32"/>
          <w:szCs w:val="32"/>
          <w:u w:val="single"/>
        </w:rPr>
        <w:t>重点推动高端数控机床、柔性制造自动化、工业母机、机器人伺服电机等技术发展。</w:t>
      </w:r>
    </w:p>
    <w:p w14:paraId="1DB7DD82">
      <w:pPr>
        <w:spacing w:line="560" w:lineRule="exact"/>
        <w:ind w:firstLine="641" w:firstLineChars="200"/>
        <w:rPr>
          <w:rFonts w:ascii="Times New Roman" w:hAnsi="Times New Roman" w:eastAsia="华文仿宋" w:cs="Times New Roman"/>
          <w:b w:val="0"/>
          <w:bCs w:val="0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3.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半导体及集成电路产业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集群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华文仿宋" w:cs="Times New Roman"/>
          <w:b w:val="0"/>
          <w:bCs w:val="0"/>
          <w:color w:val="auto"/>
          <w:sz w:val="32"/>
          <w:szCs w:val="32"/>
        </w:rPr>
        <w:t>重点发展第三代半导体、车规级半导体、先进封测和集成电路设备。</w:t>
      </w:r>
    </w:p>
    <w:p w14:paraId="0E40C8DD">
      <w:pPr>
        <w:spacing w:line="500" w:lineRule="exact"/>
        <w:ind w:firstLine="641" w:firstLineChars="200"/>
        <w:rPr>
          <w:rFonts w:ascii="Times New Roman" w:hAnsi="Times New Roman" w:eastAsia="华文仿宋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4.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新材料产业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集群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华文仿宋" w:cs="Times New Roman"/>
          <w:b w:val="0"/>
          <w:bCs w:val="0"/>
          <w:color w:val="auto"/>
          <w:sz w:val="32"/>
          <w:szCs w:val="32"/>
        </w:rPr>
        <w:t>重点发展集成电路和新型显示、高性能合金、新型生物等相关材料。</w:t>
      </w:r>
    </w:p>
    <w:p w14:paraId="1C2A13BF">
      <w:pPr>
        <w:spacing w:line="500" w:lineRule="exact"/>
        <w:ind w:firstLine="641" w:firstLineChars="200"/>
        <w:rPr>
          <w:rFonts w:ascii="Times New Roman" w:hAnsi="Times New Roman" w:eastAsia="华文仿宋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5.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新能源产业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集群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华文仿宋" w:cs="Times New Roman"/>
          <w:b w:val="0"/>
          <w:bCs w:val="0"/>
          <w:color w:val="auto"/>
          <w:sz w:val="32"/>
          <w:szCs w:val="32"/>
        </w:rPr>
        <w:t>重点推动新能源汽车、新型储能、氢能、轻型动力等新能源产业发展。</w:t>
      </w:r>
    </w:p>
    <w:p w14:paraId="55C00962">
      <w:pPr>
        <w:spacing w:line="500" w:lineRule="exact"/>
        <w:ind w:firstLine="641" w:firstLineChars="200"/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生物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医药及高端医疗器械产业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集群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华文仿宋" w:cs="Times New Roman"/>
          <w:b w:val="0"/>
          <w:bCs w:val="0"/>
          <w:color w:val="auto"/>
          <w:sz w:val="32"/>
          <w:szCs w:val="32"/>
        </w:rPr>
        <w:t>重点发展一类创新药、干细胞与基因治疗、体外诊断、高值医疗耗材（心脑血管植入器械、骨科医疗器械、牙科医疗器械等）、核医学和医疗影像器械。</w:t>
      </w:r>
    </w:p>
    <w:p w14:paraId="56B16932">
      <w:pPr>
        <w:spacing w:line="500" w:lineRule="exact"/>
        <w:ind w:firstLine="641" w:firstLineChars="200"/>
        <w:rPr>
          <w:rFonts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人工智能产业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集群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华文仿宋" w:cs="Times New Roman"/>
          <w:b w:val="0"/>
          <w:bCs w:val="0"/>
          <w:color w:val="auto"/>
          <w:sz w:val="32"/>
          <w:szCs w:val="32"/>
        </w:rPr>
        <w:t>重点发展智能算力硬件、智能产品和大模型应用。</w:t>
      </w:r>
    </w:p>
    <w:p w14:paraId="0B66A41E">
      <w:pPr>
        <w:spacing w:line="500" w:lineRule="exact"/>
        <w:ind w:firstLine="641" w:firstLineChars="200"/>
        <w:rPr>
          <w:color w:val="auto"/>
        </w:rPr>
      </w:pP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低空经济产业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集群</w:t>
      </w: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。</w:t>
      </w:r>
      <w:r>
        <w:rPr>
          <w:rFonts w:ascii="Times New Roman" w:hAnsi="Times New Roman" w:eastAsia="华文仿宋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重点推动无人机、电动垂直起降航空器（eVTOL）、飞行汽车等低空产业发展。</w:t>
      </w:r>
    </w:p>
    <w:p w14:paraId="5152D333">
      <w:pPr>
        <w:spacing w:line="560" w:lineRule="exact"/>
        <w:ind w:firstLine="641" w:firstLineChars="200"/>
        <w:rPr>
          <w:rFonts w:hint="default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（二）四大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  <w:lang w:val="en-US" w:eastAsia="zh-CN"/>
        </w:rPr>
        <w:t>未来产业重点发展方向</w:t>
      </w:r>
    </w:p>
    <w:p w14:paraId="3131B505">
      <w:pPr>
        <w:spacing w:line="560" w:lineRule="exact"/>
        <w:ind w:firstLine="641" w:firstLineChars="200"/>
        <w:rPr>
          <w:rFonts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1.下一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</w:rPr>
        <w:t>代移动通信（6G）。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</w:rPr>
        <w:t>重点推动第六代移动通信（6G）、卫星通信等下一代移动通信硬件、技术、应用场景融合发展。</w:t>
      </w:r>
    </w:p>
    <w:p w14:paraId="2D5B6834">
      <w:pPr>
        <w:spacing w:line="560" w:lineRule="exact"/>
        <w:ind w:firstLine="641" w:firstLineChars="200"/>
        <w:rPr>
          <w:rFonts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2.前沿新材料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</w:rPr>
        <w:t>重点发展纳米材料、新型固态电池材料、氢能产业重点新材料等新型材料。</w:t>
      </w:r>
    </w:p>
    <w:p w14:paraId="0C9A9E2E">
      <w:pPr>
        <w:spacing w:line="560" w:lineRule="exact"/>
        <w:ind w:firstLine="641" w:firstLineChars="200"/>
        <w:rPr>
          <w:rFonts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3.具身智能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</w:rPr>
        <w:t>重点突破机器人“大脑”“小脑”“肢体”等关键技术群，推动机器人整机、基础组件、软件平台研发制造和创新应用。</w:t>
      </w:r>
    </w:p>
    <w:p w14:paraId="1A9D9080">
      <w:pPr>
        <w:spacing w:line="520" w:lineRule="exact"/>
        <w:ind w:firstLine="641" w:firstLineChars="200"/>
        <w:rPr>
          <w:rFonts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color w:val="auto"/>
          <w:sz w:val="32"/>
          <w:szCs w:val="32"/>
        </w:rPr>
        <w:t>4.未来生命健康</w:t>
      </w:r>
      <w:r>
        <w:rPr>
          <w:rFonts w:hint="eastAsia" w:ascii="Times New Roman" w:hAnsi="Times New Roman" w:eastAsia="华文仿宋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</w:rPr>
        <w:t>重点聚焦合成生物学在食品饮料产业中的运用，以“合成生物+健康食品”为切入点，推动食品饮料产业升级迭代，加快发展未来食品产业。</w:t>
      </w:r>
    </w:p>
    <w:p w14:paraId="0F42CA0A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分类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华文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家具产业集群：传统家具、智能家具、模块化与多功能家具，家具物联网集成，家具五金结构件等。</w:t>
      </w:r>
    </w:p>
    <w:p w14:paraId="191E8CCF">
      <w:pPr>
        <w:spacing w:line="520" w:lineRule="exact"/>
        <w:ind w:firstLine="640" w:firstLineChars="200"/>
        <w:rPr>
          <w:color w:val="auto"/>
          <w:lang w:bidi="ar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>分类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：</w:t>
      </w:r>
      <w:r>
        <w:rPr>
          <w:rFonts w:ascii="Times New Roman" w:hAnsi="Times New Roman" w:eastAsia="华文仿宋" w:cs="Times New Roman"/>
          <w:color w:val="auto"/>
          <w:kern w:val="0"/>
          <w:sz w:val="32"/>
          <w:szCs w:val="32"/>
          <w:lang w:bidi="ar"/>
        </w:rPr>
        <w:t>不属于分类一和分类二的其他行业。</w:t>
      </w:r>
    </w:p>
    <w:p w14:paraId="6CEB6D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87150"/>
    <w:rsid w:val="01C8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2025-05-14T02:01:00Z</dcterms:created>
  <dc:creator>Tong</dc:creator>
  <cp:lastModifiedBy>Tong</cp:lastModifiedBy>
  <dcterms:modified xsi:type="dcterms:W3CDTF">2025-05-14T02:02:45Z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5462F57054DE48609846853D1841340D_11</vt:lpwstr>
  </property>
  <property fmtid="{D5CDD505-2E9C-101B-9397-08002B2CF9AE}" pid="4" name="KSOTemplateDocerSaveRecord">
    <vt:lpwstr>eyJoZGlkIjoiN2U2ODRhMTc2MWRjYWQ4NDYzMzIwYThjNTliY2NlZWQiLCJ1c2VySWQiOiI5NTY2NTI2In0=</vt:lpwstr>
  </property>
</Properties>
</file>