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A9FC2">
      <w:pPr>
        <w:spacing w:line="240" w:lineRule="auto"/>
        <w:rPr>
          <w:rFonts w:ascii="Times New Roman" w:hAnsi="Times New Roman" w:eastAsia="华文仿宋" w:cs="Times New Roman"/>
          <w:sz w:val="32"/>
          <w:szCs w:val="32"/>
          <w:lang w:eastAsia="zh-CN"/>
        </w:rPr>
      </w:pPr>
      <w:bookmarkStart w:id="1" w:name="_GoBack"/>
      <w:r>
        <w:rPr>
          <w:rFonts w:ascii="Times New Roman" w:hAnsi="Times New Roman" w:eastAsia="华文仿宋" w:cs="Times New Roman"/>
          <w:sz w:val="32"/>
          <w:szCs w:val="32"/>
        </w:rPr>
        <w:t>附件2：</w:t>
      </w:r>
    </w:p>
    <w:p w14:paraId="6B57E09B">
      <w:pPr>
        <w:spacing w:line="360" w:lineRule="auto"/>
        <w:jc w:val="center"/>
        <w:outlineLvl w:val="0"/>
        <w:rPr>
          <w:rFonts w:hint="eastAsia" w:ascii="仿宋" w:hAnsi="仿宋" w:eastAsia="仿宋" w:cs="仿宋"/>
          <w:color w:val="auto"/>
          <w:sz w:val="28"/>
          <w:szCs w:val="28"/>
          <w:lang w:eastAsia="zh-CN"/>
        </w:rPr>
      </w:pPr>
      <w:r>
        <w:rPr>
          <w:rFonts w:hint="eastAsia" w:ascii="仿宋" w:hAnsi="仿宋" w:eastAsia="仿宋" w:cs="仿宋"/>
          <w:b/>
          <w:bCs/>
          <w:color w:val="auto"/>
          <w:spacing w:val="8"/>
          <w:sz w:val="44"/>
          <w:szCs w:val="44"/>
          <w:lang w:eastAsia="zh-CN"/>
        </w:rPr>
        <w:t>产业发展监管协议</w:t>
      </w:r>
    </w:p>
    <w:bookmarkEnd w:id="1"/>
    <w:p w14:paraId="4A57B61E">
      <w:pPr>
        <w:pStyle w:val="3"/>
        <w:spacing w:line="360" w:lineRule="auto"/>
        <w:ind w:firstLine="604" w:firstLineChars="200"/>
        <w:rPr>
          <w:rFonts w:hint="eastAsia"/>
          <w:color w:val="auto"/>
          <w:sz w:val="28"/>
          <w:szCs w:val="28"/>
          <w:lang w:eastAsia="zh-CN"/>
        </w:rPr>
      </w:pPr>
      <w:r>
        <w:rPr>
          <w:rFonts w:hint="eastAsia"/>
          <w:color w:val="auto"/>
          <w:spacing w:val="11"/>
          <w:sz w:val="28"/>
          <w:szCs w:val="28"/>
          <w:lang w:eastAsia="zh-CN"/>
        </w:rPr>
        <w:t>甲方</w:t>
      </w:r>
      <w:r>
        <w:rPr>
          <w:rFonts w:hint="eastAsia"/>
          <w:color w:val="auto"/>
          <w:spacing w:val="-30"/>
          <w:sz w:val="28"/>
          <w:szCs w:val="28"/>
          <w:lang w:eastAsia="zh-CN"/>
        </w:rPr>
        <w:t>：</w:t>
      </w:r>
      <w:r>
        <w:rPr>
          <w:rFonts w:hint="eastAsia"/>
          <w:color w:val="auto"/>
          <w:sz w:val="28"/>
          <w:szCs w:val="28"/>
          <w:lang w:eastAsia="zh-CN"/>
        </w:rPr>
        <w:t>东莞市东实产城发展有限公司</w:t>
      </w:r>
    </w:p>
    <w:p w14:paraId="5AD1ED61">
      <w:pPr>
        <w:pStyle w:val="3"/>
        <w:spacing w:line="360" w:lineRule="auto"/>
        <w:ind w:firstLine="608" w:firstLineChars="200"/>
        <w:rPr>
          <w:rFonts w:hint="eastAsia"/>
          <w:color w:val="auto"/>
          <w:sz w:val="28"/>
          <w:szCs w:val="28"/>
          <w:lang w:eastAsia="zh-CN"/>
        </w:rPr>
      </w:pPr>
      <w:r>
        <w:rPr>
          <w:rFonts w:hint="eastAsia"/>
          <w:color w:val="auto"/>
          <w:spacing w:val="12"/>
          <w:sz w:val="28"/>
          <w:szCs w:val="28"/>
          <w:lang w:eastAsia="zh-CN"/>
        </w:rPr>
        <w:t>乙方</w:t>
      </w:r>
      <w:r>
        <w:rPr>
          <w:rFonts w:hint="eastAsia"/>
          <w:color w:val="auto"/>
          <w:spacing w:val="-31"/>
          <w:sz w:val="28"/>
          <w:szCs w:val="28"/>
          <w:lang w:eastAsia="zh-CN"/>
        </w:rPr>
        <w:t>：</w:t>
      </w:r>
    </w:p>
    <w:p w14:paraId="6E6B6137">
      <w:pPr>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丙方（</w:t>
      </w:r>
      <w:r>
        <w:rPr>
          <w:rFonts w:hint="eastAsia" w:ascii="仿宋" w:hAnsi="仿宋" w:eastAsia="仿宋" w:cs="仿宋"/>
          <w:color w:val="auto"/>
          <w:sz w:val="28"/>
          <w:szCs w:val="28"/>
          <w:lang w:val="en-US" w:eastAsia="zh-CN"/>
        </w:rPr>
        <w:t>见证方</w:t>
      </w:r>
      <w:r>
        <w:rPr>
          <w:rFonts w:hint="eastAsia" w:ascii="仿宋" w:hAnsi="仿宋" w:eastAsia="仿宋" w:cs="仿宋"/>
          <w:color w:val="auto"/>
          <w:sz w:val="28"/>
          <w:szCs w:val="28"/>
          <w:lang w:eastAsia="zh-CN"/>
        </w:rPr>
        <w:t>）：</w:t>
      </w:r>
    </w:p>
    <w:p w14:paraId="16DB1690">
      <w:pPr>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丁方（</w:t>
      </w:r>
      <w:r>
        <w:rPr>
          <w:rFonts w:hint="eastAsia" w:ascii="仿宋" w:hAnsi="仿宋" w:eastAsia="仿宋" w:cs="仿宋"/>
          <w:color w:val="auto"/>
          <w:sz w:val="28"/>
          <w:szCs w:val="28"/>
          <w:lang w:val="en-US" w:eastAsia="zh-CN"/>
        </w:rPr>
        <w:t>见证方</w:t>
      </w:r>
      <w:r>
        <w:rPr>
          <w:rFonts w:hint="eastAsia" w:ascii="仿宋" w:hAnsi="仿宋" w:eastAsia="仿宋" w:cs="仿宋"/>
          <w:color w:val="auto"/>
          <w:sz w:val="28"/>
          <w:szCs w:val="28"/>
          <w:lang w:eastAsia="zh-CN"/>
        </w:rPr>
        <w:t>）：</w:t>
      </w:r>
    </w:p>
    <w:p w14:paraId="4F5E283D">
      <w:pPr>
        <w:pStyle w:val="3"/>
        <w:spacing w:line="360" w:lineRule="auto"/>
        <w:ind w:firstLine="576" w:firstLineChars="200"/>
        <w:rPr>
          <w:rFonts w:hint="eastAsia"/>
          <w:color w:val="auto"/>
          <w:spacing w:val="4"/>
          <w:sz w:val="28"/>
          <w:szCs w:val="28"/>
          <w:lang w:eastAsia="zh-CN"/>
        </w:rPr>
      </w:pPr>
    </w:p>
    <w:p w14:paraId="12B30C3D">
      <w:pPr>
        <w:pStyle w:val="3"/>
        <w:spacing w:line="360" w:lineRule="auto"/>
        <w:ind w:firstLine="576" w:firstLineChars="200"/>
        <w:rPr>
          <w:rFonts w:hint="eastAsia"/>
          <w:color w:val="auto"/>
          <w:spacing w:val="4"/>
          <w:sz w:val="28"/>
          <w:szCs w:val="28"/>
          <w:lang w:eastAsia="zh-CN"/>
        </w:rPr>
      </w:pPr>
      <w:r>
        <w:rPr>
          <w:rFonts w:hint="eastAsia"/>
          <w:color w:val="auto"/>
          <w:spacing w:val="4"/>
          <w:sz w:val="28"/>
          <w:szCs w:val="28"/>
          <w:lang w:eastAsia="zh-CN"/>
        </w:rPr>
        <w:t>鉴于：</w:t>
      </w:r>
    </w:p>
    <w:p w14:paraId="52E3F608">
      <w:pPr>
        <w:pStyle w:val="3"/>
        <w:spacing w:line="360" w:lineRule="auto"/>
        <w:ind w:firstLine="576" w:firstLineChars="200"/>
        <w:rPr>
          <w:rFonts w:hint="eastAsia"/>
          <w:color w:val="auto"/>
          <w:spacing w:val="4"/>
          <w:sz w:val="28"/>
          <w:szCs w:val="28"/>
          <w:lang w:eastAsia="zh-CN"/>
        </w:rPr>
      </w:pPr>
      <w:r>
        <w:rPr>
          <w:rFonts w:hint="eastAsia"/>
          <w:color w:val="auto"/>
          <w:spacing w:val="4"/>
          <w:sz w:val="28"/>
          <w:szCs w:val="28"/>
          <w:lang w:eastAsia="zh-CN"/>
        </w:rPr>
        <w:t>乙方于     年   月  日与东莞市</w:t>
      </w:r>
      <w:r>
        <w:rPr>
          <w:rFonts w:hint="eastAsia"/>
          <w:color w:val="auto"/>
          <w:spacing w:val="4"/>
          <w:sz w:val="28"/>
          <w:szCs w:val="28"/>
          <w:lang w:val="en-US" w:eastAsia="zh-CN"/>
        </w:rPr>
        <w:t>旗创</w:t>
      </w:r>
      <w:r>
        <w:rPr>
          <w:rFonts w:hint="eastAsia"/>
          <w:color w:val="auto"/>
          <w:spacing w:val="4"/>
          <w:sz w:val="28"/>
          <w:szCs w:val="28"/>
          <w:lang w:eastAsia="zh-CN"/>
        </w:rPr>
        <w:t>产业投资有限公司签署《商品房买卖合同》及相关补充协议，合同编号</w:t>
      </w:r>
      <w:r>
        <w:rPr>
          <w:rFonts w:hint="eastAsia"/>
          <w:color w:val="auto"/>
          <w:spacing w:val="4"/>
          <w:sz w:val="28"/>
          <w:szCs w:val="28"/>
          <w:u w:val="single"/>
          <w:lang w:eastAsia="zh-CN"/>
        </w:rPr>
        <w:t xml:space="preserve">        </w:t>
      </w:r>
      <w:r>
        <w:rPr>
          <w:rFonts w:hint="eastAsia"/>
          <w:color w:val="auto"/>
          <w:spacing w:val="4"/>
          <w:sz w:val="28"/>
          <w:szCs w:val="28"/>
          <w:lang w:eastAsia="zh-CN"/>
        </w:rPr>
        <w:t>。销售方已向乙方提供相关开发、建设、买卖的合法性文件，乙方已充分了解</w:t>
      </w:r>
      <w:r>
        <w:rPr>
          <w:rFonts w:hint="eastAsia"/>
          <w:color w:val="auto"/>
          <w:spacing w:val="4"/>
          <w:sz w:val="28"/>
          <w:szCs w:val="28"/>
          <w:lang w:val="en-US" w:eastAsia="zh-CN"/>
        </w:rPr>
        <w:t>大岭山大塘村</w:t>
      </w:r>
      <w:r>
        <w:rPr>
          <w:rFonts w:hint="eastAsia"/>
          <w:color w:val="auto"/>
          <w:spacing w:val="4"/>
          <w:sz w:val="28"/>
          <w:szCs w:val="28"/>
          <w:lang w:eastAsia="zh-CN"/>
        </w:rPr>
        <w:t>项目的产业用房购买准入条件要求等情况。</w:t>
      </w:r>
    </w:p>
    <w:p w14:paraId="3D2E8C5E">
      <w:pPr>
        <w:pStyle w:val="3"/>
        <w:spacing w:line="360" w:lineRule="auto"/>
        <w:ind w:firstLine="576" w:firstLineChars="200"/>
        <w:rPr>
          <w:rFonts w:hint="eastAsia"/>
          <w:color w:val="auto"/>
          <w:sz w:val="28"/>
          <w:szCs w:val="28"/>
          <w:lang w:eastAsia="zh-CN"/>
        </w:rPr>
      </w:pPr>
      <w:r>
        <w:rPr>
          <w:rFonts w:hint="eastAsia"/>
          <w:color w:val="auto"/>
          <w:spacing w:val="4"/>
          <w:sz w:val="28"/>
          <w:szCs w:val="28"/>
          <w:lang w:eastAsia="zh-CN"/>
        </w:rPr>
        <w:t>甲方为东莞市旗创产业投资有限公司聘请负责大岭山大塘村项目招商运营的专门公司，受其委托对乙方进行产业发展监管。</w:t>
      </w:r>
      <w:r>
        <w:rPr>
          <w:rFonts w:hint="eastAsia"/>
          <w:color w:val="auto"/>
          <w:spacing w:val="10"/>
          <w:sz w:val="28"/>
          <w:szCs w:val="28"/>
          <w:lang w:eastAsia="zh-CN"/>
        </w:rPr>
        <w:t>为更好地进一步落实上述合同的履行，</w:t>
      </w:r>
      <w:r>
        <w:rPr>
          <w:rFonts w:hint="eastAsia"/>
          <w:color w:val="auto"/>
          <w:sz w:val="28"/>
          <w:szCs w:val="28"/>
          <w:lang w:eastAsia="zh-CN"/>
        </w:rPr>
        <w:t>经甲乙丙丁四方友好协商，就乙方购买产业用房的产业履约监管事宜达成协议如下：</w:t>
      </w:r>
    </w:p>
    <w:p w14:paraId="419EC009">
      <w:pPr>
        <w:numPr>
          <w:ilvl w:val="0"/>
          <w:numId w:val="2"/>
        </w:numPr>
        <w:spacing w:line="360" w:lineRule="auto"/>
        <w:ind w:firstLine="586" w:firstLineChars="200"/>
        <w:rPr>
          <w:rFonts w:hint="eastAsia" w:ascii="仿宋" w:hAnsi="仿宋" w:eastAsia="仿宋" w:cs="仿宋"/>
          <w:b/>
          <w:bCs/>
          <w:color w:val="auto"/>
          <w:spacing w:val="6"/>
          <w:sz w:val="28"/>
          <w:szCs w:val="28"/>
        </w:rPr>
      </w:pPr>
      <w:r>
        <w:rPr>
          <w:rFonts w:hint="eastAsia" w:ascii="仿宋" w:hAnsi="仿宋" w:eastAsia="仿宋" w:cs="仿宋"/>
          <w:b/>
          <w:bCs/>
          <w:color w:val="auto"/>
          <w:spacing w:val="6"/>
          <w:sz w:val="28"/>
          <w:szCs w:val="28"/>
          <w:lang w:eastAsia="zh-CN"/>
        </w:rPr>
        <w:t>产业用房</w:t>
      </w:r>
      <w:r>
        <w:rPr>
          <w:rFonts w:hint="eastAsia" w:ascii="仿宋" w:hAnsi="仿宋" w:eastAsia="仿宋" w:cs="仿宋"/>
          <w:b/>
          <w:bCs/>
          <w:color w:val="auto"/>
          <w:spacing w:val="6"/>
          <w:sz w:val="28"/>
          <w:szCs w:val="28"/>
        </w:rPr>
        <w:t>基本情况</w:t>
      </w:r>
    </w:p>
    <w:p w14:paraId="2CD0E2F0">
      <w:pPr>
        <w:spacing w:line="360" w:lineRule="auto"/>
        <w:ind w:firstLine="604" w:firstLineChars="200"/>
        <w:rPr>
          <w:rFonts w:hint="eastAsia" w:ascii="仿宋" w:hAnsi="仿宋" w:eastAsia="仿宋" w:cs="仿宋"/>
          <w:color w:val="auto"/>
          <w:spacing w:val="11"/>
          <w:sz w:val="28"/>
          <w:szCs w:val="28"/>
          <w:lang w:eastAsia="zh-CN"/>
        </w:rPr>
      </w:pPr>
      <w:r>
        <w:rPr>
          <w:rFonts w:hint="eastAsia" w:ascii="仿宋" w:hAnsi="仿宋" w:eastAsia="仿宋" w:cs="仿宋"/>
          <w:color w:val="auto"/>
          <w:spacing w:val="11"/>
          <w:sz w:val="28"/>
          <w:szCs w:val="28"/>
          <w:lang w:eastAsia="zh-CN"/>
        </w:rPr>
        <w:t>乙方所购的产业用房位于东莞市大岭山镇</w:t>
      </w:r>
      <w:r>
        <w:rPr>
          <w:rFonts w:hint="eastAsia" w:ascii="仿宋" w:hAnsi="仿宋" w:eastAsia="仿宋" w:cs="仿宋"/>
          <w:color w:val="auto"/>
          <w:spacing w:val="11"/>
          <w:sz w:val="28"/>
          <w:szCs w:val="28"/>
          <w:lang w:val="en-US" w:eastAsia="zh-CN"/>
        </w:rPr>
        <w:t>莲峰一横路</w:t>
      </w:r>
      <w:r>
        <w:rPr>
          <w:rFonts w:hint="eastAsia" w:ascii="仿宋" w:hAnsi="仿宋" w:eastAsia="仿宋" w:cs="仿宋"/>
          <w:color w:val="auto"/>
          <w:spacing w:val="11"/>
          <w:sz w:val="28"/>
          <w:szCs w:val="28"/>
          <w:lang w:eastAsia="zh-CN"/>
        </w:rPr>
        <w:t>的大岭山大塘村</w:t>
      </w:r>
      <w:r>
        <w:rPr>
          <w:rFonts w:hint="eastAsia" w:ascii="仿宋" w:hAnsi="仿宋" w:eastAsia="仿宋" w:cs="仿宋"/>
          <w:color w:val="auto"/>
          <w:spacing w:val="11"/>
          <w:sz w:val="28"/>
          <w:szCs w:val="28"/>
          <w:lang w:val="en-US" w:eastAsia="zh-CN"/>
        </w:rPr>
        <w:t>项目</w:t>
      </w:r>
      <w:r>
        <w:rPr>
          <w:rFonts w:hint="eastAsia" w:ascii="仿宋" w:hAnsi="仿宋" w:eastAsia="仿宋" w:cs="仿宋"/>
          <w:color w:val="auto"/>
          <w:spacing w:val="11"/>
          <w:sz w:val="28"/>
          <w:szCs w:val="28"/>
          <w:u w:val="single"/>
          <w:lang w:eastAsia="zh-CN"/>
        </w:rPr>
        <w:t xml:space="preserve">    </w:t>
      </w:r>
      <w:r>
        <w:rPr>
          <w:rFonts w:hint="eastAsia" w:ascii="仿宋" w:hAnsi="仿宋" w:eastAsia="仿宋" w:cs="仿宋"/>
          <w:color w:val="auto"/>
          <w:spacing w:val="11"/>
          <w:sz w:val="28"/>
          <w:szCs w:val="28"/>
          <w:lang w:eastAsia="zh-CN"/>
        </w:rPr>
        <w:t>栋厂房</w:t>
      </w:r>
      <w:r>
        <w:rPr>
          <w:rFonts w:hint="eastAsia" w:ascii="仿宋" w:hAnsi="仿宋" w:eastAsia="仿宋" w:cs="仿宋"/>
          <w:color w:val="auto"/>
          <w:spacing w:val="11"/>
          <w:sz w:val="28"/>
          <w:szCs w:val="28"/>
          <w:u w:val="single"/>
          <w:lang w:eastAsia="zh-CN"/>
        </w:rPr>
        <w:t xml:space="preserve">   </w:t>
      </w:r>
      <w:r>
        <w:rPr>
          <w:rFonts w:hint="eastAsia" w:ascii="仿宋" w:hAnsi="仿宋" w:eastAsia="仿宋" w:cs="仿宋"/>
          <w:color w:val="auto"/>
          <w:spacing w:val="11"/>
          <w:sz w:val="28"/>
          <w:szCs w:val="28"/>
          <w:lang w:eastAsia="zh-CN"/>
        </w:rPr>
        <w:t>层，建筑面积为</w:t>
      </w:r>
      <w:r>
        <w:rPr>
          <w:rFonts w:hint="eastAsia" w:ascii="仿宋" w:hAnsi="仿宋" w:eastAsia="仿宋" w:cs="仿宋"/>
          <w:color w:val="auto"/>
          <w:spacing w:val="11"/>
          <w:sz w:val="28"/>
          <w:szCs w:val="28"/>
          <w:u w:val="single"/>
          <w:lang w:eastAsia="zh-CN"/>
        </w:rPr>
        <w:t xml:space="preserve">      </w:t>
      </w:r>
      <w:r>
        <w:rPr>
          <w:rFonts w:hint="eastAsia" w:ascii="仿宋" w:hAnsi="仿宋" w:eastAsia="仿宋" w:cs="仿宋"/>
          <w:color w:val="auto"/>
          <w:spacing w:val="11"/>
          <w:sz w:val="28"/>
          <w:szCs w:val="28"/>
          <w:lang w:eastAsia="zh-CN"/>
        </w:rPr>
        <w:t>㎡。</w:t>
      </w:r>
    </w:p>
    <w:p w14:paraId="542EA7B7">
      <w:pPr>
        <w:spacing w:line="360" w:lineRule="auto"/>
        <w:ind w:firstLine="590" w:firstLineChars="200"/>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pacing w:val="7"/>
          <w:sz w:val="28"/>
          <w:szCs w:val="28"/>
          <w:lang w:eastAsia="zh-CN"/>
        </w:rPr>
        <w:t>二、甲方权利和义务</w:t>
      </w:r>
    </w:p>
    <w:p w14:paraId="39A14329">
      <w:pPr>
        <w:pStyle w:val="3"/>
        <w:spacing w:line="360" w:lineRule="auto"/>
        <w:ind w:firstLine="604" w:firstLineChars="200"/>
        <w:rPr>
          <w:rFonts w:hint="eastAsia"/>
          <w:color w:val="auto"/>
          <w:sz w:val="28"/>
          <w:szCs w:val="28"/>
          <w:lang w:eastAsia="zh-CN"/>
        </w:rPr>
      </w:pPr>
      <w:r>
        <w:rPr>
          <w:rFonts w:hint="eastAsia"/>
          <w:color w:val="auto"/>
          <w:spacing w:val="11"/>
          <w:sz w:val="28"/>
          <w:szCs w:val="28"/>
          <w:lang w:eastAsia="zh-CN"/>
        </w:rPr>
        <w:t>（一）甲方负责大岭山大塘村项目的招商运营，根据现行政策相关要求，为</w:t>
      </w:r>
      <w:r>
        <w:rPr>
          <w:rFonts w:hint="eastAsia"/>
          <w:color w:val="auto"/>
          <w:spacing w:val="-1"/>
          <w:sz w:val="28"/>
          <w:szCs w:val="28"/>
          <w:lang w:eastAsia="zh-CN"/>
        </w:rPr>
        <w:t>乙方提供指导性服务。</w:t>
      </w:r>
    </w:p>
    <w:p w14:paraId="0A8FB555">
      <w:pPr>
        <w:pStyle w:val="3"/>
        <w:spacing w:line="360" w:lineRule="auto"/>
        <w:ind w:firstLine="608" w:firstLineChars="200"/>
        <w:rPr>
          <w:rFonts w:hint="eastAsia"/>
          <w:color w:val="auto"/>
          <w:sz w:val="28"/>
          <w:szCs w:val="28"/>
          <w:lang w:eastAsia="zh-CN"/>
        </w:rPr>
      </w:pPr>
      <w:r>
        <w:rPr>
          <w:rFonts w:hint="eastAsia"/>
          <w:color w:val="auto"/>
          <w:spacing w:val="12"/>
          <w:sz w:val="28"/>
          <w:szCs w:val="28"/>
          <w:lang w:eastAsia="zh-CN"/>
        </w:rPr>
        <w:t>（二）上述产业用房投产后，甲方有权核验</w:t>
      </w:r>
      <w:r>
        <w:rPr>
          <w:rFonts w:hint="eastAsia"/>
          <w:color w:val="auto"/>
          <w:spacing w:val="11"/>
          <w:sz w:val="28"/>
          <w:szCs w:val="28"/>
          <w:lang w:eastAsia="zh-CN"/>
        </w:rPr>
        <w:t>乙方产业用房</w:t>
      </w:r>
      <w:r>
        <w:rPr>
          <w:rFonts w:hint="eastAsia"/>
          <w:color w:val="auto"/>
          <w:spacing w:val="14"/>
          <w:sz w:val="28"/>
          <w:szCs w:val="28"/>
          <w:lang w:eastAsia="zh-CN"/>
        </w:rPr>
        <w:t>的产值、税收、装修竣工等事项落实情</w:t>
      </w:r>
      <w:r>
        <w:rPr>
          <w:rFonts w:hint="eastAsia"/>
          <w:color w:val="auto"/>
          <w:spacing w:val="11"/>
          <w:sz w:val="28"/>
          <w:szCs w:val="28"/>
          <w:lang w:eastAsia="zh-CN"/>
        </w:rPr>
        <w:t>况。经核验乙方未能达到本协议所约定要求的，甲方可按照本</w:t>
      </w:r>
      <w:r>
        <w:rPr>
          <w:rFonts w:hint="eastAsia"/>
          <w:color w:val="auto"/>
          <w:spacing w:val="4"/>
          <w:sz w:val="28"/>
          <w:szCs w:val="28"/>
          <w:lang w:eastAsia="zh-CN"/>
        </w:rPr>
        <w:t>协议及其他约定追究乙方的违约责任。</w:t>
      </w:r>
    </w:p>
    <w:p w14:paraId="063CE371">
      <w:pPr>
        <w:spacing w:line="360" w:lineRule="auto"/>
        <w:ind w:firstLine="590" w:firstLineChars="200"/>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pacing w:val="7"/>
          <w:sz w:val="28"/>
          <w:szCs w:val="28"/>
          <w:lang w:eastAsia="zh-CN"/>
        </w:rPr>
        <w:t>三、乙方权利和义务</w:t>
      </w:r>
    </w:p>
    <w:p w14:paraId="637283A0">
      <w:pPr>
        <w:pStyle w:val="3"/>
        <w:spacing w:line="360" w:lineRule="auto"/>
        <w:ind w:firstLine="608" w:firstLineChars="200"/>
        <w:rPr>
          <w:rFonts w:ascii="Times New Roman" w:hAnsi="Times New Roman" w:eastAsia="仿宋_GB2312" w:cs="Times New Roman"/>
          <w:color w:val="auto"/>
          <w:sz w:val="32"/>
          <w:szCs w:val="32"/>
          <w:lang w:eastAsia="zh-CN"/>
        </w:rPr>
      </w:pPr>
      <w:r>
        <w:rPr>
          <w:rFonts w:hint="eastAsia"/>
          <w:color w:val="auto"/>
          <w:spacing w:val="12"/>
          <w:sz w:val="28"/>
          <w:szCs w:val="28"/>
          <w:lang w:eastAsia="zh-CN"/>
        </w:rPr>
        <w:t>（一）乙方在产业用房所属园区属地内开展生产经营、纳税，需在园区成立独立法人公司（已在东莞市大岭山镇成立法人公司的除外），并在两年内完成纳统。乙方在园区开展的业务需符合园区的产业发展定位。</w:t>
      </w:r>
    </w:p>
    <w:p w14:paraId="6B745318">
      <w:pPr>
        <w:pStyle w:val="3"/>
        <w:spacing w:line="360" w:lineRule="auto"/>
        <w:ind w:firstLine="640" w:firstLineChars="200"/>
        <w:rPr>
          <w:rFonts w:hint="eastAsia"/>
          <w:color w:val="auto"/>
          <w:spacing w:val="12"/>
          <w:sz w:val="28"/>
          <w:szCs w:val="28"/>
          <w:lang w:eastAsia="zh-CN"/>
        </w:rPr>
      </w:pPr>
      <w:r>
        <w:rPr>
          <w:rFonts w:hint="eastAsia" w:ascii="Times New Roman" w:hAnsi="Times New Roman" w:eastAsia="仿宋_GB2312" w:cs="Times New Roman"/>
          <w:color w:val="auto"/>
          <w:sz w:val="32"/>
          <w:szCs w:val="32"/>
          <w:lang w:eastAsia="zh-CN"/>
        </w:rPr>
        <w:t>（二）</w:t>
      </w:r>
      <w:r>
        <w:rPr>
          <w:rFonts w:hint="eastAsia"/>
          <w:color w:val="auto"/>
          <w:spacing w:val="12"/>
          <w:sz w:val="28"/>
          <w:szCs w:val="28"/>
          <w:lang w:eastAsia="zh-CN"/>
        </w:rPr>
        <w:t>甲方有权利督促乙方按照企业遴选评审上报承诺的标准每年</w:t>
      </w:r>
      <w:r>
        <w:rPr>
          <w:rFonts w:hint="eastAsia"/>
          <w:color w:val="auto"/>
          <w:spacing w:val="12"/>
          <w:sz w:val="28"/>
          <w:szCs w:val="28"/>
          <w:u w:val="single"/>
          <w:lang w:eastAsia="zh-CN"/>
        </w:rPr>
        <w:t xml:space="preserve">    </w:t>
      </w:r>
      <w:r>
        <w:rPr>
          <w:rFonts w:hint="eastAsia"/>
          <w:color w:val="auto"/>
          <w:spacing w:val="12"/>
          <w:sz w:val="28"/>
          <w:szCs w:val="28"/>
          <w:lang w:eastAsia="zh-CN"/>
        </w:rPr>
        <w:t>元/㎡缴纳税收，同时乙方产值需达到每年</w:t>
      </w:r>
      <w:r>
        <w:rPr>
          <w:rFonts w:hint="eastAsia"/>
          <w:color w:val="auto"/>
          <w:spacing w:val="12"/>
          <w:sz w:val="28"/>
          <w:szCs w:val="28"/>
          <w:u w:val="single"/>
          <w:lang w:eastAsia="zh-CN"/>
        </w:rPr>
        <w:t xml:space="preserve">      </w:t>
      </w:r>
      <w:r>
        <w:rPr>
          <w:rFonts w:hint="eastAsia"/>
          <w:color w:val="auto"/>
          <w:spacing w:val="12"/>
          <w:sz w:val="28"/>
          <w:szCs w:val="28"/>
          <w:lang w:eastAsia="zh-CN"/>
        </w:rPr>
        <w:t>元/㎡，考核期为自乙方完成不动产登记之日起5年。</w:t>
      </w:r>
    </w:p>
    <w:p w14:paraId="23A35B20">
      <w:pPr>
        <w:pStyle w:val="3"/>
        <w:spacing w:line="360" w:lineRule="auto"/>
        <w:ind w:firstLine="608" w:firstLineChars="200"/>
        <w:rPr>
          <w:rFonts w:hint="eastAsia"/>
          <w:color w:val="auto"/>
          <w:spacing w:val="12"/>
          <w:sz w:val="28"/>
          <w:szCs w:val="28"/>
          <w:lang w:eastAsia="zh-CN"/>
        </w:rPr>
      </w:pPr>
      <w:r>
        <w:rPr>
          <w:rFonts w:hint="eastAsia"/>
          <w:color w:val="auto"/>
          <w:spacing w:val="12"/>
          <w:sz w:val="28"/>
          <w:szCs w:val="28"/>
          <w:lang w:eastAsia="zh-CN"/>
        </w:rPr>
        <w:t>（三）自乙方完成不动产登记之日起未满5年的产业空间，原则上不允许转让。因不可抗力或重大政策调整造成乙方无法继续经营发展的，由四方进行深入协商，根据《东莞市人民政府办公室关于印发〈推动高品质、低成本产业空间建设方案〉的通知》（东府办〔</w:t>
      </w:r>
      <w:r>
        <w:rPr>
          <w:color w:val="auto"/>
          <w:spacing w:val="12"/>
          <w:sz w:val="28"/>
          <w:szCs w:val="28"/>
          <w:lang w:eastAsia="zh-CN"/>
        </w:rPr>
        <w:t>2023</w:t>
      </w:r>
      <w:r>
        <w:rPr>
          <w:rFonts w:hint="eastAsia"/>
          <w:color w:val="auto"/>
          <w:spacing w:val="12"/>
          <w:sz w:val="28"/>
          <w:szCs w:val="28"/>
          <w:lang w:eastAsia="zh-CN"/>
        </w:rPr>
        <w:t>〕）</w:t>
      </w:r>
      <w:r>
        <w:rPr>
          <w:color w:val="auto"/>
          <w:spacing w:val="12"/>
          <w:sz w:val="28"/>
          <w:szCs w:val="28"/>
          <w:lang w:eastAsia="zh-CN"/>
        </w:rPr>
        <w:t>7</w:t>
      </w:r>
      <w:r>
        <w:rPr>
          <w:rFonts w:hint="eastAsia"/>
          <w:color w:val="auto"/>
          <w:spacing w:val="12"/>
          <w:sz w:val="28"/>
          <w:szCs w:val="28"/>
          <w:lang w:eastAsia="zh-CN"/>
        </w:rPr>
        <w:t>号等文件规定，并报市相关职能部门审定后执行。</w:t>
      </w:r>
    </w:p>
    <w:p w14:paraId="3B795E8A">
      <w:pPr>
        <w:pStyle w:val="3"/>
        <w:spacing w:line="360" w:lineRule="auto"/>
        <w:ind w:firstLine="608" w:firstLineChars="200"/>
        <w:rPr>
          <w:rFonts w:hint="eastAsia"/>
          <w:color w:val="auto"/>
          <w:spacing w:val="12"/>
          <w:sz w:val="28"/>
          <w:szCs w:val="28"/>
          <w:lang w:eastAsia="zh-CN"/>
        </w:rPr>
      </w:pPr>
      <w:r>
        <w:rPr>
          <w:rFonts w:hint="eastAsia"/>
          <w:color w:val="auto"/>
          <w:spacing w:val="12"/>
          <w:sz w:val="28"/>
          <w:szCs w:val="28"/>
          <w:lang w:eastAsia="zh-CN"/>
        </w:rPr>
        <w:t>自乙方完成不动产登记之日起，满5年达到本协议中约定的产值、税收规模等相关要求的，可申请将其名下的产业用房进行转让，转让价格不得高于购置价格，不得以其他名义收取额外费用，东莞实业投资控股集团有限公司（以下简称东实集团）</w:t>
      </w:r>
      <w:r>
        <w:rPr>
          <w:color w:val="auto"/>
          <w:spacing w:val="12"/>
          <w:sz w:val="28"/>
          <w:szCs w:val="28"/>
          <w:lang w:eastAsia="zh-CN"/>
        </w:rPr>
        <w:t>、</w:t>
      </w:r>
      <w:r>
        <w:rPr>
          <w:rFonts w:hint="eastAsia"/>
          <w:color w:val="auto"/>
          <w:spacing w:val="12"/>
          <w:sz w:val="28"/>
          <w:szCs w:val="28"/>
          <w:lang w:eastAsia="zh-CN"/>
        </w:rPr>
        <w:t>大岭山镇政府及其指定单位享有优先购买权。东实集团</w:t>
      </w:r>
      <w:r>
        <w:rPr>
          <w:color w:val="auto"/>
          <w:spacing w:val="12"/>
          <w:sz w:val="28"/>
          <w:szCs w:val="28"/>
          <w:lang w:eastAsia="zh-CN"/>
        </w:rPr>
        <w:t>、</w:t>
      </w:r>
      <w:r>
        <w:rPr>
          <w:rFonts w:hint="eastAsia"/>
          <w:color w:val="auto"/>
          <w:spacing w:val="12"/>
          <w:sz w:val="28"/>
          <w:szCs w:val="28"/>
          <w:lang w:eastAsia="zh-CN"/>
        </w:rPr>
        <w:t>大岭山镇政府及其指定单位放弃购买的，则由甲方、丙方和丁方从遴选企业库中，按程序选取次受让主体开展转让工作，次受让主体应与甲方及丙方、丁方重新签订产业发展监管协议。转让涉及的税费按照现行不动产转移登记的相关法律法规执行。</w:t>
      </w:r>
    </w:p>
    <w:p w14:paraId="3D244E85">
      <w:pPr>
        <w:pStyle w:val="3"/>
        <w:spacing w:line="360" w:lineRule="auto"/>
        <w:ind w:firstLine="608" w:firstLineChars="200"/>
        <w:rPr>
          <w:rFonts w:hint="eastAsia"/>
          <w:color w:val="auto"/>
          <w:spacing w:val="12"/>
          <w:sz w:val="28"/>
          <w:szCs w:val="28"/>
          <w:lang w:eastAsia="zh-CN"/>
        </w:rPr>
      </w:pPr>
      <w:r>
        <w:rPr>
          <w:rFonts w:hint="eastAsia"/>
          <w:color w:val="auto"/>
          <w:spacing w:val="12"/>
          <w:sz w:val="28"/>
          <w:szCs w:val="28"/>
          <w:lang w:eastAsia="zh-CN"/>
        </w:rPr>
        <w:t>（四）自完成不动产登记之日起，乙方5年累计未达到本协议中约定的产值、税收等相关要求的，则视为乙方违反本协议此条约定，乙方在</w:t>
      </w:r>
      <w:r>
        <w:rPr>
          <w:rFonts w:hint="eastAsia"/>
          <w:color w:val="auto"/>
          <w:spacing w:val="12"/>
          <w:sz w:val="28"/>
          <w:szCs w:val="28"/>
          <w:lang w:val="en-US" w:eastAsia="zh-CN"/>
        </w:rPr>
        <w:t>收到</w:t>
      </w:r>
      <w:r>
        <w:rPr>
          <w:rFonts w:hint="eastAsia"/>
          <w:color w:val="auto"/>
          <w:spacing w:val="12"/>
          <w:sz w:val="28"/>
          <w:szCs w:val="28"/>
          <w:lang w:eastAsia="zh-CN"/>
        </w:rPr>
        <w:t>甲方邮寄的</w:t>
      </w:r>
      <w:r>
        <w:rPr>
          <w:rFonts w:hint="eastAsia"/>
          <w:color w:val="auto"/>
          <w:spacing w:val="12"/>
          <w:sz w:val="28"/>
          <w:szCs w:val="28"/>
          <w:lang w:val="en-US" w:eastAsia="zh-CN"/>
        </w:rPr>
        <w:t>违约金</w:t>
      </w:r>
      <w:r>
        <w:rPr>
          <w:rFonts w:hint="eastAsia"/>
          <w:color w:val="auto"/>
          <w:spacing w:val="12"/>
          <w:sz w:val="28"/>
          <w:szCs w:val="28"/>
          <w:lang w:eastAsia="zh-CN"/>
        </w:rPr>
        <w:t>通知（以邮戳寄出之日起算）之日起</w:t>
      </w:r>
      <w:r>
        <w:rPr>
          <w:color w:val="auto"/>
          <w:spacing w:val="12"/>
          <w:sz w:val="28"/>
          <w:szCs w:val="28"/>
          <w:lang w:eastAsia="zh-CN"/>
        </w:rPr>
        <w:t>60</w:t>
      </w:r>
      <w:r>
        <w:rPr>
          <w:rFonts w:hint="eastAsia"/>
          <w:color w:val="auto"/>
          <w:spacing w:val="12"/>
          <w:sz w:val="28"/>
          <w:szCs w:val="28"/>
          <w:lang w:eastAsia="zh-CN"/>
        </w:rPr>
        <w:t>日内补足未缴纳的税收差额</w:t>
      </w:r>
      <w:r>
        <w:rPr>
          <w:rFonts w:hint="eastAsia"/>
          <w:color w:val="auto"/>
          <w:spacing w:val="12"/>
          <w:sz w:val="28"/>
          <w:szCs w:val="28"/>
          <w:lang w:val="en-US" w:eastAsia="zh-CN"/>
        </w:rPr>
        <w:t>同等金额的违约金</w:t>
      </w:r>
      <w:r>
        <w:rPr>
          <w:rFonts w:hint="eastAsia"/>
          <w:color w:val="auto"/>
          <w:spacing w:val="12"/>
          <w:sz w:val="28"/>
          <w:szCs w:val="28"/>
          <w:lang w:eastAsia="zh-CN"/>
        </w:rPr>
        <w:t>，并将</w:t>
      </w:r>
      <w:r>
        <w:rPr>
          <w:rFonts w:hint="eastAsia"/>
          <w:color w:val="auto"/>
          <w:spacing w:val="12"/>
          <w:sz w:val="28"/>
          <w:szCs w:val="28"/>
          <w:lang w:val="en-US" w:eastAsia="zh-CN"/>
        </w:rPr>
        <w:t>违约金支付</w:t>
      </w:r>
      <w:r>
        <w:rPr>
          <w:rFonts w:hint="eastAsia"/>
          <w:color w:val="auto"/>
          <w:spacing w:val="12"/>
          <w:sz w:val="28"/>
          <w:szCs w:val="28"/>
          <w:lang w:eastAsia="zh-CN"/>
        </w:rPr>
        <w:t>凭证（复印件）留存甲方处存档。否则，甲方有权要求乙方按照本协议约定的时间及方式退回该产业用房并搬离园区。</w:t>
      </w:r>
    </w:p>
    <w:p w14:paraId="55D4CBBA">
      <w:pPr>
        <w:pStyle w:val="3"/>
        <w:spacing w:line="360" w:lineRule="auto"/>
        <w:ind w:firstLine="608" w:firstLineChars="200"/>
        <w:rPr>
          <w:rFonts w:hint="eastAsia"/>
          <w:color w:val="auto"/>
          <w:spacing w:val="12"/>
          <w:sz w:val="28"/>
          <w:szCs w:val="28"/>
          <w:lang w:eastAsia="zh-CN"/>
        </w:rPr>
      </w:pPr>
      <w:r>
        <w:rPr>
          <w:rFonts w:hint="eastAsia"/>
          <w:color w:val="auto"/>
          <w:spacing w:val="12"/>
          <w:sz w:val="28"/>
          <w:szCs w:val="28"/>
          <w:lang w:eastAsia="zh-CN"/>
        </w:rPr>
        <w:t>依据相关遴选管理办法，乙方被强制退出后，一年内不得再次租赁或购买东莞市政策性产业用房。</w:t>
      </w:r>
    </w:p>
    <w:p w14:paraId="7CC396E4">
      <w:pPr>
        <w:pStyle w:val="3"/>
        <w:spacing w:line="360" w:lineRule="auto"/>
        <w:ind w:firstLine="608" w:firstLineChars="200"/>
        <w:rPr>
          <w:rFonts w:hint="eastAsia"/>
          <w:color w:val="auto"/>
          <w:spacing w:val="12"/>
          <w:sz w:val="28"/>
          <w:szCs w:val="28"/>
          <w:lang w:eastAsia="zh-CN"/>
        </w:rPr>
      </w:pPr>
      <w:r>
        <w:rPr>
          <w:rFonts w:hint="eastAsia"/>
          <w:color w:val="auto"/>
          <w:spacing w:val="12"/>
          <w:sz w:val="28"/>
          <w:szCs w:val="28"/>
          <w:lang w:eastAsia="zh-CN"/>
        </w:rPr>
        <w:t>（五）乙方因人民法院强制执行拍卖或者变卖产业用房（构筑物）所有权的，次受让主体应当符合原受让主体资格条件，并应当承接原商品房买卖合同及相关协议、本协议规定的受让主体责任及义务。人民法院强制执行又无符合条件的次受让主体的，其建（构）筑物由甲丙丁三方根据《东莞市人民政府办公室关于印发〈推动高品质、低成本产业空间建设方案〉的通知》（东府办〔</w:t>
      </w:r>
      <w:r>
        <w:rPr>
          <w:color w:val="auto"/>
          <w:spacing w:val="12"/>
          <w:sz w:val="28"/>
          <w:szCs w:val="28"/>
          <w:lang w:eastAsia="zh-CN"/>
        </w:rPr>
        <w:t>2023</w:t>
      </w:r>
      <w:r>
        <w:rPr>
          <w:rFonts w:hint="eastAsia"/>
          <w:color w:val="auto"/>
          <w:spacing w:val="12"/>
          <w:sz w:val="28"/>
          <w:szCs w:val="28"/>
          <w:lang w:eastAsia="zh-CN"/>
        </w:rPr>
        <w:t>〕）</w:t>
      </w:r>
      <w:r>
        <w:rPr>
          <w:color w:val="auto"/>
          <w:spacing w:val="12"/>
          <w:sz w:val="28"/>
          <w:szCs w:val="28"/>
          <w:lang w:eastAsia="zh-CN"/>
        </w:rPr>
        <w:t>7</w:t>
      </w:r>
      <w:r>
        <w:rPr>
          <w:rFonts w:hint="eastAsia"/>
          <w:color w:val="auto"/>
          <w:spacing w:val="12"/>
          <w:sz w:val="28"/>
          <w:szCs w:val="28"/>
          <w:lang w:eastAsia="zh-CN"/>
        </w:rPr>
        <w:t>号等文件规定，报市相关职能部门确定回购单位。</w:t>
      </w:r>
    </w:p>
    <w:p w14:paraId="484241A5">
      <w:pPr>
        <w:pStyle w:val="3"/>
        <w:spacing w:line="360" w:lineRule="auto"/>
        <w:ind w:firstLine="608" w:firstLineChars="200"/>
        <w:rPr>
          <w:rFonts w:hint="eastAsia"/>
          <w:color w:val="auto"/>
          <w:spacing w:val="12"/>
          <w:sz w:val="28"/>
          <w:szCs w:val="28"/>
          <w:lang w:eastAsia="zh-CN"/>
        </w:rPr>
      </w:pPr>
      <w:r>
        <w:rPr>
          <w:rFonts w:hint="eastAsia"/>
          <w:color w:val="auto"/>
          <w:spacing w:val="12"/>
          <w:sz w:val="28"/>
          <w:szCs w:val="28"/>
          <w:lang w:eastAsia="zh-CN"/>
        </w:rPr>
        <w:t xml:space="preserve">（六）乙方购买的产业用房在进行二次转让时，应按办理产业用房不动产登记时的证载面积为单位进行转让，不可分割转让。 </w:t>
      </w:r>
    </w:p>
    <w:p w14:paraId="0C7879CA">
      <w:pPr>
        <w:spacing w:line="360" w:lineRule="auto"/>
        <w:ind w:firstLine="590" w:firstLineChars="200"/>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pacing w:val="7"/>
          <w:sz w:val="28"/>
          <w:szCs w:val="28"/>
          <w:lang w:val="en-US" w:eastAsia="zh-CN"/>
        </w:rPr>
        <w:t>四</w:t>
      </w:r>
      <w:r>
        <w:rPr>
          <w:rFonts w:hint="eastAsia" w:ascii="仿宋" w:hAnsi="仿宋" w:eastAsia="仿宋" w:cs="仿宋"/>
          <w:b/>
          <w:bCs/>
          <w:color w:val="auto"/>
          <w:spacing w:val="7"/>
          <w:sz w:val="28"/>
          <w:szCs w:val="28"/>
          <w:lang w:eastAsia="zh-CN"/>
        </w:rPr>
        <w:t>、违约责任和本协议的终止</w:t>
      </w:r>
    </w:p>
    <w:p w14:paraId="17D5B15E">
      <w:pPr>
        <w:pStyle w:val="3"/>
        <w:spacing w:line="360" w:lineRule="auto"/>
        <w:ind w:firstLine="608" w:firstLineChars="200"/>
        <w:rPr>
          <w:rFonts w:hint="eastAsia"/>
          <w:color w:val="auto"/>
          <w:spacing w:val="12"/>
          <w:sz w:val="28"/>
          <w:szCs w:val="28"/>
          <w:lang w:eastAsia="zh-CN"/>
        </w:rPr>
      </w:pPr>
      <w:r>
        <w:rPr>
          <w:rFonts w:hint="eastAsia"/>
          <w:color w:val="auto"/>
          <w:spacing w:val="12"/>
          <w:sz w:val="28"/>
          <w:szCs w:val="28"/>
          <w:lang w:eastAsia="zh-CN"/>
        </w:rPr>
        <w:t>（一）乙方购买的产业用房限定自用，乙方签订商品房买卖合同及相关补充协议后无故退出，或在使用期间出现违规出租、出售、改变其原有使用功能等不按合同约定使用产业用房行为的，5年内不得再次</w:t>
      </w:r>
      <w:bookmarkStart w:id="0" w:name="_Hlk179968508"/>
      <w:r>
        <w:rPr>
          <w:rFonts w:hint="eastAsia"/>
          <w:color w:val="auto"/>
          <w:spacing w:val="12"/>
          <w:sz w:val="28"/>
          <w:szCs w:val="28"/>
          <w:lang w:eastAsia="zh-CN"/>
        </w:rPr>
        <w:t>租赁或购买东莞市政策性产业用房</w:t>
      </w:r>
      <w:bookmarkEnd w:id="0"/>
      <w:r>
        <w:rPr>
          <w:rFonts w:hint="eastAsia"/>
          <w:color w:val="auto"/>
          <w:spacing w:val="12"/>
          <w:sz w:val="28"/>
          <w:szCs w:val="28"/>
          <w:lang w:eastAsia="zh-CN"/>
        </w:rPr>
        <w:t>。已购买试点项目产业空间的，需在规定时间内退回购买的产业用房，退回后的产业用房</w:t>
      </w:r>
      <w:r>
        <w:rPr>
          <w:color w:val="auto"/>
          <w:spacing w:val="12"/>
          <w:sz w:val="28"/>
          <w:szCs w:val="28"/>
          <w:lang w:eastAsia="zh-CN"/>
        </w:rPr>
        <w:t>按照本协议第三条第（三）点确定</w:t>
      </w:r>
      <w:r>
        <w:rPr>
          <w:rFonts w:hint="eastAsia"/>
          <w:color w:val="auto"/>
          <w:spacing w:val="12"/>
          <w:sz w:val="28"/>
          <w:szCs w:val="28"/>
          <w:lang w:eastAsia="zh-CN"/>
        </w:rPr>
        <w:t>受让</w:t>
      </w:r>
      <w:r>
        <w:rPr>
          <w:color w:val="auto"/>
          <w:spacing w:val="12"/>
          <w:sz w:val="28"/>
          <w:szCs w:val="28"/>
          <w:lang w:eastAsia="zh-CN"/>
        </w:rPr>
        <w:t>主体，</w:t>
      </w:r>
      <w:r>
        <w:rPr>
          <w:rFonts w:hint="eastAsia"/>
          <w:color w:val="auto"/>
          <w:spacing w:val="12"/>
          <w:sz w:val="28"/>
          <w:szCs w:val="28"/>
          <w:lang w:eastAsia="zh-CN"/>
        </w:rPr>
        <w:t>受让价以购置价格为原值折旧后计算确定。</w:t>
      </w:r>
    </w:p>
    <w:p w14:paraId="6DCB2E65">
      <w:pPr>
        <w:pStyle w:val="3"/>
        <w:spacing w:line="360" w:lineRule="auto"/>
        <w:ind w:firstLine="608" w:firstLineChars="200"/>
        <w:rPr>
          <w:rFonts w:hint="eastAsia"/>
          <w:color w:val="auto"/>
          <w:spacing w:val="12"/>
          <w:sz w:val="28"/>
          <w:szCs w:val="28"/>
          <w:lang w:eastAsia="zh-CN"/>
        </w:rPr>
      </w:pPr>
      <w:r>
        <w:rPr>
          <w:rFonts w:hint="eastAsia"/>
          <w:color w:val="auto"/>
          <w:spacing w:val="12"/>
          <w:sz w:val="28"/>
          <w:szCs w:val="28"/>
          <w:lang w:eastAsia="zh-CN"/>
        </w:rPr>
        <w:t>（二）有下列情形之一的，甲方有权要求乙方退回产业用房并搬离园区：</w:t>
      </w:r>
    </w:p>
    <w:p w14:paraId="372C802B">
      <w:pPr>
        <w:pStyle w:val="3"/>
        <w:numPr>
          <w:ilvl w:val="0"/>
          <w:numId w:val="3"/>
        </w:numPr>
        <w:spacing w:line="360" w:lineRule="auto"/>
        <w:ind w:left="420" w:leftChars="200" w:firstLine="608" w:firstLineChars="200"/>
        <w:rPr>
          <w:rFonts w:hint="eastAsia"/>
          <w:color w:val="auto"/>
          <w:spacing w:val="12"/>
          <w:sz w:val="28"/>
          <w:szCs w:val="28"/>
          <w:lang w:eastAsia="zh-CN"/>
        </w:rPr>
      </w:pPr>
      <w:r>
        <w:rPr>
          <w:rFonts w:hint="eastAsia"/>
          <w:color w:val="auto"/>
          <w:spacing w:val="12"/>
          <w:sz w:val="28"/>
          <w:szCs w:val="28"/>
          <w:lang w:eastAsia="zh-CN"/>
        </w:rPr>
        <w:t>将注册地、纳税地、统计地迁离东莞市大岭山镇的；</w:t>
      </w:r>
    </w:p>
    <w:p w14:paraId="761A36D9">
      <w:pPr>
        <w:pStyle w:val="3"/>
        <w:numPr>
          <w:ilvl w:val="0"/>
          <w:numId w:val="3"/>
        </w:numPr>
        <w:spacing w:line="360" w:lineRule="auto"/>
        <w:ind w:left="420" w:leftChars="200" w:firstLine="608" w:firstLineChars="200"/>
        <w:rPr>
          <w:rFonts w:hint="eastAsia"/>
          <w:color w:val="auto"/>
          <w:spacing w:val="12"/>
          <w:sz w:val="28"/>
          <w:szCs w:val="28"/>
          <w:lang w:eastAsia="zh-CN"/>
        </w:rPr>
      </w:pPr>
      <w:r>
        <w:rPr>
          <w:rFonts w:hint="eastAsia"/>
          <w:color w:val="auto"/>
          <w:spacing w:val="12"/>
          <w:sz w:val="28"/>
          <w:szCs w:val="28"/>
          <w:lang w:eastAsia="zh-CN"/>
        </w:rPr>
        <w:t>申报主体有隐瞒真实情况、伪造证明等行为的；</w:t>
      </w:r>
    </w:p>
    <w:p w14:paraId="3F70D0DE">
      <w:pPr>
        <w:pStyle w:val="3"/>
        <w:numPr>
          <w:ilvl w:val="0"/>
          <w:numId w:val="3"/>
        </w:numPr>
        <w:spacing w:line="360" w:lineRule="auto"/>
        <w:ind w:left="420" w:leftChars="200" w:firstLine="608" w:firstLineChars="200"/>
        <w:rPr>
          <w:rFonts w:hint="eastAsia"/>
          <w:color w:val="auto"/>
          <w:spacing w:val="12"/>
          <w:sz w:val="28"/>
          <w:szCs w:val="28"/>
          <w:lang w:eastAsia="zh-CN"/>
        </w:rPr>
      </w:pPr>
      <w:r>
        <w:rPr>
          <w:rFonts w:hint="eastAsia"/>
          <w:color w:val="auto"/>
          <w:spacing w:val="12"/>
          <w:sz w:val="28"/>
          <w:szCs w:val="28"/>
          <w:lang w:eastAsia="zh-CN"/>
        </w:rPr>
        <w:t>入驻主体被列入失信名单的。</w:t>
      </w:r>
    </w:p>
    <w:p w14:paraId="195D6507">
      <w:pPr>
        <w:pStyle w:val="3"/>
        <w:numPr>
          <w:ilvl w:val="0"/>
          <w:numId w:val="4"/>
        </w:numPr>
        <w:spacing w:line="360" w:lineRule="auto"/>
        <w:ind w:firstLine="608" w:firstLineChars="200"/>
        <w:rPr>
          <w:rFonts w:hint="eastAsia"/>
          <w:color w:val="auto"/>
          <w:spacing w:val="12"/>
          <w:sz w:val="28"/>
          <w:szCs w:val="28"/>
          <w:lang w:eastAsia="zh-CN"/>
        </w:rPr>
      </w:pPr>
      <w:r>
        <w:rPr>
          <w:rFonts w:hint="eastAsia"/>
          <w:color w:val="auto"/>
          <w:spacing w:val="12"/>
          <w:sz w:val="28"/>
          <w:szCs w:val="28"/>
          <w:lang w:eastAsia="zh-CN"/>
        </w:rPr>
        <w:t>依据本协议约定，乙方应退回产业用房的，乙方应自甲方通知退回产业用房之日起20个工作日内与甲方到房管部门办妥不动产登记转移的全部手续（接收方为依据本协议确定的受让对象）并搬离园区。若乙方自甲方通知之日起超过</w:t>
      </w:r>
      <w:r>
        <w:rPr>
          <w:color w:val="auto"/>
          <w:spacing w:val="12"/>
          <w:sz w:val="28"/>
          <w:szCs w:val="28"/>
          <w:lang w:eastAsia="zh-CN"/>
        </w:rPr>
        <w:t>90</w:t>
      </w:r>
      <w:r>
        <w:rPr>
          <w:rFonts w:hint="eastAsia"/>
          <w:color w:val="auto"/>
          <w:spacing w:val="12"/>
          <w:sz w:val="28"/>
          <w:szCs w:val="28"/>
          <w:lang w:eastAsia="zh-CN"/>
        </w:rPr>
        <w:t>天未搬离园区的，每逾期一天，乙方按总房款</w:t>
      </w:r>
      <w:r>
        <w:rPr>
          <w:color w:val="auto"/>
          <w:spacing w:val="12"/>
          <w:sz w:val="28"/>
          <w:szCs w:val="28"/>
          <w:lang w:eastAsia="zh-CN"/>
        </w:rPr>
        <w:t>0.05%</w:t>
      </w:r>
      <w:r>
        <w:rPr>
          <w:rFonts w:hint="eastAsia"/>
          <w:color w:val="auto"/>
          <w:spacing w:val="12"/>
          <w:sz w:val="28"/>
          <w:szCs w:val="28"/>
          <w:lang w:eastAsia="zh-CN"/>
        </w:rPr>
        <w:t>向甲方支付违约金。</w:t>
      </w:r>
    </w:p>
    <w:p w14:paraId="0607856F">
      <w:pPr>
        <w:pStyle w:val="3"/>
        <w:numPr>
          <w:ilvl w:val="0"/>
          <w:numId w:val="4"/>
        </w:numPr>
        <w:spacing w:line="360" w:lineRule="auto"/>
        <w:ind w:firstLine="608" w:firstLineChars="200"/>
        <w:rPr>
          <w:rFonts w:hint="eastAsia"/>
          <w:color w:val="auto"/>
          <w:spacing w:val="12"/>
          <w:sz w:val="28"/>
          <w:szCs w:val="28"/>
          <w:lang w:eastAsia="zh-CN"/>
        </w:rPr>
      </w:pPr>
      <w:r>
        <w:rPr>
          <w:rFonts w:hint="eastAsia"/>
          <w:color w:val="auto"/>
          <w:spacing w:val="12"/>
          <w:sz w:val="28"/>
          <w:szCs w:val="28"/>
          <w:lang w:eastAsia="zh-CN"/>
        </w:rPr>
        <w:t>如涉及乙方违约须退回产业用房的，待各方确认所属产业用房退回交接完毕后</w:t>
      </w:r>
      <w:r>
        <w:rPr>
          <w:color w:val="auto"/>
          <w:spacing w:val="12"/>
          <w:sz w:val="28"/>
          <w:szCs w:val="28"/>
          <w:lang w:eastAsia="zh-CN"/>
        </w:rPr>
        <w:t>30</w:t>
      </w:r>
      <w:r>
        <w:rPr>
          <w:rFonts w:hint="eastAsia"/>
          <w:color w:val="auto"/>
          <w:spacing w:val="12"/>
          <w:sz w:val="28"/>
          <w:szCs w:val="28"/>
          <w:lang w:eastAsia="zh-CN"/>
        </w:rPr>
        <w:t>个工作日内，由甲方</w:t>
      </w:r>
      <w:r>
        <w:rPr>
          <w:color w:val="auto"/>
          <w:spacing w:val="12"/>
          <w:sz w:val="28"/>
          <w:szCs w:val="28"/>
          <w:lang w:eastAsia="zh-CN"/>
        </w:rPr>
        <w:t>协调开发商</w:t>
      </w:r>
      <w:r>
        <w:rPr>
          <w:rFonts w:hint="eastAsia"/>
          <w:color w:val="auto"/>
          <w:spacing w:val="12"/>
          <w:sz w:val="28"/>
          <w:szCs w:val="28"/>
          <w:lang w:eastAsia="zh-CN"/>
        </w:rPr>
        <w:t>将扣除相应违约金以及由于乙方不符合本协议税收要求等违约行为给甲方及开发商造成的直接损失、间接损失、罚款、第三人索赔为主张权利所支出的相关费用（包括但不限于诉讼费、财产保全费、律师费、差旅费、调查费等）、其他款项（涉及转让的相关税费、折旧费等）后的剩余产业用房购置款无息退还给乙方。</w:t>
      </w:r>
    </w:p>
    <w:p w14:paraId="7F3708AC">
      <w:pPr>
        <w:spacing w:line="360" w:lineRule="auto"/>
        <w:ind w:firstLine="588" w:firstLineChars="200"/>
        <w:outlineLvl w:val="1"/>
        <w:rPr>
          <w:rFonts w:hint="eastAsia" w:ascii="仿宋" w:hAnsi="仿宋" w:eastAsia="仿宋" w:cs="仿宋"/>
          <w:color w:val="auto"/>
          <w:sz w:val="28"/>
          <w:szCs w:val="28"/>
          <w:lang w:eastAsia="zh-CN"/>
        </w:rPr>
      </w:pPr>
      <w:r>
        <w:rPr>
          <w:rFonts w:hint="eastAsia" w:ascii="仿宋" w:hAnsi="仿宋" w:eastAsia="仿宋" w:cs="仿宋"/>
          <w:color w:val="auto"/>
          <w:spacing w:val="7"/>
          <w:sz w:val="28"/>
          <w:szCs w:val="28"/>
          <w:lang w:eastAsia="zh-CN"/>
        </w:rPr>
        <w:t>六、争议解决方式</w:t>
      </w:r>
    </w:p>
    <w:p w14:paraId="7A664F27">
      <w:pPr>
        <w:pStyle w:val="3"/>
        <w:spacing w:line="360" w:lineRule="auto"/>
        <w:ind w:firstLine="608" w:firstLineChars="200"/>
        <w:rPr>
          <w:rFonts w:hint="eastAsia"/>
          <w:color w:val="auto"/>
          <w:sz w:val="28"/>
          <w:szCs w:val="28"/>
          <w:lang w:eastAsia="zh-CN"/>
        </w:rPr>
      </w:pPr>
      <w:r>
        <w:rPr>
          <w:rFonts w:hint="eastAsia"/>
          <w:color w:val="auto"/>
          <w:spacing w:val="12"/>
          <w:sz w:val="28"/>
          <w:szCs w:val="28"/>
          <w:lang w:eastAsia="zh-CN"/>
        </w:rPr>
        <w:t>凡因本协议书引起的任何争议，由各方协商解决，若</w:t>
      </w:r>
      <w:r>
        <w:rPr>
          <w:rFonts w:hint="eastAsia"/>
          <w:color w:val="auto"/>
          <w:spacing w:val="11"/>
          <w:sz w:val="28"/>
          <w:szCs w:val="28"/>
          <w:lang w:eastAsia="zh-CN"/>
        </w:rPr>
        <w:t>协商</w:t>
      </w:r>
      <w:r>
        <w:rPr>
          <w:rFonts w:hint="eastAsia"/>
          <w:color w:val="auto"/>
          <w:spacing w:val="4"/>
          <w:sz w:val="28"/>
          <w:szCs w:val="28"/>
          <w:lang w:eastAsia="zh-CN"/>
        </w:rPr>
        <w:t>不成的，依法向项目所在地人民法院起诉。</w:t>
      </w:r>
    </w:p>
    <w:p w14:paraId="1D4E29FF">
      <w:pPr>
        <w:spacing w:line="360" w:lineRule="auto"/>
        <w:ind w:firstLine="584" w:firstLineChars="200"/>
        <w:outlineLvl w:val="1"/>
        <w:rPr>
          <w:rFonts w:hint="eastAsia" w:ascii="仿宋" w:hAnsi="仿宋" w:eastAsia="仿宋" w:cs="仿宋"/>
          <w:color w:val="auto"/>
          <w:sz w:val="28"/>
          <w:szCs w:val="28"/>
          <w:lang w:eastAsia="zh-CN"/>
        </w:rPr>
      </w:pPr>
      <w:r>
        <w:rPr>
          <w:rFonts w:hint="eastAsia" w:ascii="仿宋" w:hAnsi="仿宋" w:eastAsia="仿宋" w:cs="仿宋"/>
          <w:color w:val="auto"/>
          <w:spacing w:val="6"/>
          <w:sz w:val="28"/>
          <w:szCs w:val="28"/>
          <w:lang w:eastAsia="zh-CN"/>
        </w:rPr>
        <w:t>七、其他</w:t>
      </w:r>
    </w:p>
    <w:p w14:paraId="290089F7">
      <w:pPr>
        <w:pStyle w:val="3"/>
        <w:spacing w:line="360" w:lineRule="auto"/>
        <w:ind w:firstLine="576" w:firstLineChars="200"/>
        <w:outlineLvl w:val="2"/>
        <w:rPr>
          <w:rFonts w:hint="eastAsia"/>
          <w:color w:val="auto"/>
          <w:sz w:val="28"/>
          <w:szCs w:val="28"/>
          <w:lang w:eastAsia="zh-CN"/>
        </w:rPr>
      </w:pPr>
      <w:r>
        <w:rPr>
          <w:rFonts w:hint="eastAsia"/>
          <w:color w:val="auto"/>
          <w:spacing w:val="4"/>
          <w:sz w:val="28"/>
          <w:szCs w:val="28"/>
          <w:lang w:eastAsia="zh-CN"/>
        </w:rPr>
        <w:t>1、本协议书一式四份，各方各执</w:t>
      </w:r>
      <w:r>
        <w:rPr>
          <w:rFonts w:hint="eastAsia"/>
          <w:color w:val="auto"/>
          <w:spacing w:val="-16"/>
          <w:sz w:val="28"/>
          <w:szCs w:val="28"/>
          <w:lang w:eastAsia="zh-CN"/>
        </w:rPr>
        <w:t>一份，</w:t>
      </w:r>
      <w:r>
        <w:rPr>
          <w:rFonts w:hint="eastAsia"/>
          <w:color w:val="auto"/>
          <w:spacing w:val="4"/>
          <w:sz w:val="28"/>
          <w:szCs w:val="28"/>
          <w:lang w:eastAsia="zh-CN"/>
        </w:rPr>
        <w:t>具有同等法律效力</w:t>
      </w:r>
      <w:r>
        <w:rPr>
          <w:rFonts w:hint="eastAsia"/>
          <w:color w:val="auto"/>
          <w:spacing w:val="-16"/>
          <w:sz w:val="28"/>
          <w:szCs w:val="28"/>
          <w:lang w:eastAsia="zh-CN"/>
        </w:rPr>
        <w:t>。</w:t>
      </w:r>
    </w:p>
    <w:p w14:paraId="7F6E4C6C">
      <w:pPr>
        <w:pStyle w:val="3"/>
        <w:spacing w:line="360" w:lineRule="auto"/>
        <w:ind w:firstLine="580" w:firstLineChars="200"/>
        <w:rPr>
          <w:rFonts w:hint="eastAsia"/>
          <w:color w:val="auto"/>
          <w:sz w:val="28"/>
          <w:szCs w:val="28"/>
          <w:lang w:eastAsia="zh-CN"/>
        </w:rPr>
      </w:pPr>
      <w:r>
        <w:rPr>
          <w:rFonts w:hint="eastAsia"/>
          <w:color w:val="auto"/>
          <w:spacing w:val="5"/>
          <w:sz w:val="28"/>
          <w:szCs w:val="28"/>
          <w:lang w:eastAsia="zh-CN"/>
        </w:rPr>
        <w:t>2、本协议书自各方签署之日起生效。</w:t>
      </w:r>
    </w:p>
    <w:p w14:paraId="2F545398">
      <w:pPr>
        <w:pStyle w:val="3"/>
        <w:spacing w:line="360" w:lineRule="auto"/>
        <w:ind w:firstLine="572" w:firstLineChars="200"/>
        <w:rPr>
          <w:rFonts w:hint="eastAsia"/>
          <w:color w:val="auto"/>
          <w:sz w:val="28"/>
          <w:szCs w:val="28"/>
          <w:lang w:eastAsia="zh-CN"/>
        </w:rPr>
      </w:pPr>
      <w:r>
        <w:rPr>
          <w:rFonts w:hint="eastAsia"/>
          <w:color w:val="auto"/>
          <w:spacing w:val="3"/>
          <w:sz w:val="28"/>
          <w:szCs w:val="28"/>
          <w:lang w:eastAsia="zh-CN"/>
        </w:rPr>
        <w:t>3、本协议书其他未尽事宜，各方通过友好协商解决，可另</w:t>
      </w:r>
      <w:r>
        <w:rPr>
          <w:rFonts w:hint="eastAsia"/>
          <w:color w:val="auto"/>
          <w:spacing w:val="5"/>
          <w:sz w:val="28"/>
          <w:szCs w:val="28"/>
          <w:lang w:eastAsia="zh-CN"/>
        </w:rPr>
        <w:t>行签订补充协议，补充协议与本协议书具有同等的法律效力。</w:t>
      </w:r>
    </w:p>
    <w:p w14:paraId="7C260356">
      <w:pPr>
        <w:pStyle w:val="3"/>
        <w:spacing w:line="360" w:lineRule="auto"/>
        <w:ind w:firstLine="568" w:firstLineChars="200"/>
        <w:rPr>
          <w:rFonts w:hint="eastAsia"/>
          <w:color w:val="auto"/>
          <w:sz w:val="28"/>
          <w:szCs w:val="28"/>
          <w:lang w:eastAsia="zh-CN"/>
        </w:rPr>
      </w:pPr>
      <w:r>
        <w:rPr>
          <w:rFonts w:hint="eastAsia"/>
          <w:color w:val="auto"/>
          <w:spacing w:val="2"/>
          <w:sz w:val="28"/>
          <w:szCs w:val="28"/>
          <w:lang w:eastAsia="zh-CN"/>
        </w:rPr>
        <w:t>八、本协议系各方于东莞</w:t>
      </w:r>
      <w:r>
        <w:rPr>
          <w:rFonts w:hint="eastAsia"/>
          <w:color w:val="auto"/>
          <w:spacing w:val="-11"/>
          <w:sz w:val="28"/>
          <w:szCs w:val="28"/>
          <w:lang w:eastAsia="zh-CN"/>
        </w:rPr>
        <w:t>市</w:t>
      </w:r>
      <w:r>
        <w:rPr>
          <w:rFonts w:hint="eastAsia"/>
          <w:color w:val="auto"/>
          <w:spacing w:val="-11"/>
          <w:sz w:val="28"/>
          <w:szCs w:val="28"/>
          <w:u w:val="single"/>
          <w:lang w:eastAsia="zh-CN"/>
        </w:rPr>
        <w:t>大岭山镇</w:t>
      </w:r>
      <w:r>
        <w:rPr>
          <w:rFonts w:hint="eastAsia"/>
          <w:color w:val="auto"/>
          <w:spacing w:val="-11"/>
          <w:sz w:val="28"/>
          <w:szCs w:val="28"/>
          <w:lang w:eastAsia="zh-CN"/>
        </w:rPr>
        <w:t>签订。</w:t>
      </w:r>
    </w:p>
    <w:p w14:paraId="138EB60C">
      <w:pPr>
        <w:pStyle w:val="3"/>
        <w:spacing w:line="360" w:lineRule="auto"/>
        <w:rPr>
          <w:rFonts w:hint="eastAsia"/>
          <w:color w:val="auto"/>
          <w:lang w:eastAsia="zh-CN"/>
        </w:rPr>
      </w:pPr>
    </w:p>
    <w:p w14:paraId="256B505B">
      <w:pPr>
        <w:pStyle w:val="3"/>
        <w:spacing w:line="360" w:lineRule="auto"/>
        <w:rPr>
          <w:rFonts w:hint="eastAsia"/>
          <w:color w:val="auto"/>
          <w:lang w:eastAsia="zh-CN"/>
        </w:rPr>
      </w:pPr>
    </w:p>
    <w:p w14:paraId="2911D752">
      <w:pPr>
        <w:spacing w:line="360" w:lineRule="auto"/>
        <w:ind w:firstLine="560" w:firstLineChars="200"/>
        <w:rPr>
          <w:rFonts w:hint="eastAsia" w:ascii="仿宋" w:hAnsi="仿宋" w:eastAsia="仿宋"/>
          <w:snapToGrid/>
          <w:color w:val="auto"/>
          <w:sz w:val="28"/>
          <w:szCs w:val="28"/>
          <w:lang w:eastAsia="zh-CN"/>
        </w:rPr>
        <w:sectPr>
          <w:pgSz w:w="11907" w:h="16839"/>
          <w:pgMar w:top="1417" w:right="1587" w:bottom="1417" w:left="1587" w:header="0" w:footer="0" w:gutter="0"/>
          <w:cols w:space="720" w:num="1"/>
        </w:sectPr>
      </w:pPr>
    </w:p>
    <w:p w14:paraId="22098318">
      <w:pPr>
        <w:spacing w:line="360" w:lineRule="auto"/>
        <w:ind w:firstLine="560" w:firstLineChars="200"/>
        <w:rPr>
          <w:rFonts w:hint="eastAsia" w:ascii="仿宋" w:hAnsi="仿宋" w:eastAsia="仿宋"/>
          <w:snapToGrid/>
          <w:color w:val="auto"/>
          <w:sz w:val="28"/>
          <w:szCs w:val="28"/>
          <w:lang w:eastAsia="zh-CN"/>
        </w:rPr>
      </w:pPr>
    </w:p>
    <w:p w14:paraId="3E72DF26">
      <w:pPr>
        <w:kinsoku/>
        <w:autoSpaceDE/>
        <w:autoSpaceDN/>
        <w:adjustRightInd/>
        <w:snapToGrid/>
        <w:spacing w:line="360" w:lineRule="auto"/>
        <w:textAlignment w:val="auto"/>
        <w:rPr>
          <w:rFonts w:hint="eastAsia" w:ascii="仿宋" w:hAnsi="仿宋" w:eastAsia="仿宋" w:cs="宋体"/>
          <w:snapToGrid/>
          <w:color w:val="auto"/>
          <w:sz w:val="28"/>
          <w:szCs w:val="28"/>
          <w:lang w:eastAsia="zh-CN"/>
        </w:rPr>
        <w:sectPr>
          <w:type w:val="continuous"/>
          <w:pgSz w:w="11907" w:h="16839"/>
          <w:pgMar w:top="1417" w:right="1587" w:bottom="1417" w:left="1587" w:header="0" w:footer="0" w:gutter="0"/>
          <w:cols w:space="720" w:num="1"/>
        </w:sectPr>
      </w:pPr>
    </w:p>
    <w:p w14:paraId="066E99CA">
      <w:pPr>
        <w:spacing w:line="360" w:lineRule="auto"/>
        <w:ind w:firstLine="560" w:firstLineChars="200"/>
        <w:rPr>
          <w:rFonts w:hint="eastAsia" w:ascii="仿宋" w:hAnsi="仿宋" w:eastAsia="仿宋"/>
          <w:snapToGrid/>
          <w:color w:val="auto"/>
          <w:sz w:val="28"/>
          <w:szCs w:val="28"/>
          <w:lang w:eastAsia="zh-CN"/>
        </w:rPr>
      </w:pPr>
      <w:r>
        <w:rPr>
          <w:rFonts w:hint="eastAsia" w:ascii="仿宋" w:hAnsi="仿宋" w:eastAsia="仿宋"/>
          <w:snapToGrid/>
          <w:color w:val="auto"/>
          <w:sz w:val="28"/>
          <w:szCs w:val="28"/>
          <w:lang w:eastAsia="zh-CN"/>
        </w:rPr>
        <w:t>（以下无正文，为协议签字页。）</w:t>
      </w:r>
    </w:p>
    <w:p w14:paraId="486848DA">
      <w:pPr>
        <w:spacing w:line="360" w:lineRule="auto"/>
        <w:ind w:firstLine="560" w:firstLineChars="200"/>
        <w:rPr>
          <w:rFonts w:hint="eastAsia" w:ascii="仿宋" w:hAnsi="仿宋" w:eastAsia="仿宋"/>
          <w:snapToGrid/>
          <w:color w:val="auto"/>
          <w:sz w:val="28"/>
          <w:szCs w:val="28"/>
          <w:lang w:eastAsia="zh-CN"/>
        </w:rPr>
      </w:pPr>
    </w:p>
    <w:p w14:paraId="772BEAFE">
      <w:pPr>
        <w:spacing w:line="360" w:lineRule="auto"/>
        <w:ind w:firstLine="560" w:firstLineChars="200"/>
        <w:rPr>
          <w:rFonts w:hint="eastAsia" w:ascii="仿宋" w:hAnsi="仿宋" w:eastAsia="仿宋"/>
          <w:snapToGrid/>
          <w:color w:val="auto"/>
          <w:sz w:val="28"/>
          <w:szCs w:val="28"/>
          <w:lang w:eastAsia="zh-CN"/>
        </w:rPr>
      </w:pPr>
    </w:p>
    <w:p w14:paraId="15CC0742">
      <w:pPr>
        <w:spacing w:line="360" w:lineRule="auto"/>
        <w:ind w:firstLine="560" w:firstLineChars="200"/>
        <w:rPr>
          <w:rFonts w:hint="eastAsia" w:ascii="仿宋" w:hAnsi="仿宋" w:eastAsia="仿宋"/>
          <w:snapToGrid/>
          <w:color w:val="auto"/>
          <w:sz w:val="28"/>
          <w:szCs w:val="28"/>
          <w:lang w:eastAsia="zh-CN"/>
        </w:rPr>
      </w:pPr>
    </w:p>
    <w:p w14:paraId="03CE3973">
      <w:pPr>
        <w:spacing w:line="360" w:lineRule="auto"/>
        <w:ind w:firstLine="584" w:firstLineChars="200"/>
        <w:rPr>
          <w:rFonts w:hint="eastAsia" w:ascii="仿宋" w:hAnsi="仿宋" w:eastAsia="仿宋"/>
          <w:snapToGrid/>
          <w:color w:val="auto"/>
          <w:sz w:val="28"/>
          <w:szCs w:val="28"/>
          <w:lang w:eastAsia="zh-CN"/>
        </w:rPr>
      </w:pPr>
      <w:r>
        <w:rPr>
          <w:rFonts w:hint="eastAsia" w:ascii="仿宋" w:hAnsi="仿宋" w:eastAsia="仿宋"/>
          <w:snapToGrid/>
          <w:color w:val="auto"/>
          <w:spacing w:val="6"/>
          <w:sz w:val="28"/>
          <w:szCs w:val="28"/>
          <w:lang w:eastAsia="zh-CN"/>
        </w:rPr>
        <w:t>甲方（盖章）：                     乙方</w:t>
      </w:r>
      <w:r>
        <w:rPr>
          <w:rFonts w:hint="eastAsia" w:ascii="仿宋" w:hAnsi="仿宋" w:eastAsia="仿宋"/>
          <w:snapToGrid/>
          <w:color w:val="auto"/>
          <w:spacing w:val="-1"/>
          <w:sz w:val="28"/>
          <w:szCs w:val="28"/>
          <w:lang w:eastAsia="zh-CN"/>
        </w:rPr>
        <w:t>（盖章）：</w:t>
      </w:r>
    </w:p>
    <w:p w14:paraId="1183BFCE">
      <w:pPr>
        <w:spacing w:line="360" w:lineRule="auto"/>
        <w:ind w:firstLine="556" w:firstLineChars="200"/>
        <w:rPr>
          <w:rFonts w:hint="eastAsia" w:ascii="仿宋" w:hAnsi="仿宋" w:eastAsia="仿宋" w:cs="宋体"/>
          <w:snapToGrid/>
          <w:color w:val="auto"/>
          <w:spacing w:val="-1"/>
          <w:sz w:val="28"/>
          <w:szCs w:val="28"/>
          <w:lang w:eastAsia="zh-CN"/>
        </w:rPr>
      </w:pPr>
    </w:p>
    <w:p w14:paraId="02629880">
      <w:pPr>
        <w:spacing w:line="360" w:lineRule="auto"/>
        <w:ind w:firstLine="556" w:firstLineChars="200"/>
        <w:rPr>
          <w:rFonts w:hint="eastAsia" w:ascii="仿宋" w:hAnsi="仿宋" w:eastAsia="仿宋" w:cs="宋体"/>
          <w:snapToGrid/>
          <w:color w:val="auto"/>
          <w:spacing w:val="-1"/>
          <w:sz w:val="28"/>
          <w:szCs w:val="28"/>
          <w:lang w:eastAsia="zh-CN"/>
        </w:rPr>
      </w:pPr>
    </w:p>
    <w:p w14:paraId="0EEEB106">
      <w:pPr>
        <w:spacing w:line="360" w:lineRule="auto"/>
        <w:ind w:firstLine="584" w:firstLineChars="200"/>
        <w:rPr>
          <w:rFonts w:hint="eastAsia" w:ascii="仿宋" w:hAnsi="仿宋" w:eastAsia="仿宋" w:cs="宋体"/>
          <w:snapToGrid/>
          <w:color w:val="auto"/>
          <w:spacing w:val="6"/>
          <w:sz w:val="28"/>
          <w:szCs w:val="28"/>
          <w:lang w:eastAsia="zh-CN"/>
        </w:rPr>
      </w:pPr>
      <w:r>
        <w:rPr>
          <w:rFonts w:hint="eastAsia" w:ascii="仿宋" w:hAnsi="仿宋" w:eastAsia="仿宋" w:cs="宋体"/>
          <w:snapToGrid/>
          <w:color w:val="auto"/>
          <w:spacing w:val="6"/>
          <w:sz w:val="28"/>
          <w:szCs w:val="28"/>
          <w:lang w:eastAsia="zh-CN"/>
        </w:rPr>
        <w:t>代表（签字</w:t>
      </w:r>
      <w:r>
        <w:rPr>
          <w:rFonts w:hint="eastAsia" w:ascii="仿宋" w:hAnsi="仿宋" w:eastAsia="仿宋" w:cs="宋体"/>
          <w:snapToGrid/>
          <w:color w:val="auto"/>
          <w:spacing w:val="-72"/>
          <w:sz w:val="28"/>
          <w:szCs w:val="28"/>
          <w:lang w:eastAsia="zh-CN"/>
        </w:rPr>
        <w:t xml:space="preserve">）：                                             </w:t>
      </w:r>
      <w:r>
        <w:rPr>
          <w:rFonts w:hint="eastAsia" w:ascii="仿宋" w:hAnsi="仿宋" w:eastAsia="仿宋" w:cs="宋体"/>
          <w:snapToGrid/>
          <w:color w:val="auto"/>
          <w:spacing w:val="6"/>
          <w:sz w:val="28"/>
          <w:szCs w:val="28"/>
          <w:lang w:eastAsia="zh-CN"/>
        </w:rPr>
        <w:t xml:space="preserve"> 代表（签字）：</w:t>
      </w:r>
    </w:p>
    <w:p w14:paraId="191EAFE4">
      <w:pPr>
        <w:pStyle w:val="2"/>
        <w:numPr>
          <w:ilvl w:val="0"/>
          <w:numId w:val="0"/>
        </w:numPr>
        <w:rPr>
          <w:rFonts w:eastAsiaTheme="minorEastAsia"/>
          <w:color w:val="auto"/>
          <w:lang w:eastAsia="zh-CN"/>
        </w:rPr>
      </w:pPr>
    </w:p>
    <w:p w14:paraId="268504F1">
      <w:pPr>
        <w:rPr>
          <w:rFonts w:eastAsiaTheme="minorEastAsia"/>
          <w:color w:val="auto"/>
          <w:lang w:eastAsia="zh-CN"/>
        </w:rPr>
      </w:pPr>
    </w:p>
    <w:p w14:paraId="118CC8A4">
      <w:pPr>
        <w:pStyle w:val="2"/>
        <w:numPr>
          <w:ilvl w:val="0"/>
          <w:numId w:val="0"/>
        </w:numPr>
        <w:rPr>
          <w:rFonts w:eastAsiaTheme="minorEastAsia"/>
          <w:color w:val="auto"/>
          <w:lang w:eastAsia="zh-CN"/>
        </w:rPr>
      </w:pPr>
    </w:p>
    <w:p w14:paraId="52534E9D">
      <w:pPr>
        <w:rPr>
          <w:rFonts w:eastAsiaTheme="minorEastAsia"/>
          <w:color w:val="auto"/>
          <w:lang w:eastAsia="zh-CN"/>
        </w:rPr>
      </w:pPr>
    </w:p>
    <w:p w14:paraId="156BDA92">
      <w:pPr>
        <w:spacing w:line="360" w:lineRule="auto"/>
        <w:ind w:firstLine="560" w:firstLineChars="200"/>
        <w:rPr>
          <w:rFonts w:hint="eastAsia" w:ascii="仿宋" w:hAnsi="仿宋" w:eastAsia="仿宋"/>
          <w:snapToGrid/>
          <w:color w:val="auto"/>
          <w:sz w:val="28"/>
          <w:szCs w:val="28"/>
          <w:lang w:eastAsia="zh-CN"/>
        </w:rPr>
      </w:pPr>
      <w:r>
        <w:rPr>
          <w:rFonts w:hint="eastAsia" w:ascii="仿宋" w:hAnsi="仿宋" w:eastAsia="仿宋"/>
          <w:snapToGrid/>
          <w:color w:val="auto"/>
          <w:sz w:val="28"/>
          <w:szCs w:val="28"/>
          <w:lang w:eastAsia="zh-CN"/>
        </w:rPr>
        <w:t>丙方（</w:t>
      </w:r>
      <w:r>
        <w:rPr>
          <w:rFonts w:hint="eastAsia" w:ascii="仿宋" w:hAnsi="仿宋" w:eastAsia="仿宋"/>
          <w:snapToGrid/>
          <w:color w:val="auto"/>
          <w:sz w:val="28"/>
          <w:szCs w:val="28"/>
          <w:lang w:val="en-US" w:eastAsia="zh-CN"/>
        </w:rPr>
        <w:t>见证方</w:t>
      </w:r>
      <w:r>
        <w:rPr>
          <w:rFonts w:hint="eastAsia" w:ascii="仿宋" w:hAnsi="仿宋" w:eastAsia="仿宋"/>
          <w:snapToGrid/>
          <w:color w:val="auto"/>
          <w:sz w:val="28"/>
          <w:szCs w:val="28"/>
          <w:lang w:eastAsia="zh-CN"/>
        </w:rPr>
        <w:t>）（盖章）：            丁方（</w:t>
      </w:r>
      <w:r>
        <w:rPr>
          <w:rFonts w:hint="eastAsia" w:ascii="仿宋" w:hAnsi="仿宋" w:eastAsia="仿宋"/>
          <w:snapToGrid/>
          <w:color w:val="auto"/>
          <w:sz w:val="28"/>
          <w:szCs w:val="28"/>
          <w:lang w:val="en-US" w:eastAsia="zh-CN"/>
        </w:rPr>
        <w:t>见证方</w:t>
      </w:r>
      <w:r>
        <w:rPr>
          <w:rFonts w:hint="eastAsia" w:ascii="仿宋" w:hAnsi="仿宋" w:eastAsia="仿宋"/>
          <w:snapToGrid/>
          <w:color w:val="auto"/>
          <w:sz w:val="28"/>
          <w:szCs w:val="28"/>
          <w:lang w:eastAsia="zh-CN"/>
        </w:rPr>
        <w:t>）（盖章）：</w:t>
      </w:r>
    </w:p>
    <w:p w14:paraId="0D0B1111">
      <w:pPr>
        <w:spacing w:line="360" w:lineRule="auto"/>
        <w:ind w:firstLine="560" w:firstLineChars="200"/>
        <w:rPr>
          <w:rFonts w:hint="eastAsia" w:ascii="仿宋" w:hAnsi="仿宋" w:eastAsia="仿宋" w:cs="宋体"/>
          <w:snapToGrid/>
          <w:color w:val="auto"/>
          <w:sz w:val="28"/>
          <w:szCs w:val="28"/>
          <w:lang w:eastAsia="zh-CN"/>
        </w:rPr>
      </w:pPr>
    </w:p>
    <w:p w14:paraId="6B3026B8">
      <w:pPr>
        <w:spacing w:line="360" w:lineRule="auto"/>
        <w:ind w:firstLine="560" w:firstLineChars="200"/>
        <w:rPr>
          <w:rFonts w:hint="eastAsia" w:ascii="仿宋" w:hAnsi="仿宋" w:eastAsia="仿宋"/>
          <w:snapToGrid/>
          <w:color w:val="auto"/>
          <w:sz w:val="28"/>
          <w:szCs w:val="28"/>
          <w:lang w:eastAsia="zh-CN"/>
        </w:rPr>
      </w:pPr>
    </w:p>
    <w:p w14:paraId="16E0DC75">
      <w:pPr>
        <w:spacing w:line="360" w:lineRule="auto"/>
        <w:ind w:firstLine="560" w:firstLineChars="200"/>
        <w:rPr>
          <w:rFonts w:hint="eastAsia" w:ascii="仿宋" w:hAnsi="仿宋" w:eastAsia="仿宋"/>
          <w:snapToGrid/>
          <w:color w:val="auto"/>
          <w:sz w:val="28"/>
          <w:szCs w:val="28"/>
          <w:lang w:eastAsia="zh-CN"/>
        </w:rPr>
      </w:pPr>
      <w:r>
        <w:rPr>
          <w:rFonts w:hint="eastAsia" w:ascii="仿宋" w:hAnsi="仿宋" w:eastAsia="仿宋"/>
          <w:snapToGrid/>
          <w:color w:val="auto"/>
          <w:sz w:val="28"/>
          <w:szCs w:val="28"/>
          <w:lang w:eastAsia="zh-CN"/>
        </w:rPr>
        <w:t>代表（签字）：                       代表（签字）：</w:t>
      </w:r>
    </w:p>
    <w:p w14:paraId="224CDA6B">
      <w:pPr>
        <w:spacing w:line="360" w:lineRule="auto"/>
        <w:rPr>
          <w:rFonts w:hint="eastAsia" w:ascii="仿宋" w:hAnsi="仿宋" w:eastAsia="仿宋"/>
          <w:snapToGrid/>
          <w:color w:val="auto"/>
          <w:sz w:val="28"/>
          <w:szCs w:val="28"/>
          <w:lang w:eastAsia="zh-CN"/>
        </w:rPr>
      </w:pPr>
    </w:p>
    <w:p w14:paraId="2DF5C7E0">
      <w:pPr>
        <w:pStyle w:val="2"/>
        <w:numPr>
          <w:ilvl w:val="0"/>
          <w:numId w:val="0"/>
        </w:numPr>
        <w:rPr>
          <w:rFonts w:eastAsiaTheme="minorEastAsia"/>
          <w:color w:val="auto"/>
          <w:lang w:eastAsia="zh-CN"/>
        </w:rPr>
      </w:pPr>
    </w:p>
    <w:p w14:paraId="620FB6F0">
      <w:pPr>
        <w:rPr>
          <w:rFonts w:eastAsiaTheme="minorEastAsia"/>
          <w:color w:val="auto"/>
          <w:lang w:eastAsia="zh-CN"/>
        </w:rPr>
      </w:pPr>
    </w:p>
    <w:p w14:paraId="66EAA05E">
      <w:pPr>
        <w:wordWrap w:val="0"/>
        <w:spacing w:line="360" w:lineRule="auto"/>
        <w:jc w:val="right"/>
      </w:pPr>
      <w:r>
        <w:rPr>
          <w:rFonts w:hint="eastAsia" w:ascii="仿宋" w:hAnsi="仿宋" w:eastAsia="仿宋" w:cs="宋体"/>
          <w:snapToGrid/>
          <w:color w:val="auto"/>
          <w:spacing w:val="-9"/>
          <w:sz w:val="28"/>
          <w:szCs w:val="28"/>
          <w:lang w:eastAsia="zh-CN"/>
        </w:rPr>
        <w:t>年</w:t>
      </w:r>
      <w:r>
        <w:rPr>
          <w:rFonts w:hint="eastAsia" w:ascii="仿宋" w:hAnsi="仿宋" w:eastAsia="仿宋" w:cs="宋体"/>
          <w:snapToGrid/>
          <w:color w:val="auto"/>
          <w:spacing w:val="18"/>
          <w:sz w:val="28"/>
          <w:szCs w:val="28"/>
          <w:lang w:eastAsia="zh-CN"/>
        </w:rPr>
        <w:t xml:space="preserve">  </w:t>
      </w:r>
      <w:r>
        <w:rPr>
          <w:rFonts w:hint="eastAsia" w:ascii="仿宋" w:hAnsi="仿宋" w:eastAsia="仿宋" w:cs="宋体"/>
          <w:snapToGrid/>
          <w:color w:val="auto"/>
          <w:spacing w:val="-9"/>
          <w:sz w:val="28"/>
          <w:szCs w:val="28"/>
          <w:lang w:eastAsia="zh-CN"/>
        </w:rPr>
        <w:t>月</w:t>
      </w:r>
      <w:r>
        <w:rPr>
          <w:rFonts w:hint="eastAsia" w:ascii="仿宋" w:hAnsi="仿宋" w:eastAsia="仿宋" w:cs="宋体"/>
          <w:snapToGrid/>
          <w:color w:val="auto"/>
          <w:spacing w:val="41"/>
          <w:sz w:val="28"/>
          <w:szCs w:val="28"/>
          <w:lang w:eastAsia="zh-CN"/>
        </w:rPr>
        <w:t xml:space="preserve"> </w:t>
      </w:r>
      <w:r>
        <w:rPr>
          <w:rFonts w:hint="eastAsia" w:ascii="仿宋" w:hAnsi="仿宋" w:eastAsia="仿宋" w:cs="宋体"/>
          <w:snapToGrid/>
          <w:color w:val="auto"/>
          <w:spacing w:val="41"/>
          <w:sz w:val="28"/>
          <w:szCs w:val="28"/>
          <w:lang w:val="en-US" w:eastAsia="zh-CN"/>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0AEB2E"/>
    <w:multiLevelType w:val="singleLevel"/>
    <w:tmpl w:val="9F0AEB2E"/>
    <w:lvl w:ilvl="0" w:tentative="0">
      <w:start w:val="1"/>
      <w:numFmt w:val="chineseCounting"/>
      <w:suff w:val="nothing"/>
      <w:lvlText w:val="%1、"/>
      <w:lvlJc w:val="left"/>
      <w:rPr>
        <w:rFonts w:hint="eastAsia"/>
      </w:rPr>
    </w:lvl>
  </w:abstractNum>
  <w:abstractNum w:abstractNumId="1">
    <w:nsid w:val="FFFFFFFB"/>
    <w:multiLevelType w:val="multilevel"/>
    <w:tmpl w:val="FFFFFFFB"/>
    <w:lvl w:ilvl="0" w:tentative="0">
      <w:start w:val="1"/>
      <w:numFmt w:val="none"/>
      <w:suff w:val="nothing"/>
      <w:lvlText w:val=""/>
      <w:lvlJc w:val="left"/>
    </w:lvl>
    <w:lvl w:ilvl="1" w:tentative="0">
      <w:start w:val="0"/>
      <w:numFmt w:val="decimal"/>
      <w:lvlText w:val="%2"/>
      <w:legacy w:legacy="1" w:legacySpace="0" w:legacyIndent="0"/>
      <w:lvlJc w:val="left"/>
      <w:rPr>
        <w:rFonts w:hint="eastAsia" w:ascii="宋体" w:eastAsia="宋体"/>
      </w:rPr>
    </w:lvl>
    <w:lvl w:ilvl="2" w:tentative="0">
      <w:start w:val="0"/>
      <w:numFmt w:val="decimal"/>
      <w:pStyle w:val="2"/>
      <w:lvlText w:val="%3"/>
      <w:legacy w:legacy="1" w:legacySpace="0" w:legacyIndent="0"/>
      <w:lvlJc w:val="left"/>
      <w:rPr>
        <w:rFonts w:hint="eastAsia" w:ascii="宋体" w:eastAsia="宋体"/>
      </w:rPr>
    </w:lvl>
    <w:lvl w:ilvl="3" w:tentative="0">
      <w:start w:val="0"/>
      <w:numFmt w:val="decimal"/>
      <w:lvlText w:val="%4"/>
      <w:legacy w:legacy="1" w:legacySpace="0" w:legacyIndent="0"/>
      <w:lvlJc w:val="left"/>
      <w:rPr>
        <w:rFonts w:hint="eastAsia" w:ascii="宋体" w:eastAsia="宋体"/>
      </w:rPr>
    </w:lvl>
    <w:lvl w:ilvl="4" w:tentative="0">
      <w:start w:val="0"/>
      <w:numFmt w:val="decimal"/>
      <w:lvlText w:val="%5"/>
      <w:legacy w:legacy="1" w:legacySpace="0" w:legacyIndent="0"/>
      <w:lvlJc w:val="left"/>
      <w:rPr>
        <w:rFonts w:hint="eastAsia" w:ascii="宋体" w:eastAsia="宋体"/>
      </w:rPr>
    </w:lvl>
    <w:lvl w:ilvl="5" w:tentative="0">
      <w:start w:val="0"/>
      <w:numFmt w:val="decimal"/>
      <w:lvlText w:val="%6"/>
      <w:legacy w:legacy="1" w:legacySpace="0" w:legacyIndent="0"/>
      <w:lvlJc w:val="left"/>
      <w:rPr>
        <w:rFonts w:hint="eastAsia" w:ascii="宋体" w:eastAsia="宋体"/>
      </w:rPr>
    </w:lvl>
    <w:lvl w:ilvl="6" w:tentative="0">
      <w:start w:val="0"/>
      <w:numFmt w:val="decimal"/>
      <w:lvlText w:val="%7"/>
      <w:legacy w:legacy="1" w:legacySpace="0" w:legacyIndent="0"/>
      <w:lvlJc w:val="left"/>
      <w:rPr>
        <w:rFonts w:hint="eastAsia" w:ascii="宋体" w:eastAsia="宋体"/>
      </w:rPr>
    </w:lvl>
    <w:lvl w:ilvl="7" w:tentative="0">
      <w:start w:val="0"/>
      <w:numFmt w:val="decimal"/>
      <w:lvlText w:val="%8"/>
      <w:legacy w:legacy="1" w:legacySpace="0" w:legacyIndent="0"/>
      <w:lvlJc w:val="left"/>
      <w:rPr>
        <w:rFonts w:hint="eastAsia" w:ascii="宋体" w:eastAsia="宋体"/>
      </w:rPr>
    </w:lvl>
    <w:lvl w:ilvl="8" w:tentative="0">
      <w:start w:val="0"/>
      <w:numFmt w:val="decimal"/>
      <w:lvlText w:val="%9"/>
      <w:legacy w:legacy="1" w:legacySpace="0" w:legacyIndent="0"/>
      <w:lvlJc w:val="left"/>
      <w:rPr>
        <w:rFonts w:hint="eastAsia" w:ascii="宋体" w:eastAsia="宋体"/>
      </w:rPr>
    </w:lvl>
  </w:abstractNum>
  <w:abstractNum w:abstractNumId="2">
    <w:nsid w:val="41483D25"/>
    <w:multiLevelType w:val="singleLevel"/>
    <w:tmpl w:val="41483D25"/>
    <w:lvl w:ilvl="0" w:tentative="0">
      <w:start w:val="3"/>
      <w:numFmt w:val="chineseCounting"/>
      <w:suff w:val="nothing"/>
      <w:lvlText w:val="（%1）"/>
      <w:lvlJc w:val="left"/>
      <w:rPr>
        <w:rFonts w:hint="eastAsia"/>
      </w:rPr>
    </w:lvl>
  </w:abstractNum>
  <w:abstractNum w:abstractNumId="3">
    <w:nsid w:val="7391BB14"/>
    <w:multiLevelType w:val="singleLevel"/>
    <w:tmpl w:val="7391BB14"/>
    <w:lvl w:ilvl="0" w:tentative="0">
      <w:start w:val="1"/>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036137"/>
    <w:rsid w:val="73036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widowControl/>
      <w:numPr>
        <w:ilvl w:val="2"/>
        <w:numId w:val="1"/>
      </w:numPr>
      <w:adjustRightInd w:val="0"/>
      <w:spacing w:before="260" w:after="260" w:line="416" w:lineRule="atLeast"/>
      <w:textAlignment w:val="baseline"/>
      <w:outlineLvl w:val="2"/>
    </w:pPr>
    <w:rPr>
      <w:b/>
      <w:kern w:val="0"/>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2025-05-14T01:59:00Z</dcterms:created>
  <dc:creator>Tong</dc:creator>
  <cp:lastModifiedBy>Tong</cp:lastModifiedBy>
  <dcterms:modified xsi:type="dcterms:W3CDTF">2025-05-14T02:01:20Z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DFA0E56EDD1A4DCE8A7ED126A04106EF_11</vt:lpwstr>
  </property>
  <property fmtid="{D5CDD505-2E9C-101B-9397-08002B2CF9AE}" pid="4" name="KSOTemplateDocerSaveRecord">
    <vt:lpwstr>eyJoZGlkIjoiN2U2ODRhMTc2MWRjYWQ4NDYzMzIwYThjNTliY2NlZWQiLCJ1c2VySWQiOiI5NTY2NTI2In0=</vt:lpwstr>
  </property>
</Properties>
</file>