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D0E8">
      <w:pPr>
        <w:widowControl/>
        <w:snapToGrid w:val="0"/>
        <w:jc w:val="left"/>
        <w:rPr>
          <w:rFonts w:ascii="仿宋_GB2312" w:eastAsia="仿宋_GB2312"/>
          <w:sz w:val="28"/>
          <w:szCs w:val="28"/>
        </w:rPr>
      </w:pPr>
      <w:r>
        <w:rPr>
          <w:rFonts w:hint="eastAsia" w:ascii="仿宋_GB2312" w:eastAsia="仿宋_GB2312"/>
          <w:sz w:val="28"/>
          <w:szCs w:val="28"/>
        </w:rPr>
        <w:t>企(事业)单位编号：</w:t>
      </w:r>
      <w:r>
        <w:rPr>
          <w:rFonts w:hint="eastAsia" w:ascii="仿宋_GB2312" w:eastAsia="仿宋_GB2312"/>
          <w:sz w:val="28"/>
          <w:szCs w:val="28"/>
          <w:lang w:val="en-US" w:eastAsia="zh-CN"/>
        </w:rPr>
        <w:t>大京九集团</w:t>
      </w:r>
      <w:r>
        <w:rPr>
          <w:rFonts w:hint="eastAsia" w:ascii="仿宋_GB2312" w:eastAsia="仿宋_GB2312"/>
          <w:sz w:val="28"/>
          <w:szCs w:val="28"/>
        </w:rPr>
        <w:t>资交案　〔202</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u w:val="single"/>
          <w:lang w:val="en-US" w:eastAsia="zh-CN"/>
        </w:rPr>
        <w:t xml:space="preserve"> 06  </w:t>
      </w:r>
      <w:r>
        <w:rPr>
          <w:rFonts w:hint="eastAsia" w:ascii="仿宋_GB2312" w:eastAsia="仿宋_GB2312"/>
          <w:sz w:val="28"/>
          <w:szCs w:val="28"/>
        </w:rPr>
        <w:t>号</w:t>
      </w:r>
    </w:p>
    <w:p w14:paraId="702D6D63">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14:paraId="5BDC34E2">
      <w:pPr>
        <w:adjustRightInd w:val="0"/>
        <w:snapToGrid w:val="0"/>
        <w:spacing w:line="520" w:lineRule="atLeast"/>
        <w:rPr>
          <w:rFonts w:eastAsia="仿宋_GB2312"/>
          <w:sz w:val="28"/>
          <w:szCs w:val="28"/>
        </w:rPr>
      </w:pPr>
      <w:r>
        <w:rPr>
          <w:rFonts w:hint="eastAsia" w:eastAsia="仿宋_GB2312"/>
          <w:sz w:val="28"/>
          <w:szCs w:val="28"/>
        </w:rPr>
        <w:t>镇交易中心编号：</w:t>
      </w:r>
      <w:r>
        <w:rPr>
          <w:rFonts w:eastAsia="仿宋_GB2312"/>
          <w:sz w:val="28"/>
          <w:szCs w:val="28"/>
        </w:rPr>
        <w:t>CPNZJ</w:t>
      </w:r>
      <w:r>
        <w:rPr>
          <w:rFonts w:hint="eastAsia" w:eastAsia="仿宋_GB2312"/>
          <w:sz w:val="28"/>
          <w:szCs w:val="28"/>
        </w:rPr>
        <w:t>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14:paraId="1605D97C">
      <w:pPr>
        <w:adjustRightInd w:val="0"/>
        <w:snapToGrid w:val="0"/>
        <w:spacing w:line="520" w:lineRule="atLeast"/>
        <w:rPr>
          <w:sz w:val="28"/>
          <w:szCs w:val="28"/>
        </w:rPr>
      </w:pPr>
    </w:p>
    <w:p w14:paraId="5F891514">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常平镇国有资产公开交易方案</w:t>
      </w:r>
    </w:p>
    <w:p w14:paraId="165EC25C">
      <w:pPr>
        <w:adjustRightInd w:val="0"/>
        <w:snapToGrid w:val="0"/>
        <w:spacing w:line="460" w:lineRule="atLeast"/>
        <w:rPr>
          <w:rFonts w:eastAsia="仿宋_GB2312"/>
          <w:sz w:val="31"/>
          <w:szCs w:val="31"/>
        </w:rPr>
      </w:pPr>
    </w:p>
    <w:p w14:paraId="058B5F78">
      <w:pPr>
        <w:adjustRightInd w:val="0"/>
        <w:snapToGrid w:val="0"/>
        <w:spacing w:line="500" w:lineRule="exact"/>
        <w:ind w:firstLine="548" w:firstLineChars="196"/>
        <w:rPr>
          <w:rFonts w:eastAsia="仿宋_GB2312"/>
          <w:sz w:val="28"/>
          <w:szCs w:val="28"/>
        </w:rPr>
      </w:pPr>
      <w:r>
        <w:rPr>
          <w:rFonts w:hint="eastAsia" w:eastAsia="仿宋_GB2312"/>
          <w:sz w:val="28"/>
          <w:szCs w:val="28"/>
          <w:u w:val="single"/>
        </w:rPr>
        <w:t xml:space="preserve"> </w:t>
      </w:r>
      <w:r>
        <w:rPr>
          <w:rFonts w:hint="eastAsia" w:eastAsia="仿宋_GB2312"/>
          <w:sz w:val="28"/>
          <w:szCs w:val="28"/>
          <w:u w:val="single"/>
          <w:lang w:val="en-US" w:eastAsia="zh-CN"/>
        </w:rPr>
        <w:t>东莞市常东公用事业服务有限公司</w:t>
      </w:r>
      <w:r>
        <w:rPr>
          <w:rFonts w:hint="eastAsia" w:eastAsia="仿宋_GB2312"/>
          <w:sz w:val="28"/>
          <w:szCs w:val="28"/>
        </w:rPr>
        <w:t>拟将下列资产委托镇交易中心进行交易，特制订如下交易方案：</w:t>
      </w:r>
    </w:p>
    <w:p w14:paraId="0AF35ED3">
      <w:pPr>
        <w:adjustRightInd w:val="0"/>
        <w:snapToGrid w:val="0"/>
        <w:spacing w:line="500" w:lineRule="exact"/>
        <w:ind w:firstLine="548" w:firstLineChars="196"/>
        <w:rPr>
          <w:rFonts w:eastAsia="仿宋_GB2312"/>
          <w:sz w:val="28"/>
          <w:szCs w:val="28"/>
        </w:rPr>
      </w:pPr>
      <w:r>
        <w:rPr>
          <w:rFonts w:hint="eastAsia" w:eastAsia="仿宋_GB2312"/>
          <w:sz w:val="28"/>
          <w:szCs w:val="28"/>
        </w:rPr>
        <w:t>一、资产情况</w:t>
      </w:r>
    </w:p>
    <w:p w14:paraId="5CD59B0D">
      <w:pPr>
        <w:adjustRightInd w:val="0"/>
        <w:snapToGrid w:val="0"/>
        <w:spacing w:line="500" w:lineRule="exact"/>
        <w:ind w:firstLine="548" w:firstLineChars="196"/>
        <w:rPr>
          <w:rFonts w:eastAsia="仿宋_GB2312"/>
          <w:sz w:val="28"/>
          <w:szCs w:val="28"/>
        </w:rPr>
      </w:pPr>
      <w:r>
        <w:rPr>
          <w:rFonts w:hint="eastAsia" w:eastAsia="仿宋_GB2312"/>
          <w:sz w:val="28"/>
          <w:szCs w:val="28"/>
        </w:rPr>
        <w:t>（一）基本情况</w:t>
      </w:r>
    </w:p>
    <w:p w14:paraId="7A6A1D65">
      <w:pPr>
        <w:adjustRightInd w:val="0"/>
        <w:snapToGrid w:val="0"/>
        <w:spacing w:line="500" w:lineRule="exact"/>
        <w:ind w:firstLine="548" w:firstLineChars="196"/>
        <w:rPr>
          <w:rFonts w:hint="eastAsia" w:ascii="仿宋" w:hAnsi="仿宋" w:eastAsia="仿宋" w:cs="仿宋"/>
          <w:kern w:val="0"/>
          <w:sz w:val="28"/>
          <w:szCs w:val="28"/>
          <w:u w:val="single"/>
        </w:rPr>
      </w:pPr>
      <w:r>
        <w:rPr>
          <w:rFonts w:eastAsia="仿宋_GB2312"/>
          <w:sz w:val="28"/>
          <w:szCs w:val="28"/>
        </w:rPr>
        <w:t>1.</w:t>
      </w:r>
      <w:r>
        <w:rPr>
          <w:rFonts w:hint="eastAsia" w:eastAsia="仿宋_GB2312"/>
          <w:sz w:val="28"/>
          <w:szCs w:val="28"/>
        </w:rPr>
        <w:t>资产名称：</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新城区文创夜市项目（一期）</w:t>
      </w:r>
      <w:r>
        <w:rPr>
          <w:rFonts w:hint="eastAsia" w:ascii="仿宋" w:hAnsi="仿宋" w:eastAsia="仿宋" w:cs="仿宋"/>
          <w:sz w:val="28"/>
          <w:szCs w:val="28"/>
        </w:rPr>
        <w:t>。</w:t>
      </w:r>
    </w:p>
    <w:p w14:paraId="26C2CE52">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2.资产地点：</w:t>
      </w:r>
      <w:r>
        <w:rPr>
          <w:rFonts w:hint="eastAsia" w:ascii="仿宋" w:hAnsi="仿宋" w:eastAsia="仿宋" w:cs="仿宋"/>
          <w:sz w:val="28"/>
          <w:szCs w:val="28"/>
          <w:u w:val="single"/>
          <w:lang w:val="en-US" w:eastAsia="zh-CN"/>
        </w:rPr>
        <w:t>常平镇常新公园旁新城区A7地块内</w:t>
      </w:r>
      <w:r>
        <w:rPr>
          <w:rFonts w:hint="eastAsia" w:ascii="仿宋" w:hAnsi="仿宋" w:eastAsia="仿宋" w:cs="仿宋"/>
          <w:sz w:val="28"/>
          <w:szCs w:val="28"/>
        </w:rPr>
        <w:t xml:space="preserve">。 </w:t>
      </w:r>
    </w:p>
    <w:p w14:paraId="56AA0981">
      <w:pPr>
        <w:adjustRightInd w:val="0"/>
        <w:snapToGrid w:val="0"/>
        <w:spacing w:line="500" w:lineRule="exact"/>
        <w:ind w:firstLine="548" w:firstLineChars="196"/>
        <w:rPr>
          <w:rFonts w:hint="eastAsia" w:ascii="仿宋" w:hAnsi="仿宋" w:eastAsia="仿宋" w:cs="仿宋"/>
          <w:sz w:val="28"/>
          <w:szCs w:val="28"/>
        </w:rPr>
      </w:pPr>
      <w:r>
        <w:rPr>
          <w:rFonts w:eastAsia="仿宋_GB2312"/>
          <w:sz w:val="28"/>
          <w:szCs w:val="28"/>
        </w:rPr>
        <w:t>3.</w:t>
      </w:r>
      <w:r>
        <w:rPr>
          <w:rFonts w:hint="eastAsia" w:eastAsia="仿宋_GB2312"/>
          <w:sz w:val="28"/>
          <w:szCs w:val="28"/>
        </w:rPr>
        <w:t>资产类型：</w:t>
      </w:r>
      <w:r>
        <w:rPr>
          <w:rFonts w:eastAsia="仿宋_GB2312"/>
          <w:sz w:val="28"/>
          <w:szCs w:val="28"/>
          <w:u w:val="single"/>
        </w:rPr>
        <w:t xml:space="preserve"> </w:t>
      </w:r>
      <w:r>
        <w:rPr>
          <w:rFonts w:hint="eastAsia" w:ascii="仿宋" w:hAnsi="仿宋" w:eastAsia="仿宋" w:cs="仿宋"/>
          <w:sz w:val="28"/>
          <w:szCs w:val="28"/>
          <w:u w:val="single"/>
        </w:rPr>
        <w:t>其他镇属资产或资源</w:t>
      </w:r>
      <w:r>
        <w:rPr>
          <w:rFonts w:hint="eastAsia" w:ascii="仿宋" w:hAnsi="仿宋" w:eastAsia="仿宋" w:cs="仿宋"/>
          <w:sz w:val="28"/>
          <w:szCs w:val="28"/>
        </w:rPr>
        <w:t xml:space="preserve">。（镇属物业/建设用地/农用地/其他镇属资产或资源） </w:t>
      </w:r>
    </w:p>
    <w:p w14:paraId="623D4CE7">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4.资产面积：</w:t>
      </w:r>
      <w:r>
        <w:rPr>
          <w:rFonts w:hint="eastAsia" w:ascii="仿宋" w:hAnsi="仿宋" w:eastAsia="仿宋" w:cs="仿宋"/>
          <w:sz w:val="28"/>
          <w:szCs w:val="28"/>
          <w:u w:val="single"/>
          <w:lang w:val="en-US" w:eastAsia="zh-CN"/>
        </w:rPr>
        <w:t>20000平方米</w:t>
      </w:r>
      <w:r>
        <w:rPr>
          <w:rFonts w:hint="eastAsia" w:ascii="仿宋" w:hAnsi="仿宋" w:eastAsia="仿宋" w:cs="仿宋"/>
          <w:sz w:val="28"/>
          <w:szCs w:val="28"/>
        </w:rPr>
        <w:t xml:space="preserve">。   </w:t>
      </w:r>
    </w:p>
    <w:p w14:paraId="7D8E05B5">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5.现有资产用途：</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5985F7A">
      <w:pPr>
        <w:widowControl/>
        <w:ind w:firstLine="560" w:firstLineChars="200"/>
        <w:rPr>
          <w:rFonts w:hint="eastAsia" w:ascii="仿宋" w:hAnsi="仿宋" w:eastAsia="仿宋" w:cs="仿宋"/>
          <w:sz w:val="24"/>
        </w:rPr>
      </w:pPr>
      <w:r>
        <w:rPr>
          <w:rFonts w:hint="eastAsia" w:ascii="仿宋" w:hAnsi="仿宋" w:eastAsia="仿宋" w:cs="仿宋"/>
          <w:sz w:val="28"/>
          <w:szCs w:val="28"/>
        </w:rPr>
        <w:t>6.资产数量（规格）：</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sz w:val="28"/>
          <w:szCs w:val="28"/>
        </w:rPr>
        <w:t>。</w:t>
      </w:r>
    </w:p>
    <w:p w14:paraId="6A76F38C">
      <w:pPr>
        <w:adjustRightInd w:val="0"/>
        <w:snapToGrid w:val="0"/>
        <w:spacing w:line="500" w:lineRule="exact"/>
        <w:ind w:firstLine="548" w:firstLineChars="196"/>
        <w:rPr>
          <w:rFonts w:hint="eastAsia" w:ascii="仿宋" w:hAnsi="仿宋" w:eastAsia="仿宋" w:cs="仿宋"/>
          <w:sz w:val="24"/>
        </w:rPr>
      </w:pPr>
      <w:r>
        <w:rPr>
          <w:rFonts w:hint="eastAsia" w:ascii="仿宋" w:hAnsi="仿宋" w:eastAsia="仿宋" w:cs="仿宋"/>
          <w:sz w:val="28"/>
          <w:szCs w:val="28"/>
        </w:rPr>
        <w:t>7.固定资产的原值：</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C6D0E3F">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（二）权属情况</w:t>
      </w:r>
    </w:p>
    <w:p w14:paraId="6EF267D4">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1.权属人名称：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C2D57F9">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2.权属证号：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19C52E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（三）抵押情况</w:t>
      </w:r>
    </w:p>
    <w:p w14:paraId="030FC59C">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1.抵押权人：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7DFF586">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2.抵押证号：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9D24890">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3.抵押期限：</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A30E053">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（四）三证办理情况</w:t>
      </w:r>
    </w:p>
    <w:p w14:paraId="3F47B362">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1.建设工程规划许可证：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0B68B31">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2.房产所有权证：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0B2F1F9">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3.消防安全合格证：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A30EC5E">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二、交易要求</w:t>
      </w:r>
    </w:p>
    <w:p w14:paraId="24F2924F">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（一）交易方</w:t>
      </w:r>
      <w:r>
        <w:rPr>
          <w:rFonts w:hint="eastAsia" w:ascii="仿宋" w:hAnsi="仿宋" w:eastAsia="仿宋" w:cs="仿宋"/>
          <w:sz w:val="28"/>
          <w:szCs w:val="28"/>
          <w:u w:val="single"/>
        </w:rPr>
        <w:t xml:space="preserve">式：    </w:t>
      </w:r>
      <w:r>
        <w:rPr>
          <w:rFonts w:hint="eastAsia" w:ascii="仿宋" w:hAnsi="仿宋" w:eastAsia="仿宋" w:cs="仿宋"/>
          <w:sz w:val="28"/>
          <w:szCs w:val="28"/>
          <w:u w:val="single"/>
          <w:lang w:val="en-US" w:eastAsia="zh-CN"/>
        </w:rPr>
        <w:t>出租</w:t>
      </w:r>
      <w:r>
        <w:rPr>
          <w:rFonts w:hint="eastAsia" w:ascii="仿宋" w:hAnsi="仿宋" w:eastAsia="仿宋" w:cs="仿宋"/>
          <w:sz w:val="28"/>
          <w:szCs w:val="28"/>
          <w:u w:val="single"/>
        </w:rPr>
        <w:t>　　　  。（出租/出让/发包）</w:t>
      </w:r>
    </w:p>
    <w:p w14:paraId="2D85C9C4">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u w:val="none"/>
        </w:rPr>
        <w:t>（二）资产用途</w:t>
      </w:r>
      <w:r>
        <w:rPr>
          <w:rFonts w:hint="eastAsia" w:ascii="仿宋" w:hAnsi="仿宋" w:eastAsia="仿宋" w:cs="仿宋"/>
          <w:sz w:val="28"/>
          <w:szCs w:val="28"/>
          <w:u w:val="single"/>
        </w:rPr>
        <w:t>：</w:t>
      </w:r>
      <w:r>
        <w:rPr>
          <w:rFonts w:hint="default" w:ascii="仿宋" w:hAnsi="仿宋" w:eastAsia="仿宋" w:cs="仿宋"/>
          <w:sz w:val="28"/>
          <w:szCs w:val="28"/>
          <w:u w:val="single"/>
          <w:lang w:val="en-US" w:eastAsia="zh-CN"/>
        </w:rPr>
        <w:t>露天集市、夜间商业、小餐饮、零售工艺、无动力游乐以及</w:t>
      </w:r>
      <w:r>
        <w:rPr>
          <w:rFonts w:hint="eastAsia" w:ascii="仿宋" w:hAnsi="仿宋" w:eastAsia="仿宋" w:cs="仿宋"/>
          <w:sz w:val="28"/>
          <w:szCs w:val="28"/>
          <w:u w:val="single"/>
          <w:lang w:val="en-US" w:eastAsia="zh-CN"/>
        </w:rPr>
        <w:t>停车场配套等</w:t>
      </w:r>
      <w:r>
        <w:rPr>
          <w:rFonts w:hint="default" w:ascii="仿宋" w:hAnsi="仿宋" w:eastAsia="仿宋" w:cs="仿宋"/>
          <w:sz w:val="28"/>
          <w:szCs w:val="28"/>
          <w:u w:val="single"/>
          <w:lang w:val="en-US" w:eastAsia="zh-CN"/>
        </w:rPr>
        <w:t>商业配套</w:t>
      </w:r>
      <w:r>
        <w:rPr>
          <w:rFonts w:hint="eastAsia" w:ascii="仿宋" w:hAnsi="仿宋" w:eastAsia="仿宋" w:cs="仿宋"/>
          <w:sz w:val="28"/>
          <w:szCs w:val="28"/>
          <w:u w:val="single"/>
          <w:lang w:val="en-US" w:eastAsia="zh-CN"/>
        </w:rPr>
        <w:t>。</w:t>
      </w:r>
    </w:p>
    <w:p w14:paraId="49192FB8">
      <w:r>
        <w:rPr>
          <w:rFonts w:hint="eastAsia" w:ascii="仿宋" w:hAnsi="仿宋" w:eastAsia="仿宋" w:cs="仿宋"/>
          <w:sz w:val="28"/>
          <w:szCs w:val="28"/>
        </w:rPr>
        <w:t>（三）受让人或承租（包）</w:t>
      </w:r>
      <w:r>
        <w:rPr>
          <w:rFonts w:hint="eastAsia" w:ascii="仿宋" w:hAnsi="仿宋" w:eastAsia="仿宋" w:cs="仿宋"/>
          <w:sz w:val="28"/>
          <w:szCs w:val="28"/>
          <w:u w:val="none"/>
        </w:rPr>
        <w:t>人的条件：</w:t>
      </w:r>
      <w:r>
        <w:rPr>
          <w:rFonts w:hint="eastAsia" w:ascii="仿宋" w:hAnsi="仿宋" w:eastAsia="仿宋" w:cs="仿宋"/>
          <w:sz w:val="28"/>
          <w:szCs w:val="28"/>
        </w:rPr>
        <w:t>具有完全民事行为能力的企业法人</w:t>
      </w:r>
      <w:r>
        <w:rPr>
          <w:rFonts w:hint="eastAsia" w:ascii="仿宋" w:hAnsi="仿宋" w:eastAsia="仿宋" w:cs="仿宋"/>
          <w:sz w:val="28"/>
          <w:szCs w:val="28"/>
          <w:lang w:val="en-US" w:eastAsia="zh-CN"/>
        </w:rPr>
        <w:t>，且注册资金不少于100万元人民币，注册年限不低于1年（提交营业执照为核准）；2.经营范围包含餐饮管理、项目策划与公关服务（提交营业执照为核准）；</w:t>
      </w:r>
      <w:r>
        <w:rPr>
          <w:rFonts w:hint="eastAsia" w:ascii="仿宋" w:hAnsi="仿宋" w:eastAsia="仿宋" w:cs="仿宋"/>
          <w:sz w:val="28"/>
          <w:szCs w:val="28"/>
        </w:rPr>
        <w:commentReference w:id="0"/>
      </w:r>
      <w:r>
        <w:rPr>
          <w:rFonts w:hint="eastAsia" w:ascii="仿宋" w:hAnsi="仿宋" w:eastAsia="仿宋" w:cs="仿宋"/>
          <w:sz w:val="28"/>
          <w:szCs w:val="28"/>
          <w:lang w:val="en-US" w:eastAsia="zh-CN"/>
        </w:rPr>
        <w:t>3.提供不少于100万元（含100万元）的企业银行资信证明（提交投标前7日内开具的资金证明为核准）；4</w:t>
      </w:r>
      <w:bookmarkStart w:id="0" w:name="_GoBack"/>
      <w:bookmarkEnd w:id="0"/>
      <w:r>
        <w:rPr>
          <w:rFonts w:hint="eastAsia" w:ascii="仿宋" w:hAnsi="仿宋" w:eastAsia="仿宋" w:cs="仿宋"/>
          <w:sz w:val="28"/>
          <w:szCs w:val="28"/>
          <w:lang w:val="en-US" w:eastAsia="zh-CN"/>
        </w:rPr>
        <w:t>.具备不少于1个在经营中的餐饮或集市项目（提交租赁合同为核准）；</w:t>
      </w:r>
    </w:p>
    <w:p w14:paraId="596E1B27">
      <w:pPr>
        <w:widowControl/>
        <w:jc w:val="left"/>
        <w:rPr>
          <w:rFonts w:hint="default" w:ascii="仿宋_GB2312" w:eastAsia="仿宋_GB2312"/>
          <w:sz w:val="28"/>
          <w:szCs w:val="28"/>
          <w:lang w:val="en-US" w:eastAsia="zh-CN"/>
        </w:rPr>
      </w:pPr>
    </w:p>
    <w:p w14:paraId="6C58F463">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default" w:ascii="仿宋" w:hAnsi="仿宋" w:eastAsia="仿宋" w:cs="仿宋"/>
          <w:sz w:val="28"/>
          <w:szCs w:val="28"/>
          <w:lang w:val="en-US"/>
        </w:rPr>
      </w:pPr>
      <w:r>
        <w:rPr>
          <w:rFonts w:hint="eastAsia" w:ascii="仿宋" w:hAnsi="仿宋" w:eastAsia="仿宋" w:cs="仿宋"/>
          <w:sz w:val="28"/>
          <w:szCs w:val="28"/>
          <w:u w:val="none"/>
        </w:rPr>
        <w:t>（四）交易底价：</w:t>
      </w:r>
      <w:r>
        <w:rPr>
          <w:rFonts w:hint="eastAsia" w:ascii="仿宋" w:hAnsi="仿宋" w:eastAsia="仿宋" w:cs="仿宋"/>
          <w:sz w:val="28"/>
          <w:szCs w:val="28"/>
          <w:u w:val="single"/>
          <w:lang w:val="en-US" w:eastAsia="zh-CN"/>
        </w:rPr>
        <w:t>1440000</w:t>
      </w:r>
      <w:r>
        <w:rPr>
          <w:rFonts w:hint="eastAsia" w:ascii="仿宋" w:hAnsi="仿宋" w:eastAsia="仿宋" w:cs="仿宋"/>
          <w:color w:val="auto"/>
          <w:sz w:val="28"/>
          <w:szCs w:val="28"/>
          <w:lang w:val="en-US" w:eastAsia="zh-CN"/>
        </w:rPr>
        <w:t>元/年（含税）（大写：</w:t>
      </w:r>
      <w:r>
        <w:rPr>
          <w:rFonts w:hint="eastAsia" w:ascii="仿宋" w:hAnsi="仿宋" w:eastAsia="仿宋" w:cs="仿宋"/>
          <w:color w:val="auto"/>
          <w:sz w:val="28"/>
          <w:szCs w:val="28"/>
          <w:u w:val="single"/>
          <w:lang w:val="en-US" w:eastAsia="zh-CN"/>
        </w:rPr>
        <w:t>人民币壹佰肆拾肆万</w:t>
      </w:r>
      <w:r>
        <w:rPr>
          <w:rFonts w:hint="eastAsia" w:ascii="仿宋" w:hAnsi="仿宋" w:eastAsia="仿宋" w:cs="仿宋"/>
          <w:sz w:val="28"/>
          <w:szCs w:val="28"/>
          <w:u w:val="single"/>
          <w:lang w:val="en-US" w:eastAsia="zh-CN"/>
        </w:rPr>
        <w:t>元</w:t>
      </w:r>
      <w:r>
        <w:rPr>
          <w:rFonts w:hint="eastAsia" w:ascii="仿宋" w:hAnsi="仿宋" w:eastAsia="仿宋" w:cs="仿宋"/>
          <w:sz w:val="28"/>
          <w:szCs w:val="28"/>
          <w:u w:val="single"/>
        </w:rPr>
        <w:t>整</w:t>
      </w:r>
      <w:r>
        <w:rPr>
          <w:rFonts w:hint="eastAsia" w:ascii="仿宋" w:hAnsi="仿宋" w:eastAsia="仿宋" w:cs="仿宋"/>
          <w:color w:val="auto"/>
          <w:sz w:val="28"/>
          <w:szCs w:val="28"/>
          <w:lang w:val="en-US" w:eastAsia="zh-CN"/>
        </w:rPr>
        <w:t>）</w:t>
      </w:r>
    </w:p>
    <w:p w14:paraId="56AD1378">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（五）收款方式：</w:t>
      </w:r>
    </w:p>
    <w:p w14:paraId="7C45D244">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1.一次性收取人民币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p>
    <w:p w14:paraId="09EFBB65">
      <w:pPr>
        <w:adjustRightInd w:val="0"/>
        <w:snapToGrid w:val="0"/>
        <w:spacing w:line="500" w:lineRule="exact"/>
        <w:ind w:left="570" w:leftChars="266" w:hanging="11" w:hangingChars="4"/>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按</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收取，</w:t>
      </w:r>
      <w:r>
        <w:rPr>
          <w:rFonts w:hint="eastAsia" w:ascii="仿宋" w:hAnsi="仿宋" w:eastAsia="仿宋" w:cs="仿宋"/>
          <w:color w:val="000000" w:themeColor="text1"/>
          <w:sz w:val="28"/>
          <w:szCs w:val="28"/>
          <w:lang w:val="en-US" w:eastAsia="zh-CN"/>
          <w14:textFill>
            <w14:solidFill>
              <w14:schemeClr w14:val="tx1"/>
            </w14:solidFill>
          </w14:textFill>
        </w:rPr>
        <w:t>2025年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日前交付</w:t>
      </w:r>
      <w:r>
        <w:rPr>
          <w:rFonts w:hint="eastAsia" w:ascii="仿宋" w:hAnsi="仿宋" w:eastAsia="仿宋" w:cs="仿宋"/>
          <w:color w:val="000000" w:themeColor="text1"/>
          <w:sz w:val="28"/>
          <w:szCs w:val="28"/>
          <w:lang w:val="en-US" w:eastAsia="zh-CN"/>
          <w14:textFill>
            <w14:solidFill>
              <w14:schemeClr w14:val="tx1"/>
            </w14:solidFill>
          </w14:textFill>
        </w:rPr>
        <w:t>首个月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并在每月_日前交付</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none"/>
          <w:lang w:val="en-US" w:eastAsia="zh-CN"/>
          <w14:textFill>
            <w14:solidFill>
              <w14:schemeClr w14:val="tx1"/>
            </w14:solidFill>
          </w14:textFill>
        </w:rPr>
        <w:t>。</w:t>
      </w:r>
    </w:p>
    <w:p w14:paraId="63D57A79">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（六）租金递增方式：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14:paraId="14352323">
      <w:pPr>
        <w:adjustRightInd w:val="0"/>
        <w:snapToGrid w:val="0"/>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）合同履行保证金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押金</w:t>
      </w:r>
      <w:r>
        <w:rPr>
          <w:rFonts w:hint="eastAsia" w:ascii="仿宋" w:hAnsi="仿宋" w:eastAsia="仿宋" w:cs="仿宋"/>
          <w:color w:val="000000" w:themeColor="text1"/>
          <w:sz w:val="28"/>
          <w:szCs w:val="28"/>
          <w:lang w:eastAsia="zh-CN"/>
          <w14:textFill>
            <w14:solidFill>
              <w14:schemeClr w14:val="tx1"/>
            </w14:solidFill>
          </w14:textFill>
        </w:rPr>
        <w:t>）为</w:t>
      </w:r>
      <w:r>
        <w:rPr>
          <w:rFonts w:hint="eastAsia" w:ascii="仿宋" w:hAnsi="仿宋" w:eastAsia="仿宋" w:cs="仿宋"/>
          <w:color w:val="000000" w:themeColor="text1"/>
          <w:sz w:val="28"/>
          <w:szCs w:val="28"/>
          <w:u w:val="single"/>
          <w:lang w:val="en-US" w:eastAsia="zh-CN"/>
          <w14:textFill>
            <w14:solidFill>
              <w14:schemeClr w14:val="tx1"/>
            </w14:solidFill>
          </w14:textFill>
        </w:rPr>
        <w:t>300000元</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（大写：</w:t>
      </w:r>
      <w:r>
        <w:rPr>
          <w:rFonts w:hint="eastAsia" w:ascii="仿宋" w:hAnsi="仿宋" w:eastAsia="仿宋" w:cs="仿宋"/>
          <w:color w:val="000000" w:themeColor="text1"/>
          <w:sz w:val="28"/>
          <w:szCs w:val="28"/>
          <w:u w:val="single"/>
          <w:lang w:val="en-US" w:eastAsia="zh-CN"/>
          <w14:textFill>
            <w14:solidFill>
              <w14:schemeClr w14:val="tx1"/>
            </w14:solidFill>
          </w14:textFill>
        </w:rPr>
        <w:t>人民币叁拾万</w:t>
      </w:r>
      <w:r>
        <w:rPr>
          <w:rFonts w:hint="eastAsia" w:ascii="仿宋" w:hAnsi="仿宋" w:eastAsia="仿宋" w:cs="仿宋"/>
          <w:color w:val="000000" w:themeColor="text1"/>
          <w:sz w:val="28"/>
          <w:szCs w:val="28"/>
          <w:u w:val="single"/>
          <w14:textFill>
            <w14:solidFill>
              <w14:schemeClr w14:val="tx1"/>
            </w14:solidFill>
          </w14:textFill>
        </w:rPr>
        <w:t>元整</w:t>
      </w:r>
      <w:r>
        <w:rPr>
          <w:rFonts w:hint="eastAsia" w:ascii="仿宋" w:hAnsi="仿宋" w:eastAsia="仿宋" w:cs="仿宋"/>
          <w:color w:val="000000" w:themeColor="text1"/>
          <w:sz w:val="28"/>
          <w:szCs w:val="28"/>
          <w:lang w:eastAsia="zh-CN"/>
          <w14:textFill>
            <w14:solidFill>
              <w14:schemeClr w14:val="tx1"/>
            </w14:solidFill>
          </w14:textFill>
        </w:rPr>
        <w:t>）</w:t>
      </w:r>
    </w:p>
    <w:p w14:paraId="1AA4CC9B">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）交易保证金为人民币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288000</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u w:val="single"/>
          <w:lang w:val="en-US" w:eastAsia="zh-CN"/>
          <w14:textFill>
            <w14:solidFill>
              <w14:schemeClr w14:val="tx1"/>
            </w14:solidFill>
          </w14:textFill>
        </w:rPr>
        <w:t>贰拾捌万捌仟元整</w:t>
      </w:r>
      <w:r>
        <w:rPr>
          <w:rFonts w:hint="eastAsia" w:ascii="仿宋" w:hAnsi="仿宋" w:eastAsia="仿宋" w:cs="仿宋"/>
          <w:color w:val="000000" w:themeColor="text1"/>
          <w:sz w:val="28"/>
          <w:szCs w:val="28"/>
          <w14:textFill>
            <w14:solidFill>
              <w14:schemeClr w14:val="tx1"/>
            </w14:solidFill>
          </w14:textFill>
        </w:rPr>
        <w:t>），交易保证金的收取和处置方式按《常平镇国有资产交易办法》的规定执行。</w:t>
      </w:r>
    </w:p>
    <w:p w14:paraId="71A22E21">
      <w:pPr>
        <w:adjustRightInd w:val="0"/>
        <w:snapToGrid w:val="0"/>
        <w:spacing w:line="500" w:lineRule="exact"/>
        <w:ind w:firstLine="548" w:firstLineChars="196"/>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九</w:t>
      </w:r>
      <w:r>
        <w:rPr>
          <w:rFonts w:hint="eastAsia" w:ascii="仿宋" w:hAnsi="仿宋" w:eastAsia="仿宋" w:cs="仿宋"/>
          <w:color w:val="000000" w:themeColor="text1"/>
          <w:sz w:val="28"/>
          <w:szCs w:val="28"/>
          <w14:textFill>
            <w14:solidFill>
              <w14:schemeClr w14:val="tx1"/>
            </w14:solidFill>
          </w14:textFill>
        </w:rPr>
        <w:t>）合同期限：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lang w:val="en-US" w:eastAsia="zh-CN"/>
          <w14:textFill>
            <w14:solidFill>
              <w14:schemeClr w14:val="tx1"/>
            </w14:solidFill>
          </w14:textFill>
        </w:rPr>
        <w:t>2027</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日止</w:t>
      </w:r>
      <w:r>
        <w:rPr>
          <w:rFonts w:hint="eastAsia" w:ascii="仿宋" w:hAnsi="仿宋" w:eastAsia="仿宋" w:cs="仿宋"/>
          <w:color w:val="000000" w:themeColor="text1"/>
          <w:sz w:val="28"/>
          <w:szCs w:val="28"/>
          <w:lang w:eastAsia="zh-CN"/>
          <w14:textFill>
            <w14:solidFill>
              <w14:schemeClr w14:val="tx1"/>
            </w14:solidFill>
          </w14:textFill>
        </w:rPr>
        <w:t>，其中</w:t>
      </w:r>
      <w:r>
        <w:rPr>
          <w:rFonts w:hint="eastAsia" w:ascii="仿宋" w:hAnsi="仿宋" w:eastAsia="仿宋" w:cs="仿宋"/>
          <w:color w:val="000000" w:themeColor="text1"/>
          <w:sz w:val="28"/>
          <w:szCs w:val="28"/>
          <w:lang w:val="en-US" w:eastAsia="zh-CN"/>
          <w14:textFill>
            <w14:solidFill>
              <w14:schemeClr w14:val="tx1"/>
            </w14:solidFill>
          </w14:textFill>
        </w:rPr>
        <w:t>其中首年免租3个月，第2年免租2个月。</w:t>
      </w:r>
    </w:p>
    <w:p w14:paraId="0C8133B2">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）合同的签订：自镇交易中心核准中标人资格之日起</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天内签订合同。</w:t>
      </w:r>
    </w:p>
    <w:p w14:paraId="57F94E37">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）期满资产处置方式：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承租方在合同期满后10天内将场地内自身投入的所有资产妥善清拆后，把场地干净完好归还出租方</w:t>
      </w:r>
      <w:r>
        <w:rPr>
          <w:rFonts w:hint="eastAsia" w:ascii="仿宋" w:hAnsi="仿宋" w:eastAsia="仿宋" w:cs="仿宋"/>
          <w:color w:val="000000" w:themeColor="text1"/>
          <w:sz w:val="28"/>
          <w:szCs w:val="28"/>
          <w:u w:val="single"/>
          <w14:textFill>
            <w14:solidFill>
              <w14:schemeClr w14:val="tx1"/>
            </w14:solidFill>
          </w14:textFill>
        </w:rPr>
        <w:t>。</w:t>
      </w:r>
    </w:p>
    <w:p w14:paraId="64A58461">
      <w:pPr>
        <w:adjustRightInd w:val="0"/>
        <w:snapToGrid w:val="0"/>
        <w:spacing w:line="500" w:lineRule="exact"/>
        <w:ind w:firstLine="548" w:firstLineChars="196"/>
        <w:rPr>
          <w:rFonts w:hint="eastAsia" w:ascii="仿宋" w:hAnsi="仿宋" w:eastAsia="仿宋" w:cs="仿宋"/>
          <w:color w:val="FF0000"/>
          <w:sz w:val="28"/>
          <w:szCs w:val="28"/>
        </w:rPr>
      </w:pPr>
    </w:p>
    <w:p w14:paraId="014D7BEB">
      <w:pPr>
        <w:widowControl/>
        <w:spacing w:before="90" w:after="90" w:line="500" w:lineRule="exact"/>
        <w:ind w:firstLine="555"/>
        <w:jc w:val="left"/>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二</w:t>
      </w:r>
      <w:r>
        <w:rPr>
          <w:rFonts w:hint="eastAsia" w:ascii="仿宋" w:hAnsi="仿宋" w:eastAsia="仿宋" w:cs="仿宋"/>
          <w:sz w:val="28"/>
          <w:szCs w:val="28"/>
        </w:rPr>
        <w:t>）其他要求：</w:t>
      </w:r>
    </w:p>
    <w:p w14:paraId="4D771C77">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1、租金评估费用8200元由承租方承担；</w:t>
      </w:r>
    </w:p>
    <w:p w14:paraId="52C759C8">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仿宋" w:hAnsi="仿宋" w:eastAsia="仿宋" w:cs="仿宋"/>
          <w:kern w:val="2"/>
          <w:sz w:val="28"/>
          <w:szCs w:val="28"/>
          <w:lang w:val="en-US" w:eastAsia="zh-CN" w:bidi="ar-SA"/>
        </w:rPr>
        <w:t>2、按现状出租，承租方自负盈亏，自行负责场地“三通一平”等全部改造投入以及安全卫生、水电网等所有经营费用和管理责任；</w:t>
      </w:r>
    </w:p>
    <w:p w14:paraId="3DECD829">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3、承租方应在法律法规等相关规定和合同约定范围内合理开发利用场地。承租方对租赁物的相关改造方案应提前征求出租方和相关职能部门审批同意后，方可实施；</w:t>
      </w:r>
    </w:p>
    <w:p w14:paraId="265D16EC">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4、承租方免费提供不少于20个固定摊位给予政府或相关部门作为公益或帮扶性用途；</w:t>
      </w:r>
    </w:p>
    <w:p w14:paraId="4C6E478C">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5、承租方须确保签约后1个月内完成地面平整、水电灯光、门头招牌等基本改造并启业；</w:t>
      </w:r>
    </w:p>
    <w:p w14:paraId="4D171789">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6、其他要求，详见合同。</w:t>
      </w:r>
    </w:p>
    <w:p w14:paraId="54612BB5">
      <w:pPr>
        <w:pStyle w:val="15"/>
        <w:ind w:firstLine="640"/>
        <w:rPr>
          <w:rFonts w:hint="eastAsia" w:ascii="仿宋" w:hAnsi="仿宋" w:eastAsia="仿宋" w:cs="仿宋"/>
          <w:sz w:val="28"/>
          <w:szCs w:val="28"/>
        </w:rPr>
      </w:pPr>
      <w:r>
        <w:rPr>
          <w:rFonts w:hint="eastAsia" w:ascii="仿宋" w:hAnsi="仿宋" w:eastAsia="仿宋" w:cs="仿宋"/>
          <w:szCs w:val="32"/>
          <w:lang w:val="en-GB"/>
        </w:rPr>
        <w:t>三、其他</w:t>
      </w:r>
    </w:p>
    <w:p w14:paraId="7D865374">
      <w:pPr>
        <w:widowControl/>
        <w:spacing w:before="90" w:after="9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（一）资产交付时间：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2025年 月 日</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EB8956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（二）资产交付方式：</w:t>
      </w:r>
      <w:r>
        <w:rPr>
          <w:rFonts w:hint="eastAsia" w:ascii="仿宋" w:hAnsi="仿宋" w:eastAsia="仿宋" w:cs="仿宋"/>
          <w:sz w:val="28"/>
          <w:szCs w:val="28"/>
          <w:u w:val="single"/>
        </w:rPr>
        <w:t xml:space="preserve">  现场交付  </w:t>
      </w:r>
      <w:r>
        <w:rPr>
          <w:rFonts w:hint="eastAsia" w:ascii="仿宋" w:hAnsi="仿宋" w:eastAsia="仿宋" w:cs="仿宋"/>
          <w:sz w:val="28"/>
          <w:szCs w:val="28"/>
        </w:rPr>
        <w:t>。</w:t>
      </w:r>
    </w:p>
    <w:p w14:paraId="4340944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（三）违约责任（详见合同）。</w:t>
      </w:r>
    </w:p>
    <w:p w14:paraId="185FA28E">
      <w:pPr>
        <w:adjustRightInd w:val="0"/>
        <w:snapToGrid w:val="0"/>
        <w:spacing w:line="46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（四）交易现场见证监督人员：</w:t>
      </w:r>
      <w:r>
        <w:rPr>
          <w:rFonts w:hint="eastAsia" w:ascii="仿宋" w:hAnsi="仿宋" w:eastAsia="仿宋" w:cs="仿宋"/>
          <w:sz w:val="28"/>
          <w:szCs w:val="28"/>
          <w:u w:val="single"/>
          <w:lang w:eastAsia="zh-CN"/>
        </w:rPr>
        <w:t>出租方</w:t>
      </w:r>
      <w:r>
        <w:rPr>
          <w:rFonts w:hint="eastAsia" w:ascii="仿宋" w:hAnsi="仿宋" w:eastAsia="仿宋" w:cs="仿宋"/>
          <w:sz w:val="28"/>
          <w:szCs w:val="28"/>
          <w:u w:val="single"/>
          <w:lang w:val="en-US" w:eastAsia="zh-CN"/>
        </w:rPr>
        <w:t>工作人员、资产管理中心工作人员。</w:t>
      </w:r>
    </w:p>
    <w:p w14:paraId="5724611A">
      <w:pPr>
        <w:adjustRightInd w:val="0"/>
        <w:snapToGrid w:val="0"/>
        <w:spacing w:line="50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（五）交易地点：</w:t>
      </w:r>
      <w:r>
        <w:rPr>
          <w:rFonts w:hint="eastAsia" w:ascii="仿宋" w:hAnsi="仿宋" w:eastAsia="仿宋" w:cs="仿宋"/>
          <w:sz w:val="28"/>
          <w:szCs w:val="28"/>
          <w:u w:val="single"/>
          <w:lang w:val="en-US" w:eastAsia="zh-CN"/>
        </w:rPr>
        <w:t>常平镇农村集体资产交易中心。</w:t>
      </w:r>
    </w:p>
    <w:p w14:paraId="32A85EF2">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（六）竞得人确定原则：只有1家提出受让申请的，以不低于底价的报价交易；有2家以上提出受让申请的，在不低于底价的条件下，采取竞投的方式交易，按照价高者得方式成交。</w:t>
      </w:r>
    </w:p>
    <w:p w14:paraId="5D6C5FC8">
      <w:pPr>
        <w:widowControl/>
        <w:spacing w:before="90" w:after="90" w:line="345" w:lineRule="atLeast"/>
        <w:ind w:firstLine="570"/>
        <w:jc w:val="left"/>
        <w:rPr>
          <w:rFonts w:hint="eastAsia" w:ascii="仿宋" w:hAnsi="仿宋" w:eastAsia="仿宋" w:cs="仿宋"/>
          <w:sz w:val="28"/>
          <w:szCs w:val="28"/>
        </w:rPr>
      </w:pPr>
      <w:r>
        <w:rPr>
          <w:rFonts w:hint="eastAsia" w:ascii="仿宋" w:hAnsi="仿宋" w:eastAsia="仿宋" w:cs="仿宋"/>
          <w:sz w:val="28"/>
          <w:szCs w:val="28"/>
        </w:rPr>
        <w:t>（七）交易方案如有不详，以合同为准。</w:t>
      </w:r>
    </w:p>
    <w:p w14:paraId="627E110E">
      <w:pPr>
        <w:widowControl/>
        <w:spacing w:before="90" w:after="90" w:line="345" w:lineRule="atLeast"/>
        <w:ind w:firstLine="570"/>
        <w:jc w:val="left"/>
        <w:rPr>
          <w:rFonts w:hint="eastAsia" w:ascii="仿宋" w:hAnsi="仿宋" w:eastAsia="仿宋" w:cs="仿宋"/>
          <w:sz w:val="28"/>
          <w:szCs w:val="28"/>
        </w:rPr>
      </w:pPr>
    </w:p>
    <w:p w14:paraId="2EEDE18D">
      <w:pPr>
        <w:wordWrap w:val="0"/>
        <w:adjustRightInd w:val="0"/>
        <w:snapToGrid w:val="0"/>
        <w:spacing w:line="500" w:lineRule="exact"/>
        <w:ind w:right="1120" w:firstLine="5040" w:firstLineChars="1800"/>
        <w:rPr>
          <w:rFonts w:hint="eastAsia" w:ascii="仿宋" w:hAnsi="仿宋" w:eastAsia="仿宋" w:cs="仿宋"/>
          <w:sz w:val="28"/>
          <w:szCs w:val="28"/>
        </w:rPr>
      </w:pPr>
      <w:r>
        <w:rPr>
          <w:rFonts w:hint="eastAsia" w:ascii="仿宋" w:hAnsi="仿宋" w:eastAsia="仿宋" w:cs="仿宋"/>
          <w:sz w:val="28"/>
          <w:szCs w:val="28"/>
        </w:rPr>
        <w:t>单位（盖章）：</w:t>
      </w:r>
    </w:p>
    <w:p w14:paraId="018F103E">
      <w:pPr>
        <w:adjustRightInd w:val="0"/>
        <w:snapToGrid w:val="0"/>
        <w:spacing w:line="500" w:lineRule="exact"/>
        <w:ind w:firstLine="5040" w:firstLineChars="1800"/>
        <w:rPr>
          <w:rFonts w:hint="eastAsia" w:ascii="仿宋" w:hAnsi="仿宋" w:eastAsia="仿宋" w:cs="仿宋"/>
          <w:sz w:val="28"/>
          <w:szCs w:val="28"/>
        </w:rPr>
      </w:pPr>
      <w:r>
        <w:rPr>
          <w:rFonts w:hint="eastAsia" w:ascii="仿宋" w:hAnsi="仿宋" w:eastAsia="仿宋" w:cs="仿宋"/>
          <w:sz w:val="28"/>
          <w:szCs w:val="28"/>
        </w:rPr>
        <w:t xml:space="preserve">单位负责人： </w:t>
      </w:r>
    </w:p>
    <w:p w14:paraId="3BA79105">
      <w:pPr>
        <w:spacing w:line="500" w:lineRule="exact"/>
        <w:rPr>
          <w:rFonts w:ascii="仿宋_GB2312" w:eastAsia="仿宋_GB2312"/>
          <w:sz w:val="28"/>
          <w:szCs w:val="28"/>
        </w:rPr>
      </w:pPr>
      <w:r>
        <w:rPr>
          <w:rFonts w:ascii="仿宋_GB2312" w:eastAsia="仿宋_GB2312"/>
          <w:sz w:val="28"/>
          <w:szCs w:val="28"/>
        </w:rPr>
        <w:t xml:space="preserve">              </w:t>
      </w:r>
    </w:p>
    <w:p w14:paraId="49FCFBFE">
      <w:pPr>
        <w:spacing w:line="50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34A0393C">
      <w:pPr>
        <w:spacing w:line="500" w:lineRule="exact"/>
        <w:jc w:val="right"/>
        <w:rPr>
          <w:rFonts w:ascii="仿宋_GB2312" w:eastAsia="仿宋_GB2312"/>
          <w:sz w:val="28"/>
          <w:szCs w:val="28"/>
        </w:rPr>
      </w:pPr>
    </w:p>
    <w:p w14:paraId="2FCA34B5">
      <w:pPr>
        <w:spacing w:line="500" w:lineRule="exact"/>
        <w:jc w:val="left"/>
        <w:rPr>
          <w:rFonts w:ascii="仿宋_GB2312" w:eastAsia="仿宋_GB2312"/>
          <w:sz w:val="28"/>
          <w:szCs w:val="28"/>
        </w:rPr>
      </w:pPr>
    </w:p>
    <w:p w14:paraId="015D9CC3">
      <w:pPr>
        <w:pStyle w:val="7"/>
        <w:spacing w:line="500" w:lineRule="exact"/>
        <w:ind w:right="360" w:firstLine="560" w:firstLineChars="200"/>
        <w:rPr>
          <w:rFonts w:eastAsia="仿宋_GB2312"/>
          <w:sz w:val="28"/>
          <w:szCs w:val="28"/>
        </w:rPr>
      </w:pPr>
      <w:r>
        <w:rPr>
          <w:rFonts w:eastAsia="仿宋_GB2312"/>
          <w:sz w:val="28"/>
          <w:szCs w:val="28"/>
        </w:rPr>
        <w:t>注：1、本方案所有空格部分应如实填写，如没有该项内容的，请在空格中填写“无”。2、本方案一式三份，</w:t>
      </w:r>
      <w:r>
        <w:rPr>
          <w:rFonts w:hint="eastAsia" w:eastAsia="仿宋_GB2312"/>
          <w:sz w:val="28"/>
          <w:szCs w:val="28"/>
        </w:rPr>
        <w:t>企（事业）单位</w:t>
      </w:r>
      <w:r>
        <w:rPr>
          <w:rFonts w:eastAsia="仿宋_GB2312"/>
          <w:sz w:val="28"/>
          <w:szCs w:val="28"/>
        </w:rPr>
        <w:t>、</w:t>
      </w:r>
      <w:r>
        <w:rPr>
          <w:rFonts w:hint="eastAsia" w:eastAsia="仿宋_GB2312"/>
          <w:sz w:val="28"/>
          <w:szCs w:val="28"/>
        </w:rPr>
        <w:t>镇资管中心</w:t>
      </w:r>
      <w:r>
        <w:rPr>
          <w:rFonts w:eastAsia="仿宋_GB2312"/>
          <w:sz w:val="28"/>
          <w:szCs w:val="28"/>
        </w:rPr>
        <w:t>、镇交易中心各一份。</w:t>
      </w:r>
    </w:p>
    <w:p w14:paraId="78E6F61A">
      <w:pPr>
        <w:spacing w:line="500" w:lineRule="exact"/>
        <w:jc w:val="left"/>
        <w:rPr>
          <w:rFonts w:ascii="仿宋_GB2312" w:eastAsia="仿宋_GB2312"/>
          <w:sz w:val="28"/>
          <w:szCs w:val="28"/>
        </w:rPr>
      </w:pPr>
    </w:p>
    <w:sectPr>
      <w:headerReference r:id="rId5" w:type="default"/>
      <w:footerReference r:id="rId6" w:type="default"/>
      <w:pgSz w:w="11906" w:h="16838"/>
      <w:pgMar w:top="1418" w:right="1134" w:bottom="992"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常乐" w:date="2025-03-21T14:21:10Z" w:initials="">
    <w:p w14:paraId="58D11D47">
      <w:pPr>
        <w:pStyle w:val="3"/>
        <w:rPr>
          <w:rFonts w:hint="eastAsia" w:eastAsia="宋体"/>
          <w:lang w:val="en-US" w:eastAsia="zh-CN"/>
        </w:rPr>
      </w:pPr>
      <w:r>
        <w:rPr>
          <w:rFonts w:hint="eastAsia"/>
          <w:lang w:val="en-US" w:eastAsia="zh-CN"/>
        </w:rPr>
        <w:t>经营业绩：具备不少于2个在经营中的餐饮或集市项目</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cs="宋体"/>
          <w:color w:val="000000" w:themeColor="text1"/>
          <w:sz w:val="24"/>
          <w:szCs w:val="24"/>
          <w:lang w:val="en-US" w:eastAsia="zh-CN"/>
          <w14:textFill>
            <w14:solidFill>
              <w14:schemeClr w14:val="tx1"/>
            </w14:solidFill>
          </w14:textFill>
        </w:rPr>
        <w:t>租赁合同</w:t>
      </w:r>
      <w:r>
        <w:rPr>
          <w:rFonts w:hint="eastAsia" w:ascii="宋体" w:hAnsi="宋体" w:eastAsia="宋体" w:cs="宋体"/>
          <w:color w:val="000000" w:themeColor="text1"/>
          <w:sz w:val="24"/>
          <w:szCs w:val="24"/>
          <w:lang w:val="en-US" w:eastAsia="zh-CN"/>
          <w14:textFill>
            <w14:solidFill>
              <w14:schemeClr w14:val="tx1"/>
            </w14:solidFill>
          </w14:textFill>
        </w:rPr>
        <w:t>为核准）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D11D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201060900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A3E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B32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5B32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B4E1">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常乐">
    <w15:presenceInfo w15:providerId="None" w15:userId="常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mU1MzM1NWRmZTg1ZDg0YzZiZTE4YWYzNmU2ZGQifQ=="/>
  </w:docVars>
  <w:rsids>
    <w:rsidRoot w:val="001A6198"/>
    <w:rsid w:val="00010DAD"/>
    <w:rsid w:val="00016E1F"/>
    <w:rsid w:val="00016E4B"/>
    <w:rsid w:val="0002636E"/>
    <w:rsid w:val="00044BA4"/>
    <w:rsid w:val="00046DCF"/>
    <w:rsid w:val="0005646A"/>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712FFA"/>
    <w:rsid w:val="00717212"/>
    <w:rsid w:val="00721C1E"/>
    <w:rsid w:val="00757371"/>
    <w:rsid w:val="00776D33"/>
    <w:rsid w:val="0078115B"/>
    <w:rsid w:val="007918CE"/>
    <w:rsid w:val="00792490"/>
    <w:rsid w:val="007A36D8"/>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7D09"/>
    <w:rsid w:val="00F33EDF"/>
    <w:rsid w:val="00F352B3"/>
    <w:rsid w:val="00F50500"/>
    <w:rsid w:val="00F50E4E"/>
    <w:rsid w:val="00F50F42"/>
    <w:rsid w:val="00F51AE9"/>
    <w:rsid w:val="00F544E5"/>
    <w:rsid w:val="00F54859"/>
    <w:rsid w:val="00F67426"/>
    <w:rsid w:val="00F705D9"/>
    <w:rsid w:val="00F70A50"/>
    <w:rsid w:val="00F81301"/>
    <w:rsid w:val="00F850DF"/>
    <w:rsid w:val="00F87FE1"/>
    <w:rsid w:val="00FA19DE"/>
    <w:rsid w:val="00FB243A"/>
    <w:rsid w:val="00FD0316"/>
    <w:rsid w:val="00FE1055"/>
    <w:rsid w:val="00FF2173"/>
    <w:rsid w:val="00FF30C1"/>
    <w:rsid w:val="041847CA"/>
    <w:rsid w:val="06913258"/>
    <w:rsid w:val="088B5BD9"/>
    <w:rsid w:val="0A766D81"/>
    <w:rsid w:val="0A8D618D"/>
    <w:rsid w:val="0D7444D4"/>
    <w:rsid w:val="0DCC06E2"/>
    <w:rsid w:val="0F5B692A"/>
    <w:rsid w:val="103224A1"/>
    <w:rsid w:val="10556121"/>
    <w:rsid w:val="10E51AC5"/>
    <w:rsid w:val="152D3042"/>
    <w:rsid w:val="156727A9"/>
    <w:rsid w:val="16A41345"/>
    <w:rsid w:val="177952CD"/>
    <w:rsid w:val="1DBF04AD"/>
    <w:rsid w:val="1DF0482E"/>
    <w:rsid w:val="1E577A31"/>
    <w:rsid w:val="1EB43C80"/>
    <w:rsid w:val="20B10F7B"/>
    <w:rsid w:val="21C91FB5"/>
    <w:rsid w:val="235B5271"/>
    <w:rsid w:val="241C13BD"/>
    <w:rsid w:val="2AF75A6C"/>
    <w:rsid w:val="2C08173D"/>
    <w:rsid w:val="2C2B487B"/>
    <w:rsid w:val="2D404A46"/>
    <w:rsid w:val="303654A5"/>
    <w:rsid w:val="3214119E"/>
    <w:rsid w:val="33F5773B"/>
    <w:rsid w:val="37981DA8"/>
    <w:rsid w:val="3801173C"/>
    <w:rsid w:val="38381EA7"/>
    <w:rsid w:val="3C1F26AB"/>
    <w:rsid w:val="3E1B50AF"/>
    <w:rsid w:val="3E1D41A2"/>
    <w:rsid w:val="40243235"/>
    <w:rsid w:val="402F07D5"/>
    <w:rsid w:val="42347884"/>
    <w:rsid w:val="428C0F4D"/>
    <w:rsid w:val="441822E7"/>
    <w:rsid w:val="44CA65FC"/>
    <w:rsid w:val="4707219F"/>
    <w:rsid w:val="480533F9"/>
    <w:rsid w:val="498520F3"/>
    <w:rsid w:val="49DD3A42"/>
    <w:rsid w:val="4AE62337"/>
    <w:rsid w:val="4B2C52E0"/>
    <w:rsid w:val="4DFC7B62"/>
    <w:rsid w:val="4E7F7BE4"/>
    <w:rsid w:val="50071518"/>
    <w:rsid w:val="50B138A7"/>
    <w:rsid w:val="52DB2DBE"/>
    <w:rsid w:val="54517DF8"/>
    <w:rsid w:val="54630DFA"/>
    <w:rsid w:val="56027126"/>
    <w:rsid w:val="58D4167F"/>
    <w:rsid w:val="5B85591A"/>
    <w:rsid w:val="5BD54405"/>
    <w:rsid w:val="5C6863BD"/>
    <w:rsid w:val="5D1A48E4"/>
    <w:rsid w:val="5D3D318E"/>
    <w:rsid w:val="5F6F60B0"/>
    <w:rsid w:val="5FE22742"/>
    <w:rsid w:val="62972D63"/>
    <w:rsid w:val="65627964"/>
    <w:rsid w:val="676035A2"/>
    <w:rsid w:val="67976A56"/>
    <w:rsid w:val="69135FF5"/>
    <w:rsid w:val="6C982816"/>
    <w:rsid w:val="6D9914EB"/>
    <w:rsid w:val="6ED34278"/>
    <w:rsid w:val="71517D74"/>
    <w:rsid w:val="75A631DA"/>
    <w:rsid w:val="765C3D8C"/>
    <w:rsid w:val="76634BDF"/>
    <w:rsid w:val="767749C0"/>
    <w:rsid w:val="782A0823"/>
    <w:rsid w:val="7A0B19CB"/>
    <w:rsid w:val="7A0F7255"/>
    <w:rsid w:val="7A9435AF"/>
    <w:rsid w:val="7B48482A"/>
    <w:rsid w:val="7CCB17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qFormat/>
    <w:uiPriority w:val="99"/>
    <w:pPr>
      <w:ind w:firstLine="420" w:firstLineChars="200"/>
    </w:pPr>
  </w:style>
  <w:style w:type="paragraph" w:styleId="3">
    <w:name w:val="annotation text"/>
    <w:basedOn w:val="1"/>
    <w:link w:val="16"/>
    <w:autoRedefine/>
    <w:semiHidden/>
    <w:qFormat/>
    <w:uiPriority w:val="99"/>
    <w:pPr>
      <w:jc w:val="left"/>
    </w:pPr>
  </w:style>
  <w:style w:type="paragraph" w:styleId="4">
    <w:name w:val="Body Text"/>
    <w:basedOn w:val="1"/>
    <w:autoRedefine/>
    <w:qFormat/>
    <w:uiPriority w:val="0"/>
    <w:pPr>
      <w:tabs>
        <w:tab w:val="left" w:pos="567"/>
      </w:tabs>
      <w:spacing w:before="120" w:line="22" w:lineRule="atLeast"/>
    </w:pPr>
    <w:rPr>
      <w:rFonts w:ascii="宋体" w:hAnsi="宋体"/>
      <w:sz w:val="24"/>
    </w:rPr>
  </w:style>
  <w:style w:type="paragraph" w:styleId="5">
    <w:name w:val="Plain Text"/>
    <w:basedOn w:val="1"/>
    <w:autoRedefine/>
    <w:qFormat/>
    <w:uiPriority w:val="0"/>
    <w:rPr>
      <w:rFonts w:ascii="宋体" w:hAnsi="Courier New"/>
      <w:szCs w:val="20"/>
    </w:rPr>
  </w:style>
  <w:style w:type="paragraph" w:styleId="6">
    <w:name w:val="Balloon Text"/>
    <w:basedOn w:val="1"/>
    <w:link w:val="18"/>
    <w:autoRedefine/>
    <w:semiHidden/>
    <w:qFormat/>
    <w:uiPriority w:val="99"/>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autoRedefine/>
    <w:semiHidden/>
    <w:qFormat/>
    <w:uiPriority w:val="99"/>
    <w:rPr>
      <w:b/>
      <w:bCs/>
    </w:rPr>
  </w:style>
  <w:style w:type="character" w:styleId="12">
    <w:name w:val="annotation reference"/>
    <w:basedOn w:val="11"/>
    <w:autoRedefine/>
    <w:semiHidden/>
    <w:qFormat/>
    <w:uiPriority w:val="99"/>
    <w:rPr>
      <w:rFonts w:cs="Times New Roman"/>
      <w:sz w:val="21"/>
      <w:szCs w:val="21"/>
    </w:rPr>
  </w:style>
  <w:style w:type="character" w:customStyle="1" w:styleId="13">
    <w:name w:val="页脚 Char"/>
    <w:basedOn w:val="11"/>
    <w:link w:val="7"/>
    <w:autoRedefine/>
    <w:qFormat/>
    <w:locked/>
    <w:uiPriority w:val="99"/>
    <w:rPr>
      <w:rFonts w:ascii="Times New Roman" w:hAnsi="Times New Roman" w:eastAsia="宋体" w:cs="Times New Roman"/>
      <w:sz w:val="18"/>
      <w:szCs w:val="18"/>
    </w:rPr>
  </w:style>
  <w:style w:type="character" w:customStyle="1" w:styleId="14">
    <w:name w:val="页眉 Char"/>
    <w:basedOn w:val="11"/>
    <w:link w:val="8"/>
    <w:autoRedefine/>
    <w:semiHidden/>
    <w:qFormat/>
    <w:locked/>
    <w:uiPriority w:val="99"/>
    <w:rPr>
      <w:rFonts w:ascii="Times New Roman" w:hAnsi="Times New Roman" w:eastAsia="宋体" w:cs="Times New Roman"/>
      <w:sz w:val="18"/>
      <w:szCs w:val="18"/>
    </w:rPr>
  </w:style>
  <w:style w:type="paragraph" w:customStyle="1" w:styleId="15">
    <w:name w:val="三号正文"/>
    <w:basedOn w:val="2"/>
    <w:autoRedefine/>
    <w:qFormat/>
    <w:uiPriority w:val="0"/>
    <w:rPr>
      <w:rFonts w:eastAsia="仿宋_GB2312"/>
      <w:sz w:val="32"/>
      <w:szCs w:val="31"/>
    </w:rPr>
  </w:style>
  <w:style w:type="character" w:customStyle="1" w:styleId="16">
    <w:name w:val="批注文字 Char"/>
    <w:basedOn w:val="11"/>
    <w:link w:val="3"/>
    <w:autoRedefine/>
    <w:semiHidden/>
    <w:qFormat/>
    <w:locked/>
    <w:uiPriority w:val="99"/>
    <w:rPr>
      <w:rFonts w:ascii="Times New Roman" w:hAnsi="Times New Roman" w:cs="Times New Roman"/>
      <w:kern w:val="2"/>
      <w:sz w:val="24"/>
      <w:szCs w:val="24"/>
    </w:rPr>
  </w:style>
  <w:style w:type="character" w:customStyle="1" w:styleId="17">
    <w:name w:val="批注主题 Char"/>
    <w:basedOn w:val="16"/>
    <w:link w:val="9"/>
    <w:autoRedefine/>
    <w:semiHidden/>
    <w:qFormat/>
    <w:locked/>
    <w:uiPriority w:val="99"/>
    <w:rPr>
      <w:b/>
      <w:bCs/>
    </w:rPr>
  </w:style>
  <w:style w:type="character" w:customStyle="1" w:styleId="18">
    <w:name w:val="批注框文本 Char"/>
    <w:basedOn w:val="11"/>
    <w:link w:val="6"/>
    <w:autoRedefine/>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1512</Words>
  <Characters>1590</Characters>
  <Lines>11</Lines>
  <Paragraphs>3</Paragraphs>
  <TotalTime>33</TotalTime>
  <ScaleCrop>false</ScaleCrop>
  <LinksUpToDate>false</LinksUpToDate>
  <CharactersWithSpaces>1993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沐渊</cp:lastModifiedBy>
  <cp:lastPrinted>2025-03-28T02:09:02Z</cp:lastPrinted>
  <dcterms:modified xsi:type="dcterms:W3CDTF">2025-03-28T03:02:46Z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4AF1D62FFDEC4C589CCC591E126F12F4_13</vt:lpwstr>
  </property>
  <property fmtid="{D5CDD505-2E9C-101B-9397-08002B2CF9AE}" pid="4" name="KSOTemplateDocerSaveRecord">
    <vt:lpwstr>eyJoZGlkIjoiZjRlYTk3OTNlNjRmMjZlZDI4ODk1NmY1Y2U5MzdlYTYiLCJ1c2VySWQiOiI0MTA3MjcwNDkifQ==</vt:lpwstr>
  </property>
</Properties>
</file>