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24" w:type="dxa"/>
        <w:jc w:val="center"/>
        <w:tblBorders>
          <w:top w:val="none" w:color="auto" w:sz="0" w:space="0"/>
          <w:left w:val="none" w:color="auto" w:sz="0" w:space="0"/>
          <w:bottom w:val="thinThickSmall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4"/>
      </w:tblGrid>
      <w:tr w14:paraId="564771E8"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9624" w:type="dxa"/>
          </w:tcPr>
          <w:p w14:paraId="5C507D58">
            <w:pPr>
              <w:pStyle w:val="3"/>
              <w:autoSpaceDE w:val="0"/>
              <w:autoSpaceDN w:val="0"/>
              <w:adjustRightInd w:val="0"/>
              <w:snapToGrid w:val="0"/>
              <w:spacing w:before="0" w:after="0" w:line="240" w:lineRule="auto"/>
              <w:ind w:left="310" w:leftChars="100" w:right="310" w:rightChars="100"/>
              <w:jc w:val="distribute"/>
              <w:rPr>
                <w:rFonts w:eastAsia="华康简标题宋"/>
                <w:bCs/>
                <w:color w:val="FF0000"/>
                <w:spacing w:val="120"/>
                <w:w w:val="90"/>
                <w:kern w:val="72"/>
                <w:sz w:val="72"/>
                <w:highlight w:val="none"/>
              </w:rPr>
            </w:pPr>
            <w:bookmarkStart w:id="0" w:name="xxqqWholeArea"/>
            <w:r>
              <w:rPr>
                <w:rFonts w:hint="eastAsia" w:eastAsia="华康简标题宋"/>
                <w:bCs/>
                <w:color w:val="FF0000"/>
                <w:spacing w:val="102"/>
                <w:w w:val="90"/>
                <w:kern w:val="72"/>
                <w:sz w:val="72"/>
                <w:highlight w:val="none"/>
              </w:rPr>
              <w:t>东莞市</w:t>
            </w:r>
            <w:r>
              <w:rPr>
                <w:rFonts w:eastAsia="华康简标题宋"/>
                <w:bCs/>
                <w:color w:val="FF0000"/>
                <w:spacing w:val="102"/>
                <w:w w:val="90"/>
                <w:kern w:val="72"/>
                <w:sz w:val="72"/>
                <w:highlight w:val="none"/>
              </w:rPr>
              <w:t>大</w:t>
            </w:r>
            <w:r>
              <w:rPr>
                <w:rFonts w:hint="eastAsia" w:eastAsia="华康简标题宋"/>
                <w:bCs/>
                <w:color w:val="FF0000"/>
                <w:spacing w:val="102"/>
                <w:w w:val="90"/>
                <w:kern w:val="72"/>
                <w:sz w:val="72"/>
                <w:highlight w:val="none"/>
              </w:rPr>
              <w:t>朗慈善会</w:t>
            </w:r>
          </w:p>
        </w:tc>
      </w:tr>
      <w:bookmarkEnd w:id="0"/>
    </w:tbl>
    <w:p w14:paraId="65CDB112">
      <w:pPr>
        <w:spacing w:line="600" w:lineRule="exact"/>
        <w:rPr>
          <w:rFonts w:ascii="华康简标题宋" w:hAnsi="华康简标题宋" w:eastAsia="华康简标题宋" w:cs="华康简标题宋"/>
          <w:b/>
          <w:bCs/>
          <w:sz w:val="42"/>
          <w:szCs w:val="42"/>
          <w:highlight w:val="none"/>
        </w:rPr>
      </w:pPr>
    </w:p>
    <w:p w14:paraId="66BD275B">
      <w:pPr>
        <w:spacing w:line="600" w:lineRule="exact"/>
        <w:jc w:val="center"/>
        <w:rPr>
          <w:rFonts w:ascii="华康简标题宋" w:hAnsi="华康简标题宋" w:eastAsia="华康简标题宋" w:cs="仿宋"/>
          <w:sz w:val="42"/>
          <w:szCs w:val="42"/>
          <w:highlight w:val="none"/>
        </w:rPr>
      </w:pPr>
      <w:r>
        <w:rPr>
          <w:rFonts w:hint="eastAsia" w:ascii="华康简标题宋" w:hAnsi="华康简标题宋" w:eastAsia="华康简标题宋" w:cs="仿宋"/>
          <w:sz w:val="42"/>
          <w:szCs w:val="42"/>
          <w:highlight w:val="none"/>
        </w:rPr>
        <w:t>大朗镇慈善助学办法</w:t>
      </w:r>
    </w:p>
    <w:p w14:paraId="1649D174">
      <w:pPr>
        <w:spacing w:line="600" w:lineRule="exact"/>
        <w:ind w:firstLine="420"/>
        <w:jc w:val="center"/>
        <w:rPr>
          <w:rFonts w:hint="eastAsia" w:ascii="仿宋_GB2312" w:hAnsi="仿宋_GB2312" w:cs="仿宋_GB2312"/>
          <w:szCs w:val="31"/>
          <w:highlight w:val="none"/>
        </w:rPr>
      </w:pPr>
    </w:p>
    <w:p w14:paraId="67B058D5">
      <w:pPr>
        <w:spacing w:line="600" w:lineRule="exact"/>
        <w:ind w:firstLine="640"/>
        <w:rPr>
          <w:rFonts w:hint="default" w:ascii="仿宋_GB2312" w:hAnsi="仿宋_GB2312" w:eastAsia="仿宋_GB2312" w:cs="仿宋_GB2312"/>
          <w:szCs w:val="31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1"/>
          <w:highlight w:val="none"/>
        </w:rPr>
        <w:t>为积极开展助学兴教工作，弘扬慈善文化，聚焦困难群众关注关切，切实保障低保、低收入等困难家庭学生受教育的权利，结合我镇教育发展的需求，特修订大朗镇慈善助学办法。</w:t>
      </w:r>
      <w:r>
        <w:rPr>
          <w:rFonts w:hint="eastAsia" w:ascii="仿宋_GB2312" w:hAnsi="仿宋_GB2312" w:cs="仿宋_GB2312"/>
          <w:szCs w:val="31"/>
          <w:highlight w:val="none"/>
          <w:lang w:val="en-US" w:eastAsia="zh-CN"/>
        </w:rPr>
        <w:t>具体如下：</w:t>
      </w:r>
    </w:p>
    <w:p w14:paraId="41447966">
      <w:pPr>
        <w:spacing w:line="600" w:lineRule="exact"/>
        <w:ind w:firstLine="640"/>
        <w:rPr>
          <w:rFonts w:hint="default" w:ascii="Times New Roman" w:hAnsi="Times New Roman" w:cs="Times New Roman"/>
          <w:szCs w:val="31"/>
          <w:highlight w:val="none"/>
        </w:rPr>
      </w:pPr>
      <w:r>
        <w:rPr>
          <w:rFonts w:hint="default" w:ascii="Times New Roman" w:hAnsi="Times New Roman" w:eastAsia="黑体" w:cs="Times New Roman"/>
          <w:bCs/>
          <w:szCs w:val="31"/>
          <w:highlight w:val="none"/>
        </w:rPr>
        <w:t>一、</w:t>
      </w:r>
      <w:r>
        <w:rPr>
          <w:rFonts w:hint="default" w:ascii="Times New Roman" w:hAnsi="Times New Roman" w:eastAsia="黑体" w:cs="Times New Roman"/>
          <w:bCs/>
          <w:szCs w:val="31"/>
          <w:highlight w:val="none"/>
          <w:lang w:val="en-US" w:eastAsia="zh-CN"/>
        </w:rPr>
        <w:t>助学对象</w:t>
      </w:r>
      <w:r>
        <w:rPr>
          <w:rFonts w:hint="default" w:ascii="Times New Roman" w:hAnsi="Times New Roman" w:cs="Times New Roman"/>
          <w:szCs w:val="31"/>
          <w:highlight w:val="none"/>
        </w:rPr>
        <w:t xml:space="preserve"> </w:t>
      </w:r>
    </w:p>
    <w:p w14:paraId="476A0B9A">
      <w:pPr>
        <w:spacing w:line="600" w:lineRule="exact"/>
        <w:ind w:firstLine="640"/>
        <w:rPr>
          <w:rFonts w:hint="default" w:ascii="Times New Roman" w:hAnsi="Times New Roman" w:eastAsia="仿宋_GB2312" w:cs="Times New Roman"/>
          <w:szCs w:val="3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Cs w:val="31"/>
          <w:highlight w:val="none"/>
        </w:rPr>
        <w:t>具有</w:t>
      </w:r>
      <w:r>
        <w:rPr>
          <w:rFonts w:hint="default" w:ascii="Times New Roman" w:hAnsi="Times New Roman" w:cs="Times New Roman"/>
          <w:szCs w:val="31"/>
          <w:highlight w:val="none"/>
          <w:lang w:val="en-US" w:eastAsia="zh-CN"/>
        </w:rPr>
        <w:t>我</w:t>
      </w:r>
      <w:r>
        <w:rPr>
          <w:rFonts w:hint="default" w:ascii="Times New Roman" w:hAnsi="Times New Roman" w:cs="Times New Roman"/>
          <w:szCs w:val="31"/>
          <w:highlight w:val="none"/>
        </w:rPr>
        <w:t>镇户籍</w:t>
      </w:r>
      <w:r>
        <w:rPr>
          <w:rFonts w:hint="default" w:ascii="Times New Roman" w:hAnsi="Times New Roman" w:cs="Times New Roman"/>
          <w:szCs w:val="31"/>
          <w:highlight w:val="none"/>
          <w:lang w:val="en-US" w:eastAsia="zh-CN"/>
        </w:rPr>
        <w:t>且符合贫困资助标准的</w:t>
      </w:r>
      <w:r>
        <w:rPr>
          <w:rFonts w:hint="default" w:ascii="Times New Roman" w:hAnsi="Times New Roman" w:cs="Times New Roman"/>
          <w:szCs w:val="31"/>
          <w:highlight w:val="none"/>
        </w:rPr>
        <w:t>幼儿园、小学、初中、高中（含中职）和大学在校学生。</w:t>
      </w:r>
      <w:r>
        <w:rPr>
          <w:rFonts w:hint="default" w:ascii="Times New Roman" w:hAnsi="Times New Roman" w:cs="Times New Roman"/>
          <w:szCs w:val="31"/>
          <w:highlight w:val="none"/>
          <w:lang w:val="en-US" w:eastAsia="zh-CN"/>
        </w:rPr>
        <w:t>其中贫困资助学生应符合以下条件之一：</w:t>
      </w:r>
    </w:p>
    <w:p w14:paraId="74CABDCD">
      <w:pPr>
        <w:spacing w:line="600" w:lineRule="exact"/>
        <w:ind w:firstLine="640"/>
        <w:rPr>
          <w:rFonts w:hint="default" w:ascii="Times New Roman" w:hAnsi="Times New Roman" w:cs="Times New Roman"/>
          <w:szCs w:val="31"/>
          <w:highlight w:val="none"/>
        </w:rPr>
      </w:pPr>
      <w:r>
        <w:rPr>
          <w:rFonts w:hint="default" w:ascii="Times New Roman" w:hAnsi="Times New Roman" w:cs="Times New Roman"/>
          <w:szCs w:val="31"/>
          <w:highlight w:val="none"/>
        </w:rPr>
        <w:t>1. 低保家庭的学生；</w:t>
      </w:r>
    </w:p>
    <w:p w14:paraId="1535F1C5">
      <w:pPr>
        <w:spacing w:line="600" w:lineRule="exact"/>
        <w:ind w:firstLine="640"/>
        <w:rPr>
          <w:rFonts w:hint="default" w:ascii="Times New Roman" w:hAnsi="Times New Roman" w:cs="Times New Roman"/>
          <w:szCs w:val="31"/>
          <w:highlight w:val="none"/>
        </w:rPr>
      </w:pPr>
      <w:r>
        <w:rPr>
          <w:rFonts w:hint="default" w:ascii="Times New Roman" w:hAnsi="Times New Roman" w:cs="Times New Roman"/>
          <w:szCs w:val="31"/>
          <w:highlight w:val="none"/>
        </w:rPr>
        <w:t>2. 低保边缘家庭的学生（即家庭人均月收入在当地城镇最低生活保障标准1.5倍以下，且不得超过当地月最低工资标准，低收入困难家庭的学生）；</w:t>
      </w:r>
    </w:p>
    <w:p w14:paraId="7EDA6B9A">
      <w:pPr>
        <w:spacing w:line="600" w:lineRule="exact"/>
        <w:ind w:firstLine="640"/>
        <w:rPr>
          <w:rFonts w:hint="default" w:ascii="Times New Roman" w:hAnsi="Times New Roman" w:cs="Times New Roman"/>
          <w:szCs w:val="31"/>
          <w:highlight w:val="none"/>
        </w:rPr>
      </w:pPr>
      <w:r>
        <w:rPr>
          <w:rFonts w:hint="default" w:ascii="Times New Roman" w:hAnsi="Times New Roman" w:cs="Times New Roman"/>
          <w:szCs w:val="31"/>
          <w:highlight w:val="none"/>
        </w:rPr>
        <w:t>3. 因自然灾害、重大疾病、突发事故等原因导致家庭临时贫困的其他学生。</w:t>
      </w:r>
    </w:p>
    <w:p w14:paraId="6757286F">
      <w:pPr>
        <w:spacing w:line="600" w:lineRule="exact"/>
        <w:ind w:firstLine="640"/>
        <w:rPr>
          <w:rFonts w:hint="default" w:ascii="Times New Roman" w:hAnsi="Times New Roman" w:eastAsia="黑体" w:cs="Times New Roman"/>
          <w:bCs/>
          <w:szCs w:val="31"/>
          <w:highlight w:val="none"/>
        </w:rPr>
      </w:pPr>
      <w:r>
        <w:rPr>
          <w:rFonts w:hint="default" w:ascii="Times New Roman" w:hAnsi="Times New Roman" w:eastAsia="黑体" w:cs="Times New Roman"/>
          <w:bCs/>
          <w:szCs w:val="31"/>
          <w:highlight w:val="none"/>
          <w:lang w:val="en-US" w:eastAsia="zh-CN"/>
        </w:rPr>
        <w:t>二、助学</w:t>
      </w:r>
      <w:r>
        <w:rPr>
          <w:rFonts w:hint="default" w:ascii="Times New Roman" w:hAnsi="Times New Roman" w:eastAsia="黑体" w:cs="Times New Roman"/>
          <w:bCs/>
          <w:szCs w:val="31"/>
          <w:highlight w:val="none"/>
        </w:rPr>
        <w:t>标准</w:t>
      </w:r>
    </w:p>
    <w:p w14:paraId="16586838">
      <w:pPr>
        <w:spacing w:line="600" w:lineRule="exact"/>
        <w:ind w:firstLine="640"/>
        <w:rPr>
          <w:rFonts w:hint="default" w:ascii="Times New Roman" w:hAnsi="Times New Roman" w:cs="Times New Roman"/>
          <w:szCs w:val="31"/>
          <w:highlight w:val="none"/>
        </w:rPr>
      </w:pPr>
      <w:r>
        <w:rPr>
          <w:rFonts w:hint="default" w:ascii="Times New Roman" w:hAnsi="Times New Roman" w:cs="Times New Roman"/>
          <w:szCs w:val="31"/>
          <w:highlight w:val="none"/>
        </w:rPr>
        <w:t>大学生（含大专、本科、研究生、博士生</w:t>
      </w:r>
      <w:r>
        <w:rPr>
          <w:rFonts w:hint="eastAsia" w:cs="Times New Roman"/>
          <w:szCs w:val="31"/>
          <w:highlight w:val="none"/>
          <w:lang w:val="en-US" w:eastAsia="zh-CN"/>
        </w:rPr>
        <w:t>,</w:t>
      </w:r>
      <w:r>
        <w:rPr>
          <w:rFonts w:hint="eastAsia" w:cs="Times New Roman"/>
          <w:szCs w:val="31"/>
          <w:highlight w:val="none"/>
          <w:lang w:eastAsia="zh-CN"/>
        </w:rPr>
        <w:t>全日制在校学生</w:t>
      </w:r>
      <w:r>
        <w:rPr>
          <w:rFonts w:hint="default" w:ascii="Times New Roman" w:hAnsi="Times New Roman" w:cs="Times New Roman"/>
          <w:szCs w:val="31"/>
          <w:highlight w:val="none"/>
        </w:rPr>
        <w:t>）每人每</w:t>
      </w:r>
      <w:r>
        <w:rPr>
          <w:rFonts w:hint="default" w:ascii="Times New Roman" w:hAnsi="Times New Roman" w:cs="Times New Roman"/>
          <w:szCs w:val="31"/>
          <w:highlight w:val="none"/>
          <w:lang w:eastAsia="zh-CN"/>
        </w:rPr>
        <w:t>学期</w:t>
      </w:r>
      <w:r>
        <w:rPr>
          <w:rFonts w:hint="default" w:ascii="Times New Roman" w:hAnsi="Times New Roman" w:cs="Times New Roman"/>
          <w:szCs w:val="31"/>
          <w:highlight w:val="none"/>
        </w:rPr>
        <w:t>补助1500元；高中生（含职校）每人</w:t>
      </w:r>
      <w:r>
        <w:rPr>
          <w:rFonts w:hint="default" w:ascii="Times New Roman" w:hAnsi="Times New Roman" w:cs="Times New Roman"/>
          <w:szCs w:val="31"/>
          <w:highlight w:val="none"/>
          <w:lang w:eastAsia="zh-CN"/>
        </w:rPr>
        <w:t>每学期</w:t>
      </w:r>
      <w:r>
        <w:rPr>
          <w:rFonts w:hint="default" w:ascii="Times New Roman" w:hAnsi="Times New Roman" w:cs="Times New Roman"/>
          <w:szCs w:val="31"/>
          <w:highlight w:val="none"/>
        </w:rPr>
        <w:t>补助1000元；初中生、小学生每人每</w:t>
      </w:r>
      <w:r>
        <w:rPr>
          <w:rFonts w:hint="default" w:ascii="Times New Roman" w:hAnsi="Times New Roman" w:cs="Times New Roman"/>
          <w:szCs w:val="31"/>
          <w:highlight w:val="none"/>
          <w:lang w:eastAsia="zh-CN"/>
        </w:rPr>
        <w:t>学期</w:t>
      </w:r>
      <w:r>
        <w:rPr>
          <w:rFonts w:hint="default" w:ascii="Times New Roman" w:hAnsi="Times New Roman" w:cs="Times New Roman"/>
          <w:szCs w:val="31"/>
          <w:highlight w:val="none"/>
        </w:rPr>
        <w:t>补助500元；幼儿园每人每</w:t>
      </w:r>
      <w:r>
        <w:rPr>
          <w:rFonts w:hint="default" w:ascii="Times New Roman" w:hAnsi="Times New Roman" w:cs="Times New Roman"/>
          <w:szCs w:val="31"/>
          <w:highlight w:val="none"/>
          <w:lang w:eastAsia="zh-CN"/>
        </w:rPr>
        <w:t>学期</w:t>
      </w:r>
      <w:r>
        <w:rPr>
          <w:rFonts w:hint="default" w:ascii="Times New Roman" w:hAnsi="Times New Roman" w:cs="Times New Roman"/>
          <w:szCs w:val="31"/>
          <w:highlight w:val="none"/>
        </w:rPr>
        <w:t>补助1000元。</w:t>
      </w:r>
    </w:p>
    <w:p w14:paraId="11488DD1">
      <w:pPr>
        <w:spacing w:line="600" w:lineRule="exact"/>
        <w:ind w:firstLine="640"/>
        <w:rPr>
          <w:rFonts w:hint="default" w:ascii="Times New Roman" w:hAnsi="Times New Roman" w:eastAsia="黑体" w:cs="Times New Roman"/>
          <w:bCs/>
          <w:szCs w:val="31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Cs w:val="31"/>
          <w:highlight w:val="none"/>
          <w:lang w:val="en-US" w:eastAsia="zh-CN"/>
        </w:rPr>
        <w:t>三、助学程序</w:t>
      </w:r>
    </w:p>
    <w:p w14:paraId="00143F7E">
      <w:pPr>
        <w:spacing w:line="600" w:lineRule="exact"/>
        <w:ind w:firstLine="640"/>
        <w:rPr>
          <w:rFonts w:hint="default" w:ascii="Times New Roman" w:hAnsi="Times New Roman" w:eastAsia="楷体_GB2312" w:cs="Times New Roman"/>
          <w:szCs w:val="31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Cs w:val="31"/>
          <w:highlight w:val="none"/>
        </w:rPr>
        <w:t>（一）</w:t>
      </w:r>
      <w:r>
        <w:rPr>
          <w:rFonts w:hint="default" w:ascii="Times New Roman" w:hAnsi="Times New Roman" w:eastAsia="楷体_GB2312" w:cs="Times New Roman"/>
          <w:szCs w:val="31"/>
          <w:highlight w:val="none"/>
          <w:lang w:val="en-US" w:eastAsia="zh-CN"/>
        </w:rPr>
        <w:t>提出申请</w:t>
      </w:r>
    </w:p>
    <w:p w14:paraId="3362A123">
      <w:pPr>
        <w:numPr>
          <w:ilvl w:val="-1"/>
          <w:numId w:val="0"/>
        </w:numPr>
        <w:spacing w:line="600" w:lineRule="exact"/>
        <w:ind w:firstLine="620" w:firstLineChars="200"/>
        <w:rPr>
          <w:rFonts w:hint="eastAsia" w:ascii="仿宋_GB2312" w:hAnsi="仿宋_GB2312" w:cs="仿宋_GB2312"/>
          <w:szCs w:val="3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Cs w:val="31"/>
          <w:highlight w:val="none"/>
          <w:lang w:val="en-US" w:eastAsia="zh-CN"/>
        </w:rPr>
        <w:t>需要资助的学生可按学期申请助学，于每学期开学后一个月内</w:t>
      </w:r>
      <w:r>
        <w:rPr>
          <w:rFonts w:hint="eastAsia" w:ascii="仿宋_GB2312" w:hAnsi="仿宋_GB2312" w:cs="仿宋_GB2312"/>
          <w:szCs w:val="31"/>
          <w:highlight w:val="none"/>
          <w:lang w:val="en-US" w:eastAsia="zh-CN"/>
        </w:rPr>
        <w:t>（具体截止申请时间以当年通知为准），由学生本人（或监护人）按对应条件向户籍所在村（社区）提交如下相关申请材料：</w:t>
      </w:r>
    </w:p>
    <w:p w14:paraId="6B882638">
      <w:pPr>
        <w:numPr>
          <w:ilvl w:val="0"/>
          <w:numId w:val="0"/>
        </w:numPr>
        <w:spacing w:line="600" w:lineRule="exact"/>
        <w:ind w:firstLine="620" w:firstLineChars="200"/>
        <w:rPr>
          <w:rFonts w:hint="default" w:ascii="Times New Roman" w:hAnsi="Times New Roman" w:cs="Times New Roman"/>
          <w:szCs w:val="31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1"/>
          <w:szCs w:val="31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cs="Times New Roman"/>
          <w:szCs w:val="31"/>
          <w:highlight w:val="none"/>
        </w:rPr>
        <w:t>低保家庭及低保边缘家庭</w:t>
      </w:r>
    </w:p>
    <w:p w14:paraId="074FD82F">
      <w:pPr>
        <w:spacing w:line="600" w:lineRule="exact"/>
        <w:ind w:firstLine="640" w:firstLineChars="0"/>
        <w:rPr>
          <w:rFonts w:hint="default" w:ascii="Times New Roman" w:hAnsi="Times New Roman" w:cs="Times New Roman"/>
          <w:szCs w:val="31"/>
          <w:highlight w:val="none"/>
        </w:rPr>
      </w:pPr>
      <w:r>
        <w:rPr>
          <w:rFonts w:hint="default" w:ascii="Times New Roman" w:hAnsi="Times New Roman" w:cs="Times New Roman"/>
          <w:szCs w:val="31"/>
          <w:highlight w:val="none"/>
        </w:rPr>
        <w:t>需提供家庭情况证明材料（如低保家庭提供</w:t>
      </w:r>
      <w:r>
        <w:rPr>
          <w:rFonts w:hint="eastAsia" w:cs="Times New Roman"/>
          <w:szCs w:val="31"/>
          <w:highlight w:val="none"/>
          <w:lang w:eastAsia="zh-CN"/>
        </w:rPr>
        <w:t>《广东省城乡居民最低生活保障证》</w:t>
      </w:r>
      <w:r>
        <w:rPr>
          <w:rFonts w:hint="default" w:ascii="Times New Roman" w:hAnsi="Times New Roman" w:cs="Times New Roman"/>
          <w:szCs w:val="31"/>
          <w:highlight w:val="none"/>
        </w:rPr>
        <w:t>、低保边缘家庭提供</w:t>
      </w:r>
      <w:r>
        <w:rPr>
          <w:rFonts w:hint="eastAsia" w:cs="Times New Roman"/>
          <w:szCs w:val="31"/>
          <w:highlight w:val="none"/>
          <w:lang w:eastAsia="zh-CN"/>
        </w:rPr>
        <w:t>《广东省最低生活保障边缘家庭证》</w:t>
      </w:r>
      <w:r>
        <w:rPr>
          <w:rFonts w:hint="default" w:ascii="Times New Roman" w:hAnsi="Times New Roman" w:cs="Times New Roman"/>
          <w:szCs w:val="31"/>
          <w:highlight w:val="none"/>
        </w:rPr>
        <w:t>）、在校证明（学生证等）和收款银行账号</w:t>
      </w:r>
      <w:r>
        <w:rPr>
          <w:rFonts w:hint="eastAsia" w:cs="Times New Roman"/>
          <w:szCs w:val="31"/>
          <w:highlight w:val="none"/>
          <w:lang w:eastAsia="zh-CN"/>
        </w:rPr>
        <w:t>等</w:t>
      </w:r>
      <w:r>
        <w:rPr>
          <w:rFonts w:hint="default" w:ascii="Times New Roman" w:hAnsi="Times New Roman" w:cs="Times New Roman"/>
          <w:szCs w:val="31"/>
          <w:highlight w:val="none"/>
        </w:rPr>
        <w:t>信息。</w:t>
      </w:r>
    </w:p>
    <w:p w14:paraId="2F425004">
      <w:pPr>
        <w:numPr>
          <w:ilvl w:val="-1"/>
          <w:numId w:val="0"/>
        </w:numPr>
        <w:spacing w:line="600" w:lineRule="exact"/>
        <w:ind w:firstLine="640" w:firstLineChars="0"/>
        <w:rPr>
          <w:rFonts w:hint="default" w:ascii="Times New Roman" w:hAnsi="Times New Roman" w:cs="Times New Roman"/>
          <w:szCs w:val="31"/>
          <w:highlight w:val="none"/>
        </w:rPr>
      </w:pPr>
      <w:r>
        <w:rPr>
          <w:rFonts w:hint="default" w:ascii="Times New Roman" w:hAnsi="Times New Roman" w:cs="Times New Roman"/>
          <w:szCs w:val="31"/>
          <w:highlight w:val="none"/>
          <w:lang w:val="en-US" w:eastAsia="zh-CN"/>
        </w:rPr>
        <w:t>2.</w:t>
      </w:r>
      <w:r>
        <w:rPr>
          <w:rFonts w:hint="default" w:ascii="Times New Roman" w:hAnsi="Times New Roman" w:cs="Times New Roman"/>
          <w:szCs w:val="31"/>
          <w:highlight w:val="none"/>
        </w:rPr>
        <w:t>临时贫困家庭</w:t>
      </w:r>
    </w:p>
    <w:p w14:paraId="35040ED6">
      <w:pPr>
        <w:spacing w:line="600" w:lineRule="exact"/>
        <w:ind w:firstLine="620" w:firstLineChars="200"/>
        <w:rPr>
          <w:rFonts w:hint="default" w:ascii="Times New Roman" w:hAnsi="Times New Roman" w:cs="Times New Roman"/>
          <w:szCs w:val="31"/>
          <w:highlight w:val="none"/>
        </w:rPr>
      </w:pPr>
      <w:r>
        <w:rPr>
          <w:rFonts w:hint="default" w:ascii="Times New Roman" w:hAnsi="Times New Roman" w:cs="Times New Roman"/>
          <w:szCs w:val="31"/>
          <w:highlight w:val="none"/>
        </w:rPr>
        <w:t>需提供村（社区）出具的认定材料、在校证明（学生证等）和</w:t>
      </w:r>
      <w:r>
        <w:rPr>
          <w:rFonts w:hint="eastAsia" w:cs="Times New Roman"/>
          <w:szCs w:val="31"/>
          <w:highlight w:val="none"/>
          <w:lang w:eastAsia="zh-CN"/>
        </w:rPr>
        <w:t>收款</w:t>
      </w:r>
      <w:r>
        <w:rPr>
          <w:rFonts w:hint="default" w:ascii="Times New Roman" w:hAnsi="Times New Roman" w:cs="Times New Roman"/>
          <w:szCs w:val="31"/>
          <w:highlight w:val="none"/>
        </w:rPr>
        <w:t>银行账号</w:t>
      </w:r>
      <w:r>
        <w:rPr>
          <w:rFonts w:hint="eastAsia" w:cs="Times New Roman"/>
          <w:szCs w:val="31"/>
          <w:highlight w:val="none"/>
          <w:lang w:eastAsia="zh-CN"/>
        </w:rPr>
        <w:t>等</w:t>
      </w:r>
      <w:r>
        <w:rPr>
          <w:rFonts w:hint="default" w:ascii="Times New Roman" w:hAnsi="Times New Roman" w:cs="Times New Roman"/>
          <w:szCs w:val="31"/>
          <w:highlight w:val="none"/>
        </w:rPr>
        <w:t>信息。</w:t>
      </w:r>
    </w:p>
    <w:p w14:paraId="39300293">
      <w:pPr>
        <w:spacing w:line="600" w:lineRule="exact"/>
        <w:ind w:firstLine="640"/>
        <w:rPr>
          <w:rFonts w:hint="eastAsia" w:ascii="楷体_GB2312" w:hAnsi="楷体_GB2312" w:eastAsia="楷体_GB2312" w:cs="楷体_GB2312"/>
          <w:szCs w:val="31"/>
          <w:highlight w:val="none"/>
          <w:lang w:val="en-US" w:eastAsia="zh-CN"/>
        </w:rPr>
      </w:pPr>
      <w:r>
        <w:rPr>
          <w:rFonts w:hint="eastAsia" w:cs="Times New Roman"/>
          <w:szCs w:val="24"/>
          <w:highlight w:val="none"/>
          <w:lang w:eastAsia="zh-CN"/>
        </w:rPr>
        <w:t>（二）</w:t>
      </w:r>
      <w:r>
        <w:rPr>
          <w:rFonts w:hint="default" w:ascii="楷体_GB2312" w:hAnsi="楷体_GB2312" w:eastAsia="楷体_GB2312" w:cs="楷体_GB2312"/>
          <w:szCs w:val="31"/>
          <w:highlight w:val="none"/>
          <w:lang w:val="en-US" w:eastAsia="zh-CN"/>
        </w:rPr>
        <w:t>审核认定</w:t>
      </w:r>
    </w:p>
    <w:p w14:paraId="43F8445E">
      <w:pPr>
        <w:spacing w:line="600" w:lineRule="exact"/>
        <w:ind w:firstLine="643"/>
        <w:rPr>
          <w:rFonts w:hint="eastAsia" w:ascii="仿宋_GB2312" w:hAnsi="仿宋_GB2312" w:eastAsia="仿宋_GB2312" w:cs="仿宋_GB2312"/>
          <w:color w:val="auto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highlight w:val="none"/>
        </w:rPr>
        <w:t>镇慈善会负责发文通知各村</w:t>
      </w:r>
      <w:r>
        <w:rPr>
          <w:rFonts w:hint="eastAsia" w:ascii="仿宋_GB2312" w:hAnsi="仿宋_GB2312" w:cs="仿宋_GB2312"/>
          <w:color w:val="auto"/>
          <w:sz w:val="31"/>
          <w:szCs w:val="31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highlight w:val="none"/>
        </w:rPr>
        <w:t>社区</w:t>
      </w:r>
      <w:r>
        <w:rPr>
          <w:rFonts w:hint="eastAsia" w:ascii="仿宋_GB2312" w:hAnsi="仿宋_GB2312" w:cs="仿宋_GB2312"/>
          <w:color w:val="auto"/>
          <w:sz w:val="31"/>
          <w:szCs w:val="31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highlight w:val="none"/>
        </w:rPr>
        <w:t>提交材料；</w:t>
      </w:r>
      <w:r>
        <w:rPr>
          <w:rFonts w:hint="eastAsia" w:ascii="仿宋_GB2312" w:hAnsi="仿宋_GB2312" w:cs="仿宋_GB2312"/>
          <w:color w:val="auto"/>
          <w:sz w:val="31"/>
          <w:szCs w:val="31"/>
          <w:highlight w:val="none"/>
          <w:lang w:eastAsia="zh-CN"/>
        </w:rPr>
        <w:t>镇慈善会联合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highlight w:val="none"/>
        </w:rPr>
        <w:t>镇教育管理中心</w:t>
      </w:r>
      <w:r>
        <w:rPr>
          <w:rFonts w:hint="eastAsia" w:ascii="仿宋_GB2312" w:hAnsi="仿宋_GB2312" w:cs="仿宋_GB2312"/>
          <w:color w:val="auto"/>
          <w:sz w:val="31"/>
          <w:szCs w:val="31"/>
          <w:highlight w:val="none"/>
          <w:lang w:eastAsia="zh-CN"/>
        </w:rPr>
        <w:t>对学生资料进行审核；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highlight w:val="none"/>
        </w:rPr>
        <w:t>镇慈善会根据审核结果拨付资金。</w:t>
      </w:r>
    </w:p>
    <w:p w14:paraId="4F7BC505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（三）发放资助</w:t>
      </w:r>
    </w:p>
    <w:p w14:paraId="3CBBC11C">
      <w:pPr>
        <w:spacing w:line="600" w:lineRule="exact"/>
        <w:ind w:firstLine="620" w:firstLineChars="200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1"/>
          <w:highlight w:val="none"/>
          <w:lang w:val="en-US" w:eastAsia="zh-CN"/>
        </w:rPr>
        <w:t>1.</w:t>
      </w:r>
      <w:r>
        <w:rPr>
          <w:rFonts w:hint="eastAsia" w:ascii="仿宋_GB2312" w:hAnsi="仿宋_GB2312" w:cs="仿宋_GB2312"/>
          <w:szCs w:val="31"/>
          <w:highlight w:val="none"/>
        </w:rPr>
        <w:t>镇慈善会根据</w:t>
      </w:r>
      <w:r>
        <w:rPr>
          <w:rFonts w:hint="eastAsia" w:ascii="仿宋_GB2312" w:hAnsi="仿宋_GB2312" w:cs="仿宋_GB2312"/>
          <w:szCs w:val="31"/>
          <w:highlight w:val="none"/>
          <w:lang w:eastAsia="zh-CN"/>
        </w:rPr>
        <w:t>最终</w:t>
      </w:r>
      <w:r>
        <w:rPr>
          <w:rFonts w:hint="eastAsia" w:ascii="仿宋_GB2312" w:hAnsi="仿宋_GB2312" w:cs="仿宋_GB2312"/>
          <w:szCs w:val="31"/>
          <w:highlight w:val="none"/>
        </w:rPr>
        <w:t>审核结果</w:t>
      </w:r>
      <w:r>
        <w:rPr>
          <w:rFonts w:hint="eastAsia" w:ascii="仿宋_GB2312" w:hAnsi="仿宋_GB2312" w:cs="仿宋_GB2312"/>
          <w:szCs w:val="31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szCs w:val="31"/>
          <w:highlight w:val="none"/>
          <w:lang w:val="en-US" w:eastAsia="zh-CN"/>
        </w:rPr>
        <w:t>原则上于每年第二季度及第四季度分别对符合资助学生</w:t>
      </w:r>
      <w:r>
        <w:rPr>
          <w:rFonts w:hint="eastAsia" w:ascii="仿宋_GB2312" w:hAnsi="仿宋_GB2312" w:cs="仿宋_GB2312"/>
          <w:szCs w:val="31"/>
          <w:highlight w:val="none"/>
        </w:rPr>
        <w:t>拨付慈善助学金。</w:t>
      </w:r>
      <w:r>
        <w:rPr>
          <w:rFonts w:hint="eastAsia" w:ascii="仿宋_GB2312" w:hAnsi="仿宋_GB2312" w:cs="仿宋_GB2312"/>
          <w:szCs w:val="31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589481">
      <w:pPr>
        <w:spacing w:line="600" w:lineRule="exact"/>
        <w:ind w:firstLine="620" w:firstLineChars="200"/>
        <w:rPr>
          <w:rFonts w:hint="eastAsia" w:ascii="仿宋_GB2312" w:hAnsi="仿宋_GB2312" w:cs="仿宋_GB2312"/>
          <w:szCs w:val="31"/>
          <w:highlight w:val="none"/>
        </w:rPr>
      </w:pPr>
      <w:r>
        <w:rPr>
          <w:rFonts w:hint="eastAsia" w:ascii="仿宋_GB2312" w:hAnsi="仿宋_GB2312" w:cs="仿宋_GB2312"/>
          <w:szCs w:val="31"/>
          <w:highlight w:val="none"/>
          <w:lang w:val="en-US" w:eastAsia="zh-CN"/>
        </w:rPr>
        <w:t>2.</w:t>
      </w:r>
      <w:r>
        <w:rPr>
          <w:rFonts w:hint="eastAsia" w:ascii="仿宋_GB2312" w:hAnsi="仿宋_GB2312" w:cs="仿宋_GB2312"/>
          <w:szCs w:val="31"/>
          <w:highlight w:val="none"/>
        </w:rPr>
        <w:t>对弄虚作假骗取助学金的一经发现，除追回全部助学金外，还要依法依规追究当事人和出具虚假证明责任人的责任。</w:t>
      </w:r>
    </w:p>
    <w:p w14:paraId="1B3BE4D7">
      <w:pPr>
        <w:spacing w:line="600" w:lineRule="exact"/>
        <w:ind w:firstLine="643"/>
        <w:rPr>
          <w:rFonts w:hint="eastAsia" w:ascii="黑体" w:hAnsi="黑体" w:eastAsia="黑体" w:cs="黑体"/>
          <w:bCs/>
          <w:szCs w:val="31"/>
          <w:highlight w:val="none"/>
        </w:rPr>
      </w:pPr>
      <w:r>
        <w:rPr>
          <w:rFonts w:hint="eastAsia" w:ascii="黑体" w:hAnsi="黑体" w:eastAsia="黑体" w:cs="黑体"/>
          <w:bCs/>
          <w:szCs w:val="31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Cs/>
          <w:szCs w:val="31"/>
          <w:highlight w:val="none"/>
        </w:rPr>
        <w:t>、本办法自2025年</w:t>
      </w:r>
      <w:r>
        <w:rPr>
          <w:rFonts w:hint="eastAsia" w:ascii="黑体" w:hAnsi="黑体" w:eastAsia="黑体" w:cs="黑体"/>
          <w:bCs/>
          <w:szCs w:val="31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bCs/>
          <w:szCs w:val="31"/>
          <w:highlight w:val="none"/>
        </w:rPr>
        <w:t>月</w:t>
      </w:r>
      <w:r>
        <w:rPr>
          <w:rFonts w:hint="eastAsia" w:ascii="黑体" w:hAnsi="黑体" w:eastAsia="黑体" w:cs="黑体"/>
          <w:bCs/>
          <w:szCs w:val="31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bCs/>
          <w:szCs w:val="31"/>
          <w:highlight w:val="none"/>
        </w:rPr>
        <w:t>日起实施，之前相关办法同时废止。</w:t>
      </w:r>
    </w:p>
    <w:p w14:paraId="05EE3334">
      <w:pPr>
        <w:spacing w:line="600" w:lineRule="exact"/>
        <w:ind w:firstLine="643"/>
        <w:rPr>
          <w:rFonts w:hint="eastAsia" w:ascii="黑体" w:hAnsi="黑体" w:eastAsia="黑体" w:cs="黑体"/>
          <w:bCs/>
          <w:szCs w:val="31"/>
          <w:highlight w:val="none"/>
        </w:rPr>
      </w:pPr>
      <w:r>
        <w:rPr>
          <w:rFonts w:hint="eastAsia" w:ascii="黑体" w:hAnsi="黑体" w:eastAsia="黑体" w:cs="黑体"/>
          <w:bCs/>
          <w:szCs w:val="31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bCs/>
          <w:szCs w:val="31"/>
          <w:highlight w:val="none"/>
        </w:rPr>
        <w:t>、本办法由大朗慈善会</w:t>
      </w:r>
      <w:r>
        <w:rPr>
          <w:rFonts w:hint="eastAsia" w:ascii="黑体" w:hAnsi="黑体" w:eastAsia="黑体" w:cs="黑体"/>
          <w:bCs/>
          <w:szCs w:val="31"/>
          <w:highlight w:val="none"/>
          <w:lang w:eastAsia="zh-CN"/>
        </w:rPr>
        <w:t>会同大朗镇教育管理中心</w:t>
      </w:r>
      <w:r>
        <w:rPr>
          <w:rFonts w:hint="eastAsia" w:ascii="黑体" w:hAnsi="黑体" w:eastAsia="黑体" w:cs="黑体"/>
          <w:bCs/>
          <w:szCs w:val="31"/>
          <w:highlight w:val="none"/>
        </w:rPr>
        <w:t>解释。</w:t>
      </w:r>
    </w:p>
    <w:p w14:paraId="57596F47">
      <w:pPr>
        <w:spacing w:line="600" w:lineRule="exact"/>
        <w:rPr>
          <w:highlight w:val="none"/>
        </w:rPr>
      </w:pPr>
      <w:bookmarkStart w:id="1" w:name="_GoBack"/>
      <w:bookmarkEnd w:id="1"/>
    </w:p>
    <w:sectPr>
      <w:pgSz w:w="11906" w:h="16838"/>
      <w:pgMar w:top="2041" w:right="1531" w:bottom="2041" w:left="1531" w:header="851" w:footer="992" w:gutter="0"/>
      <w:cols w:space="0" w:num="1"/>
      <w:docGrid w:type="lines" w:linePitch="4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5NGEzNTkxZDhmZGQzMzhlOGY0ZThiYzYzZjlkMDcifQ=="/>
  </w:docVars>
  <w:rsids>
    <w:rsidRoot w:val="004E6F3B"/>
    <w:rsid w:val="00044753"/>
    <w:rsid w:val="00386FE2"/>
    <w:rsid w:val="004E6F3B"/>
    <w:rsid w:val="00FA2C09"/>
    <w:rsid w:val="02EB5452"/>
    <w:rsid w:val="03C03BC3"/>
    <w:rsid w:val="043B5DC5"/>
    <w:rsid w:val="07BE0561"/>
    <w:rsid w:val="083E6B2B"/>
    <w:rsid w:val="092E4AD9"/>
    <w:rsid w:val="0A8D6E29"/>
    <w:rsid w:val="0E553A8E"/>
    <w:rsid w:val="0E81217E"/>
    <w:rsid w:val="0FDF1A88"/>
    <w:rsid w:val="11492AEB"/>
    <w:rsid w:val="11987B90"/>
    <w:rsid w:val="16341A77"/>
    <w:rsid w:val="1BC3252A"/>
    <w:rsid w:val="1BDC5EDD"/>
    <w:rsid w:val="1C1B6EB1"/>
    <w:rsid w:val="202841F9"/>
    <w:rsid w:val="207B6D78"/>
    <w:rsid w:val="20E357D9"/>
    <w:rsid w:val="291E1236"/>
    <w:rsid w:val="2A426E92"/>
    <w:rsid w:val="2AE57F96"/>
    <w:rsid w:val="2AE649A6"/>
    <w:rsid w:val="2CCD7757"/>
    <w:rsid w:val="2E080294"/>
    <w:rsid w:val="2FAE7241"/>
    <w:rsid w:val="30055160"/>
    <w:rsid w:val="31681F8C"/>
    <w:rsid w:val="32527C39"/>
    <w:rsid w:val="3B225A1A"/>
    <w:rsid w:val="3B920210"/>
    <w:rsid w:val="41A3189F"/>
    <w:rsid w:val="4490775E"/>
    <w:rsid w:val="46050649"/>
    <w:rsid w:val="47206219"/>
    <w:rsid w:val="472A534B"/>
    <w:rsid w:val="52397B2F"/>
    <w:rsid w:val="578068FE"/>
    <w:rsid w:val="596E0602"/>
    <w:rsid w:val="5C69361C"/>
    <w:rsid w:val="5EBF7FCE"/>
    <w:rsid w:val="65E6716D"/>
    <w:rsid w:val="6B9B1861"/>
    <w:rsid w:val="6E6C1E9F"/>
    <w:rsid w:val="74A36EFF"/>
    <w:rsid w:val="753F43FA"/>
    <w:rsid w:val="7A03517B"/>
    <w:rsid w:val="7DF1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pacing w:after="120" w:line="480" w:lineRule="auto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820</Words>
  <Characters>843</Characters>
  <Lines>6</Lines>
  <Paragraphs>1</Paragraphs>
  <TotalTime>9</TotalTime>
  <ScaleCrop>false</ScaleCrop>
  <LinksUpToDate>false</LinksUpToDate>
  <CharactersWithSpaces>1140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2024-11-18T08:35:00Z</dcterms:created>
  <dc:creator>Administrator</dc:creator>
  <cp:lastModifiedBy>WPS_1489461999</cp:lastModifiedBy>
  <cp:lastPrinted>2025-02-20T02:23:00Z</cp:lastPrinted>
  <dcterms:modified xsi:type="dcterms:W3CDTF">2025-03-12T03:46:50Z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6ADD0B386DCA4179829F989048BDDC6D_13</vt:lpwstr>
  </property>
  <property fmtid="{D5CDD505-2E9C-101B-9397-08002B2CF9AE}" pid="4" name="KSOTemplateDocerSaveRecord">
    <vt:lpwstr>eyJoZGlkIjoiZjVmZTM0ODRmMDQyYzY5MjdmNWExYzNjMGEyY2RhNmUiLCJ1c2VySWQiOiIyNjkyNDQwMDYifQ==</vt:lpwstr>
  </property>
</Properties>
</file>