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9F45">
      <w:pPr>
        <w:pStyle w:val="2"/>
        <w:autoSpaceDE w:val="0"/>
        <w:autoSpaceDN w:val="0"/>
        <w:snapToGrid w:val="0"/>
        <w:rPr>
          <w:rFonts w:eastAsia="方正小标宋简体"/>
          <w:b/>
          <w:bCs/>
          <w:color w:val="FF0000"/>
          <w:w w:val="90"/>
          <w:kern w:val="72"/>
          <w:sz w:val="72"/>
        </w:r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thinThick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3980CDE6">
        <w:tblPrEx>
          <w:tblBorders>
            <w:top w:val="none" w:color="auto" w:sz="0" w:space="0"/>
            <w:left w:val="none" w:color="auto" w:sz="0" w:space="0"/>
            <w:bottom w:val="thinThickMediumGap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677" w:type="dxa"/>
          </w:tcPr>
          <w:p w14:paraId="367B6E0F">
            <w:pPr>
              <w:rPr>
                <w:rFonts w:hint="eastAsia" w:eastAsia="仿宋_GB2312"/>
                <w:lang w:eastAsia="zh-CN"/>
              </w:rPr>
            </w:pPr>
          </w:p>
        </w:tc>
      </w:tr>
    </w:tbl>
    <w:p w14:paraId="55412E21">
      <w:pPr>
        <w:pStyle w:val="11"/>
        <w:adjustRightInd w:val="0"/>
        <w:snapToGrid w:val="0"/>
        <w:spacing w:line="600" w:lineRule="exact"/>
        <w:ind w:firstLine="960" w:firstLineChars="300"/>
        <w:jc w:val="right"/>
        <w:rPr>
          <w:szCs w:val="32"/>
          <w:highlight w:val="none"/>
        </w:rPr>
      </w:pPr>
      <w:r>
        <w:t>粤府土审（12）</w:t>
      </w:r>
      <w:r>
        <w:rPr>
          <w:szCs w:val="32"/>
        </w:rPr>
        <w:t>〔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szCs w:val="32"/>
          <w:highlight w:val="none"/>
        </w:rPr>
        <w:t>〕</w:t>
      </w:r>
      <w:r>
        <w:rPr>
          <w:rFonts w:hint="eastAsia"/>
          <w:szCs w:val="32"/>
          <w:highlight w:val="none"/>
          <w:lang w:val="en-US" w:eastAsia="zh-CN"/>
        </w:rPr>
        <w:t>38</w:t>
      </w:r>
      <w:r>
        <w:rPr>
          <w:szCs w:val="32"/>
          <w:highlight w:val="none"/>
        </w:rPr>
        <w:t>号</w:t>
      </w:r>
    </w:p>
    <w:p w14:paraId="737CABC7">
      <w:pPr>
        <w:topLinePunct/>
        <w:autoSpaceDE w:val="0"/>
        <w:autoSpaceDN w:val="0"/>
        <w:spacing w:before="20" w:line="600" w:lineRule="exact"/>
        <w:rPr>
          <w:rFonts w:eastAsia="方正小标宋简体"/>
          <w:szCs w:val="32"/>
        </w:rPr>
      </w:pPr>
    </w:p>
    <w:p w14:paraId="53215245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广东省人民政府关于</w:t>
      </w:r>
      <w:r>
        <w:rPr>
          <w:rFonts w:hint="eastAsia" w:eastAsia="方正小标宋简体"/>
          <w:bCs/>
          <w:sz w:val="44"/>
          <w:szCs w:val="44"/>
          <w:lang w:eastAsia="zh-CN"/>
        </w:rPr>
        <w:t>东莞</w:t>
      </w:r>
      <w:r>
        <w:rPr>
          <w:rFonts w:eastAsia="方正小标宋简体"/>
          <w:bCs/>
          <w:sz w:val="44"/>
          <w:szCs w:val="44"/>
        </w:rPr>
        <w:t>市</w:t>
      </w:r>
      <w:r>
        <w:rPr>
          <w:rFonts w:hint="eastAsia" w:eastAsia="方正小标宋简体"/>
          <w:bCs/>
          <w:sz w:val="44"/>
          <w:szCs w:val="44"/>
          <w:lang w:eastAsia="zh-CN"/>
        </w:rPr>
        <w:t>麻涌镇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2024</w:t>
      </w:r>
      <w:r>
        <w:rPr>
          <w:rFonts w:eastAsia="方正小标宋简体"/>
          <w:bCs/>
          <w:sz w:val="44"/>
          <w:szCs w:val="44"/>
        </w:rPr>
        <w:t>年度</w:t>
      </w:r>
      <w:r>
        <w:rPr>
          <w:rFonts w:hint="eastAsia" w:eastAsia="方正小标宋简体"/>
          <w:bCs/>
          <w:sz w:val="44"/>
          <w:szCs w:val="44"/>
          <w:lang w:eastAsia="zh-CN"/>
        </w:rPr>
        <w:t>第十批次</w:t>
      </w:r>
      <w:r>
        <w:rPr>
          <w:rFonts w:eastAsia="方正小标宋简体"/>
          <w:bCs/>
          <w:sz w:val="44"/>
          <w:szCs w:val="44"/>
        </w:rPr>
        <w:t>城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镇</w:t>
      </w:r>
      <w:r>
        <w:rPr>
          <w:rFonts w:eastAsia="方正小标宋简体"/>
          <w:bCs/>
          <w:sz w:val="44"/>
          <w:szCs w:val="44"/>
        </w:rPr>
        <w:t>建设用地的批复</w:t>
      </w:r>
    </w:p>
    <w:p w14:paraId="09583D35">
      <w:pPr>
        <w:spacing w:line="580" w:lineRule="exact"/>
        <w:ind w:left="-272" w:leftChars="-85"/>
        <w:jc w:val="center"/>
        <w:rPr>
          <w:b/>
          <w:bCs/>
          <w:szCs w:val="32"/>
        </w:rPr>
      </w:pPr>
    </w:p>
    <w:p w14:paraId="5D819695">
      <w:pPr>
        <w:snapToGrid w:val="0"/>
        <w:spacing w:line="540" w:lineRule="exact"/>
        <w:rPr>
          <w:rFonts w:ascii="仿宋_GB2312"/>
        </w:rPr>
      </w:pPr>
      <w:r>
        <w:rPr>
          <w:rFonts w:hint="eastAsia" w:ascii="仿宋_GB2312"/>
          <w:lang w:eastAsia="zh-CN"/>
        </w:rPr>
        <w:t>东莞</w:t>
      </w:r>
      <w:r>
        <w:rPr>
          <w:rFonts w:hint="eastAsia" w:ascii="仿宋_GB2312"/>
        </w:rPr>
        <w:t>市人民政府：</w:t>
      </w:r>
    </w:p>
    <w:p w14:paraId="7BD1AB40"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东莞市人民政府</w:t>
      </w:r>
      <w:r>
        <w:rPr>
          <w:rFonts w:hint="eastAsia" w:eastAsia="仿宋_GB2312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申请东莞</w:t>
      </w:r>
      <w:r>
        <w:rPr>
          <w:rFonts w:hint="eastAsia" w:eastAsia="仿宋_GB2312"/>
          <w:sz w:val="32"/>
          <w:szCs w:val="32"/>
        </w:rPr>
        <w:t>市</w:t>
      </w:r>
      <w:r>
        <w:rPr>
          <w:rFonts w:hint="eastAsia"/>
          <w:sz w:val="32"/>
          <w:szCs w:val="32"/>
          <w:lang w:val="en-US" w:eastAsia="zh-CN"/>
        </w:rPr>
        <w:t>麻涌镇2024年度第十批次</w:t>
      </w:r>
      <w:r>
        <w:rPr>
          <w:rFonts w:hint="eastAsia" w:eastAsia="仿宋_GB2312"/>
          <w:sz w:val="32"/>
          <w:szCs w:val="32"/>
        </w:rPr>
        <w:t>城镇建设用地</w:t>
      </w:r>
      <w:r>
        <w:rPr>
          <w:rFonts w:hint="eastAsia"/>
          <w:sz w:val="32"/>
          <w:szCs w:val="32"/>
          <w:lang w:val="en-US" w:eastAsia="zh-CN"/>
        </w:rPr>
        <w:t>土</w:t>
      </w:r>
      <w:r>
        <w:rPr>
          <w:rFonts w:hint="eastAsia"/>
          <w:sz w:val="32"/>
          <w:szCs w:val="32"/>
          <w:highlight w:val="none"/>
          <w:lang w:val="en-US" w:eastAsia="zh-CN"/>
        </w:rPr>
        <w:t>地征收</w:t>
      </w:r>
      <w:r>
        <w:rPr>
          <w:rFonts w:hint="eastAsia" w:eastAsia="仿宋_GB2312"/>
          <w:sz w:val="32"/>
          <w:szCs w:val="32"/>
          <w:highlight w:val="none"/>
        </w:rPr>
        <w:t>的请示》（</w:t>
      </w:r>
      <w:r>
        <w:rPr>
          <w:rFonts w:eastAsia="仿宋_GB2312"/>
          <w:sz w:val="32"/>
          <w:szCs w:val="32"/>
          <w:highlight w:val="none"/>
        </w:rPr>
        <w:t>东</w:t>
      </w:r>
      <w:r>
        <w:rPr>
          <w:rFonts w:hint="eastAsia"/>
          <w:sz w:val="32"/>
          <w:szCs w:val="32"/>
          <w:highlight w:val="none"/>
          <w:lang w:val="en-US" w:eastAsia="zh-CN"/>
        </w:rPr>
        <w:t>府</w:t>
      </w:r>
      <w:r>
        <w:rPr>
          <w:rFonts w:eastAsia="仿宋_GB2312"/>
          <w:sz w:val="32"/>
          <w:szCs w:val="32"/>
          <w:highlight w:val="none"/>
        </w:rPr>
        <w:t>〔</w:t>
      </w:r>
      <w:r>
        <w:rPr>
          <w:rFonts w:hint="eastAsia"/>
          <w:sz w:val="32"/>
          <w:szCs w:val="32"/>
          <w:highlight w:val="none"/>
          <w:lang w:val="en-US" w:eastAsia="zh-CN"/>
        </w:rPr>
        <w:t>2025</w:t>
      </w:r>
      <w:r>
        <w:rPr>
          <w:rFonts w:eastAsia="仿宋_GB2312"/>
          <w:sz w:val="32"/>
          <w:szCs w:val="32"/>
          <w:highlight w:val="none"/>
        </w:rPr>
        <w:t>〕</w:t>
      </w:r>
      <w:r>
        <w:rPr>
          <w:rFonts w:hint="eastAsia"/>
          <w:sz w:val="32"/>
          <w:szCs w:val="32"/>
          <w:highlight w:val="none"/>
          <w:lang w:val="en-US" w:eastAsia="zh-CN"/>
        </w:rPr>
        <w:t>54</w:t>
      </w:r>
      <w:r>
        <w:rPr>
          <w:rFonts w:eastAsia="仿宋_GB2312"/>
          <w:sz w:val="32"/>
          <w:szCs w:val="32"/>
          <w:highlight w:val="none"/>
        </w:rPr>
        <w:t>号</w:t>
      </w:r>
      <w:r>
        <w:rPr>
          <w:rFonts w:hint="eastAsia" w:eastAsia="仿宋_GB2312"/>
          <w:sz w:val="32"/>
          <w:szCs w:val="32"/>
          <w:highlight w:val="none"/>
        </w:rPr>
        <w:t>）及相关材料已通过审核。批复如下：</w:t>
      </w:r>
    </w:p>
    <w:p w14:paraId="742A7FFB">
      <w:pPr>
        <w:widowControl/>
        <w:numPr>
          <w:ilvl w:val="0"/>
          <w:numId w:val="2"/>
        </w:numPr>
        <w:spacing w:line="540" w:lineRule="exact"/>
        <w:ind w:left="0" w:leftChars="0"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同意你市将东莞市麻涌镇</w:t>
      </w:r>
      <w:r>
        <w:rPr>
          <w:rFonts w:hint="eastAsia"/>
          <w:sz w:val="32"/>
          <w:szCs w:val="32"/>
          <w:lang w:eastAsia="zh-CN"/>
        </w:rPr>
        <w:t>大步</w:t>
      </w:r>
      <w:r>
        <w:rPr>
          <w:rFonts w:hint="eastAsia" w:eastAsia="仿宋_GB2312"/>
          <w:sz w:val="32"/>
          <w:szCs w:val="32"/>
        </w:rPr>
        <w:t>股份经济联合社、</w:t>
      </w:r>
      <w:r>
        <w:rPr>
          <w:rFonts w:hint="eastAsia"/>
          <w:sz w:val="32"/>
          <w:szCs w:val="32"/>
          <w:lang w:eastAsia="zh-CN"/>
        </w:rPr>
        <w:t>麻四</w:t>
      </w:r>
    </w:p>
    <w:p w14:paraId="5206B106">
      <w:pPr>
        <w:widowControl/>
        <w:numPr>
          <w:ilvl w:val="0"/>
          <w:numId w:val="0"/>
        </w:numPr>
        <w:spacing w:line="540" w:lineRule="exact"/>
        <w:textAlignment w:val="baseline"/>
        <w:rPr>
          <w:rFonts w:hint="eastAsia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股份经济</w:t>
      </w:r>
      <w:r>
        <w:rPr>
          <w:rFonts w:hint="eastAsia"/>
          <w:sz w:val="32"/>
          <w:szCs w:val="32"/>
          <w:lang w:eastAsia="zh-CN"/>
        </w:rPr>
        <w:t>联合</w:t>
      </w:r>
      <w:r>
        <w:rPr>
          <w:rFonts w:hint="eastAsia" w:eastAsia="仿宋_GB2312"/>
          <w:sz w:val="32"/>
          <w:szCs w:val="32"/>
        </w:rPr>
        <w:t>社属下的集体农用地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.8118</w:t>
      </w:r>
      <w:r>
        <w:rPr>
          <w:rFonts w:hint="eastAsia" w:eastAsia="仿宋_GB2312"/>
          <w:sz w:val="32"/>
          <w:szCs w:val="32"/>
        </w:rPr>
        <w:t>公顷</w:t>
      </w:r>
      <w:r>
        <w:rPr>
          <w:rFonts w:hint="eastAsia"/>
          <w:sz w:val="32"/>
          <w:szCs w:val="32"/>
          <w:lang w:eastAsia="zh-CN"/>
        </w:rPr>
        <w:t>（耕地</w:t>
      </w:r>
      <w:r>
        <w:rPr>
          <w:rFonts w:hint="eastAsia"/>
          <w:sz w:val="32"/>
          <w:szCs w:val="32"/>
          <w:lang w:val="en-US" w:eastAsia="zh-CN"/>
        </w:rPr>
        <w:t>0.4541公顷、</w:t>
      </w:r>
      <w:r>
        <w:rPr>
          <w:rFonts w:hint="eastAsia" w:eastAsia="仿宋_GB2312"/>
          <w:sz w:val="32"/>
          <w:szCs w:val="32"/>
        </w:rPr>
        <w:t>园地</w:t>
      </w:r>
      <w:r>
        <w:rPr>
          <w:rFonts w:hint="eastAsia"/>
          <w:sz w:val="32"/>
          <w:szCs w:val="32"/>
          <w:lang w:val="en-US" w:eastAsia="zh-CN"/>
        </w:rPr>
        <w:t>1.3935</w:t>
      </w:r>
      <w:r>
        <w:rPr>
          <w:rFonts w:hint="eastAsia" w:eastAsia="仿宋_GB2312"/>
          <w:sz w:val="32"/>
          <w:szCs w:val="32"/>
        </w:rPr>
        <w:t>公顷、林地 0.00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 w:eastAsia="仿宋_GB2312"/>
          <w:sz w:val="32"/>
          <w:szCs w:val="32"/>
        </w:rPr>
        <w:t xml:space="preserve"> 公顷、草地0.</w:t>
      </w:r>
      <w:r>
        <w:rPr>
          <w:rFonts w:hint="eastAsia"/>
          <w:sz w:val="32"/>
          <w:szCs w:val="32"/>
          <w:lang w:val="en-US" w:eastAsia="zh-CN"/>
        </w:rPr>
        <w:t>1071</w:t>
      </w:r>
      <w:r>
        <w:rPr>
          <w:rFonts w:hint="eastAsia" w:eastAsia="仿宋_GB2312"/>
          <w:sz w:val="32"/>
          <w:szCs w:val="32"/>
        </w:rPr>
        <w:t>公顷、其他农用地</w:t>
      </w:r>
      <w:r>
        <w:rPr>
          <w:rFonts w:hint="eastAsia"/>
          <w:sz w:val="32"/>
          <w:szCs w:val="32"/>
          <w:lang w:val="en-US" w:eastAsia="zh-CN"/>
        </w:rPr>
        <w:t>1.8570</w:t>
      </w:r>
      <w:r>
        <w:rPr>
          <w:rFonts w:hint="eastAsia" w:eastAsia="仿宋_GB2312"/>
          <w:sz w:val="32"/>
          <w:szCs w:val="32"/>
        </w:rPr>
        <w:t>公顷</w:t>
      </w:r>
      <w:r>
        <w:rPr>
          <w:rFonts w:hint="eastAsia"/>
          <w:sz w:val="32"/>
          <w:szCs w:val="32"/>
          <w:lang w:eastAsia="zh-CN"/>
        </w:rPr>
        <w:t>）和未利用地0.1307公顷转为建设用地</w:t>
      </w:r>
    </w:p>
    <w:p w14:paraId="3EF1302B">
      <w:pPr>
        <w:widowControl/>
        <w:numPr>
          <w:ilvl w:val="0"/>
          <w:numId w:val="0"/>
        </w:numPr>
        <w:spacing w:line="540" w:lineRule="exact"/>
        <w:textAlignment w:val="baseline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并办理征收手续，同时征收上述有关村集体建设用地0.8699公</w:t>
      </w:r>
    </w:p>
    <w:p w14:paraId="7A07629C">
      <w:pPr>
        <w:widowControl/>
        <w:numPr>
          <w:ilvl w:val="0"/>
          <w:numId w:val="0"/>
        </w:numPr>
        <w:spacing w:line="540" w:lineRule="exact"/>
        <w:textAlignment w:val="baseline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顷。上述批准建设用地4.8124公顷，由当地人民政府依法依规</w:t>
      </w:r>
    </w:p>
    <w:p w14:paraId="6B7F813C">
      <w:pPr>
        <w:widowControl/>
        <w:numPr>
          <w:ilvl w:val="0"/>
          <w:numId w:val="0"/>
        </w:numPr>
        <w:spacing w:line="540" w:lineRule="exact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供应，用于城市建设</w:t>
      </w:r>
      <w:r>
        <w:rPr>
          <w:rFonts w:hint="eastAsia" w:eastAsia="仿宋_GB2312"/>
          <w:sz w:val="32"/>
          <w:szCs w:val="32"/>
        </w:rPr>
        <w:t>。</w:t>
      </w:r>
    </w:p>
    <w:p w14:paraId="52C131CB">
      <w:pPr>
        <w:widowControl/>
        <w:numPr>
          <w:ilvl w:val="0"/>
          <w:numId w:val="2"/>
        </w:numPr>
        <w:spacing w:line="540" w:lineRule="exact"/>
        <w:ind w:left="0" w:leftChars="0"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你市人民政府按照《中华人民共和国土地管理法》有关规定，严格履行征地批后实施程序，及时足额支付补偿费用，落实被征地农民的社会保障费用等安置措施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 w14:paraId="3CB1291E">
      <w:pPr>
        <w:widowControl/>
        <w:numPr>
          <w:numId w:val="0"/>
        </w:numPr>
        <w:spacing w:line="540" w:lineRule="exact"/>
        <w:ind w:left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三、请你市人民政府负责落实补充耕地。督促补充耕地责</w:t>
      </w:r>
    </w:p>
    <w:p w14:paraId="3C225049">
      <w:pPr>
        <w:widowControl/>
        <w:numPr>
          <w:numId w:val="0"/>
        </w:numPr>
        <w:spacing w:line="54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任单位认真按照补充耕地方案，补充数量相等、质量相当的耕</w:t>
      </w:r>
    </w:p>
    <w:p w14:paraId="2E4C56BF">
      <w:pPr>
        <w:widowControl/>
        <w:numPr>
          <w:numId w:val="0"/>
        </w:numPr>
        <w:spacing w:line="54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地，落实建设占用耕地耕作层土壤剥离利用。</w:t>
      </w:r>
    </w:p>
    <w:p w14:paraId="27775275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 w:eastAsia="仿宋_GB2312"/>
          <w:sz w:val="32"/>
          <w:szCs w:val="32"/>
        </w:rPr>
        <w:t>、严格按照国家有关规定征收新增建设用地土地有偿使用费、申报缴纳耕地占用税。</w:t>
      </w:r>
    </w:p>
    <w:p w14:paraId="1FA38FA7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1F10DDDB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5770CF8B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7C8E3DD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>广东省人民政府</w:t>
      </w:r>
    </w:p>
    <w:p w14:paraId="76FA2557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日</w:t>
      </w:r>
    </w:p>
    <w:p w14:paraId="3732247F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74EE4675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6DE29588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15C95D71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1422268E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3F3ABA1D">
      <w:pPr>
        <w:pStyle w:val="2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0"/>
          <w:szCs w:val="30"/>
        </w:rPr>
        <w:t>公开方式：</w:t>
      </w:r>
      <w:r>
        <w:rPr>
          <w:rFonts w:ascii="Times New Roman" w:hAnsi="Times New Roman" w:eastAsia="仿宋_GB2312"/>
          <w:sz w:val="30"/>
          <w:szCs w:val="30"/>
        </w:rPr>
        <w:t>主动公开</w:t>
      </w:r>
    </w:p>
    <w:p w14:paraId="46F500C5">
      <w:pPr>
        <w:pStyle w:val="22"/>
        <w:spacing w:line="580" w:lineRule="exact"/>
        <w:ind w:left="316" w:leftChars="99"/>
        <w:rPr>
          <w:rFonts w:ascii="Times New Roman" w:hAnsi="Times New Roman" w:eastAsia="仿宋_GB2312"/>
          <w:sz w:val="28"/>
          <w:szCs w:val="28"/>
        </w:rPr>
      </w:pPr>
    </w:p>
    <w:p w14:paraId="73EA2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80" w:leftChars="200" w:hanging="840" w:hangingChars="300"/>
        <w:textAlignment w:val="baseline"/>
        <w:rPr>
          <w:rFonts w:ascii="仿宋_GB2312"/>
          <w:szCs w:val="32"/>
        </w:rPr>
      </w:pPr>
      <w:r>
        <w:rPr>
          <w:rFonts w:eastAsia="仿宋_GB2312"/>
          <w:sz w:val="28"/>
          <w:szCs w:val="28"/>
        </w:rPr>
        <w:t>抄送：国家自然资源督察广州局、财政部广东监管局、省财政厅、省人力资源和社会保障厅、省自然资源厅、省农业农村厅、国家税务总局广东省税务局。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2098" w:footer="1984" w:gutter="0"/>
      <w:pgBorders w:display="firstPage">
        <w:bottom w:val="thickThinSmallGap" w:color="FF0000" w:sz="24" w:space="2"/>
      </w:pgBorders>
      <w:cols w:space="425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F2A80">
    <w:pPr>
      <w:pStyle w:val="15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</w:p>
  <w:p w14:paraId="2260E606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A86F">
    <w:pPr>
      <w:pStyle w:val="15"/>
      <w:framePr w:wrap="notBeside" w:vAnchor="page" w:hAnchor="page" w:x="1479" w:y="15598"/>
      <w:rPr>
        <w:rStyle w:val="20"/>
      </w:rPr>
    </w:pPr>
    <w:r>
      <w:rPr>
        <w:rStyle w:val="20"/>
        <w:rFonts w:hint="eastAsia"/>
      </w:rPr>
      <w:t>—</w:t>
    </w: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  <w:r>
      <w:rPr>
        <w:rStyle w:val="20"/>
        <w:rFonts w:hint="eastAsia"/>
      </w:rPr>
      <w:t>—</w:t>
    </w:r>
  </w:p>
  <w:p w14:paraId="2AAFB34C">
    <w:pPr>
      <w:pStyle w:val="15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8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YzU3MWM5YzI3ZjYyOTM0ODlmNTI4ZWYwMWQ0ZTEifQ=="/>
    <w:docVar w:name="FlFileSerial" w:val=" "/>
    <w:docVar w:name="FlFileYear" w:val="2018"/>
    <w:docVar w:name="FlGkfs" w:val="主动公开"/>
    <w:docVar w:name="FlProver" w:val=" "/>
    <w:docVar w:name="FlSubject" w:val="广东省人民政府关于东莞市2018年度第一批次城镇建设用地的批复"/>
    <w:docVar w:name="FlYear" w:val="2018"/>
    <w:docVar w:name="FlYear_Zw" w:val="2018"/>
  </w:docVars>
  <w:rsids>
    <w:rsidRoot w:val="00B064BA"/>
    <w:rsid w:val="0000074E"/>
    <w:rsid w:val="0001126B"/>
    <w:rsid w:val="00012FB8"/>
    <w:rsid w:val="00040E13"/>
    <w:rsid w:val="00043A03"/>
    <w:rsid w:val="00082FCB"/>
    <w:rsid w:val="000B4027"/>
    <w:rsid w:val="000B7281"/>
    <w:rsid w:val="000E1B28"/>
    <w:rsid w:val="001016A0"/>
    <w:rsid w:val="00101BA8"/>
    <w:rsid w:val="00113608"/>
    <w:rsid w:val="0011776A"/>
    <w:rsid w:val="0012378F"/>
    <w:rsid w:val="001312F1"/>
    <w:rsid w:val="00132B80"/>
    <w:rsid w:val="001470EF"/>
    <w:rsid w:val="00153677"/>
    <w:rsid w:val="00156981"/>
    <w:rsid w:val="00167305"/>
    <w:rsid w:val="001700AC"/>
    <w:rsid w:val="00180F0B"/>
    <w:rsid w:val="0018421E"/>
    <w:rsid w:val="00193DF8"/>
    <w:rsid w:val="001B0BFB"/>
    <w:rsid w:val="001E34C5"/>
    <w:rsid w:val="001E5EA0"/>
    <w:rsid w:val="001F564D"/>
    <w:rsid w:val="002268ED"/>
    <w:rsid w:val="002438B0"/>
    <w:rsid w:val="00252CA7"/>
    <w:rsid w:val="00260D94"/>
    <w:rsid w:val="00266446"/>
    <w:rsid w:val="00287F00"/>
    <w:rsid w:val="00294385"/>
    <w:rsid w:val="002970CA"/>
    <w:rsid w:val="002C20AD"/>
    <w:rsid w:val="002C5D15"/>
    <w:rsid w:val="002D43B1"/>
    <w:rsid w:val="003172E1"/>
    <w:rsid w:val="0031732C"/>
    <w:rsid w:val="0035333A"/>
    <w:rsid w:val="00392C91"/>
    <w:rsid w:val="003A4643"/>
    <w:rsid w:val="003A5D34"/>
    <w:rsid w:val="003B64EA"/>
    <w:rsid w:val="003E1FFF"/>
    <w:rsid w:val="004075BC"/>
    <w:rsid w:val="0042364C"/>
    <w:rsid w:val="004243DC"/>
    <w:rsid w:val="00427126"/>
    <w:rsid w:val="00461D2A"/>
    <w:rsid w:val="00463EA5"/>
    <w:rsid w:val="00471488"/>
    <w:rsid w:val="00475326"/>
    <w:rsid w:val="00481406"/>
    <w:rsid w:val="004830D4"/>
    <w:rsid w:val="00485E11"/>
    <w:rsid w:val="004A4FDA"/>
    <w:rsid w:val="004B5177"/>
    <w:rsid w:val="004B5E32"/>
    <w:rsid w:val="004C1254"/>
    <w:rsid w:val="004C19BA"/>
    <w:rsid w:val="004C73D3"/>
    <w:rsid w:val="004E1B07"/>
    <w:rsid w:val="005141AA"/>
    <w:rsid w:val="00515BA5"/>
    <w:rsid w:val="00523440"/>
    <w:rsid w:val="005326D6"/>
    <w:rsid w:val="00565BDA"/>
    <w:rsid w:val="005728C5"/>
    <w:rsid w:val="005A3510"/>
    <w:rsid w:val="005A7330"/>
    <w:rsid w:val="005B34F0"/>
    <w:rsid w:val="005C06A9"/>
    <w:rsid w:val="005C2135"/>
    <w:rsid w:val="005C64CE"/>
    <w:rsid w:val="005D4C83"/>
    <w:rsid w:val="005D57D0"/>
    <w:rsid w:val="005F4508"/>
    <w:rsid w:val="0061705D"/>
    <w:rsid w:val="00646D3D"/>
    <w:rsid w:val="00653DF1"/>
    <w:rsid w:val="00654528"/>
    <w:rsid w:val="0065655C"/>
    <w:rsid w:val="00656C68"/>
    <w:rsid w:val="00691A63"/>
    <w:rsid w:val="006A40CD"/>
    <w:rsid w:val="006C349A"/>
    <w:rsid w:val="006D0792"/>
    <w:rsid w:val="006E0F49"/>
    <w:rsid w:val="006E6B56"/>
    <w:rsid w:val="006F3F33"/>
    <w:rsid w:val="00706477"/>
    <w:rsid w:val="00715C17"/>
    <w:rsid w:val="007163B9"/>
    <w:rsid w:val="00750D57"/>
    <w:rsid w:val="00752FE2"/>
    <w:rsid w:val="00770655"/>
    <w:rsid w:val="007747B4"/>
    <w:rsid w:val="00776B7E"/>
    <w:rsid w:val="00783228"/>
    <w:rsid w:val="00783A6E"/>
    <w:rsid w:val="007858BC"/>
    <w:rsid w:val="00790829"/>
    <w:rsid w:val="00792525"/>
    <w:rsid w:val="007C1CAF"/>
    <w:rsid w:val="007F5A02"/>
    <w:rsid w:val="00812C75"/>
    <w:rsid w:val="00821113"/>
    <w:rsid w:val="00837D1B"/>
    <w:rsid w:val="008455B3"/>
    <w:rsid w:val="0086760C"/>
    <w:rsid w:val="00873B88"/>
    <w:rsid w:val="008864C8"/>
    <w:rsid w:val="008A3D6B"/>
    <w:rsid w:val="008B108A"/>
    <w:rsid w:val="008B1EFE"/>
    <w:rsid w:val="00930FF7"/>
    <w:rsid w:val="009D19AB"/>
    <w:rsid w:val="009E1BAE"/>
    <w:rsid w:val="009F7DD7"/>
    <w:rsid w:val="00A1390A"/>
    <w:rsid w:val="00A159D2"/>
    <w:rsid w:val="00A20509"/>
    <w:rsid w:val="00A360C5"/>
    <w:rsid w:val="00A3683C"/>
    <w:rsid w:val="00A53AAB"/>
    <w:rsid w:val="00A616BD"/>
    <w:rsid w:val="00A72C19"/>
    <w:rsid w:val="00A8130F"/>
    <w:rsid w:val="00A85A7A"/>
    <w:rsid w:val="00A90C64"/>
    <w:rsid w:val="00AB0A92"/>
    <w:rsid w:val="00AB14A4"/>
    <w:rsid w:val="00AB79DD"/>
    <w:rsid w:val="00AC1647"/>
    <w:rsid w:val="00AE31E7"/>
    <w:rsid w:val="00B064BA"/>
    <w:rsid w:val="00B16A2E"/>
    <w:rsid w:val="00B25A69"/>
    <w:rsid w:val="00B457E9"/>
    <w:rsid w:val="00B6053C"/>
    <w:rsid w:val="00B96900"/>
    <w:rsid w:val="00BA5186"/>
    <w:rsid w:val="00BA5E9D"/>
    <w:rsid w:val="00BC4F86"/>
    <w:rsid w:val="00BD1BBB"/>
    <w:rsid w:val="00BD508E"/>
    <w:rsid w:val="00BE1A48"/>
    <w:rsid w:val="00BE45E2"/>
    <w:rsid w:val="00C124A7"/>
    <w:rsid w:val="00C31749"/>
    <w:rsid w:val="00C578BB"/>
    <w:rsid w:val="00C770BE"/>
    <w:rsid w:val="00C81C44"/>
    <w:rsid w:val="00C82AE7"/>
    <w:rsid w:val="00CB6F40"/>
    <w:rsid w:val="00CC30B1"/>
    <w:rsid w:val="00CD7E82"/>
    <w:rsid w:val="00CE08C4"/>
    <w:rsid w:val="00CE6DEE"/>
    <w:rsid w:val="00CE73FC"/>
    <w:rsid w:val="00CF4C99"/>
    <w:rsid w:val="00D042FB"/>
    <w:rsid w:val="00D2782B"/>
    <w:rsid w:val="00D5531E"/>
    <w:rsid w:val="00D62EBD"/>
    <w:rsid w:val="00D65DDC"/>
    <w:rsid w:val="00DC248F"/>
    <w:rsid w:val="00DD2B1A"/>
    <w:rsid w:val="00DD4602"/>
    <w:rsid w:val="00DF1A5F"/>
    <w:rsid w:val="00DF433D"/>
    <w:rsid w:val="00E0142C"/>
    <w:rsid w:val="00E0618B"/>
    <w:rsid w:val="00E55951"/>
    <w:rsid w:val="00E664EF"/>
    <w:rsid w:val="00E7088C"/>
    <w:rsid w:val="00E72871"/>
    <w:rsid w:val="00E94CC7"/>
    <w:rsid w:val="00EB0483"/>
    <w:rsid w:val="00EB4645"/>
    <w:rsid w:val="00ED4474"/>
    <w:rsid w:val="00ED687E"/>
    <w:rsid w:val="00EF17A7"/>
    <w:rsid w:val="00EF21CC"/>
    <w:rsid w:val="00F13F77"/>
    <w:rsid w:val="00F61890"/>
    <w:rsid w:val="00F874EA"/>
    <w:rsid w:val="00FC54DF"/>
    <w:rsid w:val="00FD1999"/>
    <w:rsid w:val="039D1F2C"/>
    <w:rsid w:val="06BD160A"/>
    <w:rsid w:val="0AE64D2D"/>
    <w:rsid w:val="0E4F2B9F"/>
    <w:rsid w:val="0F915C90"/>
    <w:rsid w:val="106610D0"/>
    <w:rsid w:val="139C0439"/>
    <w:rsid w:val="18433072"/>
    <w:rsid w:val="1B9D24C1"/>
    <w:rsid w:val="20C14FDC"/>
    <w:rsid w:val="26546C06"/>
    <w:rsid w:val="27A277B4"/>
    <w:rsid w:val="2A0B4DE3"/>
    <w:rsid w:val="2B3163EF"/>
    <w:rsid w:val="2E24482E"/>
    <w:rsid w:val="3D197528"/>
    <w:rsid w:val="4115304A"/>
    <w:rsid w:val="41984EBF"/>
    <w:rsid w:val="43F222F9"/>
    <w:rsid w:val="44AF0D20"/>
    <w:rsid w:val="4550785F"/>
    <w:rsid w:val="471B1A3A"/>
    <w:rsid w:val="47B61E19"/>
    <w:rsid w:val="47D741EE"/>
    <w:rsid w:val="4A431740"/>
    <w:rsid w:val="4B944492"/>
    <w:rsid w:val="4C8F3363"/>
    <w:rsid w:val="4DB13790"/>
    <w:rsid w:val="4F0A0038"/>
    <w:rsid w:val="4F620672"/>
    <w:rsid w:val="5DD03E68"/>
    <w:rsid w:val="61C9514B"/>
    <w:rsid w:val="630D181D"/>
    <w:rsid w:val="64E83C4D"/>
    <w:rsid w:val="64F66106"/>
    <w:rsid w:val="65BD2897"/>
    <w:rsid w:val="6CAB6027"/>
    <w:rsid w:val="6FF74536"/>
    <w:rsid w:val="711A1AB5"/>
    <w:rsid w:val="739165E2"/>
    <w:rsid w:val="74343D24"/>
    <w:rsid w:val="74EA412A"/>
    <w:rsid w:val="77A57835"/>
    <w:rsid w:val="780A371A"/>
    <w:rsid w:val="78493803"/>
    <w:rsid w:val="78EA33E2"/>
    <w:rsid w:val="798A6F69"/>
    <w:rsid w:val="7B200107"/>
    <w:rsid w:val="7C5E0D7C"/>
    <w:rsid w:val="7DDD7004"/>
    <w:rsid w:val="7E2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Salutation"/>
    <w:basedOn w:val="1"/>
    <w:next w:val="1"/>
    <w:qFormat/>
    <w:uiPriority w:val="0"/>
    <w:rPr>
      <w:bCs/>
    </w:rPr>
  </w:style>
  <w:style w:type="paragraph" w:styleId="13">
    <w:name w:val="Closing"/>
    <w:basedOn w:val="1"/>
    <w:qFormat/>
    <w:uiPriority w:val="0"/>
    <w:pPr>
      <w:ind w:left="100" w:leftChars="2100"/>
    </w:pPr>
    <w:rPr>
      <w:bCs/>
    </w:rPr>
  </w:style>
  <w:style w:type="paragraph" w:styleId="14">
    <w:name w:val="Body Text Indent"/>
    <w:basedOn w:val="1"/>
    <w:qFormat/>
    <w:uiPriority w:val="0"/>
    <w:pPr>
      <w:ind w:firstLine="538" w:firstLineChars="192"/>
    </w:pPr>
    <w:rPr>
      <w:rFonts w:eastAsia="宋体"/>
      <w:sz w:val="28"/>
    </w:rPr>
  </w:style>
  <w:style w:type="paragraph" w:styleId="15">
    <w:name w:val="footer"/>
    <w:basedOn w:val="1"/>
    <w:link w:val="23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21">
    <w:name w:val="_Style 20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2">
    <w:name w:val="Char"/>
    <w:basedOn w:val="1"/>
    <w:qFormat/>
    <w:uiPriority w:val="99"/>
    <w:pPr>
      <w:tabs>
        <w:tab w:val="left" w:pos="2280"/>
      </w:tabs>
    </w:pPr>
    <w:rPr>
      <w:rFonts w:ascii="Calibri" w:hAnsi="Calibri" w:eastAsia="宋体"/>
      <w:sz w:val="21"/>
    </w:rPr>
  </w:style>
  <w:style w:type="character" w:customStyle="1" w:styleId="23">
    <w:name w:val="页脚 Char"/>
    <w:basedOn w:val="19"/>
    <w:link w:val="15"/>
    <w:qFormat/>
    <w:uiPriority w:val="99"/>
    <w:rPr>
      <w:rFonts w:eastAsia="仿宋_GB2312"/>
      <w:kern w:val="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2</Pages>
  <Words>544</Words>
  <Characters>596</Characters>
  <Lines>6</Lines>
  <Paragraphs>1</Paragraphs>
  <TotalTime>0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2020-08-21T08:07:00Z</dcterms:created>
  <dc:creator>sshkjy</dc:creator>
  <cp:lastModifiedBy>@gx</cp:lastModifiedBy>
  <cp:lastPrinted>2021-09-16T01:52:00Z</cp:lastPrinted>
  <dcterms:modified xsi:type="dcterms:W3CDTF">2025-03-17T06:50:30Z</dcterms:modified>
  <dc:title>东莞市人民政府办公室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C1D977E8899C4563BDC419CD5CFC5195_13</vt:lpwstr>
  </property>
  <property fmtid="{D5CDD505-2E9C-101B-9397-08002B2CF9AE}" pid="4" name="KSOTemplateDocerSaveRecord">
    <vt:lpwstr>eyJoZGlkIjoiZDg5YzU3MWM5YzI3ZjYyOTM0ODlmNTI4ZWYwMWQ0ZTEiLCJ1c2VySWQiOiI1NzM5NzMyNDYifQ==</vt:lpwstr>
  </property>
</Properties>
</file>