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thinThickMediumGap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7"/>
      </w:tblGrid>
      <w:tr w14:paraId="2DBFBBE0">
        <w:tblPrEx>
          <w:tblBorders>
            <w:top w:val="none" w:color="auto" w:sz="0" w:space="0"/>
            <w:left w:val="none" w:color="auto" w:sz="0" w:space="0"/>
            <w:bottom w:val="thinThickMediumGap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677" w:type="dxa"/>
          </w:tcPr>
          <w:p w14:paraId="30A464E7">
            <w:pPr>
              <w:pStyle w:val="2"/>
              <w:numPr>
                <w:ilvl w:val="0"/>
                <w:numId w:val="0"/>
              </w:numPr>
              <w:autoSpaceDE w:val="0"/>
              <w:autoSpaceDN w:val="0"/>
              <w:snapToGrid w:val="0"/>
              <w:rPr>
                <w:rFonts w:eastAsia="方正小标宋简体"/>
                <w:b/>
                <w:bCs/>
                <w:color w:val="FF0000"/>
                <w:w w:val="90"/>
                <w:kern w:val="72"/>
                <w:sz w:val="72"/>
              </w:rPr>
            </w:pPr>
            <w:r>
              <w:rPr>
                <w:rFonts w:eastAsia="方正小标宋简体"/>
                <w:b/>
                <w:bCs/>
                <w:color w:val="FF0000"/>
                <w:spacing w:val="320"/>
                <w:w w:val="90"/>
                <w:kern w:val="72"/>
                <w:sz w:val="72"/>
              </w:rPr>
              <w:t>广东省人民政</w:t>
            </w:r>
            <w:r>
              <w:rPr>
                <w:rFonts w:eastAsia="方正小标宋简体"/>
                <w:b/>
                <w:bCs/>
                <w:color w:val="FF0000"/>
                <w:w w:val="90"/>
                <w:kern w:val="72"/>
                <w:sz w:val="72"/>
              </w:rPr>
              <w:t>府</w:t>
            </w:r>
          </w:p>
        </w:tc>
      </w:tr>
    </w:tbl>
    <w:p w14:paraId="2F973E91">
      <w:pPr>
        <w:pStyle w:val="11"/>
        <w:adjustRightInd w:val="0"/>
        <w:snapToGrid w:val="0"/>
        <w:spacing w:line="600" w:lineRule="exact"/>
        <w:ind w:firstLine="960" w:firstLineChars="300"/>
        <w:jc w:val="right"/>
        <w:rPr>
          <w:szCs w:val="32"/>
        </w:rPr>
      </w:pPr>
      <w:r>
        <w:t>粤府土审（12）</w:t>
      </w:r>
      <w:r>
        <w:rPr>
          <w:szCs w:val="32"/>
        </w:rPr>
        <w:t>〔</w:t>
      </w: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5</w:t>
      </w:r>
      <w:r>
        <w:rPr>
          <w:szCs w:val="32"/>
        </w:rPr>
        <w:t>〕</w:t>
      </w:r>
      <w:r>
        <w:rPr>
          <w:rFonts w:hint="eastAsia"/>
          <w:szCs w:val="32"/>
          <w:lang w:val="en-US" w:eastAsia="zh-CN"/>
        </w:rPr>
        <w:t>18</w:t>
      </w:r>
      <w:r>
        <w:rPr>
          <w:szCs w:val="32"/>
        </w:rPr>
        <w:t>号</w:t>
      </w:r>
    </w:p>
    <w:p w14:paraId="5848115F">
      <w:pPr>
        <w:topLinePunct/>
        <w:autoSpaceDE w:val="0"/>
        <w:autoSpaceDN w:val="0"/>
        <w:spacing w:before="20" w:line="600" w:lineRule="exact"/>
        <w:rPr>
          <w:rFonts w:eastAsia="方正小标宋简体"/>
          <w:szCs w:val="32"/>
        </w:rPr>
      </w:pPr>
    </w:p>
    <w:p w14:paraId="5FCF5B67">
      <w:pPr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广东省人民政府关于</w:t>
      </w:r>
      <w:r>
        <w:rPr>
          <w:rFonts w:hint="eastAsia" w:eastAsia="方正小标宋简体"/>
          <w:bCs/>
          <w:sz w:val="44"/>
          <w:szCs w:val="44"/>
        </w:rPr>
        <w:t>东莞</w:t>
      </w:r>
      <w:r>
        <w:rPr>
          <w:rFonts w:eastAsia="方正小标宋简体"/>
          <w:bCs/>
          <w:sz w:val="44"/>
          <w:szCs w:val="44"/>
        </w:rPr>
        <w:t>市</w:t>
      </w:r>
      <w:r>
        <w:rPr>
          <w:rFonts w:hint="eastAsia" w:eastAsia="方正小标宋简体"/>
          <w:bCs/>
          <w:sz w:val="44"/>
          <w:szCs w:val="44"/>
        </w:rPr>
        <w:t>麻涌镇2024年度第十五批次</w:t>
      </w:r>
      <w:r>
        <w:rPr>
          <w:rFonts w:eastAsia="方正小标宋简体"/>
          <w:bCs/>
          <w:sz w:val="44"/>
          <w:szCs w:val="44"/>
        </w:rPr>
        <w:t>城</w:t>
      </w:r>
      <w:r>
        <w:rPr>
          <w:rFonts w:hint="eastAsia" w:eastAsia="方正小标宋简体"/>
          <w:bCs/>
          <w:sz w:val="44"/>
          <w:szCs w:val="44"/>
        </w:rPr>
        <w:t>镇</w:t>
      </w:r>
      <w:r>
        <w:rPr>
          <w:rFonts w:eastAsia="方正小标宋简体"/>
          <w:bCs/>
          <w:sz w:val="44"/>
          <w:szCs w:val="44"/>
        </w:rPr>
        <w:t>建设用地的批复</w:t>
      </w:r>
    </w:p>
    <w:p w14:paraId="30F25BDB">
      <w:pPr>
        <w:spacing w:line="580" w:lineRule="exact"/>
        <w:ind w:left="-272" w:leftChars="-85"/>
        <w:jc w:val="center"/>
        <w:rPr>
          <w:b/>
          <w:bCs/>
          <w:szCs w:val="32"/>
        </w:rPr>
      </w:pPr>
    </w:p>
    <w:p w14:paraId="5CBAA770">
      <w:pPr>
        <w:snapToGrid w:val="0"/>
        <w:spacing w:line="540" w:lineRule="exact"/>
        <w:rPr>
          <w:rFonts w:ascii="仿宋_GB2312"/>
        </w:rPr>
      </w:pPr>
      <w:r>
        <w:rPr>
          <w:rFonts w:hint="eastAsia" w:ascii="仿宋_GB2312"/>
        </w:rPr>
        <w:t>东莞市人民政府：</w:t>
      </w:r>
    </w:p>
    <w:p w14:paraId="7FB66D71">
      <w:pPr>
        <w:snapToGrid w:val="0"/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《东莞市人民政府关于申请东莞市麻涌镇2024年度第十五批次城镇建设用地土地征收的请示》（</w:t>
      </w:r>
      <w:r>
        <w:rPr>
          <w:szCs w:val="32"/>
        </w:rPr>
        <w:t>东</w:t>
      </w:r>
      <w:r>
        <w:rPr>
          <w:rFonts w:hint="eastAsia"/>
          <w:szCs w:val="32"/>
        </w:rPr>
        <w:t>府</w:t>
      </w:r>
      <w:r>
        <w:rPr>
          <w:szCs w:val="32"/>
        </w:rPr>
        <w:t>〔</w:t>
      </w:r>
      <w:r>
        <w:rPr>
          <w:rFonts w:hint="eastAsia"/>
          <w:szCs w:val="32"/>
        </w:rPr>
        <w:t>202</w:t>
      </w:r>
      <w:r>
        <w:rPr>
          <w:rFonts w:hint="eastAsia"/>
          <w:szCs w:val="32"/>
          <w:lang w:val="en-US" w:eastAsia="zh-CN"/>
        </w:rPr>
        <w:t>5</w:t>
      </w:r>
      <w:r>
        <w:rPr>
          <w:szCs w:val="32"/>
        </w:rPr>
        <w:t>〕</w:t>
      </w:r>
      <w:r>
        <w:rPr>
          <w:rFonts w:hint="eastAsia"/>
          <w:szCs w:val="32"/>
          <w:lang w:val="en-US" w:eastAsia="zh-CN"/>
        </w:rPr>
        <w:t>24</w:t>
      </w:r>
      <w:r>
        <w:rPr>
          <w:szCs w:val="32"/>
        </w:rPr>
        <w:t>号</w:t>
      </w:r>
      <w:r>
        <w:rPr>
          <w:rFonts w:hint="eastAsia"/>
          <w:szCs w:val="32"/>
        </w:rPr>
        <w:t>）及相关材料已通过审核。批复如下：</w:t>
      </w:r>
    </w:p>
    <w:p w14:paraId="3F6EC898">
      <w:pPr>
        <w:widowControl/>
        <w:spacing w:line="540" w:lineRule="exact"/>
        <w:ind w:firstLine="640" w:firstLineChars="200"/>
        <w:textAlignment w:val="baseline"/>
        <w:rPr>
          <w:rFonts w:hint="eastAsia"/>
          <w:szCs w:val="32"/>
        </w:rPr>
      </w:pPr>
      <w:r>
        <w:rPr>
          <w:rFonts w:hint="eastAsia"/>
          <w:szCs w:val="32"/>
        </w:rPr>
        <w:t>一、同意你市将东莞市麻涌镇漳澎股份经济联合社、漳澎八坊股份经济合作社、漳澎九坊股份经济合作社、漳澎十坊股份经济合作社属下的集体农用地1.6214公顷(园地1.2613公顷、林地0.0296 公顷、草地0.0347公顷、其他农用地0.2958公顷)转为建设用地并办理征收手续。上述批准建设用地1.6214公顷，</w:t>
      </w:r>
    </w:p>
    <w:p w14:paraId="0FFE6776">
      <w:pPr>
        <w:widowControl/>
        <w:spacing w:line="540" w:lineRule="exact"/>
        <w:textAlignment w:val="baseline"/>
        <w:rPr>
          <w:rFonts w:hint="eastAsia"/>
          <w:szCs w:val="32"/>
        </w:rPr>
      </w:pPr>
      <w:r>
        <w:rPr>
          <w:rFonts w:hint="eastAsia"/>
          <w:szCs w:val="32"/>
        </w:rPr>
        <w:t>由当地人民政府依法依规供应，用于城市建设。</w:t>
      </w:r>
    </w:p>
    <w:p w14:paraId="2F194C4B">
      <w:pPr>
        <w:widowControl/>
        <w:spacing w:line="540" w:lineRule="exact"/>
        <w:ind w:firstLine="320" w:firstLineChars="100"/>
        <w:textAlignment w:val="baseline"/>
        <w:rPr>
          <w:szCs w:val="32"/>
        </w:rPr>
      </w:pPr>
      <w:r>
        <w:rPr>
          <w:rFonts w:hint="eastAsia"/>
          <w:szCs w:val="32"/>
        </w:rPr>
        <w:t>二、请你市人民政府按照《中华人民共和国土地管理法》有关规定，严格履行征地批后实施程序，及时足额支付补偿费用，落实被征地农民的社会保障费用等安置措施，妥善安排好被征地农民的生产和生活，保证原有生活水平不降低，长远生计有保障。征地补偿安置不落实的，不得动工用地。你市相关不动产登记机构以此办理集体土地所有权注销或变更登记。</w:t>
      </w:r>
    </w:p>
    <w:p w14:paraId="7890AD9D">
      <w:pPr>
        <w:widowControl/>
        <w:spacing w:line="540" w:lineRule="exact"/>
        <w:ind w:firstLine="645"/>
        <w:textAlignment w:val="baseline"/>
        <w:rPr>
          <w:szCs w:val="32"/>
        </w:rPr>
      </w:pPr>
      <w:r>
        <w:rPr>
          <w:rFonts w:hint="eastAsia"/>
          <w:szCs w:val="32"/>
        </w:rPr>
        <w:t>三、严格按照国家有关规定征收新增建设用地土地有偿使用费、申报缴纳耕地占用税。</w:t>
      </w:r>
    </w:p>
    <w:p w14:paraId="61614E1A">
      <w:pPr>
        <w:widowControl/>
        <w:spacing w:line="540" w:lineRule="exact"/>
        <w:textAlignment w:val="baseline"/>
        <w:rPr>
          <w:szCs w:val="32"/>
        </w:rPr>
      </w:pPr>
    </w:p>
    <w:p w14:paraId="6CFE3534">
      <w:pPr>
        <w:widowControl/>
        <w:spacing w:line="540" w:lineRule="exact"/>
        <w:textAlignment w:val="baseline"/>
        <w:rPr>
          <w:szCs w:val="32"/>
        </w:rPr>
      </w:pPr>
    </w:p>
    <w:p w14:paraId="6F4BEC19">
      <w:pPr>
        <w:widowControl/>
        <w:spacing w:line="540" w:lineRule="exact"/>
        <w:textAlignment w:val="baseline"/>
        <w:rPr>
          <w:szCs w:val="32"/>
        </w:rPr>
      </w:pPr>
    </w:p>
    <w:p w14:paraId="4EAD5D9D">
      <w:pPr>
        <w:widowControl/>
        <w:spacing w:line="540" w:lineRule="exact"/>
        <w:ind w:firstLine="645"/>
        <w:textAlignment w:val="baseline"/>
        <w:rPr>
          <w:szCs w:val="32"/>
        </w:rPr>
      </w:pPr>
      <w:r>
        <w:rPr>
          <w:szCs w:val="32"/>
        </w:rPr>
        <w:t xml:space="preserve">                               </w:t>
      </w:r>
      <w:r>
        <w:rPr>
          <w:rFonts w:hint="eastAsia"/>
          <w:szCs w:val="32"/>
        </w:rPr>
        <w:t>广东省人民政府</w:t>
      </w:r>
    </w:p>
    <w:p w14:paraId="6BED247A">
      <w:pPr>
        <w:widowControl/>
        <w:spacing w:line="540" w:lineRule="exact"/>
        <w:ind w:firstLine="645"/>
        <w:jc w:val="center"/>
        <w:textAlignment w:val="baseline"/>
        <w:rPr>
          <w:szCs w:val="32"/>
        </w:rPr>
      </w:pPr>
      <w:r>
        <w:rPr>
          <w:szCs w:val="32"/>
        </w:rPr>
        <w:t xml:space="preserve">                          </w:t>
      </w:r>
      <w:r>
        <w:rPr>
          <w:rFonts w:hint="eastAsia"/>
          <w:szCs w:val="32"/>
        </w:rPr>
        <w:t>202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年</w:t>
      </w:r>
      <w:r>
        <w:rPr>
          <w:rFonts w:hint="eastAsia"/>
          <w:szCs w:val="32"/>
          <w:lang w:val="en-US" w:eastAsia="zh-CN"/>
        </w:rPr>
        <w:t>1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23</w:t>
      </w:r>
      <w:r>
        <w:rPr>
          <w:rFonts w:hint="eastAsia"/>
          <w:szCs w:val="32"/>
        </w:rPr>
        <w:t>日</w:t>
      </w:r>
    </w:p>
    <w:p w14:paraId="039D515D">
      <w:pPr>
        <w:widowControl/>
        <w:spacing w:line="540" w:lineRule="exact"/>
        <w:ind w:firstLine="645"/>
        <w:jc w:val="center"/>
        <w:textAlignment w:val="baseline"/>
        <w:rPr>
          <w:szCs w:val="32"/>
        </w:rPr>
      </w:pPr>
    </w:p>
    <w:p w14:paraId="454705C5">
      <w:pPr>
        <w:widowControl/>
        <w:spacing w:line="540" w:lineRule="exact"/>
        <w:ind w:firstLine="645"/>
        <w:jc w:val="center"/>
        <w:textAlignment w:val="baseline"/>
        <w:rPr>
          <w:szCs w:val="32"/>
        </w:rPr>
      </w:pPr>
    </w:p>
    <w:p w14:paraId="50B53E1E">
      <w:pPr>
        <w:widowControl/>
        <w:spacing w:line="540" w:lineRule="exact"/>
        <w:ind w:firstLine="645"/>
        <w:jc w:val="center"/>
        <w:textAlignment w:val="baseline"/>
        <w:rPr>
          <w:szCs w:val="32"/>
        </w:rPr>
      </w:pPr>
    </w:p>
    <w:p w14:paraId="51E975EA">
      <w:pPr>
        <w:widowControl/>
        <w:spacing w:line="540" w:lineRule="exact"/>
        <w:ind w:firstLine="645"/>
        <w:jc w:val="center"/>
        <w:textAlignment w:val="baseline"/>
        <w:rPr>
          <w:szCs w:val="32"/>
        </w:rPr>
      </w:pPr>
    </w:p>
    <w:p w14:paraId="718CB690">
      <w:pPr>
        <w:widowControl/>
        <w:spacing w:line="540" w:lineRule="exact"/>
        <w:ind w:firstLine="645"/>
        <w:jc w:val="center"/>
        <w:textAlignment w:val="baseline"/>
        <w:rPr>
          <w:szCs w:val="32"/>
        </w:rPr>
      </w:pPr>
      <w:bookmarkStart w:id="0" w:name="_GoBack"/>
      <w:bookmarkEnd w:id="0"/>
    </w:p>
    <w:p w14:paraId="3472D909">
      <w:pPr>
        <w:widowControl/>
        <w:spacing w:line="540" w:lineRule="exact"/>
        <w:textAlignment w:val="baseline"/>
        <w:rPr>
          <w:szCs w:val="32"/>
        </w:rPr>
      </w:pPr>
    </w:p>
    <w:p w14:paraId="34FD088F">
      <w:pPr>
        <w:pStyle w:val="22"/>
        <w:spacing w:line="58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0"/>
          <w:szCs w:val="30"/>
        </w:rPr>
        <w:t>公开方式：</w:t>
      </w:r>
      <w:r>
        <w:rPr>
          <w:rFonts w:ascii="Times New Roman" w:hAnsi="Times New Roman" w:eastAsia="仿宋_GB2312"/>
          <w:sz w:val="30"/>
          <w:szCs w:val="30"/>
        </w:rPr>
        <w:t>主动公开</w:t>
      </w:r>
    </w:p>
    <w:p w14:paraId="6A3E2B11">
      <w:pPr>
        <w:pStyle w:val="22"/>
        <w:spacing w:line="580" w:lineRule="exact"/>
        <w:ind w:left="316" w:leftChars="99"/>
        <w:rPr>
          <w:rFonts w:ascii="Times New Roman" w:hAnsi="Times New Roman" w:eastAsia="仿宋_GB2312"/>
          <w:sz w:val="28"/>
          <w:szCs w:val="28"/>
        </w:rPr>
      </w:pPr>
    </w:p>
    <w:p w14:paraId="6E071233">
      <w:pPr>
        <w:widowControl/>
        <w:spacing w:line="600" w:lineRule="exact"/>
        <w:ind w:left="1480" w:leftChars="200" w:hanging="840" w:hangingChars="300"/>
        <w:textAlignment w:val="baseline"/>
        <w:rPr>
          <w:sz w:val="28"/>
          <w:szCs w:val="28"/>
        </w:rPr>
      </w:pPr>
      <w:r>
        <w:rPr>
          <w:sz w:val="28"/>
          <w:szCs w:val="28"/>
        </w:rPr>
        <w:t>抄送：国家自然资源督察广州局、财政部广东监管局、省财政厅、省人力资源和社会保障厅、省自然资源厅、省农业农村厅、国家税务总局广东省税务局。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2098" w:footer="1984" w:gutter="0"/>
      <w:pgBorders w:display="firstPage">
        <w:bottom w:val="thickThinSmallGap" w:color="FF0000" w:sz="24" w:space="2"/>
      </w:pgBorders>
      <w:cols w:space="425" w:num="1"/>
      <w:titlePg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75CBE">
    <w:pPr>
      <w:pStyle w:val="15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3</w:t>
    </w:r>
    <w:r>
      <w:rPr>
        <w:rStyle w:val="20"/>
      </w:rPr>
      <w:fldChar w:fldCharType="end"/>
    </w:r>
  </w:p>
  <w:p w14:paraId="199DDEDC">
    <w:pPr>
      <w:pStyle w:val="1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119B8">
    <w:pPr>
      <w:pStyle w:val="15"/>
      <w:framePr w:wrap="notBeside" w:vAnchor="page" w:hAnchor="page" w:x="1479" w:y="15598"/>
      <w:rPr>
        <w:rStyle w:val="20"/>
      </w:rPr>
    </w:pPr>
    <w:r>
      <w:rPr>
        <w:rStyle w:val="20"/>
        <w:rFonts w:hint="eastAsia"/>
      </w:rPr>
      <w:t>—</w:t>
    </w: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2</w:t>
    </w:r>
    <w:r>
      <w:rPr>
        <w:rStyle w:val="20"/>
      </w:rPr>
      <w:fldChar w:fldCharType="end"/>
    </w:r>
    <w:r>
      <w:rPr>
        <w:rStyle w:val="20"/>
        <w:rFonts w:hint="eastAsia"/>
      </w:rPr>
      <w:t>—</w:t>
    </w:r>
  </w:p>
  <w:p w14:paraId="182482BC">
    <w:pPr>
      <w:pStyle w:val="15"/>
      <w:ind w:right="360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pStyle w:val="3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4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pStyle w:val="5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pStyle w:val="6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pStyle w:val="7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pStyle w:val="8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pStyle w:val="9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pStyle w:val="10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28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kMGFkZjY5YjgwMjhjNzMzOWRmZDgwZWI4MzQzMTEifQ=="/>
    <w:docVar w:name="FlFileSerial" w:val=" "/>
    <w:docVar w:name="FlFileYear" w:val="2018"/>
    <w:docVar w:name="FlGkfs" w:val="主动公开"/>
    <w:docVar w:name="FlProver" w:val=" "/>
    <w:docVar w:name="FlSubject" w:val="广东省人民政府关于东莞市2018年度第一批次城镇建设用地的批复"/>
    <w:docVar w:name="FlYear" w:val="2018"/>
    <w:docVar w:name="FlYear_Zw" w:val="2018"/>
  </w:docVars>
  <w:rsids>
    <w:rsidRoot w:val="00B064BA"/>
    <w:rsid w:val="0000074E"/>
    <w:rsid w:val="0001126B"/>
    <w:rsid w:val="00012FB8"/>
    <w:rsid w:val="00040E13"/>
    <w:rsid w:val="00041BE0"/>
    <w:rsid w:val="00043A03"/>
    <w:rsid w:val="00082FCB"/>
    <w:rsid w:val="000A190B"/>
    <w:rsid w:val="000B206B"/>
    <w:rsid w:val="000B4027"/>
    <w:rsid w:val="000B7281"/>
    <w:rsid w:val="000E1B28"/>
    <w:rsid w:val="000F2272"/>
    <w:rsid w:val="001016A0"/>
    <w:rsid w:val="00101BA8"/>
    <w:rsid w:val="00113608"/>
    <w:rsid w:val="0011776A"/>
    <w:rsid w:val="0012378F"/>
    <w:rsid w:val="001312F1"/>
    <w:rsid w:val="00132B80"/>
    <w:rsid w:val="001470EF"/>
    <w:rsid w:val="00153677"/>
    <w:rsid w:val="00156981"/>
    <w:rsid w:val="0016402D"/>
    <w:rsid w:val="00167305"/>
    <w:rsid w:val="001700AC"/>
    <w:rsid w:val="00180F0B"/>
    <w:rsid w:val="0018421E"/>
    <w:rsid w:val="00193DF8"/>
    <w:rsid w:val="001B0BFB"/>
    <w:rsid w:val="001E34C5"/>
    <w:rsid w:val="001E5EA0"/>
    <w:rsid w:val="001F564D"/>
    <w:rsid w:val="002268ED"/>
    <w:rsid w:val="002438B0"/>
    <w:rsid w:val="00252CA7"/>
    <w:rsid w:val="00260D94"/>
    <w:rsid w:val="00266446"/>
    <w:rsid w:val="002779F0"/>
    <w:rsid w:val="00287F00"/>
    <w:rsid w:val="00294385"/>
    <w:rsid w:val="002970CA"/>
    <w:rsid w:val="002C20AD"/>
    <w:rsid w:val="002C5D15"/>
    <w:rsid w:val="002D43B1"/>
    <w:rsid w:val="003160C2"/>
    <w:rsid w:val="003172E1"/>
    <w:rsid w:val="0031732C"/>
    <w:rsid w:val="0035333A"/>
    <w:rsid w:val="00392C91"/>
    <w:rsid w:val="003A4643"/>
    <w:rsid w:val="003A5D34"/>
    <w:rsid w:val="003B64EA"/>
    <w:rsid w:val="003E1FFF"/>
    <w:rsid w:val="004075BC"/>
    <w:rsid w:val="0042364C"/>
    <w:rsid w:val="004243DC"/>
    <w:rsid w:val="00427126"/>
    <w:rsid w:val="00461D2A"/>
    <w:rsid w:val="00463EA5"/>
    <w:rsid w:val="00471488"/>
    <w:rsid w:val="00475326"/>
    <w:rsid w:val="00481406"/>
    <w:rsid w:val="004830D4"/>
    <w:rsid w:val="00485E11"/>
    <w:rsid w:val="004A4FDA"/>
    <w:rsid w:val="004B5177"/>
    <w:rsid w:val="004B5E32"/>
    <w:rsid w:val="004B74D1"/>
    <w:rsid w:val="004C1254"/>
    <w:rsid w:val="004C19BA"/>
    <w:rsid w:val="004C73D3"/>
    <w:rsid w:val="004E1B07"/>
    <w:rsid w:val="005141AA"/>
    <w:rsid w:val="00515BA5"/>
    <w:rsid w:val="00523440"/>
    <w:rsid w:val="005326D6"/>
    <w:rsid w:val="0053576B"/>
    <w:rsid w:val="00565BDA"/>
    <w:rsid w:val="005728C5"/>
    <w:rsid w:val="005A3510"/>
    <w:rsid w:val="005A466E"/>
    <w:rsid w:val="005A7330"/>
    <w:rsid w:val="005B34F0"/>
    <w:rsid w:val="005C06A9"/>
    <w:rsid w:val="005C2135"/>
    <w:rsid w:val="005C64CE"/>
    <w:rsid w:val="005D4C83"/>
    <w:rsid w:val="005D57D0"/>
    <w:rsid w:val="005F4508"/>
    <w:rsid w:val="00610E51"/>
    <w:rsid w:val="0061705D"/>
    <w:rsid w:val="00646D3D"/>
    <w:rsid w:val="00653DF1"/>
    <w:rsid w:val="00654528"/>
    <w:rsid w:val="0065655C"/>
    <w:rsid w:val="00656C68"/>
    <w:rsid w:val="00665746"/>
    <w:rsid w:val="00691A63"/>
    <w:rsid w:val="006A40CD"/>
    <w:rsid w:val="006C349A"/>
    <w:rsid w:val="006D0792"/>
    <w:rsid w:val="006D434A"/>
    <w:rsid w:val="006E0F49"/>
    <w:rsid w:val="006E6B56"/>
    <w:rsid w:val="006F3F33"/>
    <w:rsid w:val="00706477"/>
    <w:rsid w:val="00712766"/>
    <w:rsid w:val="00715C17"/>
    <w:rsid w:val="007163B9"/>
    <w:rsid w:val="00750D57"/>
    <w:rsid w:val="00752FE2"/>
    <w:rsid w:val="00770655"/>
    <w:rsid w:val="007747B4"/>
    <w:rsid w:val="00776B7E"/>
    <w:rsid w:val="00783228"/>
    <w:rsid w:val="00783A6E"/>
    <w:rsid w:val="007858BC"/>
    <w:rsid w:val="00790829"/>
    <w:rsid w:val="00792525"/>
    <w:rsid w:val="007C1CAF"/>
    <w:rsid w:val="007D0A0F"/>
    <w:rsid w:val="007E1136"/>
    <w:rsid w:val="007F5A02"/>
    <w:rsid w:val="00812C75"/>
    <w:rsid w:val="00821113"/>
    <w:rsid w:val="00826E77"/>
    <w:rsid w:val="00837D1B"/>
    <w:rsid w:val="008455B3"/>
    <w:rsid w:val="0086760C"/>
    <w:rsid w:val="00873B88"/>
    <w:rsid w:val="008864C8"/>
    <w:rsid w:val="008A3D6B"/>
    <w:rsid w:val="008B108A"/>
    <w:rsid w:val="008B1EFE"/>
    <w:rsid w:val="008F142D"/>
    <w:rsid w:val="00930FF7"/>
    <w:rsid w:val="009439FA"/>
    <w:rsid w:val="009D19AB"/>
    <w:rsid w:val="009E1BAE"/>
    <w:rsid w:val="009F7DD7"/>
    <w:rsid w:val="00A1390A"/>
    <w:rsid w:val="00A159D2"/>
    <w:rsid w:val="00A20509"/>
    <w:rsid w:val="00A360C5"/>
    <w:rsid w:val="00A3683C"/>
    <w:rsid w:val="00A53AAB"/>
    <w:rsid w:val="00A616BD"/>
    <w:rsid w:val="00A72C19"/>
    <w:rsid w:val="00A8130F"/>
    <w:rsid w:val="00A85A7A"/>
    <w:rsid w:val="00A90C64"/>
    <w:rsid w:val="00AB0A92"/>
    <w:rsid w:val="00AB14A4"/>
    <w:rsid w:val="00AB79DD"/>
    <w:rsid w:val="00AC1647"/>
    <w:rsid w:val="00AE31E7"/>
    <w:rsid w:val="00B064BA"/>
    <w:rsid w:val="00B16A2E"/>
    <w:rsid w:val="00B25A69"/>
    <w:rsid w:val="00B457E9"/>
    <w:rsid w:val="00B6053C"/>
    <w:rsid w:val="00B96900"/>
    <w:rsid w:val="00BA5186"/>
    <w:rsid w:val="00BA5E9D"/>
    <w:rsid w:val="00BC4F86"/>
    <w:rsid w:val="00BD1BBB"/>
    <w:rsid w:val="00BD508E"/>
    <w:rsid w:val="00BE1A48"/>
    <w:rsid w:val="00BE45E2"/>
    <w:rsid w:val="00C124A7"/>
    <w:rsid w:val="00C31749"/>
    <w:rsid w:val="00C578BB"/>
    <w:rsid w:val="00C770BE"/>
    <w:rsid w:val="00C81C44"/>
    <w:rsid w:val="00C82AE7"/>
    <w:rsid w:val="00CB6F40"/>
    <w:rsid w:val="00CC30B1"/>
    <w:rsid w:val="00CD6292"/>
    <w:rsid w:val="00CD7E82"/>
    <w:rsid w:val="00CE08C4"/>
    <w:rsid w:val="00CE6DEE"/>
    <w:rsid w:val="00CE73FC"/>
    <w:rsid w:val="00CF4C99"/>
    <w:rsid w:val="00D042FB"/>
    <w:rsid w:val="00D2782B"/>
    <w:rsid w:val="00D5531E"/>
    <w:rsid w:val="00D62EBD"/>
    <w:rsid w:val="00D65DDC"/>
    <w:rsid w:val="00DC248F"/>
    <w:rsid w:val="00DD2B1A"/>
    <w:rsid w:val="00DD4602"/>
    <w:rsid w:val="00DE79A9"/>
    <w:rsid w:val="00DF1A5F"/>
    <w:rsid w:val="00DF433D"/>
    <w:rsid w:val="00E0142C"/>
    <w:rsid w:val="00E0618B"/>
    <w:rsid w:val="00E55951"/>
    <w:rsid w:val="00E63431"/>
    <w:rsid w:val="00E664EF"/>
    <w:rsid w:val="00E7088C"/>
    <w:rsid w:val="00E72871"/>
    <w:rsid w:val="00E94CC7"/>
    <w:rsid w:val="00EB0483"/>
    <w:rsid w:val="00EB4645"/>
    <w:rsid w:val="00ED4474"/>
    <w:rsid w:val="00ED687E"/>
    <w:rsid w:val="00EF17A7"/>
    <w:rsid w:val="00EF21CC"/>
    <w:rsid w:val="00F13F77"/>
    <w:rsid w:val="00F61890"/>
    <w:rsid w:val="00F874EA"/>
    <w:rsid w:val="00FC54DF"/>
    <w:rsid w:val="00FD1999"/>
    <w:rsid w:val="039D1F2C"/>
    <w:rsid w:val="05B57C30"/>
    <w:rsid w:val="0AE64D2D"/>
    <w:rsid w:val="106610D0"/>
    <w:rsid w:val="1EC12751"/>
    <w:rsid w:val="20C14FDC"/>
    <w:rsid w:val="3A466D00"/>
    <w:rsid w:val="3A50694D"/>
    <w:rsid w:val="4115304A"/>
    <w:rsid w:val="43F222F9"/>
    <w:rsid w:val="4A431740"/>
    <w:rsid w:val="4B944492"/>
    <w:rsid w:val="4DB13790"/>
    <w:rsid w:val="4F0A0038"/>
    <w:rsid w:val="4F620672"/>
    <w:rsid w:val="51C86F9C"/>
    <w:rsid w:val="5B0456E2"/>
    <w:rsid w:val="5C847DC6"/>
    <w:rsid w:val="64947310"/>
    <w:rsid w:val="64E83C4D"/>
    <w:rsid w:val="65BD2897"/>
    <w:rsid w:val="67A97908"/>
    <w:rsid w:val="6CAB6027"/>
    <w:rsid w:val="6E6E54F0"/>
    <w:rsid w:val="739165E2"/>
    <w:rsid w:val="78493803"/>
    <w:rsid w:val="78EA33E2"/>
    <w:rsid w:val="798A6F69"/>
    <w:rsid w:val="7B200107"/>
    <w:rsid w:val="7B9E134C"/>
    <w:rsid w:val="7E2C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widowControl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6">
    <w:name w:val="heading 5"/>
    <w:basedOn w:val="1"/>
    <w:next w:val="1"/>
    <w:qFormat/>
    <w:uiPriority w:val="0"/>
    <w:pPr>
      <w:keepNext/>
      <w:keepLines/>
      <w:widowControl/>
      <w:numPr>
        <w:ilvl w:val="4"/>
        <w:numId w:val="1"/>
      </w:numPr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qFormat/>
    <w:uiPriority w:val="0"/>
    <w:pPr>
      <w:keepNext/>
      <w:keepLines/>
      <w:widowControl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qFormat/>
    <w:uiPriority w:val="0"/>
    <w:pPr>
      <w:keepNext/>
      <w:keepLines/>
      <w:widowControl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qFormat/>
    <w:uiPriority w:val="0"/>
    <w:pPr>
      <w:keepNext/>
      <w:keepLines/>
      <w:widowControl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qFormat/>
    <w:uiPriority w:val="0"/>
    <w:pPr>
      <w:keepNext/>
      <w:keepLines/>
      <w:widowControl/>
      <w:numPr>
        <w:ilvl w:val="8"/>
        <w:numId w:val="1"/>
      </w:numPr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 w:val="21"/>
      <w:szCs w:val="2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Salutation"/>
    <w:basedOn w:val="1"/>
    <w:next w:val="1"/>
    <w:qFormat/>
    <w:uiPriority w:val="0"/>
    <w:rPr>
      <w:bCs/>
    </w:rPr>
  </w:style>
  <w:style w:type="paragraph" w:styleId="13">
    <w:name w:val="Closing"/>
    <w:basedOn w:val="1"/>
    <w:qFormat/>
    <w:uiPriority w:val="0"/>
    <w:pPr>
      <w:ind w:left="100" w:leftChars="2100"/>
    </w:pPr>
    <w:rPr>
      <w:bCs/>
    </w:rPr>
  </w:style>
  <w:style w:type="paragraph" w:styleId="14">
    <w:name w:val="Body Text Indent"/>
    <w:basedOn w:val="1"/>
    <w:qFormat/>
    <w:uiPriority w:val="0"/>
    <w:pPr>
      <w:ind w:firstLine="538" w:firstLineChars="192"/>
    </w:pPr>
    <w:rPr>
      <w:rFonts w:eastAsia="宋体"/>
      <w:sz w:val="28"/>
    </w:rPr>
  </w:style>
  <w:style w:type="paragraph" w:styleId="15">
    <w:name w:val="footer"/>
    <w:basedOn w:val="1"/>
    <w:link w:val="23"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1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itle"/>
    <w:basedOn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character" w:styleId="20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paragraph" w:customStyle="1" w:styleId="21">
    <w:name w:val="_Style 20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22">
    <w:name w:val="Char"/>
    <w:basedOn w:val="1"/>
    <w:qFormat/>
    <w:uiPriority w:val="99"/>
    <w:pPr>
      <w:tabs>
        <w:tab w:val="left" w:pos="2280"/>
      </w:tabs>
    </w:pPr>
    <w:rPr>
      <w:rFonts w:ascii="Calibri" w:hAnsi="Calibri" w:eastAsia="宋体"/>
      <w:sz w:val="21"/>
    </w:rPr>
  </w:style>
  <w:style w:type="character" w:customStyle="1" w:styleId="23">
    <w:name w:val="页脚 Char"/>
    <w:basedOn w:val="19"/>
    <w:link w:val="15"/>
    <w:qFormat/>
    <w:uiPriority w:val="99"/>
    <w:rPr>
      <w:rFonts w:eastAsia="仿宋_GB2312"/>
      <w:kern w:val="2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dgcc</Company>
  <Pages>2</Pages>
  <Words>640</Words>
  <Characters>739</Characters>
  <Lines>1</Lines>
  <Paragraphs>1</Paragraphs>
  <TotalTime>42</TotalTime>
  <ScaleCrop>false</ScaleCrop>
  <LinksUpToDate>false</LinksUpToDate>
  <CharactersWithSpaces>796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2024-11-07T13:26:00Z</dcterms:created>
  <dc:creator>sshkjy</dc:creator>
  <cp:lastModifiedBy>@gx</cp:lastModifiedBy>
  <cp:lastPrinted>2021-09-16T01:52:00Z</cp:lastPrinted>
  <dcterms:modified xsi:type="dcterms:W3CDTF">2025-03-12T08:41:48Z</dcterms:modified>
  <dc:title>东莞市人民政府办公室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7B11392399864A178F6108E28693A1AE_13</vt:lpwstr>
  </property>
  <property fmtid="{D5CDD505-2E9C-101B-9397-08002B2CF9AE}" pid="4" name="KSOTemplateDocerSaveRecord">
    <vt:lpwstr>eyJoZGlkIjoiZDg5YzU3MWM5YzI3ZjYyOTM0ODlmNTI4ZWYwMWQ0ZTEiLCJ1c2VySWQiOiI1NzM5NzMyNDYifQ==</vt:lpwstr>
  </property>
</Properties>
</file>