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8AF0D9">
      <w:pPr>
        <w:spacing w:line="579" w:lineRule="exact"/>
        <w:ind w:firstLine="840"/>
        <w:rPr>
          <w:rFonts w:ascii="Times New Roman" w:hAnsi="Times New Roman" w:eastAsia="方正小标宋简体" w:cs="Times New Roman"/>
          <w:sz w:val="42"/>
          <w:szCs w:val="42"/>
        </w:rPr>
      </w:pPr>
    </w:p>
    <w:p w14:paraId="0846A1EE">
      <w:pPr>
        <w:spacing w:line="579" w:lineRule="exact"/>
        <w:ind w:firstLine="840"/>
        <w:rPr>
          <w:rFonts w:ascii="Times New Roman" w:hAnsi="Times New Roman" w:eastAsia="方正小标宋简体" w:cs="Times New Roman"/>
          <w:sz w:val="42"/>
          <w:szCs w:val="42"/>
        </w:rPr>
      </w:pPr>
    </w:p>
    <w:p w14:paraId="18BEECEC">
      <w:pPr>
        <w:spacing w:line="579" w:lineRule="exact"/>
        <w:ind w:firstLine="840"/>
        <w:rPr>
          <w:rFonts w:ascii="Times New Roman" w:hAnsi="Times New Roman" w:eastAsia="方正小标宋简体" w:cs="Times New Roman"/>
          <w:sz w:val="42"/>
          <w:szCs w:val="42"/>
        </w:rPr>
      </w:pPr>
    </w:p>
    <w:p w14:paraId="6F93DBD2">
      <w:pPr>
        <w:spacing w:line="579" w:lineRule="exact"/>
        <w:ind w:firstLine="934"/>
        <w:rPr>
          <w:rFonts w:ascii="Times New Roman" w:hAnsi="Times New Roman" w:eastAsia="方正小标宋简体" w:cs="Times New Roman"/>
          <w:w w:val="90"/>
          <w:sz w:val="52"/>
          <w:szCs w:val="52"/>
        </w:rPr>
      </w:pPr>
    </w:p>
    <w:p w14:paraId="1664E913">
      <w:pPr>
        <w:adjustRightInd w:val="0"/>
        <w:snapToGrid w:val="0"/>
        <w:spacing w:line="288" w:lineRule="auto"/>
        <w:jc w:val="center"/>
        <w:rPr>
          <w:rFonts w:eastAsia="方正小标宋_GBK"/>
          <w:sz w:val="52"/>
          <w:szCs w:val="52"/>
        </w:rPr>
      </w:pPr>
      <w:r>
        <w:rPr>
          <w:rFonts w:eastAsia="方正小标宋_GBK"/>
          <w:sz w:val="52"/>
          <w:szCs w:val="52"/>
        </w:rPr>
        <w:t>谢岗镇财政绩效评价报告</w:t>
      </w:r>
    </w:p>
    <w:p w14:paraId="384E3307">
      <w:pPr>
        <w:adjustRightInd w:val="0"/>
        <w:snapToGrid w:val="0"/>
        <w:spacing w:line="579" w:lineRule="exact"/>
        <w:ind w:firstLine="1040"/>
        <w:jc w:val="center"/>
        <w:rPr>
          <w:rFonts w:ascii="Times New Roman" w:hAnsi="Times New Roman" w:eastAsia="方正小标宋简体" w:cs="Times New Roman"/>
          <w:sz w:val="52"/>
          <w:szCs w:val="52"/>
        </w:rPr>
      </w:pPr>
    </w:p>
    <w:p w14:paraId="2B086511">
      <w:pPr>
        <w:adjustRightInd w:val="0"/>
        <w:snapToGrid w:val="0"/>
        <w:spacing w:line="579" w:lineRule="exact"/>
        <w:ind w:firstLine="1040"/>
        <w:jc w:val="center"/>
        <w:rPr>
          <w:rFonts w:ascii="Times New Roman" w:hAnsi="Times New Roman" w:eastAsia="方正小标宋简体" w:cs="Times New Roman"/>
          <w:sz w:val="52"/>
          <w:szCs w:val="52"/>
        </w:rPr>
      </w:pPr>
    </w:p>
    <w:p w14:paraId="7C1A08A0">
      <w:pPr>
        <w:shd w:val="clear" w:color="auto" w:fill="FFFFFF"/>
        <w:suppressAutoHyphens/>
        <w:snapToGrid w:val="0"/>
        <w:spacing w:line="579" w:lineRule="exact"/>
        <w:ind w:firstLine="880"/>
        <w:rPr>
          <w:rFonts w:ascii="Times New Roman" w:hAnsi="Times New Roman" w:eastAsia="华康简标题宋" w:cs="Times New Roman"/>
          <w:bCs/>
          <w:kern w:val="1"/>
          <w:sz w:val="44"/>
          <w:szCs w:val="44"/>
          <w:lang w:eastAsia="ar-SA"/>
        </w:rPr>
      </w:pPr>
    </w:p>
    <w:p w14:paraId="0DC9DEF5">
      <w:pPr>
        <w:shd w:val="clear" w:color="auto" w:fill="FFFFFF"/>
        <w:suppressAutoHyphens/>
        <w:snapToGrid w:val="0"/>
        <w:spacing w:line="579" w:lineRule="exact"/>
        <w:ind w:firstLine="880"/>
        <w:rPr>
          <w:rFonts w:ascii="Times New Roman" w:hAnsi="Times New Roman" w:eastAsia="华康简标题宋" w:cs="Times New Roman"/>
          <w:bCs/>
          <w:kern w:val="1"/>
          <w:sz w:val="44"/>
          <w:szCs w:val="44"/>
          <w:lang w:eastAsia="ar-SA"/>
        </w:rPr>
      </w:pPr>
    </w:p>
    <w:p w14:paraId="147B2829">
      <w:pPr>
        <w:shd w:val="clear" w:color="auto" w:fill="FFFFFF"/>
        <w:suppressAutoHyphens/>
        <w:snapToGrid w:val="0"/>
        <w:spacing w:line="579" w:lineRule="exact"/>
        <w:ind w:firstLine="880"/>
        <w:rPr>
          <w:rFonts w:ascii="Times New Roman" w:hAnsi="Times New Roman" w:eastAsia="华康简标题宋" w:cs="Times New Roman"/>
          <w:bCs/>
          <w:kern w:val="1"/>
          <w:sz w:val="44"/>
          <w:szCs w:val="44"/>
          <w:lang w:eastAsia="ar-SA"/>
        </w:rPr>
      </w:pPr>
    </w:p>
    <w:p w14:paraId="53C0677D">
      <w:pPr>
        <w:shd w:val="clear" w:color="auto" w:fill="FFFFFF"/>
        <w:suppressAutoHyphens/>
        <w:snapToGrid w:val="0"/>
        <w:spacing w:line="579" w:lineRule="exact"/>
        <w:ind w:firstLine="880"/>
        <w:rPr>
          <w:rFonts w:ascii="Times New Roman" w:hAnsi="Times New Roman" w:eastAsia="华康简标题宋" w:cs="Times New Roman"/>
          <w:bCs/>
          <w:kern w:val="1"/>
          <w:sz w:val="44"/>
          <w:szCs w:val="44"/>
          <w:lang w:eastAsia="ar-SA"/>
        </w:rPr>
      </w:pPr>
    </w:p>
    <w:p w14:paraId="174F01E7">
      <w:pPr>
        <w:shd w:val="clear" w:color="auto" w:fill="FFFFFF"/>
        <w:suppressAutoHyphens/>
        <w:snapToGrid w:val="0"/>
        <w:spacing w:line="579" w:lineRule="exact"/>
        <w:ind w:firstLine="880"/>
        <w:rPr>
          <w:rFonts w:ascii="Times New Roman" w:hAnsi="Times New Roman" w:eastAsia="华康简标题宋" w:cs="Times New Roman"/>
          <w:bCs/>
          <w:kern w:val="1"/>
          <w:sz w:val="44"/>
          <w:szCs w:val="44"/>
          <w:lang w:eastAsia="ar-SA"/>
        </w:rPr>
      </w:pPr>
    </w:p>
    <w:p w14:paraId="4D08A614">
      <w:pPr>
        <w:suppressAutoHyphens/>
        <w:adjustRightInd w:val="0"/>
        <w:snapToGrid w:val="0"/>
        <w:spacing w:line="579" w:lineRule="exact"/>
        <w:rPr>
          <w:rFonts w:ascii="Times New Roman" w:hAnsi="Times New Roman" w:eastAsia="黑体" w:cs="Times New Roman"/>
          <w:bCs/>
          <w:kern w:val="1"/>
          <w:sz w:val="32"/>
          <w:szCs w:val="32"/>
          <w:lang w:eastAsia="ar-SA"/>
        </w:rPr>
      </w:pPr>
    </w:p>
    <w:p w14:paraId="5FD818B8">
      <w:pPr>
        <w:suppressAutoHyphens/>
        <w:adjustRightInd w:val="0"/>
        <w:snapToGrid w:val="0"/>
        <w:spacing w:line="480" w:lineRule="auto"/>
        <w:ind w:left="1600" w:hanging="1600" w:hangingChars="500"/>
        <w:rPr>
          <w:rFonts w:ascii="Times New Roman" w:hAnsi="Times New Roman" w:eastAsia="仿宋_GB2312" w:cs="Times New Roman"/>
          <w:bCs/>
          <w:kern w:val="1"/>
          <w:sz w:val="32"/>
          <w:szCs w:val="32"/>
        </w:rPr>
      </w:pPr>
      <w:r>
        <w:rPr>
          <w:rFonts w:ascii="Times New Roman" w:hAnsi="Times New Roman" w:eastAsia="黑体" w:cs="Times New Roman"/>
          <w:bCs/>
          <w:kern w:val="1"/>
          <w:sz w:val="32"/>
          <w:szCs w:val="32"/>
          <w:lang w:eastAsia="ar-SA"/>
        </w:rPr>
        <w:t>项目名称：</w:t>
      </w:r>
      <w:bookmarkStart w:id="0" w:name="_Hlk13045365"/>
      <w:r>
        <w:rPr>
          <w:rFonts w:ascii="Times New Roman" w:hAnsi="Times New Roman" w:eastAsia="仿宋_GB2312" w:cs="Times New Roman"/>
          <w:bCs/>
          <w:kern w:val="1"/>
          <w:sz w:val="32"/>
          <w:szCs w:val="32"/>
          <w:lang w:eastAsia="ar-SA"/>
        </w:rPr>
        <w:t>东莞市谢岗镇工程建设中心2020—2023年度环城路项目重点绩效评价</w:t>
      </w:r>
    </w:p>
    <w:bookmarkEnd w:id="0"/>
    <w:p w14:paraId="00392151">
      <w:pPr>
        <w:suppressAutoHyphens/>
        <w:adjustRightInd w:val="0"/>
        <w:snapToGrid w:val="0"/>
        <w:spacing w:line="480" w:lineRule="auto"/>
        <w:rPr>
          <w:rFonts w:ascii="Times New Roman" w:hAnsi="Times New Roman" w:eastAsia="仿宋_GB2312" w:cs="Times New Roman"/>
          <w:bCs/>
          <w:kern w:val="1"/>
          <w:sz w:val="32"/>
          <w:szCs w:val="32"/>
          <w:lang w:eastAsia="ar-SA"/>
        </w:rPr>
      </w:pPr>
      <w:r>
        <w:rPr>
          <w:rFonts w:ascii="Times New Roman" w:hAnsi="Times New Roman" w:eastAsia="黑体" w:cs="Times New Roman"/>
          <w:bCs/>
          <w:kern w:val="1"/>
          <w:sz w:val="32"/>
          <w:szCs w:val="32"/>
          <w:lang w:eastAsia="ar-SA"/>
        </w:rPr>
        <w:t>受托单位：</w:t>
      </w:r>
      <w:r>
        <w:rPr>
          <w:rFonts w:ascii="Times New Roman" w:hAnsi="Times New Roman" w:eastAsia="仿宋_GB2312" w:cs="Times New Roman"/>
          <w:bCs/>
          <w:kern w:val="1"/>
          <w:sz w:val="32"/>
          <w:szCs w:val="32"/>
          <w:lang w:eastAsia="ar-SA"/>
        </w:rPr>
        <w:t>广东政典新动能研究院有限公司</w:t>
      </w:r>
      <w:r>
        <w:rPr>
          <w:rFonts w:ascii="Times New Roman" w:hAnsi="Times New Roman" w:eastAsia="仿宋_GB2312" w:cs="Times New Roman"/>
          <w:bCs/>
          <w:kern w:val="1"/>
          <w:sz w:val="32"/>
          <w:szCs w:val="32"/>
        </w:rPr>
        <w:t>（盖章）</w:t>
      </w:r>
    </w:p>
    <w:p w14:paraId="2ABFC511">
      <w:pPr>
        <w:suppressAutoHyphens/>
        <w:adjustRightInd w:val="0"/>
        <w:snapToGrid w:val="0"/>
        <w:spacing w:line="480" w:lineRule="auto"/>
        <w:rPr>
          <w:rFonts w:ascii="Times New Roman" w:hAnsi="Times New Roman" w:eastAsia="仿宋" w:cs="Times New Roman"/>
          <w:bCs/>
          <w:kern w:val="1"/>
          <w:sz w:val="32"/>
          <w:szCs w:val="32"/>
          <w:lang w:eastAsia="ar-SA"/>
        </w:rPr>
      </w:pPr>
      <w:r>
        <w:rPr>
          <w:rFonts w:ascii="Times New Roman" w:hAnsi="Times New Roman" w:eastAsia="黑体" w:cs="Times New Roman"/>
          <w:bCs/>
          <w:kern w:val="1"/>
          <w:sz w:val="32"/>
          <w:szCs w:val="32"/>
          <w:lang w:eastAsia="ar-SA"/>
        </w:rPr>
        <w:t>报告编号：</w:t>
      </w:r>
      <w:r>
        <w:rPr>
          <w:rFonts w:ascii="Times New Roman" w:hAnsi="Times New Roman" w:eastAsia="仿宋_GB2312" w:cs="Times New Roman"/>
          <w:kern w:val="0"/>
          <w:sz w:val="32"/>
          <w:szCs w:val="32"/>
        </w:rPr>
        <w:t>广政院2024年（谢绩评）第</w:t>
      </w:r>
      <w:r>
        <w:rPr>
          <w:rFonts w:hint="eastAsia" w:ascii="Times New Roman" w:hAnsi="Times New Roman" w:eastAsia="仿宋_GB2312" w:cs="Times New Roman"/>
          <w:kern w:val="0"/>
          <w:sz w:val="32"/>
          <w:szCs w:val="32"/>
        </w:rPr>
        <w:t>03</w:t>
      </w:r>
      <w:r>
        <w:rPr>
          <w:rFonts w:ascii="Times New Roman" w:hAnsi="Times New Roman" w:eastAsia="仿宋_GB2312" w:cs="Times New Roman"/>
          <w:kern w:val="0"/>
          <w:sz w:val="32"/>
          <w:szCs w:val="32"/>
        </w:rPr>
        <w:t>号</w:t>
      </w:r>
    </w:p>
    <w:p w14:paraId="5114B03C">
      <w:pPr>
        <w:shd w:val="clear" w:color="auto" w:fill="FFFFFF"/>
        <w:suppressAutoHyphens/>
        <w:adjustRightInd w:val="0"/>
        <w:snapToGrid w:val="0"/>
        <w:spacing w:line="480" w:lineRule="auto"/>
        <w:rPr>
          <w:rFonts w:ascii="Times New Roman" w:hAnsi="Times New Roman" w:eastAsia="仿宋" w:cs="Times New Roman"/>
          <w:bCs/>
          <w:kern w:val="1"/>
          <w:sz w:val="32"/>
          <w:szCs w:val="32"/>
        </w:rPr>
        <w:sectPr>
          <w:footerReference r:id="rId4" w:type="even"/>
          <w:pgSz w:w="11906" w:h="16838"/>
          <w:pgMar w:top="2098" w:right="1474" w:bottom="1984" w:left="1587" w:header="851" w:footer="992" w:gutter="0"/>
          <w:pgNumType w:start="1"/>
          <w:cols w:space="425" w:num="1"/>
          <w:docGrid w:type="linesAndChars" w:linePitch="312" w:charSpace="0"/>
        </w:sectPr>
      </w:pPr>
      <w:r>
        <w:rPr>
          <w:rFonts w:ascii="Times New Roman" w:hAnsi="Times New Roman" w:eastAsia="黑体" w:cs="Times New Roman"/>
          <w:bCs/>
          <w:kern w:val="1"/>
          <w:sz w:val="32"/>
          <w:szCs w:val="32"/>
          <w:lang w:eastAsia="ar-SA"/>
        </w:rPr>
        <w:t>提交日期：</w:t>
      </w:r>
      <w:r>
        <w:rPr>
          <w:rFonts w:ascii="Times New Roman" w:hAnsi="Times New Roman" w:eastAsia="仿宋" w:cs="Times New Roman"/>
          <w:bCs/>
          <w:kern w:val="1"/>
          <w:sz w:val="32"/>
          <w:szCs w:val="32"/>
          <w:lang w:eastAsia="ar-SA"/>
        </w:rPr>
        <w:t>202</w:t>
      </w:r>
      <w:r>
        <w:rPr>
          <w:rFonts w:ascii="Times New Roman" w:hAnsi="Times New Roman" w:eastAsia="仿宋" w:cs="Times New Roman"/>
          <w:bCs/>
          <w:kern w:val="1"/>
          <w:sz w:val="32"/>
          <w:szCs w:val="32"/>
        </w:rPr>
        <w:t>4</w:t>
      </w:r>
      <w:r>
        <w:rPr>
          <w:rFonts w:ascii="Times New Roman" w:hAnsi="Times New Roman" w:eastAsia="仿宋" w:cs="Times New Roman"/>
          <w:bCs/>
          <w:kern w:val="1"/>
          <w:sz w:val="32"/>
          <w:szCs w:val="32"/>
          <w:lang w:eastAsia="ar-SA"/>
        </w:rPr>
        <w:t>年</w:t>
      </w:r>
      <w:r>
        <w:rPr>
          <w:rFonts w:hint="eastAsia" w:ascii="Times New Roman" w:hAnsi="Times New Roman" w:eastAsia="仿宋" w:cs="Times New Roman"/>
          <w:bCs/>
          <w:kern w:val="1"/>
          <w:sz w:val="32"/>
          <w:szCs w:val="32"/>
        </w:rPr>
        <w:t>6</w:t>
      </w:r>
      <w:r>
        <w:rPr>
          <w:rFonts w:ascii="Times New Roman" w:hAnsi="Times New Roman" w:eastAsia="仿宋" w:cs="Times New Roman"/>
          <w:bCs/>
          <w:kern w:val="1"/>
          <w:sz w:val="32"/>
          <w:szCs w:val="32"/>
          <w:lang w:eastAsia="ar-SA"/>
        </w:rPr>
        <w:t>月</w:t>
      </w:r>
    </w:p>
    <w:p w14:paraId="57C6A047">
      <w:pPr>
        <w:adjustRightInd w:val="0"/>
        <w:snapToGrid w:val="0"/>
        <w:spacing w:line="579" w:lineRule="exact"/>
        <w:jc w:val="center"/>
        <w:rPr>
          <w:rFonts w:ascii="Times New Roman" w:hAnsi="Times New Roman" w:eastAsia="黑体" w:cs="Times New Roman"/>
          <w:sz w:val="44"/>
          <w:szCs w:val="44"/>
        </w:rPr>
      </w:pPr>
      <w:r>
        <w:rPr>
          <w:rFonts w:ascii="Times New Roman" w:hAnsi="Times New Roman" w:eastAsia="黑体" w:cs="Times New Roman"/>
          <w:sz w:val="44"/>
          <w:szCs w:val="44"/>
        </w:rPr>
        <w:t>摘要</w:t>
      </w:r>
    </w:p>
    <w:p w14:paraId="79FFB621">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广东政典新动能研究院有限公司（下称“政典研究院”）作为第三方评价机构，</w:t>
      </w:r>
      <w:r>
        <w:rPr>
          <w:rFonts w:ascii="Times New Roman" w:hAnsi="Times New Roman" w:eastAsia="仿宋_GB2312" w:cs="Times New Roman"/>
          <w:bCs/>
          <w:sz w:val="32"/>
          <w:szCs w:val="32"/>
        </w:rPr>
        <w:t>受东莞市财政局谢岗分局</w:t>
      </w:r>
      <w:r>
        <w:rPr>
          <w:rFonts w:ascii="Times New Roman" w:hAnsi="Times New Roman" w:eastAsia="仿宋_GB2312" w:cs="Times New Roman"/>
          <w:sz w:val="32"/>
          <w:szCs w:val="32"/>
        </w:rPr>
        <w:t>（下称“谢岗财政分局”）</w:t>
      </w:r>
      <w:r>
        <w:rPr>
          <w:rFonts w:ascii="Times New Roman" w:hAnsi="Times New Roman" w:eastAsia="仿宋_GB2312" w:cs="Times New Roman"/>
          <w:bCs/>
          <w:sz w:val="32"/>
          <w:szCs w:val="32"/>
        </w:rPr>
        <w:t>的委托，</w:t>
      </w:r>
      <w:r>
        <w:rPr>
          <w:rFonts w:ascii="Times New Roman" w:hAnsi="Times New Roman" w:eastAsia="仿宋_GB2312" w:cs="Times New Roman"/>
          <w:sz w:val="32"/>
          <w:szCs w:val="32"/>
        </w:rPr>
        <w:t>对东莞市谢岗镇工程建设中心（下称“谢岗工程建设中心”）2020—2023年度环城路项目进行绩效评价。政典研究院组织绩效评价组，秉承“依法、科学、客观、公正”的原则，严格遵守协议规定，对项目决策、过程、产出、效益情况进行了客观评价。2024年4—</w:t>
      </w: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月，评价组对被评价单位提供的书面材料、原始档案进行审核；召开了由谢岗财政分局、谢岗工程建设中心、政典研究院参加的座谈会；对本项目涉及的环城路进行现场调研、走访；向</w:t>
      </w:r>
      <w:r>
        <w:rPr>
          <w:rFonts w:ascii="Times New Roman" w:hAnsi="Times New Roman" w:eastAsia="仿宋_GB2312" w:cs="Times New Roman"/>
          <w:bCs/>
          <w:kern w:val="0"/>
          <w:sz w:val="32"/>
          <w:szCs w:val="32"/>
        </w:rPr>
        <w:t>社会公众、管理单位</w:t>
      </w:r>
      <w:r>
        <w:rPr>
          <w:rFonts w:ascii="Times New Roman" w:hAnsi="Times New Roman" w:eastAsia="仿宋_GB2312" w:cs="Times New Roman"/>
          <w:sz w:val="32"/>
          <w:szCs w:val="32"/>
        </w:rPr>
        <w:t>发放调查问卷。最后综合被评价项目单位书面材料审核、座谈会、现场勘查、实地走访和问卷分析情况，形成本项目绩效评价结论。</w:t>
      </w:r>
      <w:r>
        <w:rPr>
          <w:rFonts w:hint="eastAsia" w:ascii="Times New Roman" w:hAnsi="Times New Roman" w:eastAsia="仿宋_GB2312" w:cs="Times New Roman"/>
          <w:color w:val="000000" w:themeColor="text1"/>
          <w:sz w:val="32"/>
          <w:szCs w:val="32"/>
          <w14:textFill>
            <w14:solidFill>
              <w14:schemeClr w14:val="tx1"/>
            </w14:solidFill>
          </w14:textFill>
        </w:rPr>
        <w:t>本项目评价结果为</w:t>
      </w:r>
      <w:r>
        <w:rPr>
          <w:rFonts w:ascii="Times New Roman" w:hAnsi="Times New Roman" w:eastAsia="仿宋_GB2312" w:cs="Times New Roman"/>
          <w:color w:val="000000" w:themeColor="text1"/>
          <w:sz w:val="32"/>
          <w:szCs w:val="32"/>
          <w14:textFill>
            <w14:solidFill>
              <w14:schemeClr w14:val="tx1"/>
            </w14:solidFill>
          </w14:textFill>
        </w:rPr>
        <w:t>83.39</w:t>
      </w:r>
      <w:r>
        <w:rPr>
          <w:rFonts w:hint="eastAsia" w:ascii="Times New Roman" w:hAnsi="Times New Roman" w:eastAsia="仿宋_GB2312" w:cs="Times New Roman"/>
          <w:color w:val="000000" w:themeColor="text1"/>
          <w:sz w:val="32"/>
          <w:szCs w:val="32"/>
          <w14:textFill>
            <w14:solidFill>
              <w14:schemeClr w14:val="tx1"/>
            </w14:solidFill>
          </w14:textFill>
        </w:rPr>
        <w:t>分，</w:t>
      </w:r>
      <w:r>
        <w:rPr>
          <w:rFonts w:ascii="Times New Roman" w:hAnsi="Times New Roman" w:eastAsia="仿宋_GB2312" w:cs="Times New Roman"/>
          <w:sz w:val="32"/>
          <w:szCs w:val="32"/>
        </w:rPr>
        <w:t>绩效等级为“良”。</w:t>
      </w:r>
    </w:p>
    <w:p w14:paraId="61FB173B">
      <w:pPr>
        <w:adjustRightInd w:val="0"/>
        <w:snapToGrid w:val="0"/>
        <w:spacing w:line="579"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绩效管理的主要做法</w:t>
      </w:r>
      <w:r>
        <w:rPr>
          <w:rFonts w:hint="eastAsia" w:ascii="Times New Roman" w:hAnsi="Times New Roman" w:eastAsia="黑体" w:cs="Times New Roman"/>
          <w:sz w:val="32"/>
          <w:szCs w:val="32"/>
        </w:rPr>
        <w:t>和成效</w:t>
      </w:r>
      <w:r>
        <w:rPr>
          <w:rFonts w:ascii="Times New Roman" w:hAnsi="Times New Roman" w:eastAsia="黑体" w:cs="Times New Roman"/>
          <w:sz w:val="32"/>
          <w:szCs w:val="32"/>
        </w:rPr>
        <w:t>：</w:t>
      </w:r>
      <w:r>
        <w:rPr>
          <w:rFonts w:hint="eastAsia" w:ascii="Times New Roman" w:hAnsi="Times New Roman" w:eastAsia="仿宋_GB2312" w:cs="Times New Roman"/>
          <w:sz w:val="32"/>
          <w:szCs w:val="32"/>
        </w:rPr>
        <w:t>注重</w:t>
      </w:r>
      <w:r>
        <w:rPr>
          <w:rFonts w:ascii="Times New Roman" w:hAnsi="Times New Roman" w:eastAsia="仿宋_GB2312" w:cs="Times New Roman"/>
          <w:sz w:val="32"/>
          <w:szCs w:val="32"/>
        </w:rPr>
        <w:t>立项依据充分</w:t>
      </w:r>
      <w:r>
        <w:rPr>
          <w:rFonts w:hint="eastAsia" w:ascii="Times New Roman" w:hAnsi="Times New Roman" w:eastAsia="仿宋_GB2312" w:cs="Times New Roman"/>
          <w:sz w:val="32"/>
          <w:szCs w:val="32"/>
        </w:rPr>
        <w:t>性和工程档案完整性</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完善优化了</w:t>
      </w:r>
      <w:r>
        <w:rPr>
          <w:rFonts w:ascii="Times New Roman" w:hAnsi="Times New Roman" w:eastAsia="仿宋_GB2312" w:cs="Times New Roman"/>
          <w:sz w:val="32"/>
          <w:szCs w:val="32"/>
        </w:rPr>
        <w:t>交通路网，</w:t>
      </w:r>
      <w:r>
        <w:rPr>
          <w:rFonts w:hint="eastAsia" w:ascii="Times New Roman" w:hAnsi="Times New Roman" w:eastAsia="仿宋_GB2312" w:cs="Times New Roman"/>
          <w:sz w:val="32"/>
          <w:szCs w:val="32"/>
        </w:rPr>
        <w:t>疏解减轻了交通压力，加快了招商引资和产业集聚步伐，</w:t>
      </w:r>
      <w:r>
        <w:rPr>
          <w:rFonts w:ascii="Times New Roman" w:hAnsi="Times New Roman" w:eastAsia="仿宋_GB2312" w:cs="Times New Roman"/>
          <w:sz w:val="32"/>
          <w:szCs w:val="32"/>
        </w:rPr>
        <w:t>带动</w:t>
      </w:r>
      <w:r>
        <w:rPr>
          <w:rFonts w:hint="eastAsia" w:ascii="Times New Roman" w:hAnsi="Times New Roman" w:eastAsia="仿宋_GB2312" w:cs="Times New Roman"/>
          <w:sz w:val="32"/>
          <w:szCs w:val="32"/>
        </w:rPr>
        <w:t>了谢岗</w:t>
      </w:r>
      <w:r>
        <w:rPr>
          <w:rFonts w:ascii="Times New Roman" w:hAnsi="Times New Roman" w:eastAsia="仿宋_GB2312" w:cs="Times New Roman"/>
          <w:sz w:val="32"/>
          <w:szCs w:val="32"/>
        </w:rPr>
        <w:t>经济发展。</w:t>
      </w:r>
    </w:p>
    <w:p w14:paraId="78B72D63">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绩效管理存在的问题</w:t>
      </w:r>
      <w:r>
        <w:rPr>
          <w:rFonts w:hint="eastAsia" w:ascii="Times New Roman" w:hAnsi="Times New Roman" w:eastAsia="黑体" w:cs="Times New Roman"/>
          <w:sz w:val="32"/>
          <w:szCs w:val="32"/>
        </w:rPr>
        <w:t>及原因</w:t>
      </w:r>
      <w:r>
        <w:rPr>
          <w:rFonts w:ascii="Times New Roman" w:hAnsi="Times New Roman" w:eastAsia="黑体" w:cs="Times New Roman"/>
          <w:sz w:val="32"/>
          <w:szCs w:val="32"/>
        </w:rPr>
        <w:t>：</w:t>
      </w:r>
      <w:r>
        <w:rPr>
          <w:rFonts w:ascii="Times New Roman" w:hAnsi="Times New Roman" w:eastAsia="仿宋_GB2312" w:cs="Times New Roman"/>
          <w:sz w:val="32"/>
          <w:szCs w:val="32"/>
        </w:rPr>
        <w:t>债券使用不明确，工程竣工结算不及时；绩效目标不全面，绩效指标设置不科学；立项程序不合规，工程开工时间不合理；</w:t>
      </w:r>
      <w:r>
        <w:rPr>
          <w:rFonts w:hint="eastAsia" w:ascii="Times New Roman" w:hAnsi="Times New Roman" w:eastAsia="仿宋_GB2312" w:cs="Times New Roman"/>
          <w:color w:val="000000" w:themeColor="text1"/>
          <w:sz w:val="32"/>
          <w:szCs w:val="32"/>
          <w14:textFill>
            <w14:solidFill>
              <w14:schemeClr w14:val="tx1"/>
            </w14:solidFill>
          </w14:textFill>
        </w:rPr>
        <w:t>合同签订不及时，未按合同规定支付款项</w:t>
      </w:r>
      <w:r>
        <w:rPr>
          <w:rFonts w:ascii="Times New Roman" w:hAnsi="Times New Roman" w:eastAsia="仿宋_GB2312" w:cs="Times New Roman"/>
          <w:sz w:val="32"/>
          <w:szCs w:val="32"/>
        </w:rPr>
        <w:t>；变更程序不合规，</w:t>
      </w:r>
      <w:r>
        <w:rPr>
          <w:rFonts w:hint="eastAsia" w:ascii="Times New Roman" w:hAnsi="Times New Roman" w:eastAsia="仿宋_GB2312" w:cs="Times New Roman"/>
          <w:sz w:val="32"/>
          <w:szCs w:val="32"/>
        </w:rPr>
        <w:t>部分</w:t>
      </w:r>
      <w:r>
        <w:rPr>
          <w:rFonts w:ascii="Times New Roman" w:hAnsi="Times New Roman" w:eastAsia="仿宋_GB2312" w:cs="Times New Roman"/>
          <w:sz w:val="32"/>
          <w:szCs w:val="32"/>
        </w:rPr>
        <w:t>资料</w:t>
      </w:r>
      <w:r>
        <w:rPr>
          <w:rFonts w:hint="eastAsia" w:ascii="Times New Roman" w:hAnsi="Times New Roman" w:eastAsia="仿宋_GB2312" w:cs="Times New Roman"/>
          <w:sz w:val="32"/>
          <w:szCs w:val="32"/>
        </w:rPr>
        <w:t>不够</w:t>
      </w:r>
      <w:r>
        <w:rPr>
          <w:rFonts w:ascii="Times New Roman" w:hAnsi="Times New Roman" w:eastAsia="仿宋_GB2312" w:cs="Times New Roman"/>
          <w:sz w:val="32"/>
          <w:szCs w:val="32"/>
        </w:rPr>
        <w:t>完整。</w:t>
      </w:r>
    </w:p>
    <w:p w14:paraId="45975D55">
      <w:pPr>
        <w:adjustRightInd w:val="0"/>
        <w:snapToGrid w:val="0"/>
        <w:spacing w:line="579" w:lineRule="exact"/>
        <w:ind w:firstLine="640" w:firstLineChars="200"/>
        <w:rPr>
          <w:rFonts w:ascii="Times New Roman" w:hAnsi="Times New Roman" w:eastAsia="仿宋_GB2312" w:cs="Times New Roman"/>
          <w:sz w:val="32"/>
          <w:szCs w:val="32"/>
        </w:rPr>
        <w:sectPr>
          <w:footerReference r:id="rId5" w:type="default"/>
          <w:pgSz w:w="11906" w:h="16838"/>
          <w:pgMar w:top="2098" w:right="1474" w:bottom="1984" w:left="1587" w:header="851" w:footer="992" w:gutter="0"/>
          <w:pgNumType w:fmt="numberInDash" w:start="1"/>
          <w:cols w:space="425" w:num="1"/>
          <w:docGrid w:type="linesAndChars" w:linePitch="312" w:charSpace="0"/>
        </w:sectPr>
      </w:pPr>
      <w:r>
        <w:rPr>
          <w:rFonts w:ascii="Times New Roman" w:hAnsi="Times New Roman" w:eastAsia="黑体" w:cs="Times New Roman"/>
          <w:sz w:val="32"/>
          <w:szCs w:val="32"/>
        </w:rPr>
        <w:t>改进绩效管理的建议：</w:t>
      </w:r>
      <w:r>
        <w:rPr>
          <w:rFonts w:ascii="Times New Roman" w:hAnsi="Times New Roman" w:eastAsia="仿宋_GB2312" w:cs="Times New Roman"/>
          <w:sz w:val="32"/>
          <w:szCs w:val="32"/>
        </w:rPr>
        <w:t>制定项目资金使用计划，加快竣工结算进度；提升预算绩效管理意识，加强相关能力建设；严格落实工程立项程序，有序开展工程建设；</w:t>
      </w:r>
      <w:r>
        <w:rPr>
          <w:rFonts w:hint="eastAsia" w:ascii="Times New Roman" w:hAnsi="Times New Roman" w:eastAsia="仿宋_GB2312" w:cs="Times New Roman"/>
          <w:color w:val="000000" w:themeColor="text1"/>
          <w:sz w:val="32"/>
          <w:szCs w:val="32"/>
          <w14:textFill>
            <w14:solidFill>
              <w14:schemeClr w14:val="tx1"/>
            </w14:solidFill>
          </w14:textFill>
        </w:rPr>
        <w:t>加强合同管理规范性，及时支付工程款；</w:t>
      </w:r>
      <w:r>
        <w:rPr>
          <w:rFonts w:ascii="Times New Roman" w:hAnsi="Times New Roman" w:eastAsia="仿宋_GB2312" w:cs="Times New Roman"/>
          <w:sz w:val="32"/>
          <w:szCs w:val="32"/>
        </w:rPr>
        <w:t>合理</w:t>
      </w:r>
      <w:r>
        <w:rPr>
          <w:rFonts w:hint="eastAsia" w:ascii="Times New Roman" w:hAnsi="Times New Roman" w:eastAsia="仿宋_GB2312" w:cs="Times New Roman"/>
          <w:sz w:val="32"/>
          <w:szCs w:val="32"/>
        </w:rPr>
        <w:t>控制</w:t>
      </w:r>
      <w:r>
        <w:rPr>
          <w:rFonts w:ascii="Times New Roman" w:hAnsi="Times New Roman" w:eastAsia="仿宋_GB2312" w:cs="Times New Roman"/>
          <w:sz w:val="32"/>
          <w:szCs w:val="32"/>
        </w:rPr>
        <w:t>工程变更</w:t>
      </w:r>
      <w:r>
        <w:rPr>
          <w:rFonts w:hint="eastAsia" w:ascii="Times New Roman" w:hAnsi="Times New Roman" w:eastAsia="仿宋_GB2312" w:cs="Times New Roman"/>
          <w:sz w:val="32"/>
          <w:szCs w:val="32"/>
        </w:rPr>
        <w:t>量</w:t>
      </w:r>
      <w:r>
        <w:rPr>
          <w:rFonts w:ascii="Times New Roman" w:hAnsi="Times New Roman" w:eastAsia="仿宋_GB2312" w:cs="Times New Roman"/>
          <w:sz w:val="32"/>
          <w:szCs w:val="32"/>
        </w:rPr>
        <w:t>，规范</w:t>
      </w:r>
      <w:r>
        <w:rPr>
          <w:rFonts w:hint="eastAsia" w:ascii="Times New Roman" w:hAnsi="Times New Roman" w:eastAsia="仿宋_GB2312" w:cs="Times New Roman"/>
          <w:sz w:val="32"/>
          <w:szCs w:val="32"/>
        </w:rPr>
        <w:t>变更程序和资料管理工作</w:t>
      </w:r>
      <w:r>
        <w:rPr>
          <w:rFonts w:ascii="Times New Roman" w:hAnsi="Times New Roman" w:eastAsia="仿宋_GB2312" w:cs="Times New Roman"/>
          <w:sz w:val="32"/>
          <w:szCs w:val="32"/>
        </w:rPr>
        <w:t>。</w:t>
      </w:r>
    </w:p>
    <w:sdt>
      <w:sdtPr>
        <w:rPr>
          <w:rFonts w:asciiTheme="minorHAnsi" w:hAnsiTheme="minorHAnsi" w:eastAsiaTheme="minorEastAsia" w:cstheme="minorBidi"/>
          <w:color w:val="auto"/>
          <w:kern w:val="2"/>
          <w:sz w:val="21"/>
          <w:szCs w:val="22"/>
          <w:lang w:val="zh-CN"/>
        </w:rPr>
        <w:id w:val="1769656775"/>
        <w:docPartObj>
          <w:docPartGallery w:val="Table of Contents"/>
          <w:docPartUnique/>
        </w:docPartObj>
      </w:sdtPr>
      <w:sdtEndPr>
        <w:rPr>
          <w:rFonts w:ascii="Times New Roman" w:hAnsi="Times New Roman" w:cs="Times New Roman" w:eastAsiaTheme="minorEastAsia"/>
          <w:b/>
          <w:bCs/>
          <w:color w:val="auto"/>
          <w:kern w:val="2"/>
          <w:sz w:val="30"/>
          <w:szCs w:val="30"/>
          <w:lang w:val="zh-CN"/>
        </w:rPr>
      </w:sdtEndPr>
      <w:sdtContent>
        <w:p w14:paraId="2D69B182">
          <w:pPr>
            <w:pStyle w:val="22"/>
            <w:adjustRightInd w:val="0"/>
            <w:snapToGrid w:val="0"/>
            <w:rPr>
              <w:rFonts w:ascii="Times New Roman" w:hAnsi="Times New Roman" w:eastAsia="黑体" w:cs="Times New Roman"/>
              <w:color w:val="auto"/>
              <w:kern w:val="2"/>
              <w:sz w:val="44"/>
              <w:szCs w:val="44"/>
            </w:rPr>
          </w:pPr>
          <w:r>
            <w:rPr>
              <w:rFonts w:ascii="Times New Roman" w:hAnsi="Times New Roman" w:eastAsia="黑体" w:cs="Times New Roman"/>
              <w:color w:val="auto"/>
              <w:kern w:val="2"/>
              <w:sz w:val="44"/>
              <w:szCs w:val="44"/>
            </w:rPr>
            <w:t>目录</w:t>
          </w:r>
        </w:p>
        <w:p w14:paraId="4ACBA297">
          <w:pPr>
            <w:pStyle w:val="10"/>
            <w:tabs>
              <w:tab w:val="right" w:leader="dot" w:pos="8845"/>
            </w:tabs>
            <w:adjustRightInd w:val="0"/>
            <w:snapToGrid w:val="0"/>
            <w:spacing w:line="360" w:lineRule="auto"/>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TOC \o "1-3" \h \z \u </w:instrText>
          </w:r>
          <w:r>
            <w:rPr>
              <w:rFonts w:ascii="Times New Roman" w:hAnsi="Times New Roman" w:cs="Times New Roman"/>
              <w:sz w:val="28"/>
              <w:szCs w:val="28"/>
            </w:rPr>
            <w:fldChar w:fldCharType="separate"/>
          </w:r>
          <w:r>
            <w:fldChar w:fldCharType="begin"/>
          </w:r>
          <w:r>
            <w:instrText xml:space="preserve"> HYPERLINK \l "_Toc11331" </w:instrText>
          </w:r>
          <w:r>
            <w:fldChar w:fldCharType="separate"/>
          </w:r>
          <w:r>
            <w:rPr>
              <w:rFonts w:ascii="Times New Roman" w:hAnsi="Times New Roman" w:eastAsia="黑体" w:cs="Times New Roman"/>
              <w:sz w:val="28"/>
              <w:szCs w:val="28"/>
            </w:rPr>
            <w:t>一、项目基本情况</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_Toc11331 \h </w:instrText>
          </w:r>
          <w:r>
            <w:rPr>
              <w:rFonts w:ascii="Times New Roman" w:hAnsi="Times New Roman" w:cs="Times New Roman"/>
              <w:sz w:val="28"/>
              <w:szCs w:val="28"/>
            </w:rPr>
            <w:fldChar w:fldCharType="separate"/>
          </w:r>
          <w:r>
            <w:rPr>
              <w:rFonts w:ascii="Times New Roman" w:hAnsi="Times New Roman" w:cs="Times New Roman"/>
              <w:sz w:val="28"/>
              <w:szCs w:val="28"/>
            </w:rPr>
            <w:t>- 1 -</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012956F2">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"_Toc3710" </w:instrText>
          </w:r>
          <w:r>
            <w:fldChar w:fldCharType="separate"/>
          </w:r>
          <w:r>
            <w:rPr>
              <w:rFonts w:ascii="Times New Roman" w:hAnsi="Times New Roman" w:cs="Times New Roman"/>
            </w:rPr>
            <w:t>（一）项目概况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_Toc3710 \h </w:instrText>
          </w:r>
          <w:r>
            <w:rPr>
              <w:rFonts w:ascii="Times New Roman" w:hAnsi="Times New Roman" w:cs="Times New Roman"/>
            </w:rPr>
            <w:fldChar w:fldCharType="separate"/>
          </w:r>
          <w:r>
            <w:rPr>
              <w:rFonts w:ascii="Times New Roman" w:hAnsi="Times New Roman" w:cs="Times New Roman"/>
            </w:rPr>
            <w:t>- 1 -</w:t>
          </w:r>
          <w:r>
            <w:rPr>
              <w:rFonts w:ascii="Times New Roman" w:hAnsi="Times New Roman" w:cs="Times New Roman"/>
            </w:rPr>
            <w:fldChar w:fldCharType="end"/>
          </w:r>
          <w:r>
            <w:rPr>
              <w:rFonts w:ascii="Times New Roman" w:hAnsi="Times New Roman" w:cs="Times New Roman"/>
            </w:rPr>
            <w:fldChar w:fldCharType="end"/>
          </w:r>
        </w:p>
        <w:p w14:paraId="29F93E75">
          <w:pPr>
            <w:pStyle w:val="7"/>
            <w:tabs>
              <w:tab w:val="right" w:leader="dot" w:pos="8845"/>
            </w:tabs>
            <w:adjustRightInd w:val="0"/>
            <w:snapToGrid w:val="0"/>
            <w:spacing w:line="360" w:lineRule="auto"/>
            <w:rPr>
              <w:rFonts w:ascii="Times New Roman" w:hAnsi="Times New Roman" w:cs="Times New Roman"/>
              <w:sz w:val="28"/>
              <w:szCs w:val="28"/>
            </w:rPr>
          </w:pPr>
          <w:r>
            <w:fldChar w:fldCharType="begin"/>
          </w:r>
          <w:r>
            <w:instrText xml:space="preserve"> HYPERLINK \l "_Toc26172" </w:instrText>
          </w:r>
          <w:r>
            <w:fldChar w:fldCharType="separate"/>
          </w:r>
          <w:r>
            <w:rPr>
              <w:rFonts w:ascii="Times New Roman" w:hAnsi="Times New Roman" w:eastAsia="仿宋_GB2312" w:cs="Times New Roman"/>
              <w:bCs/>
              <w:spacing w:val="-3"/>
              <w:sz w:val="28"/>
              <w:szCs w:val="28"/>
            </w:rPr>
            <w:t>1．项目背景</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_Toc26172 \h </w:instrText>
          </w:r>
          <w:r>
            <w:rPr>
              <w:rFonts w:ascii="Times New Roman" w:hAnsi="Times New Roman" w:cs="Times New Roman"/>
              <w:sz w:val="28"/>
              <w:szCs w:val="28"/>
            </w:rPr>
            <w:fldChar w:fldCharType="separate"/>
          </w:r>
          <w:r>
            <w:rPr>
              <w:rFonts w:ascii="Times New Roman" w:hAnsi="Times New Roman" w:cs="Times New Roman"/>
              <w:sz w:val="28"/>
              <w:szCs w:val="28"/>
            </w:rPr>
            <w:t>- 1 -</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59DDDF5A">
          <w:pPr>
            <w:pStyle w:val="7"/>
            <w:tabs>
              <w:tab w:val="right" w:leader="dot" w:pos="8845"/>
            </w:tabs>
            <w:adjustRightInd w:val="0"/>
            <w:snapToGrid w:val="0"/>
            <w:spacing w:line="360" w:lineRule="auto"/>
            <w:rPr>
              <w:rFonts w:ascii="Times New Roman" w:hAnsi="Times New Roman" w:cs="Times New Roman"/>
              <w:sz w:val="28"/>
              <w:szCs w:val="28"/>
            </w:rPr>
          </w:pPr>
          <w:r>
            <w:fldChar w:fldCharType="begin"/>
          </w:r>
          <w:r>
            <w:instrText xml:space="preserve"> HYPERLINK \l "_Toc7137" </w:instrText>
          </w:r>
          <w:r>
            <w:fldChar w:fldCharType="separate"/>
          </w:r>
          <w:r>
            <w:rPr>
              <w:rFonts w:ascii="Times New Roman" w:hAnsi="Times New Roman" w:eastAsia="仿宋_GB2312" w:cs="Times New Roman"/>
              <w:bCs/>
              <w:spacing w:val="-3"/>
              <w:sz w:val="28"/>
              <w:szCs w:val="28"/>
            </w:rPr>
            <w:t>2．主要内容及实施情况</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_Toc7137 \h </w:instrText>
          </w:r>
          <w:r>
            <w:rPr>
              <w:rFonts w:ascii="Times New Roman" w:hAnsi="Times New Roman" w:cs="Times New Roman"/>
              <w:sz w:val="28"/>
              <w:szCs w:val="28"/>
            </w:rPr>
            <w:fldChar w:fldCharType="separate"/>
          </w:r>
          <w:r>
            <w:rPr>
              <w:rFonts w:ascii="Times New Roman" w:hAnsi="Times New Roman" w:cs="Times New Roman"/>
              <w:sz w:val="28"/>
              <w:szCs w:val="28"/>
            </w:rPr>
            <w:t>- 2 -</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2FCE64AA">
          <w:pPr>
            <w:pStyle w:val="7"/>
            <w:tabs>
              <w:tab w:val="right" w:leader="dot" w:pos="8845"/>
            </w:tabs>
            <w:adjustRightInd w:val="0"/>
            <w:snapToGrid w:val="0"/>
            <w:spacing w:line="360" w:lineRule="auto"/>
            <w:rPr>
              <w:rFonts w:ascii="Times New Roman" w:hAnsi="Times New Roman" w:cs="Times New Roman"/>
              <w:sz w:val="28"/>
              <w:szCs w:val="28"/>
            </w:rPr>
          </w:pPr>
          <w:r>
            <w:fldChar w:fldCharType="begin"/>
          </w:r>
          <w:r>
            <w:instrText xml:space="preserve"> HYPERLINK \l "_Toc23493" </w:instrText>
          </w:r>
          <w:r>
            <w:fldChar w:fldCharType="separate"/>
          </w:r>
          <w:r>
            <w:rPr>
              <w:rFonts w:ascii="Times New Roman" w:hAnsi="Times New Roman" w:eastAsia="仿宋_GB2312" w:cs="Times New Roman"/>
              <w:bCs/>
              <w:spacing w:val="-3"/>
              <w:sz w:val="28"/>
              <w:szCs w:val="28"/>
            </w:rPr>
            <w:t>3．资金投入和使用情况</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_Toc23493 \h </w:instrText>
          </w:r>
          <w:r>
            <w:rPr>
              <w:rFonts w:ascii="Times New Roman" w:hAnsi="Times New Roman" w:cs="Times New Roman"/>
              <w:sz w:val="28"/>
              <w:szCs w:val="28"/>
            </w:rPr>
            <w:fldChar w:fldCharType="separate"/>
          </w:r>
          <w:r>
            <w:rPr>
              <w:rFonts w:ascii="Times New Roman" w:hAnsi="Times New Roman" w:cs="Times New Roman"/>
              <w:sz w:val="28"/>
              <w:szCs w:val="28"/>
            </w:rPr>
            <w:t>- 3 -</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1BF88B34">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"_Toc29521" </w:instrText>
          </w:r>
          <w:r>
            <w:fldChar w:fldCharType="separate"/>
          </w:r>
          <w:r>
            <w:rPr>
              <w:rFonts w:ascii="Times New Roman" w:hAnsi="Times New Roman" w:cs="Times New Roman"/>
            </w:rPr>
            <w:t>（二）项目绩效目标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_Toc29521 \h </w:instrText>
          </w:r>
          <w:r>
            <w:rPr>
              <w:rFonts w:ascii="Times New Roman" w:hAnsi="Times New Roman" w:cs="Times New Roman"/>
            </w:rPr>
            <w:fldChar w:fldCharType="separate"/>
          </w:r>
          <w:r>
            <w:rPr>
              <w:rFonts w:ascii="Times New Roman" w:hAnsi="Times New Roman" w:cs="Times New Roman"/>
            </w:rPr>
            <w:t>- 3 -</w:t>
          </w:r>
          <w:r>
            <w:rPr>
              <w:rFonts w:ascii="Times New Roman" w:hAnsi="Times New Roman" w:cs="Times New Roman"/>
            </w:rPr>
            <w:fldChar w:fldCharType="end"/>
          </w:r>
          <w:r>
            <w:rPr>
              <w:rFonts w:ascii="Times New Roman" w:hAnsi="Times New Roman" w:cs="Times New Roman"/>
            </w:rPr>
            <w:fldChar w:fldCharType="end"/>
          </w:r>
        </w:p>
        <w:p w14:paraId="2900FB45">
          <w:pPr>
            <w:pStyle w:val="10"/>
            <w:tabs>
              <w:tab w:val="right" w:leader="dot" w:pos="8845"/>
            </w:tabs>
            <w:adjustRightInd w:val="0"/>
            <w:snapToGrid w:val="0"/>
            <w:spacing w:line="360" w:lineRule="auto"/>
            <w:rPr>
              <w:rFonts w:ascii="Times New Roman" w:hAnsi="Times New Roman" w:cs="Times New Roman"/>
              <w:sz w:val="28"/>
              <w:szCs w:val="28"/>
            </w:rPr>
          </w:pPr>
          <w:r>
            <w:fldChar w:fldCharType="begin"/>
          </w:r>
          <w:r>
            <w:instrText xml:space="preserve"> HYPERLINK \l "_Toc31222" </w:instrText>
          </w:r>
          <w:r>
            <w:fldChar w:fldCharType="separate"/>
          </w:r>
          <w:r>
            <w:rPr>
              <w:rFonts w:ascii="Times New Roman" w:hAnsi="Times New Roman" w:eastAsia="黑体" w:cs="Times New Roman"/>
              <w:sz w:val="28"/>
              <w:szCs w:val="28"/>
            </w:rPr>
            <w:t>二、绩效评价工作开展情况</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_Toc31222 \h </w:instrText>
          </w:r>
          <w:r>
            <w:rPr>
              <w:rFonts w:ascii="Times New Roman" w:hAnsi="Times New Roman" w:cs="Times New Roman"/>
              <w:sz w:val="28"/>
              <w:szCs w:val="28"/>
            </w:rPr>
            <w:fldChar w:fldCharType="separate"/>
          </w:r>
          <w:r>
            <w:rPr>
              <w:rFonts w:ascii="Times New Roman" w:hAnsi="Times New Roman" w:cs="Times New Roman"/>
              <w:sz w:val="28"/>
              <w:szCs w:val="28"/>
            </w:rPr>
            <w:t>- 4 -</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25B45471">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"_Toc17759" </w:instrText>
          </w:r>
          <w:r>
            <w:fldChar w:fldCharType="separate"/>
          </w:r>
          <w:r>
            <w:rPr>
              <w:rFonts w:ascii="Times New Roman" w:hAnsi="Times New Roman" w:cs="Times New Roman"/>
            </w:rPr>
            <w:t>（一）绩效评价目的、对象和范围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_Toc17759 \h </w:instrText>
          </w:r>
          <w:r>
            <w:rPr>
              <w:rFonts w:ascii="Times New Roman" w:hAnsi="Times New Roman" w:cs="Times New Roman"/>
            </w:rPr>
            <w:fldChar w:fldCharType="separate"/>
          </w:r>
          <w:r>
            <w:rPr>
              <w:rFonts w:ascii="Times New Roman" w:hAnsi="Times New Roman" w:cs="Times New Roman"/>
            </w:rPr>
            <w:t>- 4 -</w:t>
          </w:r>
          <w:r>
            <w:rPr>
              <w:rFonts w:ascii="Times New Roman" w:hAnsi="Times New Roman" w:cs="Times New Roman"/>
            </w:rPr>
            <w:fldChar w:fldCharType="end"/>
          </w:r>
          <w:r>
            <w:rPr>
              <w:rFonts w:ascii="Times New Roman" w:hAnsi="Times New Roman" w:cs="Times New Roman"/>
            </w:rPr>
            <w:fldChar w:fldCharType="end"/>
          </w:r>
        </w:p>
        <w:p w14:paraId="12184CBE">
          <w:pPr>
            <w:pStyle w:val="7"/>
            <w:tabs>
              <w:tab w:val="right" w:leader="dot" w:pos="8845"/>
            </w:tabs>
            <w:adjustRightInd w:val="0"/>
            <w:snapToGrid w:val="0"/>
            <w:spacing w:line="360" w:lineRule="auto"/>
            <w:rPr>
              <w:rFonts w:ascii="Times New Roman" w:hAnsi="Times New Roman" w:cs="Times New Roman"/>
              <w:sz w:val="28"/>
              <w:szCs w:val="28"/>
            </w:rPr>
          </w:pPr>
          <w:r>
            <w:fldChar w:fldCharType="begin"/>
          </w:r>
          <w:r>
            <w:instrText xml:space="preserve"> HYPERLINK \l "_Toc12171" </w:instrText>
          </w:r>
          <w:r>
            <w:fldChar w:fldCharType="separate"/>
          </w:r>
          <w:r>
            <w:rPr>
              <w:rFonts w:ascii="Times New Roman" w:hAnsi="Times New Roman" w:eastAsia="仿宋_GB2312" w:cs="Times New Roman"/>
              <w:bCs/>
              <w:sz w:val="28"/>
              <w:szCs w:val="28"/>
            </w:rPr>
            <w:t>1．绩效评价目的</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_Toc12171 \h </w:instrText>
          </w:r>
          <w:r>
            <w:rPr>
              <w:rFonts w:ascii="Times New Roman" w:hAnsi="Times New Roman" w:cs="Times New Roman"/>
              <w:sz w:val="28"/>
              <w:szCs w:val="28"/>
            </w:rPr>
            <w:fldChar w:fldCharType="separate"/>
          </w:r>
          <w:r>
            <w:rPr>
              <w:rFonts w:ascii="Times New Roman" w:hAnsi="Times New Roman" w:cs="Times New Roman"/>
              <w:sz w:val="28"/>
              <w:szCs w:val="28"/>
            </w:rPr>
            <w:t>- 4 -</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4944D8C2">
          <w:pPr>
            <w:pStyle w:val="7"/>
            <w:tabs>
              <w:tab w:val="right" w:leader="dot" w:pos="8845"/>
            </w:tabs>
            <w:adjustRightInd w:val="0"/>
            <w:snapToGrid w:val="0"/>
            <w:spacing w:line="360" w:lineRule="auto"/>
            <w:rPr>
              <w:rFonts w:ascii="Times New Roman" w:hAnsi="Times New Roman" w:cs="Times New Roman"/>
              <w:sz w:val="28"/>
              <w:szCs w:val="28"/>
            </w:rPr>
          </w:pPr>
          <w:r>
            <w:fldChar w:fldCharType="begin"/>
          </w:r>
          <w:r>
            <w:instrText xml:space="preserve"> HYPERLINK \l "_Toc3196" </w:instrText>
          </w:r>
          <w:r>
            <w:fldChar w:fldCharType="separate"/>
          </w:r>
          <w:r>
            <w:rPr>
              <w:rFonts w:ascii="Times New Roman" w:hAnsi="Times New Roman" w:eastAsia="仿宋_GB2312" w:cs="Times New Roman"/>
              <w:bCs/>
              <w:sz w:val="28"/>
              <w:szCs w:val="28"/>
            </w:rPr>
            <w:t>2．评价对象和范围</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_Toc3196 \h </w:instrText>
          </w:r>
          <w:r>
            <w:rPr>
              <w:rFonts w:ascii="Times New Roman" w:hAnsi="Times New Roman" w:cs="Times New Roman"/>
              <w:sz w:val="28"/>
              <w:szCs w:val="28"/>
            </w:rPr>
            <w:fldChar w:fldCharType="separate"/>
          </w:r>
          <w:r>
            <w:rPr>
              <w:rFonts w:ascii="Times New Roman" w:hAnsi="Times New Roman" w:cs="Times New Roman"/>
              <w:sz w:val="28"/>
              <w:szCs w:val="28"/>
            </w:rPr>
            <w:t>- 5 -</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713C6C1B">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"_Toc24885" </w:instrText>
          </w:r>
          <w:r>
            <w:fldChar w:fldCharType="separate"/>
          </w:r>
          <w:r>
            <w:rPr>
              <w:rFonts w:ascii="Times New Roman" w:hAnsi="Times New Roman" w:cs="Times New Roman"/>
            </w:rPr>
            <w:t>（二）绩效评价原则与方法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_Toc24885 \h </w:instrText>
          </w:r>
          <w:r>
            <w:rPr>
              <w:rFonts w:ascii="Times New Roman" w:hAnsi="Times New Roman" w:cs="Times New Roman"/>
            </w:rPr>
            <w:fldChar w:fldCharType="separate"/>
          </w:r>
          <w:r>
            <w:rPr>
              <w:rFonts w:ascii="Times New Roman" w:hAnsi="Times New Roman" w:cs="Times New Roman"/>
            </w:rPr>
            <w:t>- 5 -</w:t>
          </w:r>
          <w:r>
            <w:rPr>
              <w:rFonts w:ascii="Times New Roman" w:hAnsi="Times New Roman" w:cs="Times New Roman"/>
            </w:rPr>
            <w:fldChar w:fldCharType="end"/>
          </w:r>
          <w:r>
            <w:rPr>
              <w:rFonts w:ascii="Times New Roman" w:hAnsi="Times New Roman" w:cs="Times New Roman"/>
            </w:rPr>
            <w:fldChar w:fldCharType="end"/>
          </w:r>
        </w:p>
        <w:p w14:paraId="360C3BA6">
          <w:pPr>
            <w:pStyle w:val="7"/>
            <w:tabs>
              <w:tab w:val="right" w:leader="dot" w:pos="8845"/>
            </w:tabs>
            <w:adjustRightInd w:val="0"/>
            <w:snapToGrid w:val="0"/>
            <w:spacing w:line="360" w:lineRule="auto"/>
            <w:rPr>
              <w:rFonts w:ascii="Times New Roman" w:hAnsi="Times New Roman" w:cs="Times New Roman"/>
              <w:sz w:val="28"/>
              <w:szCs w:val="28"/>
            </w:rPr>
          </w:pPr>
          <w:r>
            <w:fldChar w:fldCharType="begin"/>
          </w:r>
          <w:r>
            <w:instrText xml:space="preserve"> HYPERLINK \l "_Toc9879" </w:instrText>
          </w:r>
          <w:r>
            <w:fldChar w:fldCharType="separate"/>
          </w:r>
          <w:r>
            <w:rPr>
              <w:rFonts w:ascii="Times New Roman" w:hAnsi="Times New Roman" w:eastAsia="仿宋_GB2312" w:cs="Times New Roman"/>
              <w:bCs/>
              <w:spacing w:val="-3"/>
              <w:sz w:val="28"/>
              <w:szCs w:val="28"/>
            </w:rPr>
            <w:t>1．评价原则</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_Toc9879 \h </w:instrText>
          </w:r>
          <w:r>
            <w:rPr>
              <w:rFonts w:ascii="Times New Roman" w:hAnsi="Times New Roman" w:cs="Times New Roman"/>
              <w:sz w:val="28"/>
              <w:szCs w:val="28"/>
            </w:rPr>
            <w:fldChar w:fldCharType="separate"/>
          </w:r>
          <w:r>
            <w:rPr>
              <w:rFonts w:ascii="Times New Roman" w:hAnsi="Times New Roman" w:cs="Times New Roman"/>
              <w:sz w:val="28"/>
              <w:szCs w:val="28"/>
            </w:rPr>
            <w:t>- 5 -</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0E592241">
          <w:pPr>
            <w:pStyle w:val="7"/>
            <w:tabs>
              <w:tab w:val="right" w:leader="dot" w:pos="8845"/>
            </w:tabs>
            <w:adjustRightInd w:val="0"/>
            <w:snapToGrid w:val="0"/>
            <w:spacing w:line="360" w:lineRule="auto"/>
            <w:rPr>
              <w:rFonts w:ascii="Times New Roman" w:hAnsi="Times New Roman" w:cs="Times New Roman"/>
              <w:sz w:val="28"/>
              <w:szCs w:val="28"/>
            </w:rPr>
          </w:pPr>
          <w:r>
            <w:fldChar w:fldCharType="begin"/>
          </w:r>
          <w:r>
            <w:instrText xml:space="preserve"> HYPERLINK \l "_Toc14652" </w:instrText>
          </w:r>
          <w:r>
            <w:fldChar w:fldCharType="separate"/>
          </w:r>
          <w:r>
            <w:rPr>
              <w:rFonts w:ascii="Times New Roman" w:hAnsi="Times New Roman" w:eastAsia="仿宋_GB2312" w:cs="Times New Roman"/>
              <w:bCs/>
              <w:spacing w:val="-3"/>
              <w:sz w:val="28"/>
              <w:szCs w:val="28"/>
            </w:rPr>
            <w:t>2．评价方法</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_Toc14652 \h </w:instrText>
          </w:r>
          <w:r>
            <w:rPr>
              <w:rFonts w:ascii="Times New Roman" w:hAnsi="Times New Roman" w:cs="Times New Roman"/>
              <w:sz w:val="28"/>
              <w:szCs w:val="28"/>
            </w:rPr>
            <w:fldChar w:fldCharType="separate"/>
          </w:r>
          <w:r>
            <w:rPr>
              <w:rFonts w:ascii="Times New Roman" w:hAnsi="Times New Roman" w:cs="Times New Roman"/>
              <w:sz w:val="28"/>
              <w:szCs w:val="28"/>
            </w:rPr>
            <w:t>- 5 -</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0C83CE04">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"_Toc4256" </w:instrText>
          </w:r>
          <w:r>
            <w:fldChar w:fldCharType="separate"/>
          </w:r>
          <w:r>
            <w:rPr>
              <w:rFonts w:ascii="Times New Roman" w:hAnsi="Times New Roman" w:cs="Times New Roman"/>
            </w:rPr>
            <w:t>（三）绩效评价标准与依据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_Toc4256 \h </w:instrText>
          </w:r>
          <w:r>
            <w:rPr>
              <w:rFonts w:ascii="Times New Roman" w:hAnsi="Times New Roman" w:cs="Times New Roman"/>
            </w:rPr>
            <w:fldChar w:fldCharType="separate"/>
          </w:r>
          <w:r>
            <w:rPr>
              <w:rFonts w:ascii="Times New Roman" w:hAnsi="Times New Roman" w:cs="Times New Roman"/>
            </w:rPr>
            <w:t>- 6 -</w:t>
          </w:r>
          <w:r>
            <w:rPr>
              <w:rFonts w:ascii="Times New Roman" w:hAnsi="Times New Roman" w:cs="Times New Roman"/>
            </w:rPr>
            <w:fldChar w:fldCharType="end"/>
          </w:r>
          <w:r>
            <w:rPr>
              <w:rFonts w:ascii="Times New Roman" w:hAnsi="Times New Roman" w:cs="Times New Roman"/>
            </w:rPr>
            <w:fldChar w:fldCharType="end"/>
          </w:r>
        </w:p>
        <w:p w14:paraId="37831DFC">
          <w:pPr>
            <w:pStyle w:val="7"/>
            <w:tabs>
              <w:tab w:val="right" w:leader="dot" w:pos="8845"/>
            </w:tabs>
            <w:adjustRightInd w:val="0"/>
            <w:snapToGrid w:val="0"/>
            <w:spacing w:line="360" w:lineRule="auto"/>
            <w:rPr>
              <w:rFonts w:ascii="Times New Roman" w:hAnsi="Times New Roman" w:cs="Times New Roman"/>
              <w:sz w:val="28"/>
              <w:szCs w:val="28"/>
            </w:rPr>
          </w:pPr>
          <w:r>
            <w:fldChar w:fldCharType="begin"/>
          </w:r>
          <w:r>
            <w:instrText xml:space="preserve"> HYPERLINK \l "_Toc30062" </w:instrText>
          </w:r>
          <w:r>
            <w:fldChar w:fldCharType="separate"/>
          </w:r>
          <w:r>
            <w:rPr>
              <w:rFonts w:ascii="Times New Roman" w:hAnsi="Times New Roman" w:eastAsia="仿宋_GB2312" w:cs="Times New Roman"/>
              <w:bCs/>
              <w:sz w:val="28"/>
              <w:szCs w:val="28"/>
            </w:rPr>
            <w:t>1．评价标准</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_Toc30062 \h </w:instrText>
          </w:r>
          <w:r>
            <w:rPr>
              <w:rFonts w:ascii="Times New Roman" w:hAnsi="Times New Roman" w:cs="Times New Roman"/>
              <w:sz w:val="28"/>
              <w:szCs w:val="28"/>
            </w:rPr>
            <w:fldChar w:fldCharType="separate"/>
          </w:r>
          <w:r>
            <w:rPr>
              <w:rFonts w:ascii="Times New Roman" w:hAnsi="Times New Roman" w:cs="Times New Roman"/>
              <w:sz w:val="28"/>
              <w:szCs w:val="28"/>
            </w:rPr>
            <w:t>- 6 -</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3C221EAB">
          <w:pPr>
            <w:pStyle w:val="7"/>
            <w:tabs>
              <w:tab w:val="right" w:leader="dot" w:pos="8845"/>
            </w:tabs>
            <w:adjustRightInd w:val="0"/>
            <w:snapToGrid w:val="0"/>
            <w:spacing w:line="360" w:lineRule="auto"/>
            <w:rPr>
              <w:rFonts w:ascii="Times New Roman" w:hAnsi="Times New Roman" w:cs="Times New Roman"/>
              <w:sz w:val="28"/>
              <w:szCs w:val="28"/>
            </w:rPr>
          </w:pPr>
          <w:r>
            <w:fldChar w:fldCharType="begin"/>
          </w:r>
          <w:r>
            <w:instrText xml:space="preserve"> HYPERLINK \l "_Toc31554" </w:instrText>
          </w:r>
          <w:r>
            <w:fldChar w:fldCharType="separate"/>
          </w:r>
          <w:r>
            <w:rPr>
              <w:rFonts w:ascii="Times New Roman" w:hAnsi="Times New Roman" w:eastAsia="仿宋_GB2312" w:cs="Times New Roman"/>
              <w:bCs/>
              <w:sz w:val="28"/>
              <w:szCs w:val="28"/>
            </w:rPr>
            <w:t>2．评价依据</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_Toc31554 \h </w:instrText>
          </w:r>
          <w:r>
            <w:rPr>
              <w:rFonts w:ascii="Times New Roman" w:hAnsi="Times New Roman" w:cs="Times New Roman"/>
              <w:sz w:val="28"/>
              <w:szCs w:val="28"/>
            </w:rPr>
            <w:fldChar w:fldCharType="separate"/>
          </w:r>
          <w:r>
            <w:rPr>
              <w:rFonts w:ascii="Times New Roman" w:hAnsi="Times New Roman" w:cs="Times New Roman"/>
              <w:sz w:val="28"/>
              <w:szCs w:val="28"/>
            </w:rPr>
            <w:t>- 6 -</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03FF62F6">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"_Toc11646" </w:instrText>
          </w:r>
          <w:r>
            <w:fldChar w:fldCharType="separate"/>
          </w:r>
          <w:r>
            <w:rPr>
              <w:rFonts w:ascii="Times New Roman" w:hAnsi="Times New Roman" w:cs="Times New Roman"/>
            </w:rPr>
            <w:t>（四）评价指标体系</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_Toc11646 \h </w:instrText>
          </w:r>
          <w:r>
            <w:rPr>
              <w:rFonts w:ascii="Times New Roman" w:hAnsi="Times New Roman" w:cs="Times New Roman"/>
            </w:rPr>
            <w:fldChar w:fldCharType="separate"/>
          </w:r>
          <w:r>
            <w:rPr>
              <w:rFonts w:ascii="Times New Roman" w:hAnsi="Times New Roman" w:cs="Times New Roman"/>
            </w:rPr>
            <w:t>- 7 -</w:t>
          </w:r>
          <w:r>
            <w:rPr>
              <w:rFonts w:ascii="Times New Roman" w:hAnsi="Times New Roman" w:cs="Times New Roman"/>
            </w:rPr>
            <w:fldChar w:fldCharType="end"/>
          </w:r>
          <w:r>
            <w:rPr>
              <w:rFonts w:ascii="Times New Roman" w:hAnsi="Times New Roman" w:cs="Times New Roman"/>
            </w:rPr>
            <w:fldChar w:fldCharType="end"/>
          </w:r>
        </w:p>
        <w:p w14:paraId="77842CDD">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"_Toc27217" </w:instrText>
          </w:r>
          <w:r>
            <w:fldChar w:fldCharType="separate"/>
          </w:r>
          <w:r>
            <w:rPr>
              <w:rFonts w:ascii="Times New Roman" w:hAnsi="Times New Roman" w:cs="Times New Roman"/>
            </w:rPr>
            <w:t>（五）绩效评价工作过程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_Toc27217 \h </w:instrText>
          </w:r>
          <w:r>
            <w:rPr>
              <w:rFonts w:ascii="Times New Roman" w:hAnsi="Times New Roman" w:cs="Times New Roman"/>
            </w:rPr>
            <w:fldChar w:fldCharType="separate"/>
          </w:r>
          <w:r>
            <w:rPr>
              <w:rFonts w:ascii="Times New Roman" w:hAnsi="Times New Roman" w:cs="Times New Roman"/>
            </w:rPr>
            <w:t>- 8 -</w:t>
          </w:r>
          <w:r>
            <w:rPr>
              <w:rFonts w:ascii="Times New Roman" w:hAnsi="Times New Roman" w:cs="Times New Roman"/>
            </w:rPr>
            <w:fldChar w:fldCharType="end"/>
          </w:r>
          <w:r>
            <w:rPr>
              <w:rFonts w:ascii="Times New Roman" w:hAnsi="Times New Roman" w:cs="Times New Roman"/>
            </w:rPr>
            <w:fldChar w:fldCharType="end"/>
          </w:r>
        </w:p>
        <w:p w14:paraId="24BA0EA7">
          <w:pPr>
            <w:pStyle w:val="10"/>
            <w:tabs>
              <w:tab w:val="right" w:leader="dot" w:pos="8845"/>
            </w:tabs>
            <w:adjustRightInd w:val="0"/>
            <w:snapToGrid w:val="0"/>
            <w:spacing w:line="360" w:lineRule="auto"/>
            <w:rPr>
              <w:rFonts w:ascii="Times New Roman" w:hAnsi="Times New Roman" w:cs="Times New Roman"/>
              <w:sz w:val="28"/>
              <w:szCs w:val="28"/>
            </w:rPr>
          </w:pPr>
          <w:r>
            <w:fldChar w:fldCharType="begin"/>
          </w:r>
          <w:r>
            <w:instrText xml:space="preserve"> HYPERLINK \l "_Toc7472" </w:instrText>
          </w:r>
          <w:r>
            <w:fldChar w:fldCharType="separate"/>
          </w:r>
          <w:r>
            <w:rPr>
              <w:rFonts w:ascii="Times New Roman" w:hAnsi="Times New Roman" w:eastAsia="黑体" w:cs="Times New Roman"/>
              <w:spacing w:val="-3"/>
              <w:sz w:val="28"/>
              <w:szCs w:val="28"/>
            </w:rPr>
            <w:t>三、综合评价情况及评价结论</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_Toc7472 \h </w:instrText>
          </w:r>
          <w:r>
            <w:rPr>
              <w:rFonts w:ascii="Times New Roman" w:hAnsi="Times New Roman" w:cs="Times New Roman"/>
              <w:sz w:val="28"/>
              <w:szCs w:val="28"/>
            </w:rPr>
            <w:fldChar w:fldCharType="separate"/>
          </w:r>
          <w:r>
            <w:rPr>
              <w:rFonts w:ascii="Times New Roman" w:hAnsi="Times New Roman" w:cs="Times New Roman"/>
              <w:sz w:val="28"/>
              <w:szCs w:val="28"/>
            </w:rPr>
            <w:t>- 9 -</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10D0D398">
          <w:pPr>
            <w:pStyle w:val="10"/>
            <w:tabs>
              <w:tab w:val="right" w:leader="dot" w:pos="8845"/>
            </w:tabs>
            <w:adjustRightInd w:val="0"/>
            <w:snapToGrid w:val="0"/>
            <w:spacing w:line="360" w:lineRule="auto"/>
            <w:rPr>
              <w:rFonts w:ascii="Times New Roman" w:hAnsi="Times New Roman" w:cs="Times New Roman"/>
              <w:sz w:val="28"/>
              <w:szCs w:val="28"/>
            </w:rPr>
          </w:pPr>
          <w:r>
            <w:fldChar w:fldCharType="begin"/>
          </w:r>
          <w:r>
            <w:instrText xml:space="preserve"> HYPERLINK \l "_Toc23742" </w:instrText>
          </w:r>
          <w:r>
            <w:fldChar w:fldCharType="separate"/>
          </w:r>
          <w:r>
            <w:rPr>
              <w:rFonts w:ascii="Times New Roman" w:hAnsi="Times New Roman" w:eastAsia="黑体" w:cs="Times New Roman"/>
              <w:spacing w:val="-3"/>
              <w:sz w:val="28"/>
              <w:szCs w:val="28"/>
            </w:rPr>
            <w:t>四、绩效评价指标分析</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_Toc23742 \h </w:instrText>
          </w:r>
          <w:r>
            <w:rPr>
              <w:rFonts w:ascii="Times New Roman" w:hAnsi="Times New Roman" w:cs="Times New Roman"/>
              <w:sz w:val="28"/>
              <w:szCs w:val="28"/>
            </w:rPr>
            <w:fldChar w:fldCharType="separate"/>
          </w:r>
          <w:r>
            <w:rPr>
              <w:rFonts w:ascii="Times New Roman" w:hAnsi="Times New Roman" w:cs="Times New Roman"/>
              <w:sz w:val="28"/>
              <w:szCs w:val="28"/>
            </w:rPr>
            <w:t>- 9 -</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3652272A">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"_Toc6404" </w:instrText>
          </w:r>
          <w:r>
            <w:fldChar w:fldCharType="separate"/>
          </w:r>
          <w:r>
            <w:rPr>
              <w:rFonts w:ascii="Times New Roman" w:hAnsi="Times New Roman" w:cs="Times New Roman"/>
            </w:rPr>
            <w:t>（一）前期工作情况分析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_Toc6404 \h </w:instrText>
          </w:r>
          <w:r>
            <w:rPr>
              <w:rFonts w:ascii="Times New Roman" w:hAnsi="Times New Roman" w:cs="Times New Roman"/>
            </w:rPr>
            <w:fldChar w:fldCharType="separate"/>
          </w:r>
          <w:r>
            <w:rPr>
              <w:rFonts w:ascii="Times New Roman" w:hAnsi="Times New Roman" w:cs="Times New Roman"/>
            </w:rPr>
            <w:t>- 9 -</w:t>
          </w:r>
          <w:r>
            <w:rPr>
              <w:rFonts w:ascii="Times New Roman" w:hAnsi="Times New Roman" w:cs="Times New Roman"/>
            </w:rPr>
            <w:fldChar w:fldCharType="end"/>
          </w:r>
          <w:r>
            <w:rPr>
              <w:rFonts w:ascii="Times New Roman" w:hAnsi="Times New Roman" w:cs="Times New Roman"/>
            </w:rPr>
            <w:fldChar w:fldCharType="end"/>
          </w:r>
        </w:p>
        <w:p w14:paraId="08B551E6">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"_Toc10511" </w:instrText>
          </w:r>
          <w:r>
            <w:fldChar w:fldCharType="separate"/>
          </w:r>
          <w:r>
            <w:rPr>
              <w:rFonts w:ascii="Times New Roman" w:hAnsi="Times New Roman" w:cs="Times New Roman"/>
            </w:rPr>
            <w:t>（二）项目管理情况分析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_Toc10511 \h </w:instrText>
          </w:r>
          <w:r>
            <w:rPr>
              <w:rFonts w:ascii="Times New Roman" w:hAnsi="Times New Roman" w:cs="Times New Roman"/>
            </w:rPr>
            <w:fldChar w:fldCharType="separate"/>
          </w:r>
          <w:r>
            <w:rPr>
              <w:rFonts w:ascii="Times New Roman" w:hAnsi="Times New Roman" w:cs="Times New Roman"/>
            </w:rPr>
            <w:t>- 10 -</w:t>
          </w:r>
          <w:r>
            <w:rPr>
              <w:rFonts w:ascii="Times New Roman" w:hAnsi="Times New Roman" w:cs="Times New Roman"/>
            </w:rPr>
            <w:fldChar w:fldCharType="end"/>
          </w:r>
          <w:r>
            <w:rPr>
              <w:rFonts w:ascii="Times New Roman" w:hAnsi="Times New Roman" w:cs="Times New Roman"/>
            </w:rPr>
            <w:fldChar w:fldCharType="end"/>
          </w:r>
        </w:p>
        <w:p w14:paraId="2F139DA7">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"_Toc18764" </w:instrText>
          </w:r>
          <w:r>
            <w:fldChar w:fldCharType="separate"/>
          </w:r>
          <w:r>
            <w:rPr>
              <w:rFonts w:ascii="Times New Roman" w:hAnsi="Times New Roman" w:cs="Times New Roman"/>
            </w:rPr>
            <w:t>（三）产出情况分析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_Toc18764 \h </w:instrText>
          </w:r>
          <w:r>
            <w:rPr>
              <w:rFonts w:ascii="Times New Roman" w:hAnsi="Times New Roman" w:cs="Times New Roman"/>
            </w:rPr>
            <w:fldChar w:fldCharType="separate"/>
          </w:r>
          <w:r>
            <w:rPr>
              <w:rFonts w:ascii="Times New Roman" w:hAnsi="Times New Roman" w:cs="Times New Roman"/>
            </w:rPr>
            <w:t>- 11 -</w:t>
          </w:r>
          <w:r>
            <w:rPr>
              <w:rFonts w:ascii="Times New Roman" w:hAnsi="Times New Roman" w:cs="Times New Roman"/>
            </w:rPr>
            <w:fldChar w:fldCharType="end"/>
          </w:r>
          <w:r>
            <w:rPr>
              <w:rFonts w:ascii="Times New Roman" w:hAnsi="Times New Roman" w:cs="Times New Roman"/>
            </w:rPr>
            <w:fldChar w:fldCharType="end"/>
          </w:r>
        </w:p>
        <w:p w14:paraId="1E93D2E2">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"_Toc23209" </w:instrText>
          </w:r>
          <w:r>
            <w:fldChar w:fldCharType="separate"/>
          </w:r>
          <w:r>
            <w:rPr>
              <w:rFonts w:ascii="Times New Roman" w:hAnsi="Times New Roman" w:cs="Times New Roman"/>
            </w:rPr>
            <w:t>（四）效果情况分析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_Toc23209 \h </w:instrText>
          </w:r>
          <w:r>
            <w:rPr>
              <w:rFonts w:ascii="Times New Roman" w:hAnsi="Times New Roman" w:cs="Times New Roman"/>
            </w:rPr>
            <w:fldChar w:fldCharType="separate"/>
          </w:r>
          <w:r>
            <w:rPr>
              <w:rFonts w:ascii="Times New Roman" w:hAnsi="Times New Roman" w:cs="Times New Roman"/>
            </w:rPr>
            <w:t>- 11 -</w:t>
          </w:r>
          <w:r>
            <w:rPr>
              <w:rFonts w:ascii="Times New Roman" w:hAnsi="Times New Roman" w:cs="Times New Roman"/>
            </w:rPr>
            <w:fldChar w:fldCharType="end"/>
          </w:r>
          <w:r>
            <w:rPr>
              <w:rFonts w:ascii="Times New Roman" w:hAnsi="Times New Roman" w:cs="Times New Roman"/>
            </w:rPr>
            <w:fldChar w:fldCharType="end"/>
          </w:r>
        </w:p>
        <w:p w14:paraId="280DD8F5">
          <w:pPr>
            <w:pStyle w:val="10"/>
            <w:tabs>
              <w:tab w:val="right" w:leader="dot" w:pos="8845"/>
            </w:tabs>
            <w:adjustRightInd w:val="0"/>
            <w:snapToGrid w:val="0"/>
            <w:spacing w:line="360" w:lineRule="auto"/>
            <w:rPr>
              <w:rFonts w:ascii="Times New Roman" w:hAnsi="Times New Roman" w:cs="Times New Roman"/>
              <w:sz w:val="28"/>
              <w:szCs w:val="28"/>
            </w:rPr>
          </w:pPr>
          <w:r>
            <w:fldChar w:fldCharType="begin"/>
          </w:r>
          <w:r>
            <w:instrText xml:space="preserve"> HYPERLINK \l "_Toc26311" </w:instrText>
          </w:r>
          <w:r>
            <w:fldChar w:fldCharType="separate"/>
          </w:r>
          <w:r>
            <w:rPr>
              <w:rFonts w:ascii="Times New Roman" w:hAnsi="Times New Roman" w:eastAsia="黑体" w:cs="Times New Roman"/>
              <w:sz w:val="28"/>
              <w:szCs w:val="28"/>
            </w:rPr>
            <w:t>五、绩效管理的主要做法和成效</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_Toc26311 \h </w:instrText>
          </w:r>
          <w:r>
            <w:rPr>
              <w:rFonts w:ascii="Times New Roman" w:hAnsi="Times New Roman" w:cs="Times New Roman"/>
              <w:sz w:val="28"/>
              <w:szCs w:val="28"/>
            </w:rPr>
            <w:fldChar w:fldCharType="separate"/>
          </w:r>
          <w:r>
            <w:rPr>
              <w:rFonts w:ascii="Times New Roman" w:hAnsi="Times New Roman" w:cs="Times New Roman"/>
              <w:sz w:val="28"/>
              <w:szCs w:val="28"/>
            </w:rPr>
            <w:t>- 13 -</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3648F2F7">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"_Toc32376" </w:instrText>
          </w:r>
          <w:r>
            <w:fldChar w:fldCharType="separate"/>
          </w:r>
          <w:r>
            <w:rPr>
              <w:rFonts w:ascii="Times New Roman" w:hAnsi="Times New Roman" w:cs="Times New Roman"/>
            </w:rPr>
            <w:t>（一）注重立项依据的充分性</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_Toc32376 \h </w:instrText>
          </w:r>
          <w:r>
            <w:rPr>
              <w:rFonts w:ascii="Times New Roman" w:hAnsi="Times New Roman" w:cs="Times New Roman"/>
            </w:rPr>
            <w:fldChar w:fldCharType="separate"/>
          </w:r>
          <w:r>
            <w:rPr>
              <w:rFonts w:ascii="Times New Roman" w:hAnsi="Times New Roman" w:cs="Times New Roman"/>
            </w:rPr>
            <w:t>- 13 -</w:t>
          </w:r>
          <w:r>
            <w:rPr>
              <w:rFonts w:ascii="Times New Roman" w:hAnsi="Times New Roman" w:cs="Times New Roman"/>
            </w:rPr>
            <w:fldChar w:fldCharType="end"/>
          </w:r>
          <w:r>
            <w:rPr>
              <w:rFonts w:ascii="Times New Roman" w:hAnsi="Times New Roman" w:cs="Times New Roman"/>
            </w:rPr>
            <w:fldChar w:fldCharType="end"/>
          </w:r>
        </w:p>
        <w:p w14:paraId="279DBDE8">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"_Toc19768" </w:instrText>
          </w:r>
          <w:r>
            <w:fldChar w:fldCharType="separate"/>
          </w:r>
          <w:r>
            <w:rPr>
              <w:rFonts w:ascii="Times New Roman" w:hAnsi="Times New Roman" w:cs="Times New Roman"/>
            </w:rPr>
            <w:t>（二）注重工程档案的完整性</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_Toc19768 \h </w:instrText>
          </w:r>
          <w:r>
            <w:rPr>
              <w:rFonts w:ascii="Times New Roman" w:hAnsi="Times New Roman" w:cs="Times New Roman"/>
            </w:rPr>
            <w:fldChar w:fldCharType="separate"/>
          </w:r>
          <w:r>
            <w:rPr>
              <w:rFonts w:ascii="Times New Roman" w:hAnsi="Times New Roman" w:cs="Times New Roman"/>
            </w:rPr>
            <w:t>- 14 -</w:t>
          </w:r>
          <w:r>
            <w:rPr>
              <w:rFonts w:ascii="Times New Roman" w:hAnsi="Times New Roman" w:cs="Times New Roman"/>
            </w:rPr>
            <w:fldChar w:fldCharType="end"/>
          </w:r>
          <w:r>
            <w:rPr>
              <w:rFonts w:ascii="Times New Roman" w:hAnsi="Times New Roman" w:cs="Times New Roman"/>
            </w:rPr>
            <w:fldChar w:fldCharType="end"/>
          </w:r>
        </w:p>
        <w:p w14:paraId="698B2E64">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"_Toc431" </w:instrText>
          </w:r>
          <w:r>
            <w:fldChar w:fldCharType="separate"/>
          </w:r>
          <w:r>
            <w:rPr>
              <w:rFonts w:ascii="Times New Roman" w:hAnsi="Times New Roman" w:cs="Times New Roman"/>
            </w:rPr>
            <w:t>（三）完善优化了交通路网，疏解减轻了交通压力</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_Toc431 \h </w:instrText>
          </w:r>
          <w:r>
            <w:rPr>
              <w:rFonts w:ascii="Times New Roman" w:hAnsi="Times New Roman" w:cs="Times New Roman"/>
            </w:rPr>
            <w:fldChar w:fldCharType="separate"/>
          </w:r>
          <w:r>
            <w:rPr>
              <w:rFonts w:ascii="Times New Roman" w:hAnsi="Times New Roman" w:cs="Times New Roman"/>
            </w:rPr>
            <w:t>- 14 -</w:t>
          </w:r>
          <w:r>
            <w:rPr>
              <w:rFonts w:ascii="Times New Roman" w:hAnsi="Times New Roman" w:cs="Times New Roman"/>
            </w:rPr>
            <w:fldChar w:fldCharType="end"/>
          </w:r>
          <w:r>
            <w:rPr>
              <w:rFonts w:ascii="Times New Roman" w:hAnsi="Times New Roman" w:cs="Times New Roman"/>
            </w:rPr>
            <w:fldChar w:fldCharType="end"/>
          </w:r>
        </w:p>
        <w:p w14:paraId="1B7FAC9D">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"_Toc7059" </w:instrText>
          </w:r>
          <w:r>
            <w:fldChar w:fldCharType="separate"/>
          </w:r>
          <w:r>
            <w:rPr>
              <w:rFonts w:ascii="Times New Roman" w:hAnsi="Times New Roman" w:cs="Times New Roman"/>
            </w:rPr>
            <w:t>（四）加快了招商引资和产业集聚步伐，带动了谢岗经济发展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_Toc7059 \h </w:instrText>
          </w:r>
          <w:r>
            <w:rPr>
              <w:rFonts w:ascii="Times New Roman" w:hAnsi="Times New Roman" w:cs="Times New Roman"/>
            </w:rPr>
            <w:fldChar w:fldCharType="separate"/>
          </w:r>
          <w:r>
            <w:rPr>
              <w:rFonts w:ascii="Times New Roman" w:hAnsi="Times New Roman" w:cs="Times New Roman"/>
            </w:rPr>
            <w:t>- 14 -</w:t>
          </w:r>
          <w:r>
            <w:rPr>
              <w:rFonts w:ascii="Times New Roman" w:hAnsi="Times New Roman" w:cs="Times New Roman"/>
            </w:rPr>
            <w:fldChar w:fldCharType="end"/>
          </w:r>
          <w:r>
            <w:rPr>
              <w:rFonts w:ascii="Times New Roman" w:hAnsi="Times New Roman" w:cs="Times New Roman"/>
            </w:rPr>
            <w:fldChar w:fldCharType="end"/>
          </w:r>
        </w:p>
        <w:p w14:paraId="0C0DC74C">
          <w:pPr>
            <w:pStyle w:val="10"/>
            <w:tabs>
              <w:tab w:val="right" w:leader="dot" w:pos="8845"/>
            </w:tabs>
            <w:adjustRightInd w:val="0"/>
            <w:snapToGrid w:val="0"/>
            <w:spacing w:line="360" w:lineRule="auto"/>
            <w:rPr>
              <w:rFonts w:ascii="Times New Roman" w:hAnsi="Times New Roman" w:cs="Times New Roman"/>
              <w:sz w:val="28"/>
              <w:szCs w:val="28"/>
            </w:rPr>
          </w:pPr>
          <w:r>
            <w:fldChar w:fldCharType="begin"/>
          </w:r>
          <w:r>
            <w:instrText xml:space="preserve"> HYPERLINK \l "_Toc7099" </w:instrText>
          </w:r>
          <w:r>
            <w:fldChar w:fldCharType="separate"/>
          </w:r>
          <w:r>
            <w:rPr>
              <w:rFonts w:ascii="Times New Roman" w:hAnsi="Times New Roman" w:eastAsia="黑体" w:cs="Times New Roman"/>
              <w:sz w:val="28"/>
              <w:szCs w:val="28"/>
            </w:rPr>
            <w:t>六、绩效管理存在的问题及原因</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_Toc7099 \h </w:instrText>
          </w:r>
          <w:r>
            <w:rPr>
              <w:rFonts w:ascii="Times New Roman" w:hAnsi="Times New Roman" w:cs="Times New Roman"/>
              <w:sz w:val="28"/>
              <w:szCs w:val="28"/>
            </w:rPr>
            <w:fldChar w:fldCharType="separate"/>
          </w:r>
          <w:r>
            <w:rPr>
              <w:rFonts w:ascii="Times New Roman" w:hAnsi="Times New Roman" w:cs="Times New Roman"/>
              <w:sz w:val="28"/>
              <w:szCs w:val="28"/>
            </w:rPr>
            <w:t>- 15 -</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07A3744C">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"_Toc5813" </w:instrText>
          </w:r>
          <w:r>
            <w:fldChar w:fldCharType="separate"/>
          </w:r>
          <w:r>
            <w:rPr>
              <w:rFonts w:ascii="Times New Roman" w:hAnsi="Times New Roman" w:cs="Times New Roman"/>
            </w:rPr>
            <w:t>（一）债券使用不明确，工程竣工结算不及时</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_Toc5813 \h </w:instrText>
          </w:r>
          <w:r>
            <w:rPr>
              <w:rFonts w:ascii="Times New Roman" w:hAnsi="Times New Roman" w:cs="Times New Roman"/>
            </w:rPr>
            <w:fldChar w:fldCharType="separate"/>
          </w:r>
          <w:r>
            <w:rPr>
              <w:rFonts w:ascii="Times New Roman" w:hAnsi="Times New Roman" w:cs="Times New Roman"/>
            </w:rPr>
            <w:t>- 15 -</w:t>
          </w:r>
          <w:r>
            <w:rPr>
              <w:rFonts w:ascii="Times New Roman" w:hAnsi="Times New Roman" w:cs="Times New Roman"/>
            </w:rPr>
            <w:fldChar w:fldCharType="end"/>
          </w:r>
          <w:r>
            <w:rPr>
              <w:rFonts w:ascii="Times New Roman" w:hAnsi="Times New Roman" w:cs="Times New Roman"/>
            </w:rPr>
            <w:fldChar w:fldCharType="end"/>
          </w:r>
        </w:p>
        <w:p w14:paraId="24B1383D">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"_Toc17568" </w:instrText>
          </w:r>
          <w:r>
            <w:fldChar w:fldCharType="separate"/>
          </w:r>
          <w:r>
            <w:rPr>
              <w:rFonts w:ascii="Times New Roman" w:hAnsi="Times New Roman" w:cs="Times New Roman"/>
            </w:rPr>
            <w:t>（二）绩效目标不全面，绩效指标设置不科学</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_Toc17568 \h </w:instrText>
          </w:r>
          <w:r>
            <w:rPr>
              <w:rFonts w:ascii="Times New Roman" w:hAnsi="Times New Roman" w:cs="Times New Roman"/>
            </w:rPr>
            <w:fldChar w:fldCharType="separate"/>
          </w:r>
          <w:r>
            <w:rPr>
              <w:rFonts w:ascii="Times New Roman" w:hAnsi="Times New Roman" w:cs="Times New Roman"/>
            </w:rPr>
            <w:t>- 16 -</w:t>
          </w:r>
          <w:r>
            <w:rPr>
              <w:rFonts w:ascii="Times New Roman" w:hAnsi="Times New Roman" w:cs="Times New Roman"/>
            </w:rPr>
            <w:fldChar w:fldCharType="end"/>
          </w:r>
          <w:r>
            <w:rPr>
              <w:rFonts w:ascii="Times New Roman" w:hAnsi="Times New Roman" w:cs="Times New Roman"/>
            </w:rPr>
            <w:fldChar w:fldCharType="end"/>
          </w:r>
        </w:p>
        <w:p w14:paraId="3DC75194">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"_Toc27334" </w:instrText>
          </w:r>
          <w:r>
            <w:fldChar w:fldCharType="separate"/>
          </w:r>
          <w:r>
            <w:rPr>
              <w:rFonts w:ascii="Times New Roman" w:hAnsi="Times New Roman" w:cs="Times New Roman"/>
            </w:rPr>
            <w:t>（三）立项程序不合规，工程开工时间不合理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_Toc27334 \h </w:instrText>
          </w:r>
          <w:r>
            <w:rPr>
              <w:rFonts w:ascii="Times New Roman" w:hAnsi="Times New Roman" w:cs="Times New Roman"/>
            </w:rPr>
            <w:fldChar w:fldCharType="separate"/>
          </w:r>
          <w:r>
            <w:rPr>
              <w:rFonts w:ascii="Times New Roman" w:hAnsi="Times New Roman" w:cs="Times New Roman"/>
            </w:rPr>
            <w:t>- 16 -</w:t>
          </w:r>
          <w:r>
            <w:rPr>
              <w:rFonts w:ascii="Times New Roman" w:hAnsi="Times New Roman" w:cs="Times New Roman"/>
            </w:rPr>
            <w:fldChar w:fldCharType="end"/>
          </w:r>
          <w:r>
            <w:rPr>
              <w:rFonts w:ascii="Times New Roman" w:hAnsi="Times New Roman" w:cs="Times New Roman"/>
            </w:rPr>
            <w:fldChar w:fldCharType="end"/>
          </w:r>
        </w:p>
        <w:p w14:paraId="2291774E">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"_Toc848" </w:instrText>
          </w:r>
          <w:r>
            <w:fldChar w:fldCharType="separate"/>
          </w:r>
          <w:r>
            <w:rPr>
              <w:rFonts w:ascii="Times New Roman" w:hAnsi="Times New Roman" w:cs="Times New Roman"/>
            </w:rPr>
            <w:t>（四）合同签订不及时，未按合同规定支付款项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_Toc848 \h </w:instrText>
          </w:r>
          <w:r>
            <w:rPr>
              <w:rFonts w:ascii="Times New Roman" w:hAnsi="Times New Roman" w:cs="Times New Roman"/>
            </w:rPr>
            <w:fldChar w:fldCharType="separate"/>
          </w:r>
          <w:r>
            <w:rPr>
              <w:rFonts w:ascii="Times New Roman" w:hAnsi="Times New Roman" w:cs="Times New Roman"/>
            </w:rPr>
            <w:t>- 17 -</w:t>
          </w:r>
          <w:r>
            <w:rPr>
              <w:rFonts w:ascii="Times New Roman" w:hAnsi="Times New Roman" w:cs="Times New Roman"/>
            </w:rPr>
            <w:fldChar w:fldCharType="end"/>
          </w:r>
          <w:r>
            <w:rPr>
              <w:rFonts w:ascii="Times New Roman" w:hAnsi="Times New Roman" w:cs="Times New Roman"/>
            </w:rPr>
            <w:fldChar w:fldCharType="end"/>
          </w:r>
        </w:p>
        <w:p w14:paraId="419AAB53">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"_Toc2224" </w:instrText>
          </w:r>
          <w:r>
            <w:fldChar w:fldCharType="separate"/>
          </w:r>
          <w:r>
            <w:rPr>
              <w:rFonts w:ascii="Times New Roman" w:hAnsi="Times New Roman" w:cs="Times New Roman"/>
            </w:rPr>
            <w:t>（五）变更程序不合规</w:t>
          </w:r>
          <w:bookmarkStart w:id="198" w:name="_GoBack"/>
          <w:bookmarkEnd w:id="198"/>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_Toc2224 \h </w:instrText>
          </w:r>
          <w:r>
            <w:rPr>
              <w:rFonts w:ascii="Times New Roman" w:hAnsi="Times New Roman" w:cs="Times New Roman"/>
            </w:rPr>
            <w:fldChar w:fldCharType="separate"/>
          </w:r>
          <w:r>
            <w:rPr>
              <w:rFonts w:ascii="Times New Roman" w:hAnsi="Times New Roman" w:cs="Times New Roman"/>
            </w:rPr>
            <w:t>- 17 -</w:t>
          </w:r>
          <w:r>
            <w:rPr>
              <w:rFonts w:ascii="Times New Roman" w:hAnsi="Times New Roman" w:cs="Times New Roman"/>
            </w:rPr>
            <w:fldChar w:fldCharType="end"/>
          </w:r>
          <w:r>
            <w:rPr>
              <w:rFonts w:ascii="Times New Roman" w:hAnsi="Times New Roman" w:cs="Times New Roman"/>
            </w:rPr>
            <w:fldChar w:fldCharType="end"/>
          </w:r>
        </w:p>
        <w:p w14:paraId="65AB6DA3">
          <w:pPr>
            <w:pStyle w:val="10"/>
            <w:tabs>
              <w:tab w:val="right" w:leader="dot" w:pos="8845"/>
            </w:tabs>
            <w:adjustRightInd w:val="0"/>
            <w:snapToGrid w:val="0"/>
            <w:spacing w:line="360" w:lineRule="auto"/>
            <w:rPr>
              <w:rFonts w:ascii="Times New Roman" w:hAnsi="Times New Roman" w:cs="Times New Roman"/>
              <w:sz w:val="28"/>
              <w:szCs w:val="28"/>
            </w:rPr>
          </w:pPr>
          <w:r>
            <w:fldChar w:fldCharType="begin"/>
          </w:r>
          <w:r>
            <w:instrText xml:space="preserve"> HYPERLINK \l "_Toc31686" </w:instrText>
          </w:r>
          <w:r>
            <w:fldChar w:fldCharType="separate"/>
          </w:r>
          <w:r>
            <w:rPr>
              <w:rFonts w:ascii="Times New Roman" w:hAnsi="Times New Roman" w:eastAsia="黑体" w:cs="Times New Roman"/>
              <w:sz w:val="28"/>
              <w:szCs w:val="28"/>
            </w:rPr>
            <w:t>七、改进绩效管理的建议</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_Toc31686 \h </w:instrText>
          </w:r>
          <w:r>
            <w:rPr>
              <w:rFonts w:ascii="Times New Roman" w:hAnsi="Times New Roman" w:cs="Times New Roman"/>
              <w:sz w:val="28"/>
              <w:szCs w:val="28"/>
            </w:rPr>
            <w:fldChar w:fldCharType="separate"/>
          </w:r>
          <w:r>
            <w:rPr>
              <w:rFonts w:ascii="Times New Roman" w:hAnsi="Times New Roman" w:cs="Times New Roman"/>
              <w:sz w:val="28"/>
              <w:szCs w:val="28"/>
            </w:rPr>
            <w:t>- 18 -</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7C99E1EC">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"_Toc2133" </w:instrText>
          </w:r>
          <w:r>
            <w:fldChar w:fldCharType="separate"/>
          </w:r>
          <w:r>
            <w:rPr>
              <w:rFonts w:ascii="Times New Roman" w:hAnsi="Times New Roman" w:cs="Times New Roman"/>
            </w:rPr>
            <w:t>（一）制定项目资金使用计划，加快竣工结算进度</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_Toc2133 \h </w:instrText>
          </w:r>
          <w:r>
            <w:rPr>
              <w:rFonts w:ascii="Times New Roman" w:hAnsi="Times New Roman" w:cs="Times New Roman"/>
            </w:rPr>
            <w:fldChar w:fldCharType="separate"/>
          </w:r>
          <w:r>
            <w:rPr>
              <w:rFonts w:ascii="Times New Roman" w:hAnsi="Times New Roman" w:cs="Times New Roman"/>
            </w:rPr>
            <w:t>- 18 -</w:t>
          </w:r>
          <w:r>
            <w:rPr>
              <w:rFonts w:ascii="Times New Roman" w:hAnsi="Times New Roman" w:cs="Times New Roman"/>
            </w:rPr>
            <w:fldChar w:fldCharType="end"/>
          </w:r>
          <w:r>
            <w:rPr>
              <w:rFonts w:ascii="Times New Roman" w:hAnsi="Times New Roman" w:cs="Times New Roman"/>
            </w:rPr>
            <w:fldChar w:fldCharType="end"/>
          </w:r>
        </w:p>
        <w:p w14:paraId="367D2787">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"_Toc8935" </w:instrText>
          </w:r>
          <w:r>
            <w:fldChar w:fldCharType="separate"/>
          </w:r>
          <w:r>
            <w:rPr>
              <w:rFonts w:ascii="Times New Roman" w:hAnsi="Times New Roman" w:cs="Times New Roman"/>
            </w:rPr>
            <w:t>（二）提升预算绩效管理意识，加强相关能力建设</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_Toc8935 \h </w:instrText>
          </w:r>
          <w:r>
            <w:rPr>
              <w:rFonts w:ascii="Times New Roman" w:hAnsi="Times New Roman" w:cs="Times New Roman"/>
            </w:rPr>
            <w:fldChar w:fldCharType="separate"/>
          </w:r>
          <w:r>
            <w:rPr>
              <w:rFonts w:ascii="Times New Roman" w:hAnsi="Times New Roman" w:cs="Times New Roman"/>
            </w:rPr>
            <w:t>- 19 -</w:t>
          </w:r>
          <w:r>
            <w:rPr>
              <w:rFonts w:ascii="Times New Roman" w:hAnsi="Times New Roman" w:cs="Times New Roman"/>
            </w:rPr>
            <w:fldChar w:fldCharType="end"/>
          </w:r>
          <w:r>
            <w:rPr>
              <w:rFonts w:ascii="Times New Roman" w:hAnsi="Times New Roman" w:cs="Times New Roman"/>
            </w:rPr>
            <w:fldChar w:fldCharType="end"/>
          </w:r>
        </w:p>
        <w:p w14:paraId="7A622534">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"_Toc32102" </w:instrText>
          </w:r>
          <w:r>
            <w:fldChar w:fldCharType="separate"/>
          </w:r>
          <w:r>
            <w:rPr>
              <w:rFonts w:ascii="Times New Roman" w:hAnsi="Times New Roman" w:cs="Times New Roman"/>
            </w:rPr>
            <w:t>（三）严格落实工程立项程序，有序开展工程建设</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_Toc32102 \h </w:instrText>
          </w:r>
          <w:r>
            <w:rPr>
              <w:rFonts w:ascii="Times New Roman" w:hAnsi="Times New Roman" w:cs="Times New Roman"/>
            </w:rPr>
            <w:fldChar w:fldCharType="separate"/>
          </w:r>
          <w:r>
            <w:rPr>
              <w:rFonts w:ascii="Times New Roman" w:hAnsi="Times New Roman" w:cs="Times New Roman"/>
            </w:rPr>
            <w:t>- 19 -</w:t>
          </w:r>
          <w:r>
            <w:rPr>
              <w:rFonts w:ascii="Times New Roman" w:hAnsi="Times New Roman" w:cs="Times New Roman"/>
            </w:rPr>
            <w:fldChar w:fldCharType="end"/>
          </w:r>
          <w:r>
            <w:rPr>
              <w:rFonts w:ascii="Times New Roman" w:hAnsi="Times New Roman" w:cs="Times New Roman"/>
            </w:rPr>
            <w:fldChar w:fldCharType="end"/>
          </w:r>
        </w:p>
        <w:p w14:paraId="223A40D1">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"_Toc28277" </w:instrText>
          </w:r>
          <w:r>
            <w:fldChar w:fldCharType="separate"/>
          </w:r>
          <w:r>
            <w:rPr>
              <w:rFonts w:ascii="Times New Roman" w:hAnsi="Times New Roman" w:cs="Times New Roman"/>
            </w:rPr>
            <w:t>（四）加强合同管理规范性，及时支付工程款</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_Toc28277 \h </w:instrText>
          </w:r>
          <w:r>
            <w:rPr>
              <w:rFonts w:ascii="Times New Roman" w:hAnsi="Times New Roman" w:cs="Times New Roman"/>
            </w:rPr>
            <w:fldChar w:fldCharType="separate"/>
          </w:r>
          <w:r>
            <w:rPr>
              <w:rFonts w:ascii="Times New Roman" w:hAnsi="Times New Roman" w:cs="Times New Roman"/>
            </w:rPr>
            <w:t>- 20 -</w:t>
          </w:r>
          <w:r>
            <w:rPr>
              <w:rFonts w:ascii="Times New Roman" w:hAnsi="Times New Roman" w:cs="Times New Roman"/>
            </w:rPr>
            <w:fldChar w:fldCharType="end"/>
          </w:r>
          <w:r>
            <w:rPr>
              <w:rFonts w:ascii="Times New Roman" w:hAnsi="Times New Roman" w:cs="Times New Roman"/>
            </w:rPr>
            <w:fldChar w:fldCharType="end"/>
          </w:r>
        </w:p>
        <w:p w14:paraId="2FD54E65">
          <w:pPr>
            <w:pStyle w:val="12"/>
            <w:tabs>
              <w:tab w:val="right" w:leader="dot" w:pos="8845"/>
              <w:tab w:val="clear" w:pos="8835"/>
            </w:tabs>
            <w:adjustRightInd w:val="0"/>
            <w:snapToGrid w:val="0"/>
            <w:spacing w:line="360" w:lineRule="auto"/>
            <w:rPr>
              <w:rFonts w:ascii="Times New Roman" w:hAnsi="Times New Roman" w:cs="Times New Roman"/>
            </w:rPr>
          </w:pPr>
          <w:r>
            <w:fldChar w:fldCharType="begin"/>
          </w:r>
          <w:r>
            <w:instrText xml:space="preserve"> HYPERLINK \l "_Toc23567" </w:instrText>
          </w:r>
          <w:r>
            <w:fldChar w:fldCharType="separate"/>
          </w:r>
          <w:r>
            <w:rPr>
              <w:rFonts w:ascii="Times New Roman" w:hAnsi="Times New Roman" w:cs="Times New Roman"/>
            </w:rPr>
            <w:t>（五）合理控制工程变更量，规范变更程序和资料管理工作</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_Toc23567 \h </w:instrText>
          </w:r>
          <w:r>
            <w:rPr>
              <w:rFonts w:ascii="Times New Roman" w:hAnsi="Times New Roman" w:cs="Times New Roman"/>
            </w:rPr>
            <w:fldChar w:fldCharType="separate"/>
          </w:r>
          <w:r>
            <w:rPr>
              <w:rFonts w:ascii="Times New Roman" w:hAnsi="Times New Roman" w:cs="Times New Roman"/>
            </w:rPr>
            <w:t>- 21 -</w:t>
          </w:r>
          <w:r>
            <w:rPr>
              <w:rFonts w:ascii="Times New Roman" w:hAnsi="Times New Roman" w:cs="Times New Roman"/>
            </w:rPr>
            <w:fldChar w:fldCharType="end"/>
          </w:r>
          <w:r>
            <w:rPr>
              <w:rFonts w:ascii="Times New Roman" w:hAnsi="Times New Roman" w:cs="Times New Roman"/>
            </w:rPr>
            <w:fldChar w:fldCharType="end"/>
          </w:r>
        </w:p>
        <w:p w14:paraId="252D4293">
          <w:pPr>
            <w:pStyle w:val="10"/>
            <w:tabs>
              <w:tab w:val="right" w:leader="dot" w:pos="8845"/>
            </w:tabs>
            <w:adjustRightInd w:val="0"/>
            <w:snapToGrid w:val="0"/>
            <w:spacing w:line="360" w:lineRule="auto"/>
            <w:rPr>
              <w:rFonts w:ascii="Times New Roman" w:hAnsi="Times New Roman" w:cs="Times New Roman"/>
              <w:sz w:val="28"/>
              <w:szCs w:val="28"/>
            </w:rPr>
          </w:pPr>
          <w:r>
            <w:fldChar w:fldCharType="begin"/>
          </w:r>
          <w:r>
            <w:instrText xml:space="preserve"> HYPERLINK \l "_Toc18846" </w:instrText>
          </w:r>
          <w:r>
            <w:fldChar w:fldCharType="separate"/>
          </w:r>
          <w:r>
            <w:rPr>
              <w:rFonts w:ascii="Times New Roman" w:hAnsi="Times New Roman" w:eastAsia="楷体_GB2312" w:cs="Times New Roman"/>
              <w:sz w:val="28"/>
              <w:szCs w:val="28"/>
            </w:rPr>
            <w:t>附件1：评价组名单</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_Toc18846 \h </w:instrText>
          </w:r>
          <w:r>
            <w:rPr>
              <w:rFonts w:ascii="Times New Roman" w:hAnsi="Times New Roman" w:cs="Times New Roman"/>
              <w:sz w:val="28"/>
              <w:szCs w:val="28"/>
            </w:rPr>
            <w:fldChar w:fldCharType="separate"/>
          </w:r>
          <w:r>
            <w:rPr>
              <w:rFonts w:ascii="Times New Roman" w:hAnsi="Times New Roman" w:cs="Times New Roman"/>
              <w:sz w:val="28"/>
              <w:szCs w:val="28"/>
            </w:rPr>
            <w:t>- 23 -</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545FB8A0">
          <w:pPr>
            <w:pStyle w:val="10"/>
            <w:tabs>
              <w:tab w:val="right" w:leader="dot" w:pos="8845"/>
            </w:tabs>
            <w:adjustRightInd w:val="0"/>
            <w:snapToGrid w:val="0"/>
            <w:spacing w:line="360" w:lineRule="auto"/>
          </w:pPr>
          <w:r>
            <w:fldChar w:fldCharType="begin"/>
          </w:r>
          <w:r>
            <w:instrText xml:space="preserve"> HYPERLINK \l "_Toc13260" </w:instrText>
          </w:r>
          <w:r>
            <w:fldChar w:fldCharType="separate"/>
          </w:r>
          <w:r>
            <w:rPr>
              <w:rFonts w:ascii="Times New Roman" w:hAnsi="Times New Roman" w:eastAsia="楷体_GB2312" w:cs="Times New Roman"/>
              <w:sz w:val="28"/>
              <w:szCs w:val="28"/>
            </w:rPr>
            <w:t>附件2：东莞市谢岗镇工程建设中心2020—2023年度环城路项目重点绩效评价指标表</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_Toc13260 \h </w:instrText>
          </w:r>
          <w:r>
            <w:rPr>
              <w:rFonts w:ascii="Times New Roman" w:hAnsi="Times New Roman" w:cs="Times New Roman"/>
              <w:sz w:val="28"/>
              <w:szCs w:val="28"/>
            </w:rPr>
            <w:fldChar w:fldCharType="separate"/>
          </w:r>
          <w:r>
            <w:rPr>
              <w:rFonts w:ascii="Times New Roman" w:hAnsi="Times New Roman" w:cs="Times New Roman"/>
              <w:sz w:val="28"/>
              <w:szCs w:val="28"/>
            </w:rPr>
            <w:t>- 24 -</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773AA6F1">
          <w:pPr>
            <w:adjustRightInd w:val="0"/>
            <w:snapToGrid w:val="0"/>
            <w:spacing w:line="360" w:lineRule="auto"/>
            <w:rPr>
              <w:rFonts w:ascii="Times New Roman" w:hAnsi="Times New Roman" w:cs="Times New Roman"/>
              <w:sz w:val="30"/>
              <w:szCs w:val="30"/>
            </w:rPr>
          </w:pPr>
          <w:r>
            <w:rPr>
              <w:rFonts w:ascii="Times New Roman" w:hAnsi="Times New Roman" w:cs="Times New Roman"/>
              <w:bCs/>
              <w:szCs w:val="28"/>
              <w:lang w:val="zh-CN"/>
            </w:rPr>
            <w:fldChar w:fldCharType="end"/>
          </w:r>
        </w:p>
      </w:sdtContent>
    </w:sdt>
    <w:p w14:paraId="7C8CA6AB">
      <w:pPr>
        <w:adjustRightInd w:val="0"/>
        <w:snapToGrid w:val="0"/>
        <w:spacing w:line="579" w:lineRule="exact"/>
        <w:rPr>
          <w:rFonts w:ascii="Times New Roman" w:hAnsi="Times New Roman" w:eastAsia="仿宋_GB2312" w:cs="Times New Roman"/>
          <w:kern w:val="0"/>
          <w:sz w:val="32"/>
          <w:szCs w:val="32"/>
        </w:rPr>
        <w:sectPr>
          <w:footerReference r:id="rId6" w:type="default"/>
          <w:pgSz w:w="11906" w:h="16838"/>
          <w:pgMar w:top="2098" w:right="1474" w:bottom="1984" w:left="1587" w:header="851" w:footer="992" w:gutter="0"/>
          <w:pgNumType w:fmt="numberInDash" w:start="1"/>
          <w:cols w:space="425" w:num="1"/>
          <w:docGrid w:type="linesAndChars" w:linePitch="312" w:charSpace="0"/>
        </w:sectPr>
      </w:pPr>
    </w:p>
    <w:p w14:paraId="07B63636">
      <w:pPr>
        <w:adjustRightInd w:val="0"/>
        <w:snapToGrid w:val="0"/>
        <w:spacing w:line="579"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bCs/>
          <w:kern w:val="0"/>
          <w:sz w:val="32"/>
          <w:szCs w:val="32"/>
        </w:rPr>
        <w:t>根据</w:t>
      </w:r>
      <w:bookmarkStart w:id="1" w:name="_Hlk168667648"/>
      <w:r>
        <w:rPr>
          <w:rFonts w:ascii="Times New Roman" w:hAnsi="Times New Roman" w:eastAsia="仿宋_GB2312" w:cs="Times New Roman"/>
          <w:bCs/>
          <w:kern w:val="0"/>
          <w:sz w:val="32"/>
          <w:szCs w:val="32"/>
        </w:rPr>
        <w:t>《项目支出绩效评价管理办法》（财预〔2020〕10号）、</w:t>
      </w:r>
      <w:bookmarkStart w:id="2" w:name="_Hlk168665873"/>
      <w:r>
        <w:rPr>
          <w:rFonts w:ascii="Times New Roman" w:hAnsi="Times New Roman" w:eastAsia="仿宋_GB2312" w:cs="Times New Roman"/>
          <w:bCs/>
          <w:kern w:val="0"/>
          <w:sz w:val="32"/>
          <w:szCs w:val="32"/>
        </w:rPr>
        <w:t>《广东省省级财政绩效评价指南》（粤财绩〔2021〕1号）、《</w:t>
      </w:r>
      <w:r>
        <w:rPr>
          <w:rFonts w:hint="eastAsia" w:ascii="Times New Roman" w:hAnsi="Times New Roman" w:eastAsia="仿宋_GB2312" w:cs="Times New Roman"/>
          <w:bCs/>
          <w:kern w:val="0"/>
          <w:sz w:val="32"/>
          <w:szCs w:val="32"/>
        </w:rPr>
        <w:t>广东省财政厅关于印发省本级政府购买服务指导性目录的通知</w:t>
      </w:r>
      <w:r>
        <w:rPr>
          <w:rFonts w:ascii="Times New Roman" w:hAnsi="Times New Roman" w:eastAsia="仿宋_GB2312" w:cs="Times New Roman"/>
          <w:bCs/>
          <w:kern w:val="0"/>
          <w:sz w:val="32"/>
          <w:szCs w:val="32"/>
        </w:rPr>
        <w:t>》</w:t>
      </w:r>
      <w:r>
        <w:rPr>
          <w:rFonts w:hint="eastAsia" w:ascii="Times New Roman" w:hAnsi="Times New Roman" w:eastAsia="仿宋_GB2312" w:cs="Times New Roman"/>
          <w:bCs/>
          <w:kern w:val="0"/>
          <w:sz w:val="32"/>
          <w:szCs w:val="32"/>
        </w:rPr>
        <w:t>（粤财行〔2022〕111号）</w:t>
      </w:r>
      <w:r>
        <w:rPr>
          <w:rFonts w:ascii="Times New Roman" w:hAnsi="Times New Roman" w:eastAsia="仿宋_GB2312" w:cs="Times New Roman"/>
          <w:bCs/>
          <w:kern w:val="0"/>
          <w:sz w:val="32"/>
          <w:szCs w:val="32"/>
        </w:rPr>
        <w:t>、</w:t>
      </w:r>
      <w:r>
        <w:rPr>
          <w:rFonts w:hint="eastAsia" w:ascii="Times New Roman" w:hAnsi="Times New Roman" w:eastAsia="仿宋_GB2312" w:cs="Times New Roman"/>
          <w:bCs/>
          <w:kern w:val="0"/>
          <w:sz w:val="32"/>
          <w:szCs w:val="32"/>
        </w:rPr>
        <w:t>《关于全面实施预算绩效管理的意见》（东府办〔2019〕51号）、</w:t>
      </w:r>
      <w:r>
        <w:rPr>
          <w:rFonts w:ascii="Times New Roman" w:hAnsi="Times New Roman" w:eastAsia="仿宋_GB2312" w:cs="Times New Roman"/>
          <w:bCs/>
          <w:kern w:val="0"/>
          <w:sz w:val="32"/>
          <w:szCs w:val="32"/>
        </w:rPr>
        <w:t>《东莞市市级预算项目支出绩效评价管理办法》（东财〔2021〕50号）</w:t>
      </w:r>
      <w:bookmarkEnd w:id="2"/>
      <w:r>
        <w:rPr>
          <w:rFonts w:hint="eastAsia" w:ascii="Times New Roman" w:hAnsi="Times New Roman" w:eastAsia="仿宋_GB2312" w:cs="Times New Roman"/>
          <w:bCs/>
          <w:kern w:val="0"/>
          <w:sz w:val="32"/>
          <w:szCs w:val="32"/>
        </w:rPr>
        <w:t>、《关于印发〈东莞市财政局预算绩效管理委托第三方机构实施工作规程〉通知》（东财〔2023〕67号）</w:t>
      </w:r>
      <w:bookmarkEnd w:id="1"/>
      <w:r>
        <w:rPr>
          <w:rFonts w:ascii="Times New Roman" w:hAnsi="Times New Roman" w:eastAsia="仿宋_GB2312" w:cs="Times New Roman"/>
          <w:bCs/>
          <w:kern w:val="0"/>
          <w:sz w:val="32"/>
          <w:szCs w:val="32"/>
        </w:rPr>
        <w:t>的有关要求，受东莞市财政局谢岗分局（下称“谢岗财政分局”）的委托，广东政典新动能研究院有限公司（下称“政典研究院”）作为第三方评价机构对“</w:t>
      </w:r>
      <w:r>
        <w:rPr>
          <w:rFonts w:ascii="Times New Roman" w:hAnsi="Times New Roman" w:eastAsia="仿宋_GB2312" w:cs="Times New Roman"/>
          <w:sz w:val="32"/>
          <w:szCs w:val="32"/>
        </w:rPr>
        <w:t>东莞市谢岗镇工程建设中心</w:t>
      </w:r>
      <w:r>
        <w:rPr>
          <w:rFonts w:ascii="Times New Roman" w:hAnsi="Times New Roman" w:eastAsia="仿宋_GB2312" w:cs="Times New Roman"/>
          <w:bCs/>
          <w:kern w:val="0"/>
          <w:sz w:val="32"/>
          <w:szCs w:val="32"/>
        </w:rPr>
        <w:t>（下称“谢岗工程建设中心”）2020—2023年度环城路项目”（下称“环城路项目”）开展绩效评价。</w:t>
      </w:r>
      <w:r>
        <w:rPr>
          <w:rFonts w:ascii="Times New Roman" w:hAnsi="Times New Roman" w:eastAsia="仿宋_GB2312" w:cs="Times New Roman"/>
          <w:sz w:val="32"/>
          <w:szCs w:val="32"/>
        </w:rPr>
        <w:t>现将评价情况报告如下：</w:t>
      </w:r>
    </w:p>
    <w:p w14:paraId="744A71B5">
      <w:pPr>
        <w:pStyle w:val="2"/>
        <w:keepNext w:val="0"/>
        <w:keepLines w:val="0"/>
        <w:widowControl w:val="0"/>
        <w:adjustRightInd w:val="0"/>
        <w:snapToGrid w:val="0"/>
        <w:spacing w:before="0" w:after="0" w:line="579" w:lineRule="exact"/>
        <w:ind w:firstLine="640" w:firstLineChars="200"/>
        <w:rPr>
          <w:rFonts w:ascii="Times New Roman" w:hAnsi="Times New Roman" w:eastAsia="黑体"/>
          <w:b w:val="0"/>
          <w:bCs w:val="0"/>
          <w:sz w:val="32"/>
          <w:szCs w:val="32"/>
        </w:rPr>
      </w:pPr>
      <w:bookmarkStart w:id="3" w:name="_Toc168818805"/>
      <w:bookmarkStart w:id="4" w:name="_Toc44667785"/>
      <w:bookmarkStart w:id="5" w:name="_Toc11331"/>
      <w:bookmarkStart w:id="6" w:name="_Toc58595319"/>
      <w:bookmarkStart w:id="7" w:name="_Toc33102649"/>
      <w:bookmarkStart w:id="8" w:name="_Toc49163988"/>
      <w:r>
        <w:rPr>
          <w:rFonts w:ascii="Times New Roman" w:hAnsi="Times New Roman" w:eastAsia="黑体"/>
          <w:b w:val="0"/>
          <w:bCs w:val="0"/>
          <w:sz w:val="32"/>
          <w:szCs w:val="32"/>
        </w:rPr>
        <w:t>一、项目基本情况</w:t>
      </w:r>
      <w:bookmarkEnd w:id="3"/>
      <w:bookmarkEnd w:id="4"/>
      <w:bookmarkEnd w:id="5"/>
      <w:bookmarkEnd w:id="6"/>
      <w:bookmarkEnd w:id="7"/>
      <w:bookmarkEnd w:id="8"/>
      <w:bookmarkStart w:id="9" w:name="_Toc469920472"/>
      <w:bookmarkStart w:id="10" w:name="_Toc530987025"/>
      <w:bookmarkStart w:id="11" w:name="_Toc534184795"/>
    </w:p>
    <w:bookmarkEnd w:id="9"/>
    <w:bookmarkEnd w:id="10"/>
    <w:bookmarkEnd w:id="11"/>
    <w:p w14:paraId="66F92084">
      <w:pPr>
        <w:pStyle w:val="3"/>
        <w:rPr>
          <w:b/>
          <w:bCs/>
        </w:rPr>
      </w:pPr>
      <w:bookmarkStart w:id="12" w:name="_Toc3710"/>
      <w:bookmarkStart w:id="13" w:name="_Toc130222022"/>
      <w:bookmarkStart w:id="14" w:name="_Toc168818806"/>
      <w:bookmarkStart w:id="15" w:name="_Toc27338"/>
      <w:bookmarkStart w:id="16" w:name="_Toc144736554"/>
      <w:bookmarkStart w:id="17" w:name="_Toc44667787"/>
      <w:bookmarkStart w:id="18" w:name="_Toc49163990"/>
      <w:bookmarkStart w:id="19" w:name="_Toc51146908"/>
      <w:r>
        <w:t>（一）项目概况</w:t>
      </w:r>
      <w:bookmarkEnd w:id="12"/>
      <w:bookmarkEnd w:id="13"/>
      <w:bookmarkEnd w:id="14"/>
      <w:bookmarkEnd w:id="15"/>
      <w:bookmarkEnd w:id="16"/>
    </w:p>
    <w:p w14:paraId="7E615A37">
      <w:pPr>
        <w:widowControl/>
        <w:adjustRightInd w:val="0"/>
        <w:snapToGrid w:val="0"/>
        <w:spacing w:line="579" w:lineRule="exact"/>
        <w:ind w:firstLine="628" w:firstLineChars="200"/>
        <w:jc w:val="left"/>
        <w:outlineLvl w:val="2"/>
        <w:rPr>
          <w:rFonts w:ascii="Times New Roman" w:hAnsi="Times New Roman" w:eastAsia="仿宋_GB2312" w:cs="Times New Roman"/>
          <w:b/>
          <w:bCs/>
          <w:spacing w:val="-3"/>
          <w:sz w:val="32"/>
          <w:szCs w:val="32"/>
        </w:rPr>
      </w:pPr>
      <w:bookmarkStart w:id="20" w:name="_Toc144736555"/>
      <w:bookmarkStart w:id="21" w:name="_Toc24853"/>
      <w:bookmarkStart w:id="22" w:name="_Toc26172"/>
      <w:bookmarkStart w:id="23" w:name="_Toc168818807"/>
      <w:bookmarkStart w:id="24" w:name="_Toc130222023"/>
      <w:r>
        <w:rPr>
          <w:rFonts w:ascii="Times New Roman" w:hAnsi="Times New Roman" w:eastAsia="仿宋_GB2312" w:cs="Times New Roman"/>
          <w:b/>
          <w:bCs/>
          <w:spacing w:val="-3"/>
          <w:sz w:val="32"/>
          <w:szCs w:val="32"/>
        </w:rPr>
        <w:t>1．项目背景</w:t>
      </w:r>
      <w:bookmarkEnd w:id="20"/>
      <w:bookmarkEnd w:id="21"/>
      <w:bookmarkEnd w:id="22"/>
      <w:bookmarkEnd w:id="23"/>
      <w:bookmarkEnd w:id="24"/>
    </w:p>
    <w:p w14:paraId="77CEF041">
      <w:pPr>
        <w:adjustRightInd w:val="0"/>
        <w:snapToGrid w:val="0"/>
        <w:spacing w:line="579"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为</w:t>
      </w:r>
      <w:r>
        <w:rPr>
          <w:rFonts w:hint="eastAsia" w:ascii="Times New Roman" w:hAnsi="Times New Roman" w:eastAsia="仿宋_GB2312" w:cs="Times New Roman"/>
          <w:bCs/>
          <w:kern w:val="0"/>
          <w:sz w:val="32"/>
          <w:szCs w:val="32"/>
        </w:rPr>
        <w:t>构建</w:t>
      </w:r>
      <w:r>
        <w:rPr>
          <w:rFonts w:ascii="Times New Roman" w:hAnsi="Times New Roman" w:eastAsia="仿宋_GB2312" w:cs="Times New Roman"/>
          <w:bCs/>
          <w:kern w:val="0"/>
          <w:sz w:val="32"/>
          <w:szCs w:val="32"/>
        </w:rPr>
        <w:t>“一带两翼，一心两片”的城镇空间格局</w:t>
      </w:r>
      <w:r>
        <w:rPr>
          <w:rFonts w:hint="eastAsia" w:ascii="Times New Roman" w:hAnsi="Times New Roman" w:eastAsia="仿宋_GB2312" w:cs="Times New Roman"/>
          <w:bCs/>
          <w:kern w:val="0"/>
          <w:sz w:val="32"/>
          <w:szCs w:val="32"/>
        </w:rPr>
        <w:t>，</w:t>
      </w:r>
      <w:r>
        <w:rPr>
          <w:rFonts w:ascii="Times New Roman" w:hAnsi="Times New Roman" w:eastAsia="仿宋_GB2312" w:cs="Times New Roman"/>
          <w:bCs/>
          <w:kern w:val="0"/>
          <w:sz w:val="32"/>
          <w:szCs w:val="32"/>
        </w:rPr>
        <w:t>完善谢岗镇道路交通系统，谢岗镇编制</w:t>
      </w:r>
      <w:r>
        <w:rPr>
          <w:rFonts w:hint="eastAsia" w:ascii="Times New Roman" w:hAnsi="Times New Roman" w:eastAsia="仿宋_GB2312" w:cs="Times New Roman"/>
          <w:bCs/>
          <w:kern w:val="0"/>
          <w:sz w:val="32"/>
          <w:szCs w:val="32"/>
        </w:rPr>
        <w:t>了</w:t>
      </w:r>
      <w:r>
        <w:rPr>
          <w:rFonts w:ascii="Times New Roman" w:hAnsi="Times New Roman" w:eastAsia="仿宋_GB2312" w:cs="Times New Roman"/>
          <w:bCs/>
          <w:kern w:val="0"/>
          <w:sz w:val="32"/>
          <w:szCs w:val="32"/>
        </w:rPr>
        <w:t>《谢岗镇交通运输发展规划》，打造“五纵四横”干线路网体系。谢岗镇环城路位于谢岗镇中心城区外围，处于谢岗镇南部、潮莞高速与莞惠公路（振兴大道）之间，为东西向交通主干道，东西两向均与莞惠公路相接，与中心城区内部城市道路构成“环路+方格状”路网结构。谢岗镇环城路的兴建可疏解莞惠公路的过境交通</w:t>
      </w:r>
      <w:r>
        <w:rPr>
          <w:rFonts w:hint="eastAsia" w:ascii="Times New Roman" w:hAnsi="Times New Roman" w:eastAsia="仿宋_GB2312" w:cs="Times New Roman"/>
          <w:bCs/>
          <w:kern w:val="0"/>
          <w:sz w:val="32"/>
          <w:szCs w:val="32"/>
        </w:rPr>
        <w:t>压力</w:t>
      </w:r>
      <w:r>
        <w:rPr>
          <w:rFonts w:ascii="Times New Roman" w:hAnsi="Times New Roman" w:eastAsia="仿宋_GB2312" w:cs="Times New Roman"/>
          <w:bCs/>
          <w:kern w:val="0"/>
          <w:sz w:val="32"/>
          <w:szCs w:val="32"/>
        </w:rPr>
        <w:t>，</w:t>
      </w:r>
      <w:r>
        <w:rPr>
          <w:rFonts w:hint="eastAsia" w:ascii="Times New Roman" w:hAnsi="Times New Roman" w:eastAsia="仿宋_GB2312" w:cs="Times New Roman"/>
          <w:bCs/>
          <w:kern w:val="0"/>
          <w:sz w:val="32"/>
          <w:szCs w:val="32"/>
        </w:rPr>
        <w:t>减轻</w:t>
      </w:r>
      <w:r>
        <w:rPr>
          <w:rFonts w:ascii="Times New Roman" w:hAnsi="Times New Roman" w:eastAsia="仿宋_GB2312" w:cs="Times New Roman"/>
          <w:bCs/>
          <w:kern w:val="0"/>
          <w:sz w:val="32"/>
          <w:szCs w:val="32"/>
        </w:rPr>
        <w:t>东西向过境交通对中心镇区的影响，加强镇南部交通联系，为南部镇区的经济发展创造条件。</w:t>
      </w:r>
    </w:p>
    <w:bookmarkEnd w:id="17"/>
    <w:bookmarkEnd w:id="18"/>
    <w:bookmarkEnd w:id="19"/>
    <w:p w14:paraId="58E3EC9E">
      <w:pPr>
        <w:pStyle w:val="23"/>
        <w:widowControl w:val="0"/>
        <w:topLinePunct/>
        <w:adjustRightInd w:val="0"/>
        <w:snapToGrid w:val="0"/>
        <w:spacing w:line="579" w:lineRule="exact"/>
        <w:ind w:firstLine="628" w:firstLineChars="200"/>
        <w:outlineLvl w:val="2"/>
        <w:rPr>
          <w:rFonts w:eastAsia="仿宋_GB2312"/>
          <w:b/>
          <w:bCs/>
          <w:spacing w:val="-3"/>
          <w:sz w:val="32"/>
          <w:szCs w:val="32"/>
        </w:rPr>
      </w:pPr>
      <w:bookmarkStart w:id="25" w:name="_Toc130222024"/>
      <w:bookmarkStart w:id="26" w:name="_Toc29709"/>
      <w:bookmarkStart w:id="27" w:name="_Toc168818808"/>
      <w:bookmarkStart w:id="28" w:name="_Toc7137"/>
      <w:bookmarkStart w:id="29" w:name="_Toc144736556"/>
      <w:r>
        <w:rPr>
          <w:rFonts w:eastAsia="仿宋_GB2312"/>
          <w:b/>
          <w:bCs/>
          <w:spacing w:val="-3"/>
          <w:sz w:val="32"/>
          <w:szCs w:val="32"/>
        </w:rPr>
        <w:t>2．主要内容及实施情况</w:t>
      </w:r>
      <w:bookmarkEnd w:id="25"/>
      <w:bookmarkEnd w:id="26"/>
      <w:bookmarkEnd w:id="27"/>
      <w:bookmarkEnd w:id="28"/>
      <w:bookmarkEnd w:id="29"/>
    </w:p>
    <w:p w14:paraId="3AF93EBE">
      <w:pPr>
        <w:pStyle w:val="23"/>
        <w:widowControl w:val="0"/>
        <w:topLinePunct/>
        <w:adjustRightInd w:val="0"/>
        <w:snapToGrid w:val="0"/>
        <w:spacing w:line="579" w:lineRule="exact"/>
        <w:ind w:firstLine="628" w:firstLineChars="200"/>
        <w:rPr>
          <w:rFonts w:eastAsia="仿宋_GB2312"/>
          <w:spacing w:val="-3"/>
          <w:sz w:val="32"/>
          <w:szCs w:val="32"/>
        </w:rPr>
      </w:pPr>
      <w:r>
        <w:rPr>
          <w:rFonts w:eastAsia="仿宋_GB2312"/>
          <w:spacing w:val="-3"/>
          <w:sz w:val="32"/>
          <w:szCs w:val="32"/>
        </w:rPr>
        <w:t>（1）项目实施主体及主要职责</w:t>
      </w:r>
    </w:p>
    <w:p w14:paraId="06E8D498">
      <w:pPr>
        <w:adjustRightInd w:val="0"/>
        <w:snapToGrid w:val="0"/>
        <w:spacing w:line="579" w:lineRule="exact"/>
        <w:ind w:firstLine="640" w:firstLineChars="200"/>
        <w:rPr>
          <w:rFonts w:ascii="Times New Roman" w:hAnsi="Times New Roman" w:eastAsia="仿宋_GB2312" w:cs="Times New Roman"/>
          <w:spacing w:val="-3"/>
          <w:sz w:val="32"/>
          <w:szCs w:val="32"/>
        </w:rPr>
      </w:pPr>
      <w:r>
        <w:rPr>
          <w:rFonts w:ascii="Times New Roman" w:hAnsi="Times New Roman" w:eastAsia="仿宋_GB2312" w:cs="Times New Roman"/>
          <w:bCs/>
          <w:kern w:val="0"/>
          <w:sz w:val="32"/>
          <w:szCs w:val="32"/>
        </w:rPr>
        <w:t>2019年1月，《关于启动谢岗镇镇村两级道路综合整治工程（一期）建设前期工作的问题的复函》中明确由谢岗镇城管分局作为环城路二期的建设主体，具体工作由城管分局委托镇道路建设及水系调整项目组负责落实。2019年11月，《关于谢岗镇环城路二期工程可行性研究报告的批复》中指出环城路工程由城管分局下属的公用事业服务中心组织实施。2020年，谢岗工程建设中心正式设立，原公用事业服务中心下设的谢岗镇道路建设项目组人员整体划归至谢岗工程建设中心。由此，谢岗工程建设中心成为2020—2023年度环城路项目主管部门，该部门职能包括</w:t>
      </w:r>
      <w:r>
        <w:rPr>
          <w:rFonts w:ascii="Times New Roman" w:hAnsi="Times New Roman" w:eastAsia="仿宋_GB2312" w:cs="Times New Roman"/>
          <w:sz w:val="32"/>
          <w:szCs w:val="32"/>
        </w:rPr>
        <w:t>编制财政投资的城市基础设施、重点城市建设开发项目等中长期建设规划和年度计划，负责财政投资的建设工程项目的建设工作，负责建设工程项目的绩效管理和参建单位的履约评价等工作。</w:t>
      </w:r>
    </w:p>
    <w:p w14:paraId="2D308F54">
      <w:pPr>
        <w:pStyle w:val="23"/>
        <w:keepNext/>
        <w:widowControl w:val="0"/>
        <w:topLinePunct/>
        <w:adjustRightInd w:val="0"/>
        <w:snapToGrid w:val="0"/>
        <w:spacing w:line="579" w:lineRule="exact"/>
        <w:ind w:firstLine="628" w:firstLineChars="200"/>
        <w:rPr>
          <w:rFonts w:eastAsia="仿宋_GB2312"/>
          <w:spacing w:val="-3"/>
          <w:sz w:val="32"/>
          <w:szCs w:val="32"/>
        </w:rPr>
      </w:pPr>
      <w:bookmarkStart w:id="30" w:name="_Toc58595322"/>
      <w:bookmarkStart w:id="31" w:name="_Toc44667788"/>
      <w:bookmarkStart w:id="32" w:name="_Toc49163991"/>
      <w:r>
        <w:rPr>
          <w:rFonts w:eastAsia="仿宋_GB2312"/>
          <w:spacing w:val="-3"/>
          <w:sz w:val="32"/>
          <w:szCs w:val="32"/>
        </w:rPr>
        <w:t>（2）项目资金投向领域</w:t>
      </w:r>
    </w:p>
    <w:p w14:paraId="3AF767A0">
      <w:pPr>
        <w:pStyle w:val="23"/>
        <w:widowControl w:val="0"/>
        <w:topLinePunct/>
        <w:adjustRightInd w:val="0"/>
        <w:snapToGrid w:val="0"/>
        <w:spacing w:line="579" w:lineRule="exact"/>
        <w:ind w:firstLine="628" w:firstLineChars="200"/>
        <w:rPr>
          <w:rFonts w:eastAsia="仿宋_GB2312"/>
          <w:spacing w:val="-3"/>
          <w:sz w:val="32"/>
          <w:szCs w:val="32"/>
        </w:rPr>
      </w:pPr>
      <w:r>
        <w:rPr>
          <w:rFonts w:eastAsia="仿宋_GB2312"/>
          <w:spacing w:val="-3"/>
          <w:sz w:val="32"/>
          <w:szCs w:val="32"/>
        </w:rPr>
        <w:t>项目路线全长2.46</w:t>
      </w:r>
      <w:r>
        <w:rPr>
          <w:rFonts w:hint="eastAsia" w:eastAsia="仿宋_GB2312"/>
          <w:spacing w:val="-3"/>
          <w:sz w:val="32"/>
          <w:szCs w:val="32"/>
        </w:rPr>
        <w:t>6</w:t>
      </w:r>
      <w:r>
        <w:rPr>
          <w:rFonts w:eastAsia="仿宋_GB2312"/>
          <w:spacing w:val="-3"/>
          <w:sz w:val="32"/>
          <w:szCs w:val="32"/>
        </w:rPr>
        <w:t>km</w:t>
      </w:r>
      <w:r>
        <w:rPr>
          <w:rFonts w:hint="eastAsia" w:eastAsia="仿宋_GB2312"/>
          <w:spacing w:val="-3"/>
          <w:sz w:val="32"/>
          <w:szCs w:val="32"/>
        </w:rPr>
        <w:t>，</w:t>
      </w:r>
      <w:r>
        <w:rPr>
          <w:rFonts w:eastAsia="仿宋_GB2312"/>
          <w:spacing w:val="-3"/>
          <w:sz w:val="32"/>
          <w:szCs w:val="32"/>
        </w:rPr>
        <w:t>采用二级公路技术标准兼城市次干道功能，双向4车道，设计速度60km/h</w:t>
      </w:r>
      <w:r>
        <w:rPr>
          <w:rFonts w:hint="eastAsia" w:eastAsia="仿宋_GB2312"/>
          <w:spacing w:val="-3"/>
          <w:sz w:val="32"/>
          <w:szCs w:val="32"/>
        </w:rPr>
        <w:t>，</w:t>
      </w:r>
      <w:r>
        <w:rPr>
          <w:rFonts w:eastAsia="仿宋_GB2312"/>
          <w:spacing w:val="-3"/>
          <w:sz w:val="32"/>
          <w:szCs w:val="32"/>
        </w:rPr>
        <w:t>路面采用沥青混凝土结构，路基宽度为27m。建设内容包含：道路工程、交通工程、排水工程、</w:t>
      </w:r>
      <w:r>
        <w:rPr>
          <w:rFonts w:hint="eastAsia" w:eastAsia="仿宋_GB2312"/>
          <w:spacing w:val="-3"/>
          <w:sz w:val="32"/>
          <w:szCs w:val="32"/>
        </w:rPr>
        <w:t>绿化</w:t>
      </w:r>
      <w:r>
        <w:rPr>
          <w:rFonts w:eastAsia="仿宋_GB2312"/>
          <w:spacing w:val="-3"/>
          <w:sz w:val="32"/>
          <w:szCs w:val="32"/>
        </w:rPr>
        <w:t>工程、照明工程、</w:t>
      </w:r>
      <w:r>
        <w:rPr>
          <w:rFonts w:hint="eastAsia" w:eastAsia="仿宋_GB2312"/>
          <w:spacing w:val="-3"/>
          <w:sz w:val="32"/>
          <w:szCs w:val="32"/>
        </w:rPr>
        <w:t>通信</w:t>
      </w:r>
      <w:r>
        <w:rPr>
          <w:rFonts w:eastAsia="仿宋_GB2312"/>
          <w:spacing w:val="-3"/>
          <w:sz w:val="32"/>
          <w:szCs w:val="32"/>
        </w:rPr>
        <w:t>工程</w:t>
      </w:r>
      <w:r>
        <w:rPr>
          <w:rFonts w:hint="eastAsia" w:eastAsia="仿宋_GB2312"/>
          <w:spacing w:val="-3"/>
          <w:sz w:val="32"/>
          <w:szCs w:val="32"/>
        </w:rPr>
        <w:t>、电力</w:t>
      </w:r>
      <w:r>
        <w:rPr>
          <w:rFonts w:eastAsia="仿宋_GB2312"/>
          <w:spacing w:val="-3"/>
          <w:sz w:val="32"/>
          <w:szCs w:val="32"/>
        </w:rPr>
        <w:t>工程</w:t>
      </w:r>
      <w:r>
        <w:rPr>
          <w:rFonts w:hint="eastAsia" w:eastAsia="仿宋_GB2312"/>
          <w:spacing w:val="-3"/>
          <w:sz w:val="32"/>
          <w:szCs w:val="32"/>
        </w:rPr>
        <w:t>、粪基窝山塘改造工程</w:t>
      </w:r>
      <w:r>
        <w:rPr>
          <w:rFonts w:eastAsia="仿宋_GB2312"/>
          <w:spacing w:val="-3"/>
          <w:sz w:val="32"/>
          <w:szCs w:val="32"/>
        </w:rPr>
        <w:t>等。根据《</w:t>
      </w:r>
      <w:r>
        <w:rPr>
          <w:rFonts w:eastAsia="仿宋_GB2312"/>
          <w:bCs/>
          <w:kern w:val="0"/>
          <w:sz w:val="32"/>
          <w:szCs w:val="32"/>
        </w:rPr>
        <w:t>关于谢岗镇环城路二期工程概算的批复</w:t>
      </w:r>
      <w:r>
        <w:rPr>
          <w:rFonts w:eastAsia="仿宋_GB2312"/>
          <w:spacing w:val="-3"/>
          <w:sz w:val="32"/>
          <w:szCs w:val="32"/>
        </w:rPr>
        <w:t>》，谢岗镇环城路项目总概算为13397.7235万元，其中</w:t>
      </w:r>
      <w:r>
        <w:rPr>
          <w:rFonts w:hint="eastAsia" w:eastAsia="仿宋_GB2312"/>
          <w:spacing w:val="-3"/>
          <w:sz w:val="32"/>
          <w:szCs w:val="32"/>
        </w:rPr>
        <w:t>，</w:t>
      </w:r>
      <w:r>
        <w:rPr>
          <w:rFonts w:eastAsia="仿宋_GB2312"/>
          <w:spacing w:val="-3"/>
          <w:sz w:val="32"/>
          <w:szCs w:val="32"/>
        </w:rPr>
        <w:t>总建筑安装工程费为12070.5448万元，工程其他费用（不含征地拆迁费）为689.1919万元，工程预备费为637.9868万元。此外，谢岗镇环城路二期工程纳入《东莞市谢岗镇银瓶合作创新区园区配套项目（二期）实施方案》专项债券项目，通过专项债券融资解决部分资金来源。</w:t>
      </w:r>
    </w:p>
    <w:p w14:paraId="404F445C">
      <w:pPr>
        <w:pStyle w:val="23"/>
        <w:widowControl w:val="0"/>
        <w:topLinePunct/>
        <w:adjustRightInd w:val="0"/>
        <w:snapToGrid w:val="0"/>
        <w:spacing w:line="579" w:lineRule="exact"/>
        <w:ind w:firstLine="628" w:firstLineChars="200"/>
        <w:outlineLvl w:val="2"/>
        <w:rPr>
          <w:rFonts w:eastAsia="仿宋_GB2312"/>
          <w:b/>
          <w:bCs/>
          <w:spacing w:val="-3"/>
          <w:sz w:val="32"/>
          <w:szCs w:val="32"/>
        </w:rPr>
      </w:pPr>
      <w:bookmarkStart w:id="33" w:name="_Toc20807"/>
      <w:bookmarkStart w:id="34" w:name="_Toc144736557"/>
      <w:bookmarkStart w:id="35" w:name="_Toc168818809"/>
      <w:bookmarkStart w:id="36" w:name="_Toc23493"/>
      <w:bookmarkStart w:id="37" w:name="_Toc130222025"/>
      <w:r>
        <w:rPr>
          <w:rFonts w:eastAsia="仿宋_GB2312"/>
          <w:b/>
          <w:bCs/>
          <w:spacing w:val="-3"/>
          <w:sz w:val="32"/>
          <w:szCs w:val="32"/>
        </w:rPr>
        <w:t>3．资金投入和使用情况</w:t>
      </w:r>
      <w:bookmarkEnd w:id="33"/>
      <w:bookmarkEnd w:id="34"/>
      <w:bookmarkEnd w:id="35"/>
      <w:bookmarkEnd w:id="36"/>
      <w:bookmarkEnd w:id="37"/>
    </w:p>
    <w:p w14:paraId="3BFE5217">
      <w:pPr>
        <w:pStyle w:val="23"/>
        <w:widowControl w:val="0"/>
        <w:topLinePunct/>
        <w:adjustRightInd w:val="0"/>
        <w:snapToGrid w:val="0"/>
        <w:spacing w:line="579" w:lineRule="exact"/>
        <w:ind w:firstLine="640" w:firstLineChars="200"/>
        <w:rPr>
          <w:rFonts w:eastAsia="仿宋_GB2312"/>
          <w:bCs/>
          <w:kern w:val="0"/>
          <w:sz w:val="32"/>
          <w:szCs w:val="32"/>
        </w:rPr>
      </w:pPr>
      <w:r>
        <w:rPr>
          <w:rFonts w:eastAsia="仿宋_GB2312"/>
          <w:bCs/>
          <w:kern w:val="0"/>
          <w:sz w:val="32"/>
          <w:szCs w:val="32"/>
        </w:rPr>
        <w:t>谢岗工程建设中心2020—2023年度环城路项目预算总额为1.40亿，其中</w:t>
      </w:r>
      <w:r>
        <w:rPr>
          <w:rFonts w:hint="eastAsia" w:eastAsia="仿宋_GB2312"/>
          <w:bCs/>
          <w:kern w:val="0"/>
          <w:sz w:val="32"/>
          <w:szCs w:val="32"/>
        </w:rPr>
        <w:t>：</w:t>
      </w:r>
      <w:r>
        <w:rPr>
          <w:rFonts w:eastAsia="仿宋_GB2312"/>
          <w:bCs/>
          <w:kern w:val="0"/>
          <w:sz w:val="32"/>
          <w:szCs w:val="32"/>
        </w:rPr>
        <w:t>财政拨款1.03亿，债券资金3732.16万元。实际支出金额为1.11亿，项目整体预算执行率为79.73%</w:t>
      </w:r>
      <w:r>
        <w:rPr>
          <w:rFonts w:hint="eastAsia" w:eastAsia="仿宋_GB2312"/>
          <w:bCs/>
          <w:kern w:val="0"/>
          <w:sz w:val="32"/>
          <w:szCs w:val="32"/>
        </w:rPr>
        <w:t>（表1）</w:t>
      </w:r>
      <w:r>
        <w:rPr>
          <w:rFonts w:eastAsia="仿宋_GB2312"/>
          <w:bCs/>
          <w:kern w:val="0"/>
          <w:sz w:val="32"/>
          <w:szCs w:val="32"/>
        </w:rPr>
        <w:t>。</w:t>
      </w:r>
    </w:p>
    <w:p w14:paraId="26A01FF0">
      <w:pPr>
        <w:adjustRightInd w:val="0"/>
        <w:snapToGrid w:val="0"/>
        <w:spacing w:before="156" w:beforeLines="50" w:after="156" w:afterLines="50"/>
        <w:ind w:firstLine="480"/>
        <w:jc w:val="center"/>
        <w:rPr>
          <w:rFonts w:ascii="Times New Roman" w:hAnsi="Times New Roman" w:eastAsia="黑体" w:cs="Times New Roman"/>
          <w:sz w:val="24"/>
        </w:rPr>
      </w:pPr>
      <w:r>
        <w:rPr>
          <w:rFonts w:ascii="Times New Roman" w:hAnsi="Times New Roman" w:eastAsia="黑体" w:cs="Times New Roman"/>
          <w:sz w:val="24"/>
        </w:rPr>
        <w:t>表1  2020—2023年环城路项目资金使用情况</w:t>
      </w:r>
    </w:p>
    <w:tbl>
      <w:tblPr>
        <w:tblStyle w:val="15"/>
        <w:tblW w:w="4997" w:type="pct"/>
        <w:tblInd w:w="0" w:type="dxa"/>
        <w:tblLayout w:type="autofit"/>
        <w:tblCellMar>
          <w:top w:w="0" w:type="dxa"/>
          <w:left w:w="108" w:type="dxa"/>
          <w:bottom w:w="0" w:type="dxa"/>
          <w:right w:w="108" w:type="dxa"/>
        </w:tblCellMar>
      </w:tblPr>
      <w:tblGrid>
        <w:gridCol w:w="1191"/>
        <w:gridCol w:w="1727"/>
        <w:gridCol w:w="1624"/>
        <w:gridCol w:w="1350"/>
        <w:gridCol w:w="1729"/>
        <w:gridCol w:w="1435"/>
      </w:tblGrid>
      <w:tr w14:paraId="3BC73335">
        <w:tblPrEx>
          <w:tblCellMar>
            <w:top w:w="0" w:type="dxa"/>
            <w:left w:w="108" w:type="dxa"/>
            <w:bottom w:w="0" w:type="dxa"/>
            <w:right w:w="108" w:type="dxa"/>
          </w:tblCellMar>
        </w:tblPrEx>
        <w:trPr>
          <w:trHeight w:val="340" w:hRule="atLeast"/>
        </w:trPr>
        <w:tc>
          <w:tcPr>
            <w:tcW w:w="658" w:type="pct"/>
            <w:vMerge w:val="restart"/>
            <w:tcBorders>
              <w:top w:val="single" w:color="000000" w:sz="8" w:space="0"/>
              <w:left w:val="nil"/>
              <w:right w:val="single" w:color="000000" w:sz="4" w:space="0"/>
            </w:tcBorders>
            <w:shd w:val="clear" w:color="auto" w:fill="auto"/>
            <w:noWrap/>
            <w:vAlign w:val="center"/>
          </w:tcPr>
          <w:p w14:paraId="67F5FD05">
            <w:pPr>
              <w:widowControl/>
              <w:adjustRightInd w:val="0"/>
              <w:snapToGrid w:val="0"/>
              <w:jc w:val="center"/>
              <w:textAlignment w:val="center"/>
              <w:rPr>
                <w:rFonts w:hint="eastAsia" w:ascii="黑体" w:hAnsi="黑体" w:eastAsia="黑体" w:cs="黑体"/>
                <w:sz w:val="22"/>
              </w:rPr>
            </w:pPr>
            <w:r>
              <w:rPr>
                <w:rFonts w:hint="eastAsia" w:ascii="黑体" w:hAnsi="黑体" w:eastAsia="黑体" w:cs="黑体"/>
                <w:sz w:val="22"/>
              </w:rPr>
              <w:t>年份</w:t>
            </w:r>
          </w:p>
        </w:tc>
        <w:tc>
          <w:tcPr>
            <w:tcW w:w="2594" w:type="pct"/>
            <w:gridSpan w:val="3"/>
            <w:tcBorders>
              <w:top w:val="single" w:color="000000" w:sz="8" w:space="0"/>
              <w:left w:val="single" w:color="000000" w:sz="4" w:space="0"/>
              <w:bottom w:val="single" w:color="000000" w:sz="4" w:space="0"/>
              <w:right w:val="single" w:color="000000" w:sz="4" w:space="0"/>
            </w:tcBorders>
            <w:shd w:val="clear" w:color="auto" w:fill="auto"/>
            <w:vAlign w:val="center"/>
          </w:tcPr>
          <w:p w14:paraId="62F8A9EB">
            <w:pPr>
              <w:widowControl/>
              <w:adjustRightInd w:val="0"/>
              <w:snapToGrid w:val="0"/>
              <w:jc w:val="center"/>
              <w:textAlignment w:val="center"/>
              <w:rPr>
                <w:rFonts w:hint="eastAsia" w:ascii="黑体" w:hAnsi="黑体" w:eastAsia="黑体" w:cs="黑体"/>
                <w:kern w:val="0"/>
                <w:sz w:val="22"/>
                <w:lang w:bidi="ar"/>
              </w:rPr>
            </w:pPr>
            <w:r>
              <w:rPr>
                <w:rFonts w:hint="eastAsia" w:ascii="黑体" w:hAnsi="黑体" w:eastAsia="黑体" w:cs="黑体"/>
                <w:kern w:val="0"/>
                <w:sz w:val="22"/>
                <w:lang w:bidi="ar"/>
              </w:rPr>
              <w:t>年度预算资金总额（万元）</w:t>
            </w:r>
          </w:p>
        </w:tc>
        <w:tc>
          <w:tcPr>
            <w:tcW w:w="954" w:type="pct"/>
            <w:vMerge w:val="restart"/>
            <w:tcBorders>
              <w:top w:val="single" w:color="000000" w:sz="8" w:space="0"/>
              <w:left w:val="single" w:color="000000" w:sz="4" w:space="0"/>
              <w:right w:val="single" w:color="000000" w:sz="4" w:space="0"/>
            </w:tcBorders>
            <w:shd w:val="clear" w:color="auto" w:fill="auto"/>
            <w:vAlign w:val="center"/>
          </w:tcPr>
          <w:p w14:paraId="789B74EF">
            <w:pPr>
              <w:widowControl/>
              <w:adjustRightInd w:val="0"/>
              <w:snapToGrid w:val="0"/>
              <w:jc w:val="center"/>
              <w:textAlignment w:val="center"/>
              <w:rPr>
                <w:rFonts w:hint="eastAsia" w:ascii="黑体" w:hAnsi="黑体" w:eastAsia="黑体" w:cs="黑体"/>
                <w:kern w:val="0"/>
                <w:sz w:val="22"/>
                <w:lang w:bidi="ar"/>
              </w:rPr>
            </w:pPr>
            <w:r>
              <w:rPr>
                <w:rFonts w:hint="eastAsia" w:ascii="黑体" w:hAnsi="黑体" w:eastAsia="黑体" w:cs="黑体"/>
                <w:kern w:val="0"/>
                <w:sz w:val="22"/>
                <w:lang w:bidi="ar"/>
              </w:rPr>
              <w:t>实际支出（万元）</w:t>
            </w:r>
          </w:p>
        </w:tc>
        <w:tc>
          <w:tcPr>
            <w:tcW w:w="792" w:type="pct"/>
            <w:vMerge w:val="restart"/>
            <w:tcBorders>
              <w:top w:val="single" w:color="000000" w:sz="8" w:space="0"/>
              <w:left w:val="single" w:color="000000" w:sz="4" w:space="0"/>
              <w:right w:val="nil"/>
            </w:tcBorders>
            <w:shd w:val="clear" w:color="auto" w:fill="auto"/>
            <w:vAlign w:val="center"/>
          </w:tcPr>
          <w:p w14:paraId="7EE1E97C">
            <w:pPr>
              <w:widowControl/>
              <w:adjustRightInd w:val="0"/>
              <w:snapToGrid w:val="0"/>
              <w:jc w:val="center"/>
              <w:textAlignment w:val="center"/>
              <w:rPr>
                <w:rFonts w:hint="eastAsia" w:ascii="黑体" w:hAnsi="黑体" w:eastAsia="黑体" w:cs="黑体"/>
                <w:kern w:val="0"/>
                <w:sz w:val="22"/>
                <w:lang w:bidi="ar"/>
              </w:rPr>
            </w:pPr>
            <w:r>
              <w:rPr>
                <w:rFonts w:hint="eastAsia" w:ascii="黑体" w:hAnsi="黑体" w:eastAsia="黑体" w:cs="黑体"/>
                <w:kern w:val="0"/>
                <w:sz w:val="22"/>
                <w:lang w:bidi="ar"/>
              </w:rPr>
              <w:t>预算执行率（%）</w:t>
            </w:r>
          </w:p>
        </w:tc>
      </w:tr>
      <w:tr w14:paraId="0794F60B">
        <w:tblPrEx>
          <w:tblCellMar>
            <w:top w:w="0" w:type="dxa"/>
            <w:left w:w="108" w:type="dxa"/>
            <w:bottom w:w="0" w:type="dxa"/>
            <w:right w:w="108" w:type="dxa"/>
          </w:tblCellMar>
        </w:tblPrEx>
        <w:trPr>
          <w:trHeight w:val="340" w:hRule="atLeast"/>
        </w:trPr>
        <w:tc>
          <w:tcPr>
            <w:tcW w:w="658" w:type="pct"/>
            <w:vMerge w:val="continue"/>
            <w:tcBorders>
              <w:left w:val="nil"/>
              <w:bottom w:val="single" w:color="000000" w:sz="8" w:space="0"/>
              <w:right w:val="single" w:color="000000" w:sz="4" w:space="0"/>
            </w:tcBorders>
            <w:shd w:val="clear" w:color="auto" w:fill="auto"/>
            <w:noWrap/>
            <w:vAlign w:val="center"/>
          </w:tcPr>
          <w:p w14:paraId="64044727">
            <w:pPr>
              <w:widowControl/>
              <w:adjustRightInd w:val="0"/>
              <w:snapToGrid w:val="0"/>
              <w:jc w:val="center"/>
              <w:textAlignment w:val="center"/>
              <w:rPr>
                <w:rFonts w:hint="eastAsia" w:ascii="黑体" w:hAnsi="黑体" w:eastAsia="黑体" w:cs="黑体"/>
                <w:sz w:val="22"/>
              </w:rPr>
            </w:pPr>
          </w:p>
        </w:tc>
        <w:tc>
          <w:tcPr>
            <w:tcW w:w="953" w:type="pct"/>
            <w:tcBorders>
              <w:top w:val="single" w:color="000000" w:sz="4" w:space="0"/>
              <w:left w:val="single" w:color="000000" w:sz="4" w:space="0"/>
              <w:bottom w:val="single" w:color="000000" w:sz="8" w:space="0"/>
              <w:right w:val="single" w:color="000000" w:sz="4" w:space="0"/>
            </w:tcBorders>
            <w:shd w:val="clear" w:color="auto" w:fill="auto"/>
            <w:vAlign w:val="center"/>
          </w:tcPr>
          <w:p w14:paraId="132A8746">
            <w:pPr>
              <w:widowControl/>
              <w:adjustRightInd w:val="0"/>
              <w:snapToGrid w:val="0"/>
              <w:jc w:val="center"/>
              <w:textAlignment w:val="center"/>
              <w:rPr>
                <w:rFonts w:hint="eastAsia" w:ascii="黑体" w:hAnsi="黑体" w:eastAsia="黑体" w:cs="黑体"/>
                <w:sz w:val="22"/>
              </w:rPr>
            </w:pPr>
            <w:r>
              <w:rPr>
                <w:rFonts w:hint="eastAsia" w:ascii="黑体" w:hAnsi="黑体" w:eastAsia="黑体" w:cs="黑体"/>
                <w:kern w:val="0"/>
                <w:sz w:val="22"/>
                <w:lang w:bidi="ar"/>
              </w:rPr>
              <w:t>年初批复金额</w:t>
            </w:r>
          </w:p>
        </w:tc>
        <w:tc>
          <w:tcPr>
            <w:tcW w:w="896" w:type="pct"/>
            <w:tcBorders>
              <w:top w:val="single" w:color="000000" w:sz="4" w:space="0"/>
              <w:left w:val="single" w:color="000000" w:sz="4" w:space="0"/>
              <w:bottom w:val="single" w:color="000000" w:sz="8" w:space="0"/>
              <w:right w:val="single" w:color="000000" w:sz="4" w:space="0"/>
            </w:tcBorders>
            <w:shd w:val="clear" w:color="auto" w:fill="auto"/>
            <w:vAlign w:val="center"/>
          </w:tcPr>
          <w:p w14:paraId="619455AE">
            <w:pPr>
              <w:widowControl/>
              <w:adjustRightInd w:val="0"/>
              <w:snapToGrid w:val="0"/>
              <w:jc w:val="center"/>
              <w:textAlignment w:val="center"/>
              <w:rPr>
                <w:rFonts w:hint="eastAsia" w:ascii="黑体" w:hAnsi="黑体" w:eastAsia="黑体" w:cs="黑体"/>
                <w:sz w:val="22"/>
              </w:rPr>
            </w:pPr>
            <w:r>
              <w:rPr>
                <w:rFonts w:hint="eastAsia" w:ascii="黑体" w:hAnsi="黑体" w:eastAsia="黑体" w:cs="黑体"/>
                <w:kern w:val="0"/>
                <w:sz w:val="22"/>
                <w:lang w:bidi="ar"/>
              </w:rPr>
              <w:t>财政追加金额</w:t>
            </w:r>
          </w:p>
        </w:tc>
        <w:tc>
          <w:tcPr>
            <w:tcW w:w="744" w:type="pct"/>
            <w:tcBorders>
              <w:top w:val="single" w:color="000000" w:sz="4" w:space="0"/>
              <w:left w:val="single" w:color="000000" w:sz="4" w:space="0"/>
              <w:bottom w:val="single" w:color="000000" w:sz="8" w:space="0"/>
              <w:right w:val="single" w:color="000000" w:sz="4" w:space="0"/>
            </w:tcBorders>
            <w:shd w:val="clear" w:color="auto" w:fill="auto"/>
            <w:vAlign w:val="center"/>
          </w:tcPr>
          <w:p w14:paraId="12A7D878">
            <w:pPr>
              <w:widowControl/>
              <w:adjustRightInd w:val="0"/>
              <w:snapToGrid w:val="0"/>
              <w:jc w:val="center"/>
              <w:textAlignment w:val="center"/>
              <w:rPr>
                <w:rFonts w:hint="eastAsia" w:ascii="黑体" w:hAnsi="黑体" w:eastAsia="黑体" w:cs="黑体"/>
                <w:sz w:val="22"/>
              </w:rPr>
            </w:pPr>
            <w:r>
              <w:rPr>
                <w:rFonts w:hint="eastAsia" w:ascii="黑体" w:hAnsi="黑体" w:eastAsia="黑体" w:cs="黑体"/>
                <w:kern w:val="0"/>
                <w:sz w:val="22"/>
                <w:lang w:bidi="ar"/>
              </w:rPr>
              <w:t>专项债金额</w:t>
            </w:r>
          </w:p>
        </w:tc>
        <w:tc>
          <w:tcPr>
            <w:tcW w:w="954" w:type="pct"/>
            <w:vMerge w:val="continue"/>
            <w:tcBorders>
              <w:left w:val="single" w:color="000000" w:sz="4" w:space="0"/>
              <w:bottom w:val="single" w:color="000000" w:sz="8" w:space="0"/>
              <w:right w:val="single" w:color="000000" w:sz="4" w:space="0"/>
            </w:tcBorders>
            <w:shd w:val="clear" w:color="auto" w:fill="auto"/>
            <w:vAlign w:val="center"/>
          </w:tcPr>
          <w:p w14:paraId="4C28286B">
            <w:pPr>
              <w:widowControl/>
              <w:adjustRightInd w:val="0"/>
              <w:snapToGrid w:val="0"/>
              <w:jc w:val="center"/>
              <w:textAlignment w:val="center"/>
              <w:rPr>
                <w:rFonts w:hint="eastAsia" w:ascii="黑体" w:hAnsi="黑体" w:eastAsia="黑体" w:cs="黑体"/>
                <w:sz w:val="20"/>
                <w:szCs w:val="20"/>
              </w:rPr>
            </w:pPr>
          </w:p>
        </w:tc>
        <w:tc>
          <w:tcPr>
            <w:tcW w:w="792" w:type="pct"/>
            <w:vMerge w:val="continue"/>
            <w:tcBorders>
              <w:left w:val="single" w:color="000000" w:sz="4" w:space="0"/>
              <w:bottom w:val="single" w:color="000000" w:sz="8" w:space="0"/>
              <w:right w:val="nil"/>
            </w:tcBorders>
            <w:shd w:val="clear" w:color="auto" w:fill="auto"/>
            <w:vAlign w:val="center"/>
          </w:tcPr>
          <w:p w14:paraId="3BA36CE2">
            <w:pPr>
              <w:widowControl/>
              <w:adjustRightInd w:val="0"/>
              <w:snapToGrid w:val="0"/>
              <w:jc w:val="center"/>
              <w:textAlignment w:val="center"/>
              <w:rPr>
                <w:rFonts w:hint="eastAsia" w:ascii="黑体" w:hAnsi="黑体" w:eastAsia="黑体" w:cs="黑体"/>
                <w:sz w:val="20"/>
                <w:szCs w:val="20"/>
              </w:rPr>
            </w:pPr>
          </w:p>
        </w:tc>
      </w:tr>
      <w:tr w14:paraId="3E475064">
        <w:tblPrEx>
          <w:tblCellMar>
            <w:top w:w="0" w:type="dxa"/>
            <w:left w:w="108" w:type="dxa"/>
            <w:bottom w:w="0" w:type="dxa"/>
            <w:right w:w="108" w:type="dxa"/>
          </w:tblCellMar>
        </w:tblPrEx>
        <w:trPr>
          <w:trHeight w:val="340" w:hRule="atLeast"/>
        </w:trPr>
        <w:tc>
          <w:tcPr>
            <w:tcW w:w="658" w:type="pct"/>
            <w:tcBorders>
              <w:top w:val="single" w:color="000000" w:sz="8" w:space="0"/>
              <w:left w:val="nil"/>
              <w:bottom w:val="single" w:color="000000" w:sz="4" w:space="0"/>
              <w:right w:val="single" w:color="000000" w:sz="4" w:space="0"/>
            </w:tcBorders>
            <w:shd w:val="clear" w:color="auto" w:fill="auto"/>
            <w:noWrap/>
            <w:vAlign w:val="center"/>
          </w:tcPr>
          <w:p w14:paraId="78AFB299">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2020</w:t>
            </w:r>
          </w:p>
        </w:tc>
        <w:tc>
          <w:tcPr>
            <w:tcW w:w="953" w:type="pct"/>
            <w:tcBorders>
              <w:top w:val="single" w:color="000000" w:sz="8" w:space="0"/>
              <w:left w:val="single" w:color="000000" w:sz="4" w:space="0"/>
              <w:bottom w:val="single" w:color="000000" w:sz="4" w:space="0"/>
              <w:right w:val="single" w:color="000000" w:sz="4" w:space="0"/>
            </w:tcBorders>
            <w:shd w:val="clear" w:color="auto" w:fill="auto"/>
            <w:noWrap/>
            <w:vAlign w:val="center"/>
          </w:tcPr>
          <w:p w14:paraId="0763970A">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1583</w:t>
            </w:r>
          </w:p>
        </w:tc>
        <w:tc>
          <w:tcPr>
            <w:tcW w:w="896" w:type="pct"/>
            <w:tcBorders>
              <w:top w:val="single" w:color="000000" w:sz="8" w:space="0"/>
              <w:left w:val="single" w:color="000000" w:sz="4" w:space="0"/>
              <w:bottom w:val="single" w:color="000000" w:sz="4" w:space="0"/>
              <w:right w:val="single" w:color="000000" w:sz="4" w:space="0"/>
            </w:tcBorders>
            <w:shd w:val="clear" w:color="auto" w:fill="auto"/>
            <w:noWrap/>
            <w:vAlign w:val="center"/>
          </w:tcPr>
          <w:p w14:paraId="12A60D10">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1117.29</w:t>
            </w:r>
          </w:p>
        </w:tc>
        <w:tc>
          <w:tcPr>
            <w:tcW w:w="744" w:type="pct"/>
            <w:tcBorders>
              <w:top w:val="single" w:color="000000" w:sz="8" w:space="0"/>
              <w:left w:val="single" w:color="000000" w:sz="4" w:space="0"/>
              <w:bottom w:val="single" w:color="000000" w:sz="4" w:space="0"/>
              <w:right w:val="single" w:color="000000" w:sz="4" w:space="0"/>
            </w:tcBorders>
            <w:shd w:val="clear" w:color="auto" w:fill="auto"/>
            <w:noWrap/>
            <w:vAlign w:val="center"/>
          </w:tcPr>
          <w:p w14:paraId="074FDBA8">
            <w:pPr>
              <w:widowControl/>
              <w:adjustRightInd w:val="0"/>
              <w:snapToGrid w:val="0"/>
              <w:jc w:val="center"/>
              <w:rPr>
                <w:rFonts w:ascii="Times New Roman" w:hAnsi="Times New Roman" w:eastAsia="宋体" w:cs="Times New Roman"/>
                <w:sz w:val="22"/>
              </w:rPr>
            </w:pPr>
          </w:p>
        </w:tc>
        <w:tc>
          <w:tcPr>
            <w:tcW w:w="954" w:type="pct"/>
            <w:tcBorders>
              <w:top w:val="single" w:color="000000" w:sz="8" w:space="0"/>
              <w:left w:val="single" w:color="000000" w:sz="4" w:space="0"/>
              <w:bottom w:val="single" w:color="000000" w:sz="4" w:space="0"/>
              <w:right w:val="single" w:color="000000" w:sz="4" w:space="0"/>
            </w:tcBorders>
            <w:shd w:val="clear" w:color="auto" w:fill="auto"/>
            <w:noWrap/>
            <w:vAlign w:val="center"/>
          </w:tcPr>
          <w:p w14:paraId="1DAA8264">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2561.64</w:t>
            </w:r>
          </w:p>
        </w:tc>
        <w:tc>
          <w:tcPr>
            <w:tcW w:w="792" w:type="pct"/>
            <w:tcBorders>
              <w:top w:val="single" w:color="000000" w:sz="8" w:space="0"/>
              <w:left w:val="single" w:color="000000" w:sz="4" w:space="0"/>
              <w:bottom w:val="single" w:color="000000" w:sz="4" w:space="0"/>
              <w:right w:val="nil"/>
            </w:tcBorders>
            <w:shd w:val="clear" w:color="auto" w:fill="auto"/>
            <w:noWrap/>
            <w:vAlign w:val="center"/>
          </w:tcPr>
          <w:p w14:paraId="3158FF4F">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94.87</w:t>
            </w:r>
          </w:p>
        </w:tc>
      </w:tr>
      <w:tr w14:paraId="06FF3EF6">
        <w:tblPrEx>
          <w:tblCellMar>
            <w:top w:w="0" w:type="dxa"/>
            <w:left w:w="108" w:type="dxa"/>
            <w:bottom w:w="0" w:type="dxa"/>
            <w:right w:w="108" w:type="dxa"/>
          </w:tblCellMar>
        </w:tblPrEx>
        <w:trPr>
          <w:trHeight w:val="340" w:hRule="atLeast"/>
        </w:trPr>
        <w:tc>
          <w:tcPr>
            <w:tcW w:w="658" w:type="pct"/>
            <w:tcBorders>
              <w:top w:val="single" w:color="000000" w:sz="4" w:space="0"/>
              <w:left w:val="nil"/>
              <w:bottom w:val="single" w:color="000000" w:sz="4" w:space="0"/>
              <w:right w:val="single" w:color="000000" w:sz="4" w:space="0"/>
            </w:tcBorders>
            <w:shd w:val="clear" w:color="auto" w:fill="auto"/>
            <w:noWrap/>
            <w:vAlign w:val="center"/>
          </w:tcPr>
          <w:p w14:paraId="50E3EC3C">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2021</w:t>
            </w:r>
          </w:p>
        </w:tc>
        <w:tc>
          <w:tcPr>
            <w:tcW w:w="9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AA6D1">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4000</w:t>
            </w:r>
          </w:p>
        </w:tc>
        <w:tc>
          <w:tcPr>
            <w:tcW w:w="8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E84C8">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350</w:t>
            </w:r>
          </w:p>
        </w:tc>
        <w:tc>
          <w:tcPr>
            <w:tcW w:w="7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8B2DD">
            <w:pPr>
              <w:widowControl/>
              <w:adjustRightInd w:val="0"/>
              <w:snapToGrid w:val="0"/>
              <w:jc w:val="center"/>
              <w:rPr>
                <w:rFonts w:ascii="Times New Roman" w:hAnsi="Times New Roman" w:eastAsia="宋体" w:cs="Times New Roman"/>
                <w:sz w:val="22"/>
              </w:rPr>
            </w:pP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2A9B1">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4349.04</w:t>
            </w:r>
          </w:p>
        </w:tc>
        <w:tc>
          <w:tcPr>
            <w:tcW w:w="792" w:type="pct"/>
            <w:tcBorders>
              <w:top w:val="single" w:color="000000" w:sz="4" w:space="0"/>
              <w:left w:val="single" w:color="000000" w:sz="4" w:space="0"/>
              <w:bottom w:val="single" w:color="000000" w:sz="4" w:space="0"/>
              <w:right w:val="nil"/>
            </w:tcBorders>
            <w:shd w:val="clear" w:color="auto" w:fill="auto"/>
            <w:noWrap/>
            <w:vAlign w:val="center"/>
          </w:tcPr>
          <w:p w14:paraId="61F4CA3C">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99.98</w:t>
            </w:r>
          </w:p>
        </w:tc>
      </w:tr>
      <w:tr w14:paraId="4A0EFE19">
        <w:tblPrEx>
          <w:tblCellMar>
            <w:top w:w="0" w:type="dxa"/>
            <w:left w:w="108" w:type="dxa"/>
            <w:bottom w:w="0" w:type="dxa"/>
            <w:right w:w="108" w:type="dxa"/>
          </w:tblCellMar>
        </w:tblPrEx>
        <w:trPr>
          <w:trHeight w:val="340" w:hRule="atLeast"/>
        </w:trPr>
        <w:tc>
          <w:tcPr>
            <w:tcW w:w="658" w:type="pct"/>
            <w:tcBorders>
              <w:top w:val="single" w:color="000000" w:sz="4" w:space="0"/>
              <w:left w:val="nil"/>
              <w:bottom w:val="single" w:color="000000" w:sz="4" w:space="0"/>
              <w:right w:val="single" w:color="000000" w:sz="4" w:space="0"/>
            </w:tcBorders>
            <w:shd w:val="clear" w:color="auto" w:fill="auto"/>
            <w:noWrap/>
            <w:vAlign w:val="center"/>
          </w:tcPr>
          <w:p w14:paraId="091F0AB5">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2022</w:t>
            </w:r>
          </w:p>
        </w:tc>
        <w:tc>
          <w:tcPr>
            <w:tcW w:w="9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A8318">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2100</w:t>
            </w:r>
          </w:p>
        </w:tc>
        <w:tc>
          <w:tcPr>
            <w:tcW w:w="8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3F22D">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0</w:t>
            </w:r>
          </w:p>
        </w:tc>
        <w:tc>
          <w:tcPr>
            <w:tcW w:w="7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EACF9">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2139.09</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E9369">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2613.40</w:t>
            </w:r>
          </w:p>
        </w:tc>
        <w:tc>
          <w:tcPr>
            <w:tcW w:w="792" w:type="pct"/>
            <w:tcBorders>
              <w:top w:val="single" w:color="000000" w:sz="4" w:space="0"/>
              <w:left w:val="single" w:color="000000" w:sz="4" w:space="0"/>
              <w:bottom w:val="single" w:color="000000" w:sz="4" w:space="0"/>
              <w:right w:val="nil"/>
            </w:tcBorders>
            <w:shd w:val="clear" w:color="auto" w:fill="auto"/>
            <w:noWrap/>
            <w:vAlign w:val="center"/>
          </w:tcPr>
          <w:p w14:paraId="320A23DF">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61.65</w:t>
            </w:r>
          </w:p>
        </w:tc>
      </w:tr>
      <w:tr w14:paraId="2FB9600F">
        <w:tblPrEx>
          <w:tblCellMar>
            <w:top w:w="0" w:type="dxa"/>
            <w:left w:w="108" w:type="dxa"/>
            <w:bottom w:w="0" w:type="dxa"/>
            <w:right w:w="108" w:type="dxa"/>
          </w:tblCellMar>
        </w:tblPrEx>
        <w:trPr>
          <w:trHeight w:val="340" w:hRule="atLeast"/>
        </w:trPr>
        <w:tc>
          <w:tcPr>
            <w:tcW w:w="658" w:type="pct"/>
            <w:tcBorders>
              <w:top w:val="single" w:color="000000" w:sz="4" w:space="0"/>
              <w:left w:val="nil"/>
              <w:bottom w:val="single" w:color="000000" w:sz="4" w:space="0"/>
              <w:right w:val="single" w:color="000000" w:sz="4" w:space="0"/>
            </w:tcBorders>
            <w:shd w:val="clear" w:color="auto" w:fill="auto"/>
            <w:noWrap/>
            <w:vAlign w:val="center"/>
          </w:tcPr>
          <w:p w14:paraId="3C36E7FD">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2023</w:t>
            </w:r>
          </w:p>
        </w:tc>
        <w:tc>
          <w:tcPr>
            <w:tcW w:w="9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EA5C3">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1100</w:t>
            </w:r>
          </w:p>
        </w:tc>
        <w:tc>
          <w:tcPr>
            <w:tcW w:w="8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9DCF1">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0</w:t>
            </w:r>
          </w:p>
        </w:tc>
        <w:tc>
          <w:tcPr>
            <w:tcW w:w="7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DDEBF">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1593.07</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70D04">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1623.76</w:t>
            </w:r>
          </w:p>
        </w:tc>
        <w:tc>
          <w:tcPr>
            <w:tcW w:w="792" w:type="pct"/>
            <w:tcBorders>
              <w:top w:val="single" w:color="000000" w:sz="4" w:space="0"/>
              <w:left w:val="single" w:color="000000" w:sz="4" w:space="0"/>
              <w:bottom w:val="single" w:color="000000" w:sz="4" w:space="0"/>
              <w:right w:val="nil"/>
            </w:tcBorders>
            <w:shd w:val="clear" w:color="auto" w:fill="auto"/>
            <w:noWrap/>
            <w:vAlign w:val="center"/>
          </w:tcPr>
          <w:p w14:paraId="109B452C">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60.29</w:t>
            </w:r>
          </w:p>
        </w:tc>
      </w:tr>
      <w:tr w14:paraId="323E70EA">
        <w:tblPrEx>
          <w:tblCellMar>
            <w:top w:w="0" w:type="dxa"/>
            <w:left w:w="108" w:type="dxa"/>
            <w:bottom w:w="0" w:type="dxa"/>
            <w:right w:w="108" w:type="dxa"/>
          </w:tblCellMar>
        </w:tblPrEx>
        <w:trPr>
          <w:trHeight w:val="340" w:hRule="atLeast"/>
        </w:trPr>
        <w:tc>
          <w:tcPr>
            <w:tcW w:w="658" w:type="pct"/>
            <w:tcBorders>
              <w:top w:val="single" w:color="000000" w:sz="4" w:space="0"/>
              <w:left w:val="nil"/>
              <w:bottom w:val="single" w:color="000000" w:sz="4" w:space="0"/>
              <w:right w:val="single" w:color="000000" w:sz="4" w:space="0"/>
            </w:tcBorders>
            <w:shd w:val="clear" w:color="auto" w:fill="auto"/>
            <w:noWrap/>
            <w:vAlign w:val="center"/>
          </w:tcPr>
          <w:p w14:paraId="75A6E654">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小计</w:t>
            </w:r>
          </w:p>
        </w:tc>
        <w:tc>
          <w:tcPr>
            <w:tcW w:w="9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F1E47">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8783</w:t>
            </w:r>
          </w:p>
        </w:tc>
        <w:tc>
          <w:tcPr>
            <w:tcW w:w="8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943B6">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1467.29</w:t>
            </w:r>
          </w:p>
        </w:tc>
        <w:tc>
          <w:tcPr>
            <w:tcW w:w="7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7869E">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3732.16</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42BA5">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11147.84</w:t>
            </w:r>
          </w:p>
        </w:tc>
        <w:tc>
          <w:tcPr>
            <w:tcW w:w="792" w:type="pct"/>
            <w:tcBorders>
              <w:top w:val="single" w:color="000000" w:sz="4" w:space="0"/>
              <w:left w:val="single" w:color="000000" w:sz="4" w:space="0"/>
              <w:bottom w:val="single" w:color="000000" w:sz="4" w:space="0"/>
              <w:right w:val="nil"/>
            </w:tcBorders>
            <w:shd w:val="clear" w:color="auto" w:fill="auto"/>
            <w:noWrap/>
            <w:vAlign w:val="center"/>
          </w:tcPr>
          <w:p w14:paraId="188B4763">
            <w:pPr>
              <w:widowControl/>
              <w:adjustRightInd w:val="0"/>
              <w:snapToGrid w:val="0"/>
              <w:jc w:val="center"/>
              <w:textAlignment w:val="center"/>
              <w:rPr>
                <w:rFonts w:ascii="Times New Roman" w:hAnsi="Times New Roman" w:eastAsia="宋体" w:cs="Times New Roman"/>
                <w:sz w:val="22"/>
              </w:rPr>
            </w:pPr>
            <w:r>
              <w:rPr>
                <w:rFonts w:ascii="Times New Roman" w:hAnsi="Times New Roman" w:eastAsia="宋体" w:cs="Times New Roman"/>
                <w:kern w:val="0"/>
                <w:sz w:val="22"/>
                <w:lang w:bidi="ar"/>
              </w:rPr>
              <w:t>-</w:t>
            </w:r>
          </w:p>
        </w:tc>
      </w:tr>
      <w:tr w14:paraId="34AC6E11">
        <w:tblPrEx>
          <w:tblCellMar>
            <w:top w:w="0" w:type="dxa"/>
            <w:left w:w="108" w:type="dxa"/>
            <w:bottom w:w="0" w:type="dxa"/>
            <w:right w:w="108" w:type="dxa"/>
          </w:tblCellMar>
        </w:tblPrEx>
        <w:trPr>
          <w:trHeight w:val="340" w:hRule="atLeast"/>
        </w:trPr>
        <w:tc>
          <w:tcPr>
            <w:tcW w:w="658" w:type="pct"/>
            <w:tcBorders>
              <w:top w:val="single" w:color="000000" w:sz="4" w:space="0"/>
              <w:left w:val="nil"/>
              <w:bottom w:val="single" w:color="000000" w:sz="8" w:space="0"/>
              <w:right w:val="single" w:color="000000" w:sz="4" w:space="0"/>
            </w:tcBorders>
            <w:shd w:val="clear" w:color="auto" w:fill="auto"/>
            <w:noWrap/>
            <w:vAlign w:val="center"/>
          </w:tcPr>
          <w:p w14:paraId="207E9395">
            <w:pPr>
              <w:widowControl/>
              <w:adjustRightInd w:val="0"/>
              <w:snapToGrid w:val="0"/>
              <w:jc w:val="center"/>
              <w:textAlignment w:val="center"/>
              <w:rPr>
                <w:rFonts w:ascii="Times New Roman" w:hAnsi="Times New Roman" w:eastAsia="宋体" w:cs="Times New Roman"/>
                <w:b/>
                <w:bCs/>
                <w:kern w:val="0"/>
                <w:sz w:val="22"/>
                <w:lang w:bidi="ar"/>
              </w:rPr>
            </w:pPr>
            <w:r>
              <w:rPr>
                <w:rFonts w:ascii="Times New Roman" w:hAnsi="Times New Roman" w:eastAsia="宋体" w:cs="Times New Roman"/>
                <w:b/>
                <w:bCs/>
                <w:kern w:val="0"/>
                <w:sz w:val="22"/>
                <w:lang w:bidi="ar"/>
              </w:rPr>
              <w:t>合计</w:t>
            </w:r>
          </w:p>
        </w:tc>
        <w:tc>
          <w:tcPr>
            <w:tcW w:w="2594" w:type="pct"/>
            <w:gridSpan w:val="3"/>
            <w:tcBorders>
              <w:top w:val="single" w:color="000000" w:sz="4" w:space="0"/>
              <w:left w:val="single" w:color="000000" w:sz="4" w:space="0"/>
              <w:bottom w:val="single" w:color="000000" w:sz="8" w:space="0"/>
              <w:right w:val="single" w:color="000000" w:sz="4" w:space="0"/>
            </w:tcBorders>
            <w:shd w:val="clear" w:color="auto" w:fill="auto"/>
            <w:noWrap/>
            <w:vAlign w:val="center"/>
          </w:tcPr>
          <w:p w14:paraId="32F0750D">
            <w:pPr>
              <w:widowControl/>
              <w:adjustRightInd w:val="0"/>
              <w:snapToGrid w:val="0"/>
              <w:jc w:val="center"/>
              <w:textAlignment w:val="center"/>
              <w:rPr>
                <w:rFonts w:ascii="Times New Roman" w:hAnsi="Times New Roman" w:eastAsia="宋体" w:cs="Times New Roman"/>
                <w:b/>
                <w:bCs/>
                <w:kern w:val="0"/>
                <w:sz w:val="22"/>
                <w:lang w:bidi="ar"/>
              </w:rPr>
            </w:pPr>
            <w:r>
              <w:rPr>
                <w:rFonts w:ascii="Times New Roman" w:hAnsi="Times New Roman" w:eastAsia="宋体" w:cs="Times New Roman"/>
                <w:b/>
                <w:bCs/>
                <w:kern w:val="0"/>
                <w:sz w:val="22"/>
                <w:lang w:bidi="ar"/>
              </w:rPr>
              <w:t>13982.45</w:t>
            </w:r>
          </w:p>
        </w:tc>
        <w:tc>
          <w:tcPr>
            <w:tcW w:w="954" w:type="pct"/>
            <w:tcBorders>
              <w:top w:val="single" w:color="000000" w:sz="4" w:space="0"/>
              <w:left w:val="single" w:color="000000" w:sz="4" w:space="0"/>
              <w:bottom w:val="single" w:color="000000" w:sz="8" w:space="0"/>
              <w:right w:val="single" w:color="000000" w:sz="4" w:space="0"/>
            </w:tcBorders>
            <w:shd w:val="clear" w:color="auto" w:fill="auto"/>
            <w:noWrap/>
            <w:vAlign w:val="center"/>
          </w:tcPr>
          <w:p w14:paraId="4DC736DC">
            <w:pPr>
              <w:widowControl/>
              <w:adjustRightInd w:val="0"/>
              <w:snapToGrid w:val="0"/>
              <w:jc w:val="center"/>
              <w:textAlignment w:val="center"/>
              <w:rPr>
                <w:rFonts w:ascii="Times New Roman" w:hAnsi="Times New Roman" w:eastAsia="宋体" w:cs="Times New Roman"/>
                <w:b/>
                <w:bCs/>
                <w:kern w:val="0"/>
                <w:sz w:val="22"/>
                <w:lang w:bidi="ar"/>
              </w:rPr>
            </w:pPr>
            <w:r>
              <w:rPr>
                <w:rFonts w:ascii="Times New Roman" w:hAnsi="Times New Roman" w:eastAsia="宋体" w:cs="Times New Roman"/>
                <w:b/>
                <w:bCs/>
                <w:kern w:val="0"/>
                <w:sz w:val="22"/>
                <w:lang w:bidi="ar"/>
              </w:rPr>
              <w:t>11147.84</w:t>
            </w:r>
          </w:p>
        </w:tc>
        <w:tc>
          <w:tcPr>
            <w:tcW w:w="792" w:type="pct"/>
            <w:tcBorders>
              <w:top w:val="single" w:color="000000" w:sz="4" w:space="0"/>
              <w:left w:val="single" w:color="000000" w:sz="4" w:space="0"/>
              <w:bottom w:val="single" w:color="000000" w:sz="8" w:space="0"/>
              <w:right w:val="nil"/>
            </w:tcBorders>
            <w:shd w:val="clear" w:color="auto" w:fill="auto"/>
            <w:noWrap/>
            <w:vAlign w:val="center"/>
          </w:tcPr>
          <w:p w14:paraId="6E90662B">
            <w:pPr>
              <w:widowControl/>
              <w:adjustRightInd w:val="0"/>
              <w:snapToGrid w:val="0"/>
              <w:jc w:val="center"/>
              <w:textAlignment w:val="center"/>
              <w:rPr>
                <w:rFonts w:ascii="Times New Roman" w:hAnsi="Times New Roman" w:eastAsia="宋体" w:cs="Times New Roman"/>
                <w:b/>
                <w:bCs/>
                <w:kern w:val="0"/>
                <w:sz w:val="22"/>
                <w:lang w:bidi="ar"/>
              </w:rPr>
            </w:pPr>
            <w:r>
              <w:rPr>
                <w:rFonts w:ascii="Times New Roman" w:hAnsi="Times New Roman" w:eastAsia="宋体" w:cs="Times New Roman"/>
                <w:b/>
                <w:bCs/>
                <w:kern w:val="0"/>
                <w:sz w:val="22"/>
                <w:lang w:bidi="ar"/>
              </w:rPr>
              <w:t>79.73</w:t>
            </w:r>
          </w:p>
        </w:tc>
      </w:tr>
    </w:tbl>
    <w:p w14:paraId="56075220">
      <w:pPr>
        <w:pStyle w:val="3"/>
        <w:rPr>
          <w:b/>
          <w:bCs/>
        </w:rPr>
      </w:pPr>
      <w:bookmarkStart w:id="38" w:name="_Toc20516"/>
      <w:bookmarkStart w:id="39" w:name="_Toc144736558"/>
      <w:bookmarkStart w:id="40" w:name="_Toc168818810"/>
      <w:bookmarkStart w:id="41" w:name="_Toc29521"/>
      <w:r>
        <w:t>（二）项目绩效目标</w:t>
      </w:r>
      <w:bookmarkEnd w:id="38"/>
      <w:bookmarkEnd w:id="39"/>
      <w:bookmarkEnd w:id="40"/>
      <w:bookmarkEnd w:id="41"/>
    </w:p>
    <w:p w14:paraId="71E66831">
      <w:pPr>
        <w:adjustRightInd w:val="0"/>
        <w:snapToGrid w:val="0"/>
        <w:spacing w:line="579" w:lineRule="exact"/>
        <w:ind w:firstLine="628" w:firstLineChars="200"/>
        <w:rPr>
          <w:rFonts w:ascii="Times New Roman" w:hAnsi="Times New Roman" w:eastAsia="仿宋_GB2312" w:cs="Times New Roman"/>
          <w:spacing w:val="-3"/>
          <w:sz w:val="32"/>
          <w:szCs w:val="32"/>
        </w:rPr>
      </w:pPr>
      <w:r>
        <w:rPr>
          <w:rFonts w:ascii="Times New Roman" w:hAnsi="Times New Roman" w:eastAsia="仿宋_GB2312" w:cs="Times New Roman"/>
          <w:spacing w:val="-3"/>
          <w:sz w:val="32"/>
          <w:szCs w:val="32"/>
        </w:rPr>
        <w:t>总体目标：2020年绩效目标为支付完成勘察及初步设计、完成EPC联合体招标、支付施工单位进场开工费用</w:t>
      </w:r>
      <w:r>
        <w:rPr>
          <w:rFonts w:ascii="Times New Roman" w:hAnsi="Times New Roman" w:eastAsia="仿宋_GB2312" w:cs="Times New Roman"/>
          <w:spacing w:val="-3"/>
          <w:sz w:val="32"/>
          <w:szCs w:val="32"/>
        </w:rPr>
        <w:tab/>
      </w:r>
      <w:r>
        <w:rPr>
          <w:rFonts w:ascii="Times New Roman" w:hAnsi="Times New Roman" w:eastAsia="仿宋_GB2312" w:cs="Times New Roman"/>
          <w:spacing w:val="-3"/>
          <w:sz w:val="32"/>
          <w:szCs w:val="32"/>
        </w:rPr>
        <w:t>；2021年绩效目标为完成工程EPC招标、工程施工监理招标、支付工程进度款；2022年绩效目标为计划支付2668</w:t>
      </w:r>
      <w:r>
        <w:rPr>
          <w:rFonts w:hint="eastAsia" w:ascii="Times New Roman" w:hAnsi="Times New Roman" w:eastAsia="仿宋_GB2312" w:cs="Times New Roman"/>
          <w:spacing w:val="-3"/>
          <w:sz w:val="32"/>
          <w:szCs w:val="32"/>
        </w:rPr>
        <w:t>万元（</w:t>
      </w:r>
      <w:r>
        <w:rPr>
          <w:rFonts w:ascii="Times New Roman" w:hAnsi="Times New Roman" w:eastAsia="仿宋_GB2312" w:cs="Times New Roman"/>
          <w:spacing w:val="-3"/>
          <w:sz w:val="32"/>
          <w:szCs w:val="32"/>
        </w:rPr>
        <w:t>11300×80%-2260-4112</w:t>
      </w:r>
      <w:r>
        <w:rPr>
          <w:rFonts w:hint="eastAsia" w:ascii="Times New Roman" w:hAnsi="Times New Roman" w:eastAsia="仿宋_GB2312" w:cs="Times New Roman"/>
          <w:spacing w:val="-3"/>
          <w:sz w:val="32"/>
          <w:szCs w:val="32"/>
        </w:rPr>
        <w:t>）、</w:t>
      </w:r>
      <w:r>
        <w:rPr>
          <w:rFonts w:ascii="Times New Roman" w:hAnsi="Times New Roman" w:eastAsia="仿宋_GB2312" w:cs="Times New Roman"/>
          <w:spacing w:val="-3"/>
          <w:sz w:val="32"/>
          <w:szCs w:val="32"/>
        </w:rPr>
        <w:t>支付监理费用133</w:t>
      </w:r>
      <w:r>
        <w:rPr>
          <w:rFonts w:hint="eastAsia" w:ascii="Times New Roman" w:hAnsi="Times New Roman" w:eastAsia="仿宋_GB2312" w:cs="Times New Roman"/>
          <w:spacing w:val="-3"/>
          <w:sz w:val="32"/>
          <w:szCs w:val="32"/>
        </w:rPr>
        <w:t>万元（</w:t>
      </w:r>
      <w:r>
        <w:rPr>
          <w:rFonts w:ascii="Times New Roman" w:hAnsi="Times New Roman" w:eastAsia="仿宋_GB2312" w:cs="Times New Roman"/>
          <w:spacing w:val="-3"/>
          <w:sz w:val="32"/>
          <w:szCs w:val="32"/>
        </w:rPr>
        <w:t>190×0.7</w:t>
      </w:r>
      <w:r>
        <w:rPr>
          <w:rFonts w:hint="eastAsia" w:ascii="Times New Roman" w:hAnsi="Times New Roman" w:eastAsia="仿宋_GB2312" w:cs="Times New Roman"/>
          <w:spacing w:val="-3"/>
          <w:sz w:val="32"/>
          <w:szCs w:val="32"/>
        </w:rPr>
        <w:t>）</w:t>
      </w:r>
      <w:r>
        <w:rPr>
          <w:rFonts w:ascii="Times New Roman" w:hAnsi="Times New Roman" w:eastAsia="仿宋_GB2312" w:cs="Times New Roman"/>
          <w:spacing w:val="-3"/>
          <w:sz w:val="32"/>
          <w:szCs w:val="32"/>
        </w:rPr>
        <w:t>、第三方检测费用7万</w:t>
      </w:r>
      <w:r>
        <w:rPr>
          <w:rFonts w:hint="eastAsia" w:ascii="Times New Roman" w:hAnsi="Times New Roman" w:eastAsia="仿宋_GB2312" w:cs="Times New Roman"/>
          <w:spacing w:val="-3"/>
          <w:sz w:val="32"/>
          <w:szCs w:val="32"/>
        </w:rPr>
        <w:t>元</w:t>
      </w:r>
      <w:r>
        <w:rPr>
          <w:rFonts w:ascii="Times New Roman" w:hAnsi="Times New Roman" w:eastAsia="仿宋_GB2312" w:cs="Times New Roman"/>
          <w:spacing w:val="-3"/>
          <w:sz w:val="32"/>
          <w:szCs w:val="32"/>
        </w:rPr>
        <w:t>、五级边坡检测费用约60万</w:t>
      </w:r>
      <w:r>
        <w:rPr>
          <w:rFonts w:hint="eastAsia" w:ascii="Times New Roman" w:hAnsi="Times New Roman" w:eastAsia="仿宋_GB2312" w:cs="Times New Roman"/>
          <w:spacing w:val="-3"/>
          <w:sz w:val="32"/>
          <w:szCs w:val="32"/>
        </w:rPr>
        <w:t>元</w:t>
      </w:r>
      <w:r>
        <w:rPr>
          <w:rFonts w:ascii="Times New Roman" w:hAnsi="Times New Roman" w:eastAsia="仿宋_GB2312" w:cs="Times New Roman"/>
          <w:spacing w:val="-3"/>
          <w:sz w:val="32"/>
          <w:szCs w:val="32"/>
        </w:rPr>
        <w:t>、水土保持检测及验收约20万</w:t>
      </w:r>
      <w:r>
        <w:rPr>
          <w:rFonts w:hint="eastAsia" w:ascii="Times New Roman" w:hAnsi="Times New Roman" w:eastAsia="仿宋_GB2312" w:cs="Times New Roman"/>
          <w:spacing w:val="-3"/>
          <w:sz w:val="32"/>
          <w:szCs w:val="32"/>
        </w:rPr>
        <w:t>元</w:t>
      </w:r>
      <w:r>
        <w:rPr>
          <w:rFonts w:ascii="Times New Roman" w:hAnsi="Times New Roman" w:eastAsia="仿宋_GB2312" w:cs="Times New Roman"/>
          <w:spacing w:val="-3"/>
          <w:sz w:val="32"/>
          <w:szCs w:val="32"/>
        </w:rPr>
        <w:t>、债券拨付金额2100万元；2023年绩效目标为支付790万</w:t>
      </w:r>
      <w:r>
        <w:rPr>
          <w:rFonts w:hint="eastAsia" w:ascii="Times New Roman" w:hAnsi="Times New Roman" w:eastAsia="仿宋_GB2312" w:cs="Times New Roman"/>
          <w:spacing w:val="-3"/>
          <w:sz w:val="32"/>
          <w:szCs w:val="32"/>
        </w:rPr>
        <w:t>元（</w:t>
      </w:r>
      <w:r>
        <w:rPr>
          <w:rFonts w:ascii="Times New Roman" w:hAnsi="Times New Roman" w:eastAsia="仿宋_GB2312" w:cs="Times New Roman"/>
          <w:spacing w:val="-3"/>
          <w:sz w:val="32"/>
          <w:szCs w:val="32"/>
        </w:rPr>
        <w:t>11300×7%</w:t>
      </w:r>
      <w:r>
        <w:rPr>
          <w:rFonts w:hint="eastAsia" w:ascii="Times New Roman" w:hAnsi="Times New Roman" w:eastAsia="仿宋_GB2312" w:cs="Times New Roman"/>
          <w:spacing w:val="-3"/>
          <w:sz w:val="32"/>
          <w:szCs w:val="32"/>
        </w:rPr>
        <w:t>），支付</w:t>
      </w:r>
      <w:r>
        <w:rPr>
          <w:rFonts w:ascii="Times New Roman" w:hAnsi="Times New Roman" w:eastAsia="仿宋_GB2312" w:cs="Times New Roman"/>
          <w:spacing w:val="-3"/>
          <w:sz w:val="32"/>
          <w:szCs w:val="32"/>
        </w:rPr>
        <w:t>工程变更已批复110万</w:t>
      </w:r>
      <w:r>
        <w:rPr>
          <w:rFonts w:hint="eastAsia" w:ascii="Times New Roman" w:hAnsi="Times New Roman" w:eastAsia="仿宋_GB2312" w:cs="Times New Roman"/>
          <w:spacing w:val="-3"/>
          <w:sz w:val="32"/>
          <w:szCs w:val="32"/>
        </w:rPr>
        <w:t>元</w:t>
      </w:r>
      <w:r>
        <w:rPr>
          <w:rFonts w:ascii="Times New Roman" w:hAnsi="Times New Roman" w:eastAsia="仿宋_GB2312" w:cs="Times New Roman"/>
          <w:spacing w:val="-3"/>
          <w:sz w:val="32"/>
          <w:szCs w:val="32"/>
        </w:rPr>
        <w:t>，预计工程变更约200万</w:t>
      </w:r>
      <w:r>
        <w:rPr>
          <w:rFonts w:hint="eastAsia" w:ascii="Times New Roman" w:hAnsi="Times New Roman" w:eastAsia="仿宋_GB2312" w:cs="Times New Roman"/>
          <w:spacing w:val="-3"/>
          <w:sz w:val="32"/>
          <w:szCs w:val="32"/>
        </w:rPr>
        <w:t>元，</w:t>
      </w:r>
      <w:r>
        <w:rPr>
          <w:rFonts w:ascii="Times New Roman" w:hAnsi="Times New Roman" w:eastAsia="仿宋_GB2312" w:cs="Times New Roman"/>
          <w:spacing w:val="-3"/>
          <w:sz w:val="32"/>
          <w:szCs w:val="32"/>
        </w:rPr>
        <w:t>支付监理费用80万</w:t>
      </w:r>
      <w:r>
        <w:rPr>
          <w:rFonts w:hint="eastAsia" w:ascii="Times New Roman" w:hAnsi="Times New Roman" w:eastAsia="仿宋_GB2312" w:cs="Times New Roman"/>
          <w:spacing w:val="-3"/>
          <w:sz w:val="32"/>
          <w:szCs w:val="32"/>
        </w:rPr>
        <w:t>元，</w:t>
      </w:r>
      <w:r>
        <w:rPr>
          <w:rFonts w:ascii="Times New Roman" w:hAnsi="Times New Roman" w:eastAsia="仿宋_GB2312" w:cs="Times New Roman"/>
          <w:spacing w:val="-3"/>
          <w:sz w:val="32"/>
          <w:szCs w:val="32"/>
        </w:rPr>
        <w:t>支付施工图设计及预算编制费50万</w:t>
      </w:r>
      <w:r>
        <w:rPr>
          <w:rFonts w:hint="eastAsia" w:ascii="Times New Roman" w:hAnsi="Times New Roman" w:eastAsia="仿宋_GB2312" w:cs="Times New Roman"/>
          <w:spacing w:val="-3"/>
          <w:sz w:val="32"/>
          <w:szCs w:val="32"/>
        </w:rPr>
        <w:t>元</w:t>
      </w:r>
      <w:r>
        <w:rPr>
          <w:rFonts w:ascii="Times New Roman" w:hAnsi="Times New Roman" w:eastAsia="仿宋_GB2312" w:cs="Times New Roman"/>
          <w:spacing w:val="-3"/>
          <w:sz w:val="32"/>
          <w:szCs w:val="32"/>
        </w:rPr>
        <w:t>、第三方检测费用7万</w:t>
      </w:r>
      <w:r>
        <w:rPr>
          <w:rFonts w:hint="eastAsia" w:ascii="Times New Roman" w:hAnsi="Times New Roman" w:eastAsia="仿宋_GB2312" w:cs="Times New Roman"/>
          <w:spacing w:val="-3"/>
          <w:sz w:val="32"/>
          <w:szCs w:val="32"/>
        </w:rPr>
        <w:t>元</w:t>
      </w:r>
      <w:r>
        <w:rPr>
          <w:rFonts w:ascii="Times New Roman" w:hAnsi="Times New Roman" w:eastAsia="仿宋_GB2312" w:cs="Times New Roman"/>
          <w:spacing w:val="-3"/>
          <w:sz w:val="32"/>
          <w:szCs w:val="32"/>
        </w:rPr>
        <w:t>、水土保持检测及验收</w:t>
      </w:r>
      <w:r>
        <w:rPr>
          <w:rFonts w:hint="eastAsia" w:ascii="Times New Roman" w:hAnsi="Times New Roman" w:eastAsia="仿宋_GB2312" w:cs="Times New Roman"/>
          <w:spacing w:val="-3"/>
          <w:sz w:val="32"/>
          <w:szCs w:val="32"/>
        </w:rPr>
        <w:t>费用</w:t>
      </w:r>
      <w:r>
        <w:rPr>
          <w:rFonts w:ascii="Times New Roman" w:hAnsi="Times New Roman" w:eastAsia="仿宋_GB2312" w:cs="Times New Roman"/>
          <w:spacing w:val="-3"/>
          <w:sz w:val="32"/>
          <w:szCs w:val="32"/>
        </w:rPr>
        <w:t>约20万</w:t>
      </w:r>
      <w:r>
        <w:rPr>
          <w:rFonts w:hint="eastAsia" w:ascii="Times New Roman" w:hAnsi="Times New Roman" w:eastAsia="仿宋_GB2312" w:cs="Times New Roman"/>
          <w:spacing w:val="-3"/>
          <w:sz w:val="32"/>
          <w:szCs w:val="32"/>
        </w:rPr>
        <w:t>元，</w:t>
      </w:r>
      <w:r>
        <w:rPr>
          <w:rFonts w:ascii="Times New Roman" w:hAnsi="Times New Roman" w:eastAsia="仿宋_GB2312" w:cs="Times New Roman"/>
          <w:spacing w:val="-3"/>
          <w:sz w:val="32"/>
          <w:szCs w:val="32"/>
        </w:rPr>
        <w:t>拨付债券金额1147万元</w:t>
      </w:r>
      <w:r>
        <w:rPr>
          <w:rFonts w:hint="eastAsia" w:ascii="Times New Roman" w:hAnsi="Times New Roman" w:eastAsia="仿宋_GB2312" w:cs="Times New Roman"/>
          <w:spacing w:val="-3"/>
          <w:sz w:val="32"/>
          <w:szCs w:val="32"/>
        </w:rPr>
        <w:t>，</w:t>
      </w:r>
      <w:r>
        <w:rPr>
          <w:rFonts w:ascii="Times New Roman" w:hAnsi="Times New Roman" w:eastAsia="仿宋_GB2312" w:cs="Times New Roman"/>
          <w:spacing w:val="-3"/>
          <w:sz w:val="32"/>
          <w:szCs w:val="32"/>
        </w:rPr>
        <w:t>财政批复1100万元。</w:t>
      </w:r>
    </w:p>
    <w:p w14:paraId="2F382673">
      <w:pPr>
        <w:adjustRightInd w:val="0"/>
        <w:snapToGrid w:val="0"/>
        <w:spacing w:line="579" w:lineRule="exact"/>
        <w:ind w:firstLine="628" w:firstLineChars="200"/>
        <w:rPr>
          <w:rFonts w:ascii="Times New Roman" w:hAnsi="Times New Roman" w:eastAsia="仿宋_GB2312" w:cs="Times New Roman"/>
          <w:spacing w:val="-3"/>
          <w:sz w:val="32"/>
          <w:szCs w:val="32"/>
        </w:rPr>
      </w:pPr>
      <w:r>
        <w:rPr>
          <w:rFonts w:ascii="Times New Roman" w:hAnsi="Times New Roman" w:eastAsia="仿宋_GB2312" w:cs="Times New Roman"/>
          <w:spacing w:val="-3"/>
          <w:sz w:val="32"/>
          <w:szCs w:val="32"/>
        </w:rPr>
        <w:t>具体</w:t>
      </w:r>
      <w:r>
        <w:rPr>
          <w:rFonts w:hint="eastAsia" w:ascii="Times New Roman" w:hAnsi="Times New Roman" w:eastAsia="仿宋_GB2312" w:cs="Times New Roman"/>
          <w:spacing w:val="-3"/>
          <w:sz w:val="32"/>
          <w:szCs w:val="32"/>
        </w:rPr>
        <w:t>指标</w:t>
      </w:r>
      <w:r>
        <w:rPr>
          <w:rFonts w:ascii="Times New Roman" w:hAnsi="Times New Roman" w:eastAsia="仿宋_GB2312" w:cs="Times New Roman"/>
          <w:spacing w:val="-3"/>
          <w:sz w:val="32"/>
          <w:szCs w:val="32"/>
        </w:rPr>
        <w:t>：2020年绩效指标为建设规模2.469km，质量达标率100%，计划进度完成及时率≥90%，年度预算执行率≥90%，重大事故0次，项目自身可持续性良好，受益群体满意度≥90%；2021年绩效指标为修建的道路长度2.477km，路面状况指数良好，计划进度完成率≥90%，年度预算执行率≥90%，驾驶员行车舒适度为舒适，项目所处区域可持续性为可持续，</w:t>
      </w:r>
      <w:r>
        <w:rPr>
          <w:rFonts w:hint="eastAsia" w:ascii="Times New Roman" w:hAnsi="Times New Roman" w:eastAsia="仿宋_GB2312" w:cs="Times New Roman"/>
          <w:spacing w:val="-3"/>
          <w:sz w:val="32"/>
          <w:szCs w:val="32"/>
        </w:rPr>
        <w:t>受益群体</w:t>
      </w:r>
      <w:r>
        <w:rPr>
          <w:rFonts w:ascii="Times New Roman" w:hAnsi="Times New Roman" w:eastAsia="仿宋_GB2312" w:cs="Times New Roman"/>
          <w:spacing w:val="-3"/>
          <w:sz w:val="32"/>
          <w:szCs w:val="32"/>
        </w:rPr>
        <w:t>满意度≥90%；2022年绩效指标为道路建设2.477km，工程质量合格率100%，工程完成时间为明年，预算执行率≥90%，利民、便民达到预期效果，设施使用效果较好，</w:t>
      </w:r>
      <w:bookmarkEnd w:id="30"/>
      <w:bookmarkEnd w:id="31"/>
      <w:bookmarkEnd w:id="32"/>
      <w:bookmarkStart w:id="42" w:name="_Toc130222027"/>
      <w:bookmarkStart w:id="43" w:name="_Toc144736563"/>
      <w:bookmarkStart w:id="44" w:name="_Toc32093"/>
      <w:bookmarkStart w:id="45" w:name="_Toc49163997"/>
      <w:bookmarkStart w:id="46" w:name="_Toc58595328"/>
      <w:bookmarkStart w:id="47" w:name="_Toc44667794"/>
      <w:r>
        <w:rPr>
          <w:rFonts w:ascii="Times New Roman" w:hAnsi="Times New Roman" w:eastAsia="仿宋_GB2312" w:cs="Times New Roman"/>
          <w:spacing w:val="-3"/>
          <w:sz w:val="32"/>
          <w:szCs w:val="32"/>
        </w:rPr>
        <w:t>服务对象满意度指标为满意；2023年绩效指标为道路建设2.477km，工程质量合格率100%，工程完成时间为2023年6月，超概算项目比例≤2%，设计功能实现率≥95%，相关基础设施配套性为完善，服务对象满意度指标为满意。</w:t>
      </w:r>
    </w:p>
    <w:p w14:paraId="1827CCFE">
      <w:pPr>
        <w:pStyle w:val="2"/>
        <w:keepNext w:val="0"/>
        <w:keepLines w:val="0"/>
        <w:widowControl w:val="0"/>
        <w:adjustRightInd w:val="0"/>
        <w:snapToGrid w:val="0"/>
        <w:spacing w:before="0" w:after="0" w:line="579" w:lineRule="exact"/>
        <w:ind w:firstLine="640" w:firstLineChars="200"/>
        <w:rPr>
          <w:rFonts w:ascii="Times New Roman" w:hAnsi="Times New Roman" w:eastAsia="黑体"/>
          <w:b w:val="0"/>
          <w:bCs w:val="0"/>
          <w:sz w:val="32"/>
          <w:szCs w:val="32"/>
        </w:rPr>
      </w:pPr>
      <w:bookmarkStart w:id="48" w:name="_Toc168818811"/>
      <w:bookmarkStart w:id="49" w:name="_Toc31222"/>
      <w:r>
        <w:rPr>
          <w:rFonts w:ascii="Times New Roman" w:hAnsi="Times New Roman" w:eastAsia="黑体"/>
          <w:b w:val="0"/>
          <w:bCs w:val="0"/>
          <w:sz w:val="32"/>
          <w:szCs w:val="32"/>
        </w:rPr>
        <w:t>二、绩效评价工作开展情况</w:t>
      </w:r>
      <w:bookmarkEnd w:id="42"/>
      <w:bookmarkEnd w:id="43"/>
      <w:bookmarkEnd w:id="44"/>
      <w:bookmarkEnd w:id="48"/>
      <w:bookmarkEnd w:id="49"/>
    </w:p>
    <w:p w14:paraId="49EFDD20">
      <w:pPr>
        <w:pStyle w:val="3"/>
        <w:rPr>
          <w:b/>
          <w:bCs/>
        </w:rPr>
      </w:pPr>
      <w:bookmarkStart w:id="50" w:name="_Toc31987"/>
      <w:bookmarkStart w:id="51" w:name="_Toc144736564"/>
      <w:bookmarkStart w:id="52" w:name="_Toc17759"/>
      <w:bookmarkStart w:id="53" w:name="_Toc130222028"/>
      <w:bookmarkStart w:id="54" w:name="_Toc168818812"/>
      <w:r>
        <w:t>（一）绩效评价目的、对象和范围</w:t>
      </w:r>
      <w:bookmarkEnd w:id="50"/>
      <w:bookmarkEnd w:id="51"/>
      <w:bookmarkEnd w:id="52"/>
      <w:bookmarkEnd w:id="53"/>
      <w:bookmarkEnd w:id="54"/>
    </w:p>
    <w:p w14:paraId="1202FEF4">
      <w:pPr>
        <w:pStyle w:val="23"/>
        <w:widowControl w:val="0"/>
        <w:topLinePunct/>
        <w:adjustRightInd w:val="0"/>
        <w:snapToGrid w:val="0"/>
        <w:spacing w:line="579" w:lineRule="exact"/>
        <w:ind w:firstLine="640" w:firstLineChars="200"/>
        <w:outlineLvl w:val="2"/>
        <w:rPr>
          <w:rFonts w:eastAsia="仿宋_GB2312"/>
          <w:b/>
          <w:bCs/>
          <w:sz w:val="32"/>
          <w:szCs w:val="32"/>
        </w:rPr>
      </w:pPr>
      <w:bookmarkStart w:id="55" w:name="_Toc144736565"/>
      <w:bookmarkStart w:id="56" w:name="_Toc130222029"/>
      <w:bookmarkStart w:id="57" w:name="_Toc23518"/>
      <w:bookmarkStart w:id="58" w:name="_Toc168818813"/>
      <w:bookmarkStart w:id="59" w:name="_Toc12171"/>
      <w:r>
        <w:rPr>
          <w:rFonts w:eastAsia="仿宋_GB2312"/>
          <w:b/>
          <w:bCs/>
          <w:sz w:val="32"/>
          <w:szCs w:val="32"/>
        </w:rPr>
        <w:t>1．绩效评价目的</w:t>
      </w:r>
      <w:bookmarkEnd w:id="55"/>
      <w:bookmarkEnd w:id="56"/>
      <w:bookmarkEnd w:id="57"/>
      <w:bookmarkEnd w:id="58"/>
      <w:bookmarkEnd w:id="59"/>
    </w:p>
    <w:p w14:paraId="17FB8074">
      <w:pPr>
        <w:topLinePunct/>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w:t>
      </w:r>
      <w:r>
        <w:rPr>
          <w:rFonts w:ascii="Times New Roman" w:hAnsi="Times New Roman" w:eastAsia="仿宋_GB2312" w:cs="Times New Roman"/>
          <w:bCs/>
          <w:kern w:val="0"/>
          <w:sz w:val="32"/>
          <w:szCs w:val="32"/>
        </w:rPr>
        <w:t>环城路项目</w:t>
      </w:r>
      <w:r>
        <w:rPr>
          <w:rFonts w:ascii="Times New Roman" w:hAnsi="Times New Roman" w:eastAsia="仿宋_GB2312" w:cs="Times New Roman"/>
          <w:sz w:val="32"/>
          <w:szCs w:val="32"/>
        </w:rPr>
        <w:t>的前期工作、项目管理、产出、效果进行分析，评价项目整体的规范性、</w:t>
      </w:r>
      <w:r>
        <w:rPr>
          <w:rFonts w:hint="eastAsia" w:ascii="Times New Roman" w:hAnsi="Times New Roman" w:eastAsia="仿宋_GB2312" w:cs="Times New Roman"/>
          <w:sz w:val="32"/>
          <w:szCs w:val="32"/>
        </w:rPr>
        <w:t>管理水平</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产出</w:t>
      </w:r>
      <w:r>
        <w:rPr>
          <w:rFonts w:ascii="Times New Roman" w:hAnsi="Times New Roman" w:eastAsia="仿宋_GB2312" w:cs="Times New Roman"/>
          <w:sz w:val="32"/>
          <w:szCs w:val="32"/>
        </w:rPr>
        <w:t>和效果，总结项目经验，揭示影响项目绩效的主要因素，分析问题产生的原因，为项目绩效管理提出合理建议，为进一步完善项目</w:t>
      </w:r>
      <w:r>
        <w:rPr>
          <w:rFonts w:hint="eastAsia" w:ascii="Times New Roman" w:hAnsi="Times New Roman" w:eastAsia="仿宋_GB2312" w:cs="Times New Roman"/>
          <w:sz w:val="32"/>
          <w:szCs w:val="32"/>
        </w:rPr>
        <w:t>实施</w:t>
      </w:r>
      <w:r>
        <w:rPr>
          <w:rFonts w:ascii="Times New Roman" w:hAnsi="Times New Roman" w:eastAsia="仿宋_GB2312" w:cs="Times New Roman"/>
          <w:sz w:val="32"/>
          <w:szCs w:val="32"/>
        </w:rPr>
        <w:t>提供参考，促使谢岗工程建设中心不断提高财政资金使用效益，提升管理水平。</w:t>
      </w:r>
    </w:p>
    <w:p w14:paraId="267BA341">
      <w:pPr>
        <w:pStyle w:val="23"/>
        <w:widowControl w:val="0"/>
        <w:topLinePunct/>
        <w:adjustRightInd w:val="0"/>
        <w:snapToGrid w:val="0"/>
        <w:spacing w:line="579" w:lineRule="exact"/>
        <w:ind w:firstLine="640" w:firstLineChars="200"/>
        <w:outlineLvl w:val="2"/>
        <w:rPr>
          <w:rFonts w:eastAsia="仿宋_GB2312"/>
          <w:b/>
          <w:bCs/>
          <w:sz w:val="32"/>
          <w:szCs w:val="32"/>
        </w:rPr>
      </w:pPr>
      <w:bookmarkStart w:id="60" w:name="_Toc130222030"/>
      <w:bookmarkStart w:id="61" w:name="_Toc3196"/>
      <w:bookmarkStart w:id="62" w:name="_Toc168818814"/>
      <w:bookmarkStart w:id="63" w:name="_Toc144736566"/>
      <w:bookmarkStart w:id="64" w:name="_Toc1290"/>
      <w:r>
        <w:rPr>
          <w:rFonts w:eastAsia="仿宋_GB2312"/>
          <w:b/>
          <w:bCs/>
          <w:sz w:val="32"/>
          <w:szCs w:val="32"/>
        </w:rPr>
        <w:t>2．评价对象和范围</w:t>
      </w:r>
      <w:bookmarkEnd w:id="60"/>
      <w:bookmarkEnd w:id="61"/>
      <w:bookmarkEnd w:id="62"/>
      <w:bookmarkEnd w:id="63"/>
      <w:bookmarkEnd w:id="64"/>
    </w:p>
    <w:p w14:paraId="7032C888">
      <w:pPr>
        <w:topLinePunct/>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评价对象和范围为谢岗工程建设中心2020—2023年度环城路项目，评价金额为11147.84万元。</w:t>
      </w:r>
    </w:p>
    <w:p w14:paraId="6743F407">
      <w:pPr>
        <w:pStyle w:val="3"/>
        <w:rPr>
          <w:b/>
          <w:bCs/>
        </w:rPr>
      </w:pPr>
      <w:bookmarkStart w:id="65" w:name="_Toc144736567"/>
      <w:bookmarkStart w:id="66" w:name="_Toc23273"/>
      <w:bookmarkStart w:id="67" w:name="_Toc130222031"/>
      <w:bookmarkStart w:id="68" w:name="_Toc168818815"/>
      <w:bookmarkStart w:id="69" w:name="_Toc24885"/>
      <w:r>
        <w:t>（二）绩效评价原则与方法</w:t>
      </w:r>
      <w:bookmarkEnd w:id="65"/>
      <w:bookmarkEnd w:id="66"/>
      <w:bookmarkEnd w:id="67"/>
      <w:bookmarkEnd w:id="68"/>
      <w:bookmarkEnd w:id="69"/>
    </w:p>
    <w:p w14:paraId="34F59CAA">
      <w:pPr>
        <w:pStyle w:val="23"/>
        <w:widowControl w:val="0"/>
        <w:topLinePunct/>
        <w:adjustRightInd w:val="0"/>
        <w:snapToGrid w:val="0"/>
        <w:spacing w:line="579" w:lineRule="exact"/>
        <w:ind w:firstLine="628" w:firstLineChars="200"/>
        <w:outlineLvl w:val="2"/>
        <w:rPr>
          <w:rFonts w:eastAsia="仿宋_GB2312"/>
          <w:b/>
          <w:bCs/>
          <w:spacing w:val="-3"/>
          <w:sz w:val="32"/>
          <w:szCs w:val="32"/>
        </w:rPr>
      </w:pPr>
      <w:bookmarkStart w:id="70" w:name="_Toc168818816"/>
      <w:bookmarkStart w:id="71" w:name="_Toc130222032"/>
      <w:bookmarkStart w:id="72" w:name="_Toc9879"/>
      <w:bookmarkStart w:id="73" w:name="_Toc144736568"/>
      <w:bookmarkStart w:id="74" w:name="_Toc15251"/>
      <w:r>
        <w:rPr>
          <w:rFonts w:eastAsia="仿宋_GB2312"/>
          <w:b/>
          <w:bCs/>
          <w:spacing w:val="-3"/>
          <w:sz w:val="32"/>
          <w:szCs w:val="32"/>
        </w:rPr>
        <w:t>1．评价原则</w:t>
      </w:r>
      <w:bookmarkEnd w:id="70"/>
      <w:bookmarkEnd w:id="71"/>
      <w:bookmarkEnd w:id="72"/>
      <w:bookmarkEnd w:id="73"/>
      <w:bookmarkEnd w:id="74"/>
    </w:p>
    <w:p w14:paraId="4D8803B8">
      <w:pPr>
        <w:topLinePunct/>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（1）科学规范，公开透明。运用科学合理的方法，按照规范的程序，对项目绩效进行客观、公正地反映。评价结果依法依规公开，并自觉接受社会监督。</w:t>
      </w:r>
    </w:p>
    <w:p w14:paraId="76037B23">
      <w:pPr>
        <w:topLinePunct/>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（2）问题导向，注重质量。全面深入挖掘、剖析项目决策、实施和管理中存在的问题，聚焦项目的实施效果。加强与相关各方的沟通和协调，保证材料的</w:t>
      </w:r>
      <w:r>
        <w:rPr>
          <w:rFonts w:hint="eastAsia" w:ascii="Times New Roman" w:hAnsi="Times New Roman" w:eastAsia="仿宋_GB2312" w:cs="Times New Roman"/>
          <w:sz w:val="32"/>
          <w:szCs w:val="32"/>
          <w:lang w:eastAsia="zh-CN"/>
        </w:rPr>
        <w:t>完整</w:t>
      </w:r>
      <w:r>
        <w:rPr>
          <w:rFonts w:ascii="Times New Roman" w:hAnsi="Times New Roman" w:eastAsia="仿宋_GB2312" w:cs="Times New Roman"/>
          <w:sz w:val="32"/>
          <w:szCs w:val="32"/>
        </w:rPr>
        <w:t>性，确保评价实效。</w:t>
      </w:r>
    </w:p>
    <w:p w14:paraId="7E97F0FC">
      <w:pPr>
        <w:topLinePunct/>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（3）强化应用，约束有力。评价结果提交</w:t>
      </w:r>
      <w:r>
        <w:rPr>
          <w:rFonts w:hint="eastAsia" w:ascii="Times New Roman" w:hAnsi="Times New Roman" w:eastAsia="仿宋_GB2312" w:cs="Times New Roman"/>
          <w:sz w:val="32"/>
          <w:szCs w:val="32"/>
        </w:rPr>
        <w:t>财政部门</w:t>
      </w:r>
      <w:r>
        <w:rPr>
          <w:rFonts w:ascii="Times New Roman" w:hAnsi="Times New Roman" w:eastAsia="仿宋_GB2312" w:cs="Times New Roman"/>
          <w:sz w:val="32"/>
          <w:szCs w:val="32"/>
        </w:rPr>
        <w:t>，与预算安排、政策调整、改进管理实质性挂钩，体现奖优罚劣和激励相容导向，有效要安排、低效要压减、无效要问责。</w:t>
      </w:r>
    </w:p>
    <w:p w14:paraId="2604FCBE">
      <w:pPr>
        <w:pStyle w:val="23"/>
        <w:widowControl w:val="0"/>
        <w:topLinePunct/>
        <w:adjustRightInd w:val="0"/>
        <w:snapToGrid w:val="0"/>
        <w:spacing w:line="579" w:lineRule="exact"/>
        <w:ind w:firstLine="628" w:firstLineChars="200"/>
        <w:outlineLvl w:val="2"/>
        <w:rPr>
          <w:rFonts w:eastAsia="仿宋_GB2312"/>
          <w:b/>
          <w:bCs/>
          <w:spacing w:val="-3"/>
          <w:sz w:val="32"/>
          <w:szCs w:val="32"/>
        </w:rPr>
      </w:pPr>
      <w:bookmarkStart w:id="75" w:name="_Toc14652"/>
      <w:bookmarkStart w:id="76" w:name="_Toc168818817"/>
      <w:bookmarkStart w:id="77" w:name="_Toc12143"/>
      <w:bookmarkStart w:id="78" w:name="_Toc144736569"/>
      <w:bookmarkStart w:id="79" w:name="_Toc130222033"/>
      <w:r>
        <w:rPr>
          <w:rFonts w:eastAsia="仿宋_GB2312"/>
          <w:b/>
          <w:bCs/>
          <w:spacing w:val="-3"/>
          <w:sz w:val="32"/>
          <w:szCs w:val="32"/>
        </w:rPr>
        <w:t>2．评价方法</w:t>
      </w:r>
      <w:bookmarkEnd w:id="75"/>
      <w:bookmarkEnd w:id="76"/>
      <w:bookmarkEnd w:id="77"/>
      <w:bookmarkEnd w:id="78"/>
      <w:bookmarkEnd w:id="79"/>
    </w:p>
    <w:p w14:paraId="2860CEFB">
      <w:pPr>
        <w:topLinePunct/>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项目采取“书面材料审核和现场评价”相结合的方式，综合运用规范研究与实证调查相结合、定量分析与定性分析相结合等方法，采用成本效益分析法、比较法、因素分析法、公众评判法、标杆管理法等方法对该项经费使用的经济性、规范性和效益性进行客观公正评价。</w:t>
      </w:r>
    </w:p>
    <w:p w14:paraId="24F13160">
      <w:pPr>
        <w:topLinePunct/>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现场评价。政典研究院组织该项目行业专家、财务审计专家、绩效专家进行现场评价，与谢岗工程建设中心开展现场座谈，实地勘察道路现状，并在谢岗工程建设中心的协助下发放满意度调查问卷，充分了解项目成效及存在问题。</w:t>
      </w:r>
    </w:p>
    <w:p w14:paraId="54000092">
      <w:pPr>
        <w:topLinePunct/>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（2）综合评价。评价组</w:t>
      </w:r>
      <w:r>
        <w:rPr>
          <w:rFonts w:hint="eastAsia" w:ascii="Times New Roman" w:hAnsi="Times New Roman" w:eastAsia="仿宋_GB2312" w:cs="Times New Roman"/>
          <w:sz w:val="32"/>
          <w:szCs w:val="32"/>
        </w:rPr>
        <w:t>（附件1）</w:t>
      </w:r>
      <w:r>
        <w:rPr>
          <w:rFonts w:ascii="Times New Roman" w:hAnsi="Times New Roman" w:eastAsia="仿宋_GB2312" w:cs="Times New Roman"/>
          <w:sz w:val="32"/>
          <w:szCs w:val="32"/>
        </w:rPr>
        <w:t>根据佐证资料和调研成果，进行信息汇总和统计分析，形成评价结论并提出优化项目管理的建议。</w:t>
      </w:r>
    </w:p>
    <w:p w14:paraId="1F22D2EF">
      <w:pPr>
        <w:pStyle w:val="3"/>
        <w:rPr>
          <w:b/>
          <w:bCs/>
        </w:rPr>
      </w:pPr>
      <w:bookmarkStart w:id="80" w:name="_Toc130222034"/>
      <w:bookmarkStart w:id="81" w:name="_Toc4256"/>
      <w:bookmarkStart w:id="82" w:name="_Toc168818818"/>
      <w:bookmarkStart w:id="83" w:name="_Toc144736570"/>
      <w:bookmarkStart w:id="84" w:name="_Toc7229"/>
      <w:r>
        <w:t>（三）绩效评价标准与依据</w:t>
      </w:r>
      <w:bookmarkEnd w:id="80"/>
      <w:bookmarkEnd w:id="81"/>
      <w:bookmarkEnd w:id="82"/>
      <w:bookmarkEnd w:id="83"/>
      <w:bookmarkEnd w:id="84"/>
    </w:p>
    <w:p w14:paraId="1602D1E6">
      <w:pPr>
        <w:pStyle w:val="23"/>
        <w:widowControl w:val="0"/>
        <w:topLinePunct/>
        <w:adjustRightInd w:val="0"/>
        <w:snapToGrid w:val="0"/>
        <w:spacing w:line="579" w:lineRule="exact"/>
        <w:ind w:firstLine="640" w:firstLineChars="200"/>
        <w:outlineLvl w:val="2"/>
        <w:rPr>
          <w:rFonts w:eastAsia="仿宋_GB2312"/>
          <w:b/>
          <w:bCs/>
          <w:sz w:val="32"/>
          <w:szCs w:val="32"/>
        </w:rPr>
      </w:pPr>
      <w:bookmarkStart w:id="85" w:name="_Toc144736571"/>
      <w:bookmarkStart w:id="86" w:name="_Toc7899"/>
      <w:bookmarkStart w:id="87" w:name="_Toc30062"/>
      <w:bookmarkStart w:id="88" w:name="_Toc130222035"/>
      <w:bookmarkStart w:id="89" w:name="_Toc168818819"/>
      <w:r>
        <w:rPr>
          <w:rFonts w:eastAsia="仿宋_GB2312"/>
          <w:b/>
          <w:bCs/>
          <w:sz w:val="32"/>
          <w:szCs w:val="32"/>
        </w:rPr>
        <w:t>1．评价标准</w:t>
      </w:r>
      <w:bookmarkEnd w:id="85"/>
      <w:bookmarkEnd w:id="86"/>
      <w:bookmarkEnd w:id="87"/>
      <w:bookmarkEnd w:id="88"/>
      <w:bookmarkEnd w:id="89"/>
    </w:p>
    <w:p w14:paraId="053B2B71">
      <w:pPr>
        <w:topLinePunct/>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绩效评价标准通常包括计划标准、行业标准、历史标准等，本项目采用财政部门和预算部门确认的“预先制定的目标、计划、预算、定额”“国家公布的行业指标数据”等作为评价标准。</w:t>
      </w:r>
    </w:p>
    <w:p w14:paraId="49FE3B15">
      <w:pPr>
        <w:pStyle w:val="23"/>
        <w:widowControl w:val="0"/>
        <w:topLinePunct/>
        <w:adjustRightInd w:val="0"/>
        <w:snapToGrid w:val="0"/>
        <w:spacing w:line="579" w:lineRule="exact"/>
        <w:ind w:firstLine="640" w:firstLineChars="200"/>
        <w:outlineLvl w:val="2"/>
        <w:rPr>
          <w:rFonts w:eastAsia="仿宋_GB2312"/>
          <w:b/>
          <w:bCs/>
          <w:sz w:val="32"/>
          <w:szCs w:val="32"/>
        </w:rPr>
      </w:pPr>
      <w:bookmarkStart w:id="90" w:name="_Toc168818820"/>
      <w:bookmarkStart w:id="91" w:name="_Toc130222036"/>
      <w:bookmarkStart w:id="92" w:name="_Toc144736572"/>
      <w:bookmarkStart w:id="93" w:name="_Toc31554"/>
      <w:bookmarkStart w:id="94" w:name="_Toc5468"/>
      <w:r>
        <w:rPr>
          <w:rFonts w:eastAsia="仿宋_GB2312"/>
          <w:b/>
          <w:bCs/>
          <w:sz w:val="32"/>
          <w:szCs w:val="32"/>
        </w:rPr>
        <w:t>2．评价依据</w:t>
      </w:r>
      <w:bookmarkEnd w:id="90"/>
      <w:bookmarkEnd w:id="91"/>
      <w:bookmarkEnd w:id="92"/>
      <w:bookmarkEnd w:id="93"/>
      <w:bookmarkEnd w:id="94"/>
    </w:p>
    <w:p w14:paraId="392D74D6">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（1）绩效评价相关政策文件</w:t>
      </w:r>
    </w:p>
    <w:p w14:paraId="1FE81846">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kern w:val="0"/>
          <w:sz w:val="32"/>
          <w:szCs w:val="32"/>
        </w:rPr>
        <w:t>《项目支出绩效评价管理办法》（财预〔2020〕10号）、《广东省省级财政绩效评价指南》（粤财绩〔2021〕1号）、《</w:t>
      </w:r>
      <w:r>
        <w:rPr>
          <w:rFonts w:hint="eastAsia" w:ascii="Times New Roman" w:hAnsi="Times New Roman" w:eastAsia="仿宋_GB2312" w:cs="Times New Roman"/>
          <w:bCs/>
          <w:kern w:val="0"/>
          <w:sz w:val="32"/>
          <w:szCs w:val="32"/>
        </w:rPr>
        <w:t>广东省财政厅关于印发省本级政府购买服务指导性目录的通知</w:t>
      </w:r>
      <w:r>
        <w:rPr>
          <w:rFonts w:ascii="Times New Roman" w:hAnsi="Times New Roman" w:eastAsia="仿宋_GB2312" w:cs="Times New Roman"/>
          <w:bCs/>
          <w:kern w:val="0"/>
          <w:sz w:val="32"/>
          <w:szCs w:val="32"/>
        </w:rPr>
        <w:t>》</w:t>
      </w:r>
      <w:r>
        <w:rPr>
          <w:rFonts w:hint="eastAsia" w:ascii="Times New Roman" w:hAnsi="Times New Roman" w:eastAsia="仿宋_GB2312" w:cs="Times New Roman"/>
          <w:bCs/>
          <w:kern w:val="0"/>
          <w:sz w:val="32"/>
          <w:szCs w:val="32"/>
        </w:rPr>
        <w:t>（粤财行〔2022〕111号）</w:t>
      </w:r>
      <w:r>
        <w:rPr>
          <w:rFonts w:ascii="Times New Roman" w:hAnsi="Times New Roman" w:eastAsia="仿宋_GB2312" w:cs="Times New Roman"/>
          <w:bCs/>
          <w:kern w:val="0"/>
          <w:sz w:val="32"/>
          <w:szCs w:val="32"/>
        </w:rPr>
        <w:t>、</w:t>
      </w:r>
      <w:r>
        <w:rPr>
          <w:rFonts w:hint="eastAsia" w:ascii="Times New Roman" w:hAnsi="Times New Roman" w:eastAsia="仿宋_GB2312" w:cs="Times New Roman"/>
          <w:bCs/>
          <w:kern w:val="0"/>
          <w:sz w:val="32"/>
          <w:szCs w:val="32"/>
        </w:rPr>
        <w:t>《关于全面实施预算绩效管理的意见》（东府办〔2019〕51号）、</w:t>
      </w:r>
      <w:r>
        <w:rPr>
          <w:rFonts w:ascii="Times New Roman" w:hAnsi="Times New Roman" w:eastAsia="仿宋_GB2312" w:cs="Times New Roman"/>
          <w:bCs/>
          <w:kern w:val="0"/>
          <w:sz w:val="32"/>
          <w:szCs w:val="32"/>
        </w:rPr>
        <w:t>《东莞市市级预算项目支出绩效评价管理办法》（东财〔2021〕50号）</w:t>
      </w:r>
      <w:r>
        <w:rPr>
          <w:rFonts w:hint="eastAsia" w:ascii="Times New Roman" w:hAnsi="Times New Roman" w:eastAsia="仿宋_GB2312" w:cs="Times New Roman"/>
          <w:bCs/>
          <w:kern w:val="0"/>
          <w:sz w:val="32"/>
          <w:szCs w:val="32"/>
        </w:rPr>
        <w:t>、《关于印发〈东莞市财政局预算绩效管理委托第三方机构实施工作规程〉通知》（东财〔2023〕67号）</w:t>
      </w:r>
      <w:r>
        <w:rPr>
          <w:rFonts w:ascii="Times New Roman" w:hAnsi="Times New Roman" w:eastAsia="仿宋_GB2312" w:cs="Times New Roman"/>
          <w:sz w:val="32"/>
          <w:szCs w:val="32"/>
        </w:rPr>
        <w:t>等相关文件。</w:t>
      </w:r>
    </w:p>
    <w:p w14:paraId="25F809CD">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（2）环城路建设相关政策文件</w:t>
      </w:r>
    </w:p>
    <w:p w14:paraId="379CC52E">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《公路工程技术标准》（JTG B01-2014）、《公路路线设计规范》（JTG D20-2017）、《公路路基设计规范》（JTG D30-2015）、《公路沥青路面设计规范》（JTG D50-2017）、《城市道路工程设计规范》（CJJ37-2012（2016 版））、《城市道路路线设计规范》（CJJ193-2012）、《东莞市谢岗镇总体规划修改（2016-2020）》《东莞市谢岗镇近期建设规划（2017-2020 年）》《关于谢岗镇环城路二期工程有关问题的复函》（谢府办复〔2018〕）、《关于启动谢岗镇镇村两级道路综合整治工程（一期）建设前期工作的问题的复函》（谢府办复〔2019〕）、《关于谢岗镇环城路二期工程项目建议书的批复》（东发改谢〔2019〕4号）、《关于东莞市谢岗镇环城路二期项目用地预审的意见》（东自然资（谢岗镇）预函〔2019〕12号）、《关于谢岗镇环城路二期工程可行性研究报告的批复》（东发改谢〔2019〕17号）、《关于东莞市谢岗镇环城路二期工程项目初步设计的批复》《关于谢岗镇环城路二期工程概算的批复》（东发改谢（2020</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22号）。</w:t>
      </w:r>
    </w:p>
    <w:p w14:paraId="14454909">
      <w:pPr>
        <w:pStyle w:val="3"/>
        <w:rPr>
          <w:b/>
          <w:bCs/>
        </w:rPr>
      </w:pPr>
      <w:bookmarkStart w:id="95" w:name="_Toc144736573"/>
      <w:bookmarkStart w:id="96" w:name="_Toc168818821"/>
      <w:bookmarkStart w:id="97" w:name="_Toc11646"/>
      <w:bookmarkStart w:id="98" w:name="_Toc27262"/>
      <w:r>
        <w:t>（四）评价指标体系</w:t>
      </w:r>
      <w:bookmarkEnd w:id="95"/>
      <w:bookmarkEnd w:id="96"/>
      <w:bookmarkEnd w:id="97"/>
      <w:bookmarkEnd w:id="98"/>
    </w:p>
    <w:p w14:paraId="410F9125">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参考《项目支出绩效评价管理办法》（财预〔2020〕10号）、《东莞市市级预算项目支出绩效评价管理办法》（东财〔2021〕50号）关于绩效评价指标体系编制和指标设置要求，结合本项目实际，围绕“前期工作、项目管理、产出、效果”四维框架构建了《东莞市谢岗镇工程建设中心2020—2023年度环城路项目重点绩效评价指标表》（附件2）。</w:t>
      </w:r>
    </w:p>
    <w:p w14:paraId="0D401F19">
      <w:pPr>
        <w:pStyle w:val="3"/>
        <w:rPr>
          <w:b/>
          <w:bCs/>
        </w:rPr>
      </w:pPr>
      <w:bookmarkStart w:id="99" w:name="_Toc26136"/>
      <w:bookmarkStart w:id="100" w:name="_Toc144736574"/>
      <w:bookmarkStart w:id="101" w:name="_Toc168818822"/>
      <w:bookmarkStart w:id="102" w:name="_Toc27217"/>
      <w:bookmarkStart w:id="103" w:name="_Toc130222038"/>
      <w:r>
        <w:t>（五）绩效评价工作过程</w:t>
      </w:r>
      <w:bookmarkEnd w:id="99"/>
      <w:bookmarkEnd w:id="100"/>
      <w:bookmarkEnd w:id="101"/>
      <w:bookmarkEnd w:id="102"/>
      <w:bookmarkEnd w:id="103"/>
    </w:p>
    <w:p w14:paraId="6FF5AFB6">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在谢岗工程建设中心的组织配合下，绩效评价工作有条不紊开展。绩效评价工作分为五个阶段进行： </w:t>
      </w:r>
    </w:p>
    <w:p w14:paraId="3F62CAB5">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第一阶段：前期准备。</w:t>
      </w:r>
      <w:r>
        <w:rPr>
          <w:rFonts w:ascii="Times New Roman" w:hAnsi="Times New Roman" w:eastAsia="仿宋_GB2312" w:cs="Times New Roman"/>
          <w:sz w:val="32"/>
          <w:szCs w:val="32"/>
        </w:rPr>
        <w:t>梳理项目材料，召开前期调研会，初步了解环城路项目管理情况。</w:t>
      </w:r>
    </w:p>
    <w:p w14:paraId="4C0769AE">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第二阶段：现场评价。</w:t>
      </w:r>
      <w:r>
        <w:rPr>
          <w:rFonts w:ascii="Times New Roman" w:hAnsi="Times New Roman" w:eastAsia="仿宋_GB2312" w:cs="Times New Roman"/>
          <w:sz w:val="32"/>
          <w:szCs w:val="32"/>
        </w:rPr>
        <w:t>在谢岗财政分局的大力支持和谢岗工程建设中心的配合下，围绕环城路项目的现状以及实施情况组织座谈会，交流项目存在的困难及需求。开展实地勘察调研，发放问卷。并对项目涉及的合同、施工组织设计、监理日志和报告、工程竣工验收证明、工程款结算进度明细、完整工程变更资料等档案资料进行现场核查。</w:t>
      </w:r>
    </w:p>
    <w:p w14:paraId="536E0F94">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第三阶段：分析论证。</w:t>
      </w:r>
      <w:r>
        <w:rPr>
          <w:rFonts w:ascii="Times New Roman" w:hAnsi="Times New Roman" w:eastAsia="仿宋_GB2312" w:cs="Times New Roman"/>
          <w:sz w:val="32"/>
          <w:szCs w:val="32"/>
        </w:rPr>
        <w:t>评价组对座谈会、访谈、问卷调查、佐证材料核查、指标评分等情况综合分析，围绕项目管理的经验</w:t>
      </w:r>
      <w:r>
        <w:rPr>
          <w:rFonts w:hint="eastAsia" w:ascii="Times New Roman" w:hAnsi="Times New Roman" w:eastAsia="仿宋_GB2312" w:cs="Times New Roman"/>
          <w:sz w:val="32"/>
          <w:szCs w:val="32"/>
        </w:rPr>
        <w:t>做法和成效</w:t>
      </w:r>
      <w:r>
        <w:rPr>
          <w:rFonts w:ascii="Times New Roman" w:hAnsi="Times New Roman" w:eastAsia="仿宋_GB2312" w:cs="Times New Roman"/>
          <w:sz w:val="32"/>
          <w:szCs w:val="32"/>
        </w:rPr>
        <w:t>、存在的问题及原因、改进项目绩效管理建议进行论证。</w:t>
      </w:r>
    </w:p>
    <w:p w14:paraId="405872AA">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第四阶段：形成初稿。</w:t>
      </w:r>
      <w:r>
        <w:rPr>
          <w:rFonts w:ascii="Times New Roman" w:hAnsi="Times New Roman" w:eastAsia="仿宋_GB2312" w:cs="Times New Roman"/>
          <w:sz w:val="32"/>
          <w:szCs w:val="32"/>
        </w:rPr>
        <w:t>汇总各项指标评价结果、意见建议，按照报告体例要求形成评价报告初稿，经讨论修改形成评价报告征求意见稿初稿。</w:t>
      </w:r>
    </w:p>
    <w:p w14:paraId="1C33ABB1">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第五阶段：报告提交。</w:t>
      </w:r>
      <w:r>
        <w:rPr>
          <w:rFonts w:ascii="Times New Roman" w:hAnsi="Times New Roman" w:eastAsia="仿宋_GB2312" w:cs="Times New Roman"/>
          <w:sz w:val="32"/>
          <w:szCs w:val="32"/>
        </w:rPr>
        <w:t>听取谢岗财政分局对评价报告征求意见稿初稿意见，修改征求意见稿初稿形成征求意见稿二稿；征求被评价部门意见，分析被评价部门反馈意见科学性、合理性，根据采纳情况形成征求意见稿三稿，进一步征求意见；与谢岗财政分局、谢岗工程建设中心达成共识，进一步规范文稿，形成定稿并提交。</w:t>
      </w:r>
    </w:p>
    <w:bookmarkEnd w:id="45"/>
    <w:bookmarkEnd w:id="46"/>
    <w:bookmarkEnd w:id="47"/>
    <w:p w14:paraId="054E672B">
      <w:pPr>
        <w:topLinePunct/>
        <w:adjustRightInd w:val="0"/>
        <w:snapToGrid w:val="0"/>
        <w:spacing w:line="579" w:lineRule="exact"/>
        <w:ind w:firstLine="628" w:firstLineChars="200"/>
        <w:outlineLvl w:val="0"/>
        <w:rPr>
          <w:rFonts w:ascii="Times New Roman" w:hAnsi="Times New Roman" w:eastAsia="黑体" w:cs="Times New Roman"/>
          <w:spacing w:val="-3"/>
          <w:sz w:val="32"/>
          <w:szCs w:val="32"/>
        </w:rPr>
      </w:pPr>
      <w:bookmarkStart w:id="104" w:name="_Toc7472"/>
      <w:bookmarkStart w:id="105" w:name="_Toc168818823"/>
      <w:bookmarkStart w:id="106" w:name="_Toc144736575"/>
      <w:bookmarkStart w:id="107" w:name="_Toc21363"/>
      <w:bookmarkStart w:id="108" w:name="_Toc49163999"/>
      <w:bookmarkStart w:id="109" w:name="_Toc44667796"/>
      <w:bookmarkStart w:id="110" w:name="_Toc58595330"/>
      <w:bookmarkStart w:id="111" w:name="_Hlk46912400"/>
      <w:r>
        <w:rPr>
          <w:rFonts w:ascii="Times New Roman" w:hAnsi="Times New Roman" w:eastAsia="黑体" w:cs="Times New Roman"/>
          <w:spacing w:val="-3"/>
          <w:sz w:val="32"/>
          <w:szCs w:val="32"/>
        </w:rPr>
        <w:t>三、综合评价情况及评价结论</w:t>
      </w:r>
      <w:bookmarkEnd w:id="104"/>
      <w:bookmarkEnd w:id="105"/>
      <w:bookmarkEnd w:id="106"/>
      <w:bookmarkEnd w:id="107"/>
    </w:p>
    <w:p w14:paraId="2BD88323">
      <w:pPr>
        <w:adjustRightInd w:val="0"/>
        <w:snapToGrid w:val="0"/>
        <w:spacing w:line="579"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2024年4—</w:t>
      </w:r>
      <w:r>
        <w:rPr>
          <w:rFonts w:hint="eastAsia" w:ascii="Times New Roman" w:hAnsi="Times New Roman" w:eastAsia="仿宋_GB2312" w:cs="Times New Roman"/>
          <w:kern w:val="0"/>
          <w:sz w:val="32"/>
          <w:szCs w:val="32"/>
        </w:rPr>
        <w:t>6</w:t>
      </w:r>
      <w:r>
        <w:rPr>
          <w:rFonts w:ascii="Times New Roman" w:hAnsi="Times New Roman" w:eastAsia="仿宋_GB2312" w:cs="Times New Roman"/>
          <w:kern w:val="0"/>
          <w:sz w:val="32"/>
          <w:szCs w:val="32"/>
        </w:rPr>
        <w:t>月，评价组对项目</w:t>
      </w:r>
      <w:r>
        <w:rPr>
          <w:rFonts w:ascii="Times New Roman" w:hAnsi="Times New Roman" w:eastAsia="仿宋_GB2312" w:cs="Times New Roman"/>
          <w:sz w:val="32"/>
          <w:szCs w:val="32"/>
        </w:rPr>
        <w:t>前期工作、项目管理、产出、效果</w:t>
      </w:r>
      <w:r>
        <w:rPr>
          <w:rFonts w:ascii="Times New Roman" w:hAnsi="Times New Roman" w:eastAsia="仿宋_GB2312" w:cs="Times New Roman"/>
          <w:kern w:val="0"/>
          <w:sz w:val="32"/>
          <w:szCs w:val="32"/>
        </w:rPr>
        <w:t>进行绩效评价。综合书面材料核查、座谈会、问卷调查、分析论证等情况，依据评价指标体系和评分标准（附件2），形成绩效评价结论。评定</w:t>
      </w:r>
      <w:r>
        <w:rPr>
          <w:rFonts w:ascii="Times New Roman" w:hAnsi="Times New Roman" w:eastAsia="仿宋_GB2312" w:cs="Times New Roman"/>
          <w:sz w:val="32"/>
          <w:szCs w:val="32"/>
        </w:rPr>
        <w:t>东莞市谢岗镇工程建设中心2020—2023年度环城路项目</w:t>
      </w:r>
      <w:r>
        <w:rPr>
          <w:rFonts w:ascii="Times New Roman" w:hAnsi="Times New Roman" w:eastAsia="仿宋_GB2312" w:cs="Times New Roman"/>
          <w:kern w:val="0"/>
          <w:sz w:val="32"/>
          <w:szCs w:val="32"/>
        </w:rPr>
        <w:t>绩效得分为</w:t>
      </w:r>
      <w:r>
        <w:rPr>
          <w:rFonts w:ascii="Times New Roman" w:hAnsi="Times New Roman" w:eastAsia="仿宋_GB2312" w:cs="Times New Roman"/>
          <w:color w:val="000000" w:themeColor="text1"/>
          <w:kern w:val="0"/>
          <w:sz w:val="32"/>
          <w:szCs w:val="32"/>
          <w14:textFill>
            <w14:solidFill>
              <w14:schemeClr w14:val="tx1"/>
            </w14:solidFill>
          </w14:textFill>
        </w:rPr>
        <w:t>83.39</w:t>
      </w:r>
      <w:r>
        <w:rPr>
          <w:rFonts w:hint="eastAsia" w:ascii="Times New Roman" w:hAnsi="Times New Roman" w:eastAsia="仿宋_GB2312" w:cs="Times New Roman"/>
          <w:color w:val="000000" w:themeColor="text1"/>
          <w:kern w:val="0"/>
          <w:sz w:val="32"/>
          <w:szCs w:val="32"/>
          <w14:textFill>
            <w14:solidFill>
              <w14:schemeClr w14:val="tx1"/>
            </w14:solidFill>
          </w14:textFill>
        </w:rPr>
        <w:t>分（表</w:t>
      </w:r>
      <w:r>
        <w:rPr>
          <w:rFonts w:ascii="Times New Roman" w:hAnsi="Times New Roman" w:eastAsia="仿宋_GB2312" w:cs="Times New Roman"/>
          <w:color w:val="000000" w:themeColor="text1"/>
          <w:kern w:val="0"/>
          <w:sz w:val="32"/>
          <w:szCs w:val="32"/>
          <w14:textFill>
            <w14:solidFill>
              <w14:schemeClr w14:val="tx1"/>
            </w14:solidFill>
          </w14:textFill>
        </w:rPr>
        <w:t>2</w:t>
      </w:r>
      <w:r>
        <w:rPr>
          <w:rFonts w:hint="eastAsia" w:ascii="Times New Roman" w:hAnsi="Times New Roman" w:eastAsia="仿宋_GB2312" w:cs="Times New Roman"/>
          <w:color w:val="000000" w:themeColor="text1"/>
          <w:kern w:val="0"/>
          <w:sz w:val="32"/>
          <w:szCs w:val="32"/>
          <w14:textFill>
            <w14:solidFill>
              <w14:schemeClr w14:val="tx1"/>
            </w14:solidFill>
          </w14:textFill>
        </w:rPr>
        <w:t>）</w:t>
      </w:r>
      <w:r>
        <w:rPr>
          <w:rFonts w:ascii="Times New Roman" w:hAnsi="Times New Roman" w:eastAsia="仿宋_GB2312" w:cs="Times New Roman"/>
          <w:kern w:val="0"/>
          <w:sz w:val="32"/>
          <w:szCs w:val="32"/>
        </w:rPr>
        <w:t>，绩效等级为“良”。</w:t>
      </w:r>
    </w:p>
    <w:p w14:paraId="2C2B9721">
      <w:pPr>
        <w:adjustRightInd w:val="0"/>
        <w:snapToGrid w:val="0"/>
        <w:spacing w:before="156" w:beforeLines="50" w:after="156" w:afterLines="50"/>
        <w:ind w:firstLine="560"/>
        <w:jc w:val="center"/>
        <w:rPr>
          <w:rFonts w:ascii="Times New Roman" w:hAnsi="Times New Roman" w:eastAsia="黑体" w:cs="Times New Roman"/>
          <w:sz w:val="28"/>
          <w:szCs w:val="24"/>
        </w:rPr>
      </w:pPr>
      <w:r>
        <w:rPr>
          <w:rFonts w:ascii="Times New Roman" w:hAnsi="Times New Roman" w:eastAsia="黑体" w:cs="Times New Roman"/>
          <w:sz w:val="28"/>
          <w:szCs w:val="24"/>
        </w:rPr>
        <w:t>表</w:t>
      </w:r>
      <w:r>
        <w:rPr>
          <w:rFonts w:hint="eastAsia" w:ascii="Times New Roman" w:hAnsi="Times New Roman" w:eastAsia="黑体" w:cs="Times New Roman"/>
          <w:sz w:val="28"/>
          <w:szCs w:val="24"/>
        </w:rPr>
        <w:t>2</w:t>
      </w:r>
      <w:r>
        <w:rPr>
          <w:rFonts w:ascii="Times New Roman" w:hAnsi="Times New Roman" w:eastAsia="黑体" w:cs="Times New Roman"/>
          <w:sz w:val="28"/>
          <w:szCs w:val="24"/>
        </w:rPr>
        <w:t xml:space="preserve">  评价得分情况汇总表</w:t>
      </w:r>
    </w:p>
    <w:tbl>
      <w:tblPr>
        <w:tblStyle w:val="16"/>
        <w:tblW w:w="5000" w:type="pct"/>
        <w:tblInd w:w="0"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2219"/>
        <w:gridCol w:w="2293"/>
        <w:gridCol w:w="2310"/>
        <w:gridCol w:w="2239"/>
      </w:tblGrid>
      <w:tr w14:paraId="0504900B">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24" w:type="pct"/>
            <w:tcBorders>
              <w:top w:val="single" w:color="auto" w:sz="8" w:space="0"/>
              <w:bottom w:val="single" w:color="auto" w:sz="8" w:space="0"/>
            </w:tcBorders>
            <w:vAlign w:val="center"/>
          </w:tcPr>
          <w:p w14:paraId="1F51966C">
            <w:pPr>
              <w:adjustRightInd w:val="0"/>
              <w:snapToGrid w:val="0"/>
              <w:jc w:val="center"/>
              <w:rPr>
                <w:rFonts w:hint="eastAsia" w:ascii="黑体" w:hAnsi="黑体" w:eastAsia="黑体" w:cs="黑体"/>
                <w:sz w:val="24"/>
                <w:szCs w:val="24"/>
              </w:rPr>
            </w:pPr>
            <w:r>
              <w:rPr>
                <w:rFonts w:hint="eastAsia" w:ascii="黑体" w:hAnsi="黑体" w:eastAsia="黑体" w:cs="黑体"/>
                <w:sz w:val="24"/>
                <w:szCs w:val="24"/>
              </w:rPr>
              <w:t>一级指标</w:t>
            </w:r>
          </w:p>
        </w:tc>
        <w:tc>
          <w:tcPr>
            <w:tcW w:w="1265" w:type="pct"/>
            <w:tcBorders>
              <w:top w:val="single" w:color="auto" w:sz="8" w:space="0"/>
              <w:bottom w:val="single" w:color="auto" w:sz="8" w:space="0"/>
            </w:tcBorders>
            <w:vAlign w:val="center"/>
          </w:tcPr>
          <w:p w14:paraId="18046103">
            <w:pPr>
              <w:adjustRightInd w:val="0"/>
              <w:snapToGrid w:val="0"/>
              <w:jc w:val="center"/>
              <w:rPr>
                <w:rFonts w:hint="eastAsia" w:ascii="黑体" w:hAnsi="黑体" w:eastAsia="黑体" w:cs="黑体"/>
                <w:sz w:val="24"/>
                <w:szCs w:val="24"/>
              </w:rPr>
            </w:pPr>
            <w:r>
              <w:rPr>
                <w:rFonts w:hint="eastAsia" w:ascii="黑体" w:hAnsi="黑体" w:eastAsia="黑体" w:cs="黑体"/>
                <w:sz w:val="24"/>
                <w:szCs w:val="24"/>
              </w:rPr>
              <w:t>指标分值</w:t>
            </w:r>
          </w:p>
        </w:tc>
        <w:tc>
          <w:tcPr>
            <w:tcW w:w="1274" w:type="pct"/>
            <w:tcBorders>
              <w:top w:val="single" w:color="auto" w:sz="8" w:space="0"/>
              <w:bottom w:val="single" w:color="auto" w:sz="8" w:space="0"/>
            </w:tcBorders>
            <w:vAlign w:val="center"/>
          </w:tcPr>
          <w:p w14:paraId="7B0A7745">
            <w:pPr>
              <w:adjustRightInd w:val="0"/>
              <w:snapToGrid w:val="0"/>
              <w:jc w:val="center"/>
              <w:rPr>
                <w:rFonts w:hint="eastAsia" w:ascii="黑体" w:hAnsi="黑体" w:eastAsia="黑体" w:cs="黑体"/>
                <w:sz w:val="24"/>
                <w:szCs w:val="24"/>
              </w:rPr>
            </w:pPr>
            <w:r>
              <w:rPr>
                <w:rFonts w:hint="eastAsia" w:ascii="黑体" w:hAnsi="黑体" w:eastAsia="黑体" w:cs="黑体"/>
                <w:sz w:val="24"/>
                <w:szCs w:val="24"/>
              </w:rPr>
              <w:t>评价得分</w:t>
            </w:r>
          </w:p>
        </w:tc>
        <w:tc>
          <w:tcPr>
            <w:tcW w:w="1235" w:type="pct"/>
            <w:tcBorders>
              <w:top w:val="single" w:color="auto" w:sz="8" w:space="0"/>
              <w:bottom w:val="single" w:color="auto" w:sz="8" w:space="0"/>
            </w:tcBorders>
            <w:vAlign w:val="center"/>
          </w:tcPr>
          <w:p w14:paraId="5B8E8155">
            <w:pPr>
              <w:adjustRightInd w:val="0"/>
              <w:snapToGrid w:val="0"/>
              <w:jc w:val="center"/>
              <w:rPr>
                <w:rFonts w:hint="eastAsia" w:ascii="黑体" w:hAnsi="黑体" w:eastAsia="黑体" w:cs="黑体"/>
                <w:sz w:val="24"/>
                <w:szCs w:val="24"/>
              </w:rPr>
            </w:pPr>
            <w:r>
              <w:rPr>
                <w:rFonts w:hint="eastAsia" w:ascii="黑体" w:hAnsi="黑体" w:eastAsia="黑体" w:cs="黑体"/>
                <w:sz w:val="24"/>
                <w:szCs w:val="24"/>
              </w:rPr>
              <w:t>得分率（%）</w:t>
            </w:r>
          </w:p>
        </w:tc>
      </w:tr>
      <w:tr w14:paraId="0D8500FD">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24" w:type="pct"/>
            <w:tcBorders>
              <w:top w:val="single" w:color="auto" w:sz="8" w:space="0"/>
            </w:tcBorders>
            <w:vAlign w:val="center"/>
          </w:tcPr>
          <w:p w14:paraId="1B16BAA2">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前期工作</w:t>
            </w:r>
          </w:p>
        </w:tc>
        <w:tc>
          <w:tcPr>
            <w:tcW w:w="1265" w:type="pct"/>
            <w:tcBorders>
              <w:top w:val="single" w:color="auto" w:sz="8" w:space="0"/>
            </w:tcBorders>
            <w:vAlign w:val="center"/>
          </w:tcPr>
          <w:p w14:paraId="52029B03">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21</w:t>
            </w:r>
          </w:p>
        </w:tc>
        <w:tc>
          <w:tcPr>
            <w:tcW w:w="1274" w:type="pct"/>
            <w:tcBorders>
              <w:top w:val="single" w:color="auto" w:sz="8" w:space="0"/>
            </w:tcBorders>
            <w:vAlign w:val="center"/>
          </w:tcPr>
          <w:p w14:paraId="4901AAD7">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13.58</w:t>
            </w:r>
          </w:p>
        </w:tc>
        <w:tc>
          <w:tcPr>
            <w:tcW w:w="1235" w:type="pct"/>
            <w:tcBorders>
              <w:top w:val="single" w:color="auto" w:sz="8" w:space="0"/>
            </w:tcBorders>
            <w:vAlign w:val="center"/>
          </w:tcPr>
          <w:p w14:paraId="6003D165">
            <w:pPr>
              <w:widowControl/>
              <w:jc w:val="center"/>
              <w:textAlignment w:val="center"/>
              <w:rPr>
                <w:rFonts w:ascii="Times New Roman" w:hAnsi="Times New Roman" w:cs="Times New Roman"/>
                <w:sz w:val="24"/>
                <w:szCs w:val="24"/>
              </w:rPr>
            </w:pPr>
            <w:r>
              <w:rPr>
                <w:rFonts w:ascii="Times New Roman" w:hAnsi="Times New Roman" w:eastAsia="宋体" w:cs="Times New Roman"/>
                <w:kern w:val="0"/>
                <w:sz w:val="24"/>
                <w:szCs w:val="24"/>
                <w:lang w:bidi="ar"/>
              </w:rPr>
              <w:t>64.67</w:t>
            </w:r>
          </w:p>
        </w:tc>
      </w:tr>
      <w:tr w14:paraId="445FD5A0">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224" w:type="pct"/>
            <w:vAlign w:val="center"/>
          </w:tcPr>
          <w:p w14:paraId="42838F99">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项目管理</w:t>
            </w:r>
          </w:p>
        </w:tc>
        <w:tc>
          <w:tcPr>
            <w:tcW w:w="1265" w:type="pct"/>
            <w:vAlign w:val="center"/>
          </w:tcPr>
          <w:p w14:paraId="4C28C86F">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31</w:t>
            </w:r>
          </w:p>
        </w:tc>
        <w:tc>
          <w:tcPr>
            <w:tcW w:w="1274" w:type="pct"/>
            <w:vAlign w:val="center"/>
          </w:tcPr>
          <w:p w14:paraId="539E1AB9">
            <w:pPr>
              <w:adjustRightInd w:val="0"/>
              <w:snapToGrid w:val="0"/>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24.5</w:t>
            </w:r>
          </w:p>
        </w:tc>
        <w:tc>
          <w:tcPr>
            <w:tcW w:w="1235" w:type="pct"/>
            <w:vAlign w:val="center"/>
          </w:tcPr>
          <w:p w14:paraId="73740139">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79.03</w:t>
            </w:r>
          </w:p>
        </w:tc>
      </w:tr>
      <w:tr w14:paraId="66FBD5E8">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24" w:type="pct"/>
            <w:vAlign w:val="center"/>
          </w:tcPr>
          <w:p w14:paraId="2B9346F3">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产出</w:t>
            </w:r>
          </w:p>
        </w:tc>
        <w:tc>
          <w:tcPr>
            <w:tcW w:w="1265" w:type="pct"/>
            <w:vAlign w:val="center"/>
          </w:tcPr>
          <w:p w14:paraId="4C159A5D">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26</w:t>
            </w:r>
          </w:p>
        </w:tc>
        <w:tc>
          <w:tcPr>
            <w:tcW w:w="1274" w:type="pct"/>
            <w:vAlign w:val="center"/>
          </w:tcPr>
          <w:p w14:paraId="73CFC390">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25</w:t>
            </w:r>
          </w:p>
        </w:tc>
        <w:tc>
          <w:tcPr>
            <w:tcW w:w="1235" w:type="pct"/>
            <w:vAlign w:val="center"/>
          </w:tcPr>
          <w:p w14:paraId="048E6D18">
            <w:pPr>
              <w:widowControl/>
              <w:jc w:val="center"/>
              <w:textAlignment w:val="center"/>
              <w:rPr>
                <w:rFonts w:ascii="Times New Roman" w:hAnsi="Times New Roman" w:cs="Times New Roman"/>
                <w:sz w:val="24"/>
                <w:szCs w:val="24"/>
              </w:rPr>
            </w:pPr>
            <w:r>
              <w:rPr>
                <w:rFonts w:ascii="Times New Roman" w:hAnsi="Times New Roman" w:eastAsia="宋体" w:cs="Times New Roman"/>
                <w:kern w:val="0"/>
                <w:sz w:val="24"/>
                <w:szCs w:val="24"/>
                <w:lang w:bidi="ar"/>
              </w:rPr>
              <w:t>96.15</w:t>
            </w:r>
          </w:p>
        </w:tc>
      </w:tr>
      <w:tr w14:paraId="795E8B60">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24" w:type="pct"/>
            <w:tcBorders>
              <w:bottom w:val="single" w:color="auto" w:sz="4" w:space="0"/>
            </w:tcBorders>
            <w:vAlign w:val="center"/>
          </w:tcPr>
          <w:p w14:paraId="664A1B37">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效益</w:t>
            </w:r>
          </w:p>
        </w:tc>
        <w:tc>
          <w:tcPr>
            <w:tcW w:w="1265" w:type="pct"/>
            <w:tcBorders>
              <w:bottom w:val="single" w:color="auto" w:sz="4" w:space="0"/>
            </w:tcBorders>
            <w:vAlign w:val="center"/>
          </w:tcPr>
          <w:p w14:paraId="44030970">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22</w:t>
            </w:r>
          </w:p>
        </w:tc>
        <w:tc>
          <w:tcPr>
            <w:tcW w:w="1274" w:type="pct"/>
            <w:tcBorders>
              <w:bottom w:val="single" w:color="auto" w:sz="4" w:space="0"/>
            </w:tcBorders>
            <w:vAlign w:val="center"/>
          </w:tcPr>
          <w:p w14:paraId="438DDC36">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20.31</w:t>
            </w:r>
          </w:p>
        </w:tc>
        <w:tc>
          <w:tcPr>
            <w:tcW w:w="1235" w:type="pct"/>
            <w:tcBorders>
              <w:bottom w:val="single" w:color="auto" w:sz="4" w:space="0"/>
            </w:tcBorders>
            <w:vAlign w:val="center"/>
          </w:tcPr>
          <w:p w14:paraId="3445EB3E">
            <w:pPr>
              <w:widowControl/>
              <w:jc w:val="center"/>
              <w:textAlignment w:val="center"/>
              <w:rPr>
                <w:rFonts w:ascii="Times New Roman" w:hAnsi="Times New Roman" w:cs="Times New Roman"/>
                <w:sz w:val="24"/>
                <w:szCs w:val="24"/>
              </w:rPr>
            </w:pPr>
            <w:r>
              <w:rPr>
                <w:rFonts w:ascii="Times New Roman" w:hAnsi="Times New Roman" w:eastAsia="宋体" w:cs="Times New Roman"/>
                <w:kern w:val="0"/>
                <w:sz w:val="24"/>
                <w:szCs w:val="24"/>
                <w:lang w:bidi="ar"/>
              </w:rPr>
              <w:t>92.32</w:t>
            </w:r>
          </w:p>
        </w:tc>
      </w:tr>
      <w:tr w14:paraId="4E94254B">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24" w:type="pct"/>
            <w:tcBorders>
              <w:bottom w:val="single" w:color="auto" w:sz="4" w:space="0"/>
            </w:tcBorders>
            <w:vAlign w:val="center"/>
          </w:tcPr>
          <w:p w14:paraId="3B15EA9F">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逆指标</w:t>
            </w:r>
          </w:p>
        </w:tc>
        <w:tc>
          <w:tcPr>
            <w:tcW w:w="1265" w:type="pct"/>
            <w:tcBorders>
              <w:bottom w:val="single" w:color="auto" w:sz="4" w:space="0"/>
            </w:tcBorders>
            <w:vAlign w:val="center"/>
          </w:tcPr>
          <w:p w14:paraId="52D69C45">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-18</w:t>
            </w:r>
          </w:p>
        </w:tc>
        <w:tc>
          <w:tcPr>
            <w:tcW w:w="1274" w:type="pct"/>
            <w:tcBorders>
              <w:bottom w:val="single" w:color="auto" w:sz="4" w:space="0"/>
            </w:tcBorders>
            <w:vAlign w:val="center"/>
          </w:tcPr>
          <w:p w14:paraId="0E35D9FD">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0</w:t>
            </w:r>
          </w:p>
        </w:tc>
        <w:tc>
          <w:tcPr>
            <w:tcW w:w="1235" w:type="pct"/>
            <w:tcBorders>
              <w:bottom w:val="single" w:color="auto" w:sz="4" w:space="0"/>
            </w:tcBorders>
            <w:vAlign w:val="center"/>
          </w:tcPr>
          <w:p w14:paraId="42F866FF">
            <w:pPr>
              <w:widowControl/>
              <w:jc w:val="center"/>
              <w:textAlignment w:val="center"/>
              <w:rPr>
                <w:rFonts w:ascii="Times New Roman" w:hAnsi="Times New Roman" w:eastAsia="宋体" w:cs="Times New Roman"/>
                <w:kern w:val="0"/>
                <w:sz w:val="24"/>
                <w:szCs w:val="24"/>
                <w:lang w:bidi="ar"/>
              </w:rPr>
            </w:pPr>
            <w:r>
              <w:rPr>
                <w:rFonts w:ascii="Times New Roman" w:hAnsi="Times New Roman" w:eastAsia="宋体" w:cs="Times New Roman"/>
                <w:kern w:val="0"/>
                <w:sz w:val="24"/>
                <w:szCs w:val="24"/>
                <w:lang w:bidi="ar"/>
              </w:rPr>
              <w:t>0</w:t>
            </w:r>
          </w:p>
        </w:tc>
      </w:tr>
      <w:tr w14:paraId="50238C6F">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24" w:type="pct"/>
            <w:tcBorders>
              <w:top w:val="single" w:color="auto" w:sz="4" w:space="0"/>
              <w:bottom w:val="single" w:color="auto" w:sz="8" w:space="0"/>
            </w:tcBorders>
            <w:vAlign w:val="center"/>
          </w:tcPr>
          <w:p w14:paraId="2467943A">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评价总得分</w:t>
            </w:r>
          </w:p>
        </w:tc>
        <w:tc>
          <w:tcPr>
            <w:tcW w:w="1265" w:type="pct"/>
            <w:tcBorders>
              <w:top w:val="single" w:color="auto" w:sz="4" w:space="0"/>
              <w:bottom w:val="single" w:color="auto" w:sz="8" w:space="0"/>
            </w:tcBorders>
            <w:vAlign w:val="center"/>
          </w:tcPr>
          <w:p w14:paraId="34AE30B7">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100</w:t>
            </w:r>
          </w:p>
        </w:tc>
        <w:tc>
          <w:tcPr>
            <w:tcW w:w="1274" w:type="pct"/>
            <w:tcBorders>
              <w:top w:val="single" w:color="auto" w:sz="4" w:space="0"/>
              <w:bottom w:val="single" w:color="auto" w:sz="8" w:space="0"/>
            </w:tcBorders>
            <w:vAlign w:val="center"/>
          </w:tcPr>
          <w:p w14:paraId="198FA670">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83.39</w:t>
            </w:r>
          </w:p>
        </w:tc>
        <w:tc>
          <w:tcPr>
            <w:tcW w:w="1235" w:type="pct"/>
            <w:tcBorders>
              <w:top w:val="single" w:color="auto" w:sz="4" w:space="0"/>
              <w:bottom w:val="single" w:color="auto" w:sz="8" w:space="0"/>
            </w:tcBorders>
            <w:vAlign w:val="center"/>
          </w:tcPr>
          <w:p w14:paraId="36F0D4E1">
            <w:pPr>
              <w:widowControl/>
              <w:jc w:val="center"/>
              <w:textAlignment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kern w:val="0"/>
                <w:sz w:val="24"/>
                <w:szCs w:val="24"/>
                <w:lang w:bidi="ar"/>
                <w14:textFill>
                  <w14:solidFill>
                    <w14:schemeClr w14:val="tx1"/>
                  </w14:solidFill>
                </w14:textFill>
              </w:rPr>
              <w:t>83.39</w:t>
            </w:r>
          </w:p>
        </w:tc>
      </w:tr>
      <w:bookmarkEnd w:id="108"/>
      <w:bookmarkEnd w:id="109"/>
      <w:bookmarkEnd w:id="110"/>
    </w:tbl>
    <w:p w14:paraId="7ECF7036">
      <w:pPr>
        <w:keepNext/>
        <w:topLinePunct/>
        <w:adjustRightInd w:val="0"/>
        <w:snapToGrid w:val="0"/>
        <w:spacing w:line="579" w:lineRule="exact"/>
        <w:ind w:firstLine="628" w:firstLineChars="200"/>
        <w:outlineLvl w:val="0"/>
        <w:rPr>
          <w:rFonts w:ascii="Times New Roman" w:hAnsi="Times New Roman" w:eastAsia="黑体" w:cs="Times New Roman"/>
          <w:spacing w:val="-3"/>
          <w:sz w:val="32"/>
          <w:szCs w:val="32"/>
        </w:rPr>
      </w:pPr>
      <w:bookmarkStart w:id="112" w:name="_Toc130222040"/>
      <w:bookmarkStart w:id="113" w:name="_Toc144736576"/>
      <w:bookmarkStart w:id="114" w:name="_Toc168818824"/>
      <w:bookmarkStart w:id="115" w:name="_Toc14170"/>
      <w:bookmarkStart w:id="116" w:name="_Toc23742"/>
      <w:bookmarkStart w:id="117" w:name="_Toc58595331"/>
      <w:bookmarkStart w:id="118" w:name="_Toc49164000"/>
      <w:bookmarkStart w:id="119" w:name="_Toc44667797"/>
      <w:r>
        <w:rPr>
          <w:rFonts w:ascii="Times New Roman" w:hAnsi="Times New Roman" w:eastAsia="黑体" w:cs="Times New Roman"/>
          <w:spacing w:val="-3"/>
          <w:sz w:val="32"/>
          <w:szCs w:val="32"/>
        </w:rPr>
        <w:t>四、绩效评价指标分析</w:t>
      </w:r>
      <w:bookmarkEnd w:id="112"/>
      <w:bookmarkEnd w:id="113"/>
      <w:bookmarkEnd w:id="114"/>
      <w:bookmarkEnd w:id="115"/>
      <w:bookmarkEnd w:id="116"/>
    </w:p>
    <w:p w14:paraId="7710CB6A">
      <w:pPr>
        <w:adjustRightInd w:val="0"/>
        <w:snapToGrid w:val="0"/>
        <w:spacing w:line="579"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环城路项目4个一级指标、8个二级指标、29个三级指标和77个四级指标、</w:t>
      </w:r>
      <w:r>
        <w:rPr>
          <w:rFonts w:hint="eastAsia" w:ascii="Times New Roman" w:hAnsi="Times New Roman" w:eastAsia="仿宋_GB2312" w:cs="Times New Roman"/>
          <w:kern w:val="0"/>
          <w:sz w:val="32"/>
          <w:szCs w:val="32"/>
        </w:rPr>
        <w:t>7</w:t>
      </w:r>
      <w:r>
        <w:rPr>
          <w:rFonts w:ascii="Times New Roman" w:hAnsi="Times New Roman" w:eastAsia="仿宋_GB2312" w:cs="Times New Roman"/>
          <w:kern w:val="0"/>
          <w:sz w:val="32"/>
          <w:szCs w:val="32"/>
        </w:rPr>
        <w:t>个逆指标、4个降档指标的评价结果显示，本项目取得一定的成绩，同时存在着不同程度的问题。</w:t>
      </w:r>
    </w:p>
    <w:bookmarkEnd w:id="117"/>
    <w:bookmarkEnd w:id="118"/>
    <w:bookmarkEnd w:id="119"/>
    <w:p w14:paraId="5A588ED4">
      <w:pPr>
        <w:pStyle w:val="3"/>
        <w:rPr>
          <w:b/>
          <w:bCs/>
        </w:rPr>
      </w:pPr>
      <w:bookmarkStart w:id="120" w:name="_Toc168818825"/>
      <w:bookmarkStart w:id="121" w:name="_Toc25202"/>
      <w:bookmarkStart w:id="122" w:name="_Toc6404"/>
      <w:bookmarkStart w:id="123" w:name="_Toc130222041"/>
      <w:bookmarkStart w:id="124" w:name="_Toc144736577"/>
      <w:r>
        <w:t>（一）前期工作情况分析</w:t>
      </w:r>
      <w:bookmarkEnd w:id="120"/>
      <w:bookmarkEnd w:id="121"/>
      <w:bookmarkEnd w:id="122"/>
      <w:bookmarkEnd w:id="123"/>
      <w:bookmarkEnd w:id="124"/>
    </w:p>
    <w:p w14:paraId="4ACED694">
      <w:pPr>
        <w:adjustRightInd w:val="0"/>
        <w:snapToGrid w:val="0"/>
        <w:spacing w:line="579"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该指标分值21分，评价得分13.58分，得分率64.67%。主要从项目立项、绩效目标和预算配置三个方面评价项目的决策情况。</w:t>
      </w:r>
    </w:p>
    <w:p w14:paraId="703BE655">
      <w:pPr>
        <w:adjustRightInd w:val="0"/>
        <w:snapToGrid w:val="0"/>
        <w:spacing w:line="579"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一是项目立项得分率80%，项目立项依据较为充分，但是可研合同签订时间早于项目建议批复时间，立项程序不够合规</w:t>
      </w:r>
      <w:r>
        <w:rPr>
          <w:rFonts w:hint="eastAsia" w:ascii="Times New Roman" w:hAnsi="Times New Roman" w:eastAsia="仿宋_GB2312" w:cs="Times New Roman"/>
          <w:kern w:val="0"/>
          <w:sz w:val="32"/>
          <w:szCs w:val="32"/>
        </w:rPr>
        <w:t>。</w:t>
      </w:r>
    </w:p>
    <w:p w14:paraId="0D054A2F">
      <w:pPr>
        <w:adjustRightInd w:val="0"/>
        <w:snapToGrid w:val="0"/>
        <w:spacing w:line="579"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二是绩效目标得分率40%。绩效目标不合理：2021—2023年的年度目标设置不全面，2021年绩效目标未量化设置，</w:t>
      </w:r>
      <w:r>
        <w:rPr>
          <w:rFonts w:hint="eastAsia" w:ascii="Times New Roman" w:hAnsi="Times New Roman" w:eastAsia="仿宋_GB2312" w:cs="Times New Roman"/>
          <w:kern w:val="0"/>
          <w:sz w:val="32"/>
          <w:szCs w:val="32"/>
        </w:rPr>
        <w:t>2022年设定的绩效目标不合理，预估的竣工时间与实际偏差过大，2023年设定的绩效目标不合理，项目尚未完成竣工结算</w:t>
      </w:r>
      <w:r>
        <w:rPr>
          <w:rFonts w:ascii="Times New Roman" w:hAnsi="Times New Roman" w:eastAsia="仿宋_GB2312" w:cs="Times New Roman"/>
          <w:kern w:val="0"/>
          <w:sz w:val="32"/>
          <w:szCs w:val="32"/>
        </w:rPr>
        <w:t>。绩效指标不明确：2020—2022年的质量指标未全面反映当年度工程建设内容。2020—2023年的效益指标不合理、满意度指标不具体，绩效指标未与建设内容一一对应</w:t>
      </w:r>
      <w:r>
        <w:rPr>
          <w:rFonts w:hint="eastAsia" w:ascii="Times New Roman" w:hAnsi="Times New Roman" w:eastAsia="仿宋_GB2312" w:cs="Times New Roman"/>
          <w:kern w:val="0"/>
          <w:sz w:val="32"/>
          <w:szCs w:val="32"/>
        </w:rPr>
        <w:t>。</w:t>
      </w:r>
    </w:p>
    <w:p w14:paraId="126C3575">
      <w:pPr>
        <w:adjustRightInd w:val="0"/>
        <w:snapToGrid w:val="0"/>
        <w:spacing w:line="579"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三是</w:t>
      </w:r>
      <w:r>
        <w:rPr>
          <w:rFonts w:hint="eastAsia" w:ascii="Times New Roman" w:hAnsi="Times New Roman" w:eastAsia="仿宋_GB2312" w:cs="Times New Roman"/>
          <w:kern w:val="0"/>
          <w:sz w:val="32"/>
          <w:szCs w:val="32"/>
        </w:rPr>
        <w:t>预算配置</w:t>
      </w:r>
      <w:r>
        <w:rPr>
          <w:rFonts w:ascii="Times New Roman" w:hAnsi="Times New Roman" w:eastAsia="仿宋_GB2312" w:cs="Times New Roman"/>
          <w:kern w:val="0"/>
          <w:sz w:val="32"/>
          <w:szCs w:val="32"/>
        </w:rPr>
        <w:t>得分率93%，主要扣分点为</w:t>
      </w:r>
      <w:bookmarkStart w:id="125" w:name="_Toc130222045"/>
      <w:bookmarkStart w:id="126" w:name="_Toc17130"/>
      <w:bookmarkStart w:id="127" w:name="_Toc144736581"/>
      <w:r>
        <w:rPr>
          <w:rFonts w:ascii="Times New Roman" w:hAnsi="Times New Roman" w:eastAsia="仿宋_GB2312" w:cs="Times New Roman"/>
          <w:kern w:val="0"/>
          <w:sz w:val="32"/>
          <w:szCs w:val="32"/>
        </w:rPr>
        <w:t>2022、2023年预算执行率较低。</w:t>
      </w:r>
    </w:p>
    <w:p w14:paraId="5C4B8632">
      <w:pPr>
        <w:pStyle w:val="3"/>
        <w:rPr>
          <w:b/>
          <w:bCs/>
        </w:rPr>
      </w:pPr>
      <w:bookmarkStart w:id="128" w:name="_Toc10511"/>
      <w:bookmarkStart w:id="129" w:name="_Toc168818826"/>
      <w:r>
        <w:t>（二）项目管理情况分析</w:t>
      </w:r>
      <w:bookmarkEnd w:id="125"/>
      <w:bookmarkEnd w:id="126"/>
      <w:bookmarkEnd w:id="127"/>
      <w:bookmarkEnd w:id="128"/>
      <w:bookmarkEnd w:id="129"/>
    </w:p>
    <w:p w14:paraId="4E4B4F36">
      <w:pPr>
        <w:adjustRightInd w:val="0"/>
        <w:snapToGrid w:val="0"/>
        <w:spacing w:line="579"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该指标分值31分，</w:t>
      </w:r>
      <w:r>
        <w:rPr>
          <w:rFonts w:hint="eastAsia" w:ascii="Times New Roman" w:hAnsi="Times New Roman" w:eastAsia="仿宋_GB2312" w:cs="Times New Roman"/>
          <w:color w:val="000000" w:themeColor="text1"/>
          <w:kern w:val="0"/>
          <w:sz w:val="32"/>
          <w:szCs w:val="32"/>
          <w14:textFill>
            <w14:solidFill>
              <w14:schemeClr w14:val="tx1"/>
            </w14:solidFill>
          </w14:textFill>
        </w:rPr>
        <w:t>评价得分</w:t>
      </w:r>
      <w:r>
        <w:rPr>
          <w:rFonts w:ascii="Times New Roman" w:hAnsi="Times New Roman" w:eastAsia="仿宋_GB2312" w:cs="Times New Roman"/>
          <w:color w:val="000000" w:themeColor="text1"/>
          <w:kern w:val="0"/>
          <w:sz w:val="32"/>
          <w:szCs w:val="32"/>
          <w14:textFill>
            <w14:solidFill>
              <w14:schemeClr w14:val="tx1"/>
            </w14:solidFill>
          </w14:textFill>
        </w:rPr>
        <w:t>24.50</w:t>
      </w:r>
      <w:r>
        <w:rPr>
          <w:rFonts w:hint="eastAsia" w:ascii="Times New Roman" w:hAnsi="Times New Roman" w:eastAsia="仿宋_GB2312" w:cs="Times New Roman"/>
          <w:color w:val="000000" w:themeColor="text1"/>
          <w:kern w:val="0"/>
          <w:sz w:val="32"/>
          <w:szCs w:val="32"/>
          <w14:textFill>
            <w14:solidFill>
              <w14:schemeClr w14:val="tx1"/>
            </w14:solidFill>
          </w14:textFill>
        </w:rPr>
        <w:t>分，得分率</w:t>
      </w:r>
      <w:r>
        <w:rPr>
          <w:rFonts w:ascii="Times New Roman" w:hAnsi="Times New Roman" w:eastAsia="仿宋_GB2312" w:cs="Times New Roman"/>
          <w:color w:val="000000" w:themeColor="text1"/>
          <w:kern w:val="0"/>
          <w:sz w:val="32"/>
          <w:szCs w:val="32"/>
          <w14:textFill>
            <w14:solidFill>
              <w14:schemeClr w14:val="tx1"/>
            </w14:solidFill>
          </w14:textFill>
        </w:rPr>
        <w:t>79.03%</w:t>
      </w:r>
      <w:r>
        <w:rPr>
          <w:rFonts w:ascii="Times New Roman" w:hAnsi="Times New Roman" w:eastAsia="仿宋_GB2312" w:cs="Times New Roman"/>
          <w:kern w:val="0"/>
          <w:sz w:val="32"/>
          <w:szCs w:val="32"/>
        </w:rPr>
        <w:t>。主要从建设管理、财务管理和合同管理三个方面评价项目实施情况。</w:t>
      </w:r>
    </w:p>
    <w:p w14:paraId="3B024D63">
      <w:pPr>
        <w:adjustRightInd w:val="0"/>
        <w:snapToGrid w:val="0"/>
        <w:spacing w:line="579"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一是建设管理得分率</w:t>
      </w:r>
      <w:r>
        <w:rPr>
          <w:rFonts w:hint="eastAsia" w:ascii="Times New Roman" w:hAnsi="Times New Roman" w:eastAsia="仿宋_GB2312" w:cs="Times New Roman"/>
          <w:kern w:val="0"/>
          <w:sz w:val="32"/>
          <w:szCs w:val="32"/>
        </w:rPr>
        <w:t>76.67</w:t>
      </w:r>
      <w:r>
        <w:rPr>
          <w:rFonts w:ascii="Times New Roman" w:hAnsi="Times New Roman" w:eastAsia="仿宋_GB2312" w:cs="Times New Roman"/>
          <w:kern w:val="0"/>
          <w:sz w:val="32"/>
          <w:szCs w:val="32"/>
        </w:rPr>
        <w:t>%，项目在公开招标、管理制度</w:t>
      </w:r>
      <w:r>
        <w:rPr>
          <w:rFonts w:hint="eastAsia" w:ascii="Times New Roman" w:hAnsi="Times New Roman" w:eastAsia="仿宋_GB2312" w:cs="Times New Roman"/>
          <w:kern w:val="0"/>
          <w:sz w:val="32"/>
          <w:szCs w:val="32"/>
        </w:rPr>
        <w:t>设置</w:t>
      </w:r>
      <w:r>
        <w:rPr>
          <w:rFonts w:ascii="Times New Roman" w:hAnsi="Times New Roman" w:eastAsia="仿宋_GB2312" w:cs="Times New Roman"/>
          <w:kern w:val="0"/>
          <w:sz w:val="32"/>
          <w:szCs w:val="32"/>
        </w:rPr>
        <w:t>、项目计划性、质量可控性和问题整改方面均处理到位，但是项目实施不够合规，存在工资及考勤台账签名不规范、工程变更先实施后审批的情况。报建手续不完备，未按规定办理安全监督手续先行开工。建设工程资料归档不完整，单位无法提供工程参与方的请款资料。工程结算和竣工财务决算不合规，未在合同规定时间内竣工结算</w:t>
      </w:r>
      <w:r>
        <w:rPr>
          <w:rFonts w:hint="eastAsia" w:ascii="Times New Roman" w:hAnsi="Times New Roman" w:eastAsia="仿宋_GB2312" w:cs="Times New Roman"/>
          <w:kern w:val="0"/>
          <w:sz w:val="32"/>
          <w:szCs w:val="32"/>
        </w:rPr>
        <w:t>。工程监理履职不到位。</w:t>
      </w:r>
    </w:p>
    <w:p w14:paraId="654B74EC">
      <w:pPr>
        <w:adjustRightInd w:val="0"/>
        <w:snapToGrid w:val="0"/>
        <w:spacing w:line="579" w:lineRule="exact"/>
        <w:ind w:firstLine="640" w:firstLineChars="200"/>
        <w:rPr>
          <w:rFonts w:ascii="Times New Roman" w:hAnsi="Times New Roman" w:eastAsia="仿宋_GB2312" w:cs="Times New Roman"/>
          <w:color w:val="0000FF"/>
          <w:kern w:val="0"/>
          <w:sz w:val="32"/>
          <w:szCs w:val="32"/>
        </w:rPr>
      </w:pPr>
      <w:r>
        <w:rPr>
          <w:rFonts w:hint="eastAsia" w:ascii="Times New Roman" w:hAnsi="Times New Roman" w:eastAsia="仿宋_GB2312" w:cs="Times New Roman"/>
          <w:color w:val="000000" w:themeColor="text1"/>
          <w:kern w:val="0"/>
          <w:sz w:val="32"/>
          <w:szCs w:val="32"/>
          <w14:textFill>
            <w14:solidFill>
              <w14:schemeClr w14:val="tx1"/>
            </w14:solidFill>
          </w14:textFill>
        </w:rPr>
        <w:t>二是财务管理得分率</w:t>
      </w:r>
      <w:r>
        <w:rPr>
          <w:rFonts w:ascii="Times New Roman" w:hAnsi="Times New Roman" w:eastAsia="仿宋_GB2312" w:cs="Times New Roman"/>
          <w:color w:val="000000" w:themeColor="text1"/>
          <w:kern w:val="0"/>
          <w:sz w:val="32"/>
          <w:szCs w:val="32"/>
          <w14:textFill>
            <w14:solidFill>
              <w14:schemeClr w14:val="tx1"/>
            </w14:solidFill>
          </w14:textFill>
        </w:rPr>
        <w:t>100%</w:t>
      </w:r>
      <w:r>
        <w:rPr>
          <w:rFonts w:hint="eastAsia" w:ascii="Times New Roman" w:hAnsi="Times New Roman" w:eastAsia="仿宋_GB2312" w:cs="Times New Roman"/>
          <w:color w:val="000000" w:themeColor="text1"/>
          <w:kern w:val="0"/>
          <w:sz w:val="32"/>
          <w:szCs w:val="32"/>
          <w14:textFill>
            <w14:solidFill>
              <w14:schemeClr w14:val="tx1"/>
            </w14:solidFill>
          </w14:textFill>
        </w:rPr>
        <w:t>，财务制度健全、资金使用合规、债券管理到位、财务监控有效。</w:t>
      </w:r>
    </w:p>
    <w:p w14:paraId="58680AF2">
      <w:pPr>
        <w:adjustRightInd w:val="0"/>
        <w:snapToGrid w:val="0"/>
        <w:spacing w:line="579"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三是合同管理得分率50%，存在未及时签订</w:t>
      </w:r>
      <w:r>
        <w:rPr>
          <w:rFonts w:hint="eastAsia" w:ascii="Times New Roman" w:hAnsi="Times New Roman" w:eastAsia="仿宋_GB2312" w:cs="Times New Roman"/>
          <w:kern w:val="0"/>
          <w:sz w:val="32"/>
          <w:szCs w:val="32"/>
        </w:rPr>
        <w:t>监理合同</w:t>
      </w:r>
      <w:r>
        <w:rPr>
          <w:rFonts w:ascii="Times New Roman" w:hAnsi="Times New Roman" w:eastAsia="仿宋_GB2312" w:cs="Times New Roman"/>
          <w:kern w:val="0"/>
          <w:sz w:val="32"/>
          <w:szCs w:val="32"/>
        </w:rPr>
        <w:t>、未按合同规定支付款项</w:t>
      </w:r>
      <w:r>
        <w:rPr>
          <w:rFonts w:hint="eastAsia" w:ascii="Times New Roman" w:hAnsi="Times New Roman" w:eastAsia="仿宋_GB2312" w:cs="Times New Roman"/>
          <w:kern w:val="0"/>
          <w:sz w:val="32"/>
          <w:szCs w:val="32"/>
        </w:rPr>
        <w:t>、项目未完成结算</w:t>
      </w:r>
      <w:r>
        <w:rPr>
          <w:rFonts w:ascii="Times New Roman" w:hAnsi="Times New Roman" w:eastAsia="仿宋_GB2312" w:cs="Times New Roman"/>
          <w:kern w:val="0"/>
          <w:sz w:val="32"/>
          <w:szCs w:val="32"/>
        </w:rPr>
        <w:t>的问题</w:t>
      </w:r>
      <w:r>
        <w:rPr>
          <w:rFonts w:ascii="Times New Roman" w:hAnsi="Times New Roman" w:eastAsia="仿宋_GB2312" w:cs="Times New Roman"/>
          <w:bCs/>
          <w:kern w:val="0"/>
          <w:sz w:val="32"/>
          <w:szCs w:val="32"/>
        </w:rPr>
        <w:t>。</w:t>
      </w:r>
    </w:p>
    <w:p w14:paraId="2A78DD80">
      <w:pPr>
        <w:pStyle w:val="3"/>
        <w:rPr>
          <w:b/>
          <w:bCs/>
        </w:rPr>
      </w:pPr>
      <w:bookmarkStart w:id="130" w:name="_Toc18764"/>
      <w:bookmarkStart w:id="131" w:name="_Toc4454"/>
      <w:bookmarkStart w:id="132" w:name="_Toc144736584"/>
      <w:bookmarkStart w:id="133" w:name="_Toc168818827"/>
      <w:bookmarkStart w:id="134" w:name="_Toc130222048"/>
      <w:r>
        <w:t>（三）产出情况分析</w:t>
      </w:r>
      <w:bookmarkEnd w:id="130"/>
      <w:bookmarkEnd w:id="131"/>
      <w:bookmarkEnd w:id="132"/>
      <w:bookmarkEnd w:id="133"/>
      <w:bookmarkEnd w:id="134"/>
    </w:p>
    <w:p w14:paraId="1BCC93E8">
      <w:pPr>
        <w:adjustRightInd w:val="0"/>
        <w:snapToGrid w:val="0"/>
        <w:spacing w:line="579"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该指标分值26分，评价得分25分，得分率96.15%。主要从产出数量、时效、质量和成本节约四个方面评价项目的产出情况。</w:t>
      </w:r>
    </w:p>
    <w:p w14:paraId="3DEEB16F">
      <w:pPr>
        <w:adjustRightInd w:val="0"/>
        <w:snapToGrid w:val="0"/>
        <w:spacing w:line="579"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一是产出数量得分率100%，完成全部工程量</w:t>
      </w:r>
      <w:r>
        <w:rPr>
          <w:rFonts w:hint="eastAsia" w:ascii="Times New Roman" w:hAnsi="Times New Roman" w:eastAsia="仿宋_GB2312" w:cs="Times New Roman"/>
          <w:kern w:val="0"/>
          <w:sz w:val="32"/>
          <w:szCs w:val="32"/>
        </w:rPr>
        <w:t>。</w:t>
      </w:r>
    </w:p>
    <w:p w14:paraId="615538FD">
      <w:pPr>
        <w:adjustRightInd w:val="0"/>
        <w:snapToGrid w:val="0"/>
        <w:spacing w:line="579"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二是产出时效得分率100%，项目按计划、进度完成工程建设</w:t>
      </w:r>
      <w:r>
        <w:rPr>
          <w:rFonts w:hint="eastAsia" w:ascii="Times New Roman" w:hAnsi="Times New Roman" w:eastAsia="仿宋_GB2312" w:cs="Times New Roman"/>
          <w:kern w:val="0"/>
          <w:sz w:val="32"/>
          <w:szCs w:val="32"/>
        </w:rPr>
        <w:t>。</w:t>
      </w:r>
    </w:p>
    <w:p w14:paraId="77F6E53D">
      <w:pPr>
        <w:adjustRightInd w:val="0"/>
        <w:snapToGrid w:val="0"/>
        <w:spacing w:line="579"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三是产出</w:t>
      </w:r>
      <w:r>
        <w:rPr>
          <w:rFonts w:hint="eastAsia" w:ascii="Times New Roman" w:hAnsi="Times New Roman" w:eastAsia="仿宋_GB2312" w:cs="Times New Roman"/>
          <w:kern w:val="0"/>
          <w:sz w:val="32"/>
          <w:szCs w:val="32"/>
        </w:rPr>
        <w:t>质量</w:t>
      </w:r>
      <w:r>
        <w:rPr>
          <w:rFonts w:ascii="Times New Roman" w:hAnsi="Times New Roman" w:eastAsia="仿宋_GB2312" w:cs="Times New Roman"/>
          <w:kern w:val="0"/>
          <w:sz w:val="32"/>
          <w:szCs w:val="32"/>
        </w:rPr>
        <w:t>得分率100%，项目验收合格，工程质量达标、工程结算无误差</w:t>
      </w:r>
      <w:r>
        <w:rPr>
          <w:rFonts w:hint="eastAsia" w:ascii="Times New Roman" w:hAnsi="Times New Roman" w:eastAsia="仿宋_GB2312" w:cs="Times New Roman"/>
          <w:kern w:val="0"/>
          <w:sz w:val="32"/>
          <w:szCs w:val="32"/>
        </w:rPr>
        <w:t>。</w:t>
      </w:r>
    </w:p>
    <w:p w14:paraId="79D64D71">
      <w:pPr>
        <w:adjustRightInd w:val="0"/>
        <w:snapToGrid w:val="0"/>
        <w:spacing w:line="579"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四是成本节约得分率83.33%，项目有效控制成本和投资结构，但是未完成结算，预决算差异较大。</w:t>
      </w:r>
    </w:p>
    <w:p w14:paraId="2D65CF01">
      <w:pPr>
        <w:pStyle w:val="3"/>
        <w:rPr>
          <w:b/>
          <w:bCs/>
        </w:rPr>
      </w:pPr>
      <w:bookmarkStart w:id="135" w:name="_Toc168818828"/>
      <w:bookmarkStart w:id="136" w:name="_Toc144736588"/>
      <w:bookmarkStart w:id="137" w:name="_Toc130222052"/>
      <w:bookmarkStart w:id="138" w:name="_Toc23209"/>
      <w:bookmarkStart w:id="139" w:name="_Toc7125"/>
      <w:r>
        <w:t>（四）效果情况分析</w:t>
      </w:r>
      <w:bookmarkEnd w:id="135"/>
      <w:bookmarkEnd w:id="136"/>
      <w:bookmarkEnd w:id="137"/>
      <w:bookmarkEnd w:id="138"/>
      <w:bookmarkEnd w:id="139"/>
    </w:p>
    <w:p w14:paraId="672A1346">
      <w:pPr>
        <w:adjustRightInd w:val="0"/>
        <w:snapToGrid w:val="0"/>
        <w:spacing w:line="579"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该指标分值22分，评价得分20.31分，得分率92.32%。主要从经济效益、社会效益、生态效益、可持续影响和社会评价五个方面评价项目的效益情况。</w:t>
      </w:r>
    </w:p>
    <w:p w14:paraId="5296C42D">
      <w:pPr>
        <w:adjustRightInd w:val="0"/>
        <w:snapToGrid w:val="0"/>
        <w:spacing w:line="579"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一是经济效益得分率100%，项目对增加本地税收、降低运输成本、完善城市基础设施、改善投资环境具有显著作用</w:t>
      </w:r>
      <w:r>
        <w:rPr>
          <w:rFonts w:hint="eastAsia" w:ascii="Times New Roman" w:hAnsi="Times New Roman" w:eastAsia="仿宋_GB2312" w:cs="Times New Roman"/>
          <w:kern w:val="0"/>
          <w:sz w:val="32"/>
          <w:szCs w:val="32"/>
        </w:rPr>
        <w:t>。</w:t>
      </w:r>
    </w:p>
    <w:p w14:paraId="519DF920">
      <w:pPr>
        <w:adjustRightInd w:val="0"/>
        <w:snapToGrid w:val="0"/>
        <w:spacing w:line="579"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二是社会效益得分率88.50%，根据问卷结果分析，居民出行条件改善程度88.33分，周边道路交通压力缓解程度88.33分，项目具有较好的社会效益</w:t>
      </w:r>
      <w:r>
        <w:rPr>
          <w:rFonts w:hint="eastAsia" w:ascii="Times New Roman" w:hAnsi="Times New Roman" w:eastAsia="仿宋_GB2312" w:cs="Times New Roman"/>
          <w:kern w:val="0"/>
          <w:sz w:val="32"/>
          <w:szCs w:val="32"/>
        </w:rPr>
        <w:t>。</w:t>
      </w:r>
    </w:p>
    <w:p w14:paraId="2D1874C7">
      <w:pPr>
        <w:adjustRightInd w:val="0"/>
        <w:snapToGrid w:val="0"/>
        <w:spacing w:line="579"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三是</w:t>
      </w:r>
      <w:r>
        <w:rPr>
          <w:rFonts w:hint="eastAsia" w:ascii="Times New Roman" w:hAnsi="Times New Roman" w:eastAsia="仿宋_GB2312" w:cs="Times New Roman"/>
          <w:kern w:val="0"/>
          <w:sz w:val="32"/>
          <w:szCs w:val="32"/>
        </w:rPr>
        <w:t>生态</w:t>
      </w:r>
      <w:r>
        <w:rPr>
          <w:rFonts w:ascii="Times New Roman" w:hAnsi="Times New Roman" w:eastAsia="仿宋_GB2312" w:cs="Times New Roman"/>
          <w:kern w:val="0"/>
          <w:sz w:val="32"/>
          <w:szCs w:val="32"/>
        </w:rPr>
        <w:t>效益得分率100%，绿化面积达标，施工期间未造成环境污染</w:t>
      </w:r>
      <w:r>
        <w:rPr>
          <w:rFonts w:hint="eastAsia" w:ascii="Times New Roman" w:hAnsi="Times New Roman" w:eastAsia="仿宋_GB2312" w:cs="Times New Roman"/>
          <w:kern w:val="0"/>
          <w:sz w:val="32"/>
          <w:szCs w:val="32"/>
        </w:rPr>
        <w:t>。</w:t>
      </w:r>
    </w:p>
    <w:p w14:paraId="0B6B5251">
      <w:pPr>
        <w:adjustRightInd w:val="0"/>
        <w:snapToGrid w:val="0"/>
        <w:spacing w:line="579"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四是可持续影响得分率87.50%，项目资产交付使用手续不够完备</w:t>
      </w:r>
      <w:r>
        <w:rPr>
          <w:rFonts w:hint="eastAsia" w:ascii="Times New Roman" w:hAnsi="Times New Roman" w:eastAsia="仿宋_GB2312" w:cs="Times New Roman"/>
          <w:kern w:val="0"/>
          <w:sz w:val="32"/>
          <w:szCs w:val="32"/>
        </w:rPr>
        <w:t>。</w:t>
      </w:r>
    </w:p>
    <w:p w14:paraId="35C32305">
      <w:pPr>
        <w:adjustRightInd w:val="0"/>
        <w:snapToGrid w:val="0"/>
        <w:spacing w:line="579"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五是</w:t>
      </w:r>
      <w:r>
        <w:rPr>
          <w:rFonts w:hint="eastAsia" w:ascii="Times New Roman" w:hAnsi="Times New Roman" w:eastAsia="仿宋_GB2312" w:cs="Times New Roman"/>
          <w:kern w:val="0"/>
          <w:sz w:val="32"/>
          <w:szCs w:val="32"/>
        </w:rPr>
        <w:t>社会评价</w:t>
      </w:r>
      <w:r>
        <w:rPr>
          <w:rFonts w:ascii="Times New Roman" w:hAnsi="Times New Roman" w:eastAsia="仿宋_GB2312" w:cs="Times New Roman"/>
          <w:kern w:val="0"/>
          <w:sz w:val="32"/>
          <w:szCs w:val="32"/>
        </w:rPr>
        <w:t>得分率81.75%。社会公众满意度问卷调查结果显示：社会公众整体满意度为85.11分，满意度较高（表</w:t>
      </w:r>
      <w:r>
        <w:rPr>
          <w:rFonts w:hint="eastAsia" w:ascii="Times New Roman" w:hAnsi="Times New Roman" w:eastAsia="仿宋_GB2312" w:cs="Times New Roman"/>
          <w:kern w:val="0"/>
          <w:sz w:val="32"/>
          <w:szCs w:val="32"/>
        </w:rPr>
        <w:t>3</w:t>
      </w:r>
      <w:r>
        <w:rPr>
          <w:rFonts w:ascii="Times New Roman" w:hAnsi="Times New Roman" w:eastAsia="仿宋_GB2312" w:cs="Times New Roman"/>
          <w:kern w:val="0"/>
          <w:sz w:val="32"/>
          <w:szCs w:val="32"/>
        </w:rPr>
        <w:t>）。管理单位满意度问卷调查结果显示：管理单位整体满意度为78.50分，满意度一般（表</w:t>
      </w:r>
      <w:r>
        <w:rPr>
          <w:rFonts w:hint="eastAsia" w:ascii="Times New Roman" w:hAnsi="Times New Roman" w:eastAsia="仿宋_GB2312" w:cs="Times New Roman"/>
          <w:kern w:val="0"/>
          <w:sz w:val="32"/>
          <w:szCs w:val="32"/>
        </w:rPr>
        <w:t>4</w:t>
      </w:r>
      <w:r>
        <w:rPr>
          <w:rFonts w:ascii="Times New Roman" w:hAnsi="Times New Roman" w:eastAsia="仿宋_GB2312" w:cs="Times New Roman"/>
          <w:kern w:val="0"/>
          <w:sz w:val="32"/>
          <w:szCs w:val="32"/>
        </w:rPr>
        <w:t>）。</w:t>
      </w:r>
    </w:p>
    <w:p w14:paraId="1A233F80">
      <w:pPr>
        <w:adjustRightInd w:val="0"/>
        <w:snapToGrid w:val="0"/>
        <w:spacing w:before="156" w:beforeLines="50" w:after="156" w:afterLines="50"/>
        <w:ind w:firstLine="480"/>
        <w:jc w:val="center"/>
        <w:rPr>
          <w:rFonts w:ascii="Times New Roman" w:hAnsi="Times New Roman" w:eastAsia="黑体" w:cs="Times New Roman"/>
          <w:sz w:val="24"/>
          <w:szCs w:val="24"/>
        </w:rPr>
      </w:pPr>
      <w:r>
        <w:rPr>
          <w:rFonts w:ascii="Times New Roman" w:hAnsi="Times New Roman" w:eastAsia="黑体" w:cs="Times New Roman"/>
          <w:sz w:val="24"/>
          <w:szCs w:val="24"/>
        </w:rPr>
        <w:t>表</w:t>
      </w:r>
      <w:r>
        <w:rPr>
          <w:rFonts w:hint="eastAsia" w:ascii="Times New Roman" w:hAnsi="Times New Roman" w:eastAsia="黑体" w:cs="Times New Roman"/>
          <w:sz w:val="24"/>
          <w:szCs w:val="24"/>
        </w:rPr>
        <w:t>3</w:t>
      </w:r>
      <w:r>
        <w:rPr>
          <w:rFonts w:ascii="Times New Roman" w:hAnsi="Times New Roman" w:eastAsia="黑体" w:cs="Times New Roman"/>
          <w:sz w:val="24"/>
          <w:szCs w:val="24"/>
        </w:rPr>
        <w:t xml:space="preserve">  社会公众满意度调查得分</w:t>
      </w:r>
    </w:p>
    <w:tbl>
      <w:tblPr>
        <w:tblStyle w:val="24"/>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44"/>
        <w:gridCol w:w="7336"/>
        <w:gridCol w:w="981"/>
      </w:tblGrid>
      <w:tr w14:paraId="67BC185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1" w:type="pct"/>
            <w:tcBorders>
              <w:top w:val="single" w:color="auto" w:sz="8" w:space="0"/>
              <w:bottom w:val="single" w:color="auto" w:sz="8" w:space="0"/>
            </w:tcBorders>
            <w:vAlign w:val="center"/>
          </w:tcPr>
          <w:p w14:paraId="5547CC51">
            <w:pPr>
              <w:adjustRightInd w:val="0"/>
              <w:snapToGrid w:val="0"/>
              <w:jc w:val="center"/>
              <w:rPr>
                <w:rFonts w:ascii="Times New Roman" w:hAnsi="Times New Roman" w:eastAsia="黑体" w:cs="Times New Roman"/>
                <w:kern w:val="0"/>
                <w:sz w:val="24"/>
                <w:szCs w:val="24"/>
              </w:rPr>
            </w:pPr>
            <w:r>
              <w:rPr>
                <w:rFonts w:ascii="Times New Roman" w:hAnsi="Times New Roman" w:eastAsia="黑体" w:cs="Times New Roman"/>
                <w:kern w:val="0"/>
                <w:sz w:val="24"/>
                <w:szCs w:val="24"/>
              </w:rPr>
              <w:t>序号</w:t>
            </w:r>
          </w:p>
        </w:tc>
        <w:tc>
          <w:tcPr>
            <w:tcW w:w="4047" w:type="pct"/>
            <w:tcBorders>
              <w:top w:val="single" w:color="auto" w:sz="8" w:space="0"/>
              <w:bottom w:val="single" w:color="auto" w:sz="8" w:space="0"/>
            </w:tcBorders>
            <w:vAlign w:val="center"/>
          </w:tcPr>
          <w:p w14:paraId="3E762FD2">
            <w:pPr>
              <w:adjustRightInd w:val="0"/>
              <w:snapToGrid w:val="0"/>
              <w:jc w:val="center"/>
              <w:rPr>
                <w:rFonts w:ascii="Times New Roman" w:hAnsi="Times New Roman" w:eastAsia="黑体" w:cs="Times New Roman"/>
                <w:kern w:val="0"/>
                <w:sz w:val="24"/>
                <w:szCs w:val="24"/>
              </w:rPr>
            </w:pPr>
            <w:r>
              <w:rPr>
                <w:rFonts w:ascii="Times New Roman" w:hAnsi="Times New Roman" w:eastAsia="黑体" w:cs="Times New Roman"/>
                <w:kern w:val="0"/>
                <w:sz w:val="24"/>
                <w:szCs w:val="24"/>
              </w:rPr>
              <w:t>调查题目</w:t>
            </w:r>
          </w:p>
        </w:tc>
        <w:tc>
          <w:tcPr>
            <w:tcW w:w="541" w:type="pct"/>
            <w:tcBorders>
              <w:top w:val="single" w:color="auto" w:sz="8" w:space="0"/>
              <w:bottom w:val="single" w:color="auto" w:sz="8" w:space="0"/>
            </w:tcBorders>
            <w:vAlign w:val="center"/>
          </w:tcPr>
          <w:p w14:paraId="57155072">
            <w:pPr>
              <w:adjustRightInd w:val="0"/>
              <w:snapToGrid w:val="0"/>
              <w:jc w:val="center"/>
              <w:rPr>
                <w:rFonts w:ascii="Times New Roman" w:hAnsi="Times New Roman" w:eastAsia="黑体" w:cs="Times New Roman"/>
                <w:kern w:val="0"/>
                <w:sz w:val="24"/>
                <w:szCs w:val="24"/>
              </w:rPr>
            </w:pPr>
            <w:r>
              <w:rPr>
                <w:rFonts w:ascii="Times New Roman" w:hAnsi="Times New Roman" w:eastAsia="黑体" w:cs="Times New Roman"/>
                <w:kern w:val="0"/>
                <w:sz w:val="24"/>
                <w:szCs w:val="24"/>
              </w:rPr>
              <w:t>得分</w:t>
            </w:r>
          </w:p>
        </w:tc>
      </w:tr>
      <w:tr w14:paraId="419CAE6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1" w:type="pct"/>
            <w:tcBorders>
              <w:top w:val="single" w:color="auto" w:sz="8" w:space="0"/>
            </w:tcBorders>
            <w:vAlign w:val="center"/>
          </w:tcPr>
          <w:p w14:paraId="35FF26F6">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1</w:t>
            </w:r>
          </w:p>
        </w:tc>
        <w:tc>
          <w:tcPr>
            <w:tcW w:w="4047" w:type="pct"/>
            <w:tcBorders>
              <w:top w:val="single" w:color="auto" w:sz="8" w:space="0"/>
            </w:tcBorders>
            <w:vAlign w:val="center"/>
          </w:tcPr>
          <w:p w14:paraId="18868549">
            <w:pPr>
              <w:adjustRightInd w:val="0"/>
              <w:snapToGrid w:val="0"/>
              <w:rPr>
                <w:rFonts w:ascii="Times New Roman" w:hAnsi="Times New Roman" w:cs="Times New Roman"/>
                <w:kern w:val="0"/>
                <w:sz w:val="24"/>
                <w:szCs w:val="24"/>
              </w:rPr>
            </w:pPr>
            <w:r>
              <w:rPr>
                <w:rFonts w:ascii="Times New Roman" w:hAnsi="Times New Roman" w:cs="Times New Roman"/>
                <w:sz w:val="24"/>
                <w:szCs w:val="24"/>
              </w:rPr>
              <w:t>您对环城路项目规划的行驶路线是否满意？</w:t>
            </w:r>
          </w:p>
        </w:tc>
        <w:tc>
          <w:tcPr>
            <w:tcW w:w="541" w:type="pct"/>
            <w:tcBorders>
              <w:top w:val="single" w:color="auto" w:sz="8" w:space="0"/>
            </w:tcBorders>
            <w:vAlign w:val="center"/>
          </w:tcPr>
          <w:p w14:paraId="7BB3F3CB">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86.66</w:t>
            </w:r>
          </w:p>
        </w:tc>
      </w:tr>
      <w:tr w14:paraId="4F677AF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1" w:type="pct"/>
            <w:vAlign w:val="center"/>
          </w:tcPr>
          <w:p w14:paraId="32DA8DFD">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4047" w:type="pct"/>
            <w:vAlign w:val="center"/>
          </w:tcPr>
          <w:p w14:paraId="0585F915">
            <w:pPr>
              <w:adjustRightInd w:val="0"/>
              <w:snapToGrid w:val="0"/>
              <w:rPr>
                <w:rFonts w:ascii="Times New Roman" w:hAnsi="Times New Roman" w:cs="Times New Roman"/>
                <w:kern w:val="0"/>
                <w:sz w:val="24"/>
                <w:szCs w:val="24"/>
              </w:rPr>
            </w:pPr>
            <w:r>
              <w:rPr>
                <w:rFonts w:ascii="Times New Roman" w:hAnsi="Times New Roman" w:cs="Times New Roman"/>
                <w:sz w:val="24"/>
                <w:szCs w:val="24"/>
              </w:rPr>
              <w:t>您对环城路项目的道路路面设计是否满意？</w:t>
            </w:r>
          </w:p>
        </w:tc>
        <w:tc>
          <w:tcPr>
            <w:tcW w:w="541" w:type="pct"/>
            <w:vAlign w:val="center"/>
          </w:tcPr>
          <w:p w14:paraId="7FB149C1">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88.33</w:t>
            </w:r>
          </w:p>
        </w:tc>
      </w:tr>
      <w:tr w14:paraId="540BEF6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1" w:type="pct"/>
            <w:vAlign w:val="center"/>
          </w:tcPr>
          <w:p w14:paraId="4FE5D16A">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4047" w:type="pct"/>
            <w:vAlign w:val="center"/>
          </w:tcPr>
          <w:p w14:paraId="3E9FAE5E">
            <w:pPr>
              <w:adjustRightInd w:val="0"/>
              <w:snapToGrid w:val="0"/>
              <w:rPr>
                <w:rFonts w:ascii="Times New Roman" w:hAnsi="Times New Roman" w:cs="Times New Roman"/>
                <w:kern w:val="0"/>
                <w:sz w:val="24"/>
                <w:szCs w:val="24"/>
              </w:rPr>
            </w:pPr>
            <w:r>
              <w:rPr>
                <w:rFonts w:ascii="Times New Roman" w:hAnsi="Times New Roman" w:cs="Times New Roman"/>
                <w:sz w:val="24"/>
                <w:szCs w:val="24"/>
              </w:rPr>
              <w:t>您对环城路项目的绿化建设是否满意？</w:t>
            </w:r>
            <w:r>
              <w:rPr>
                <w:rFonts w:ascii="Times New Roman" w:hAnsi="Times New Roman" w:cs="Times New Roman"/>
                <w:kern w:val="0"/>
                <w:sz w:val="24"/>
                <w:szCs w:val="24"/>
              </w:rPr>
              <w:t xml:space="preserve"> </w:t>
            </w:r>
          </w:p>
        </w:tc>
        <w:tc>
          <w:tcPr>
            <w:tcW w:w="541" w:type="pct"/>
            <w:vAlign w:val="center"/>
          </w:tcPr>
          <w:p w14:paraId="0EF12458">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85.00</w:t>
            </w:r>
          </w:p>
        </w:tc>
      </w:tr>
      <w:tr w14:paraId="20AE2C4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411" w:type="pct"/>
            <w:vAlign w:val="center"/>
          </w:tcPr>
          <w:p w14:paraId="68ED0FEC">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4047" w:type="pct"/>
            <w:vAlign w:val="center"/>
          </w:tcPr>
          <w:p w14:paraId="6988BD14">
            <w:pPr>
              <w:adjustRightInd w:val="0"/>
              <w:snapToGrid w:val="0"/>
              <w:rPr>
                <w:rFonts w:ascii="Times New Roman" w:hAnsi="Times New Roman" w:cs="Times New Roman"/>
                <w:sz w:val="24"/>
                <w:szCs w:val="24"/>
              </w:rPr>
            </w:pPr>
            <w:r>
              <w:rPr>
                <w:rFonts w:ascii="Times New Roman" w:hAnsi="Times New Roman" w:cs="Times New Roman"/>
                <w:sz w:val="24"/>
                <w:szCs w:val="24"/>
              </w:rPr>
              <w:t>您对环城路项目的路灯建设是否满意？</w:t>
            </w:r>
          </w:p>
        </w:tc>
        <w:tc>
          <w:tcPr>
            <w:tcW w:w="541" w:type="pct"/>
            <w:vAlign w:val="center"/>
          </w:tcPr>
          <w:p w14:paraId="3DCA9B22">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88.33</w:t>
            </w:r>
          </w:p>
        </w:tc>
      </w:tr>
      <w:tr w14:paraId="082786C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1" w:type="pct"/>
            <w:vAlign w:val="center"/>
          </w:tcPr>
          <w:p w14:paraId="54E5CA8E">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4047" w:type="pct"/>
            <w:vAlign w:val="center"/>
          </w:tcPr>
          <w:p w14:paraId="0E9881DB">
            <w:pPr>
              <w:adjustRightInd w:val="0"/>
              <w:snapToGrid w:val="0"/>
              <w:rPr>
                <w:rFonts w:ascii="Times New Roman" w:hAnsi="Times New Roman" w:cs="Times New Roman"/>
                <w:sz w:val="24"/>
                <w:szCs w:val="24"/>
              </w:rPr>
            </w:pPr>
            <w:r>
              <w:rPr>
                <w:rFonts w:ascii="Times New Roman" w:hAnsi="Times New Roman" w:cs="Times New Roman"/>
                <w:sz w:val="24"/>
                <w:szCs w:val="24"/>
              </w:rPr>
              <w:t xml:space="preserve">您对环城路项目的设计与周边环境协调性是否满意？ </w:t>
            </w:r>
          </w:p>
        </w:tc>
        <w:tc>
          <w:tcPr>
            <w:tcW w:w="541" w:type="pct"/>
            <w:vAlign w:val="center"/>
          </w:tcPr>
          <w:p w14:paraId="0BBA60FD">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84.99</w:t>
            </w:r>
          </w:p>
        </w:tc>
      </w:tr>
      <w:tr w14:paraId="0E736A6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1" w:type="pct"/>
            <w:vAlign w:val="center"/>
          </w:tcPr>
          <w:p w14:paraId="6F696078">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6</w:t>
            </w:r>
          </w:p>
        </w:tc>
        <w:tc>
          <w:tcPr>
            <w:tcW w:w="4047" w:type="pct"/>
            <w:vAlign w:val="center"/>
          </w:tcPr>
          <w:p w14:paraId="38A6CAF0">
            <w:pPr>
              <w:adjustRightInd w:val="0"/>
              <w:snapToGrid w:val="0"/>
              <w:rPr>
                <w:rFonts w:ascii="Times New Roman" w:hAnsi="Times New Roman" w:cs="Times New Roman"/>
                <w:kern w:val="0"/>
                <w:sz w:val="24"/>
                <w:szCs w:val="24"/>
              </w:rPr>
            </w:pPr>
            <w:r>
              <w:rPr>
                <w:rFonts w:ascii="Times New Roman" w:hAnsi="Times New Roman" w:cs="Times New Roman"/>
                <w:sz w:val="24"/>
                <w:szCs w:val="24"/>
              </w:rPr>
              <w:t>您认为环城路建成之后对谢岗镇南部道路网络完善效果如何？</w:t>
            </w:r>
          </w:p>
        </w:tc>
        <w:tc>
          <w:tcPr>
            <w:tcW w:w="541" w:type="pct"/>
            <w:vAlign w:val="center"/>
          </w:tcPr>
          <w:p w14:paraId="71C43007">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88.33</w:t>
            </w:r>
          </w:p>
        </w:tc>
      </w:tr>
      <w:tr w14:paraId="71DE425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1" w:type="pct"/>
            <w:vAlign w:val="center"/>
          </w:tcPr>
          <w:p w14:paraId="7CC53CE4">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7</w:t>
            </w:r>
          </w:p>
        </w:tc>
        <w:tc>
          <w:tcPr>
            <w:tcW w:w="4047" w:type="pct"/>
            <w:vAlign w:val="center"/>
          </w:tcPr>
          <w:p w14:paraId="35BDEA5E">
            <w:pPr>
              <w:adjustRightInd w:val="0"/>
              <w:snapToGrid w:val="0"/>
              <w:rPr>
                <w:rFonts w:ascii="Times New Roman" w:hAnsi="Times New Roman" w:cs="Times New Roman"/>
                <w:kern w:val="0"/>
                <w:sz w:val="24"/>
                <w:szCs w:val="24"/>
              </w:rPr>
            </w:pPr>
            <w:r>
              <w:rPr>
                <w:rFonts w:ascii="Times New Roman" w:hAnsi="Times New Roman" w:cs="Times New Roman"/>
                <w:sz w:val="24"/>
                <w:szCs w:val="24"/>
              </w:rPr>
              <w:t>您认为环城路建成之后能否有效提升谢岗镇的城市形象？</w:t>
            </w:r>
          </w:p>
        </w:tc>
        <w:tc>
          <w:tcPr>
            <w:tcW w:w="541" w:type="pct"/>
            <w:vAlign w:val="center"/>
          </w:tcPr>
          <w:p w14:paraId="51D4F595">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91.67</w:t>
            </w:r>
          </w:p>
        </w:tc>
      </w:tr>
      <w:tr w14:paraId="39A19D8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1" w:type="pct"/>
            <w:vAlign w:val="center"/>
          </w:tcPr>
          <w:p w14:paraId="76A53044">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8</w:t>
            </w:r>
          </w:p>
        </w:tc>
        <w:tc>
          <w:tcPr>
            <w:tcW w:w="4047" w:type="pct"/>
            <w:vAlign w:val="center"/>
          </w:tcPr>
          <w:p w14:paraId="3A39A75A">
            <w:pPr>
              <w:adjustRightInd w:val="0"/>
              <w:snapToGrid w:val="0"/>
              <w:rPr>
                <w:rFonts w:ascii="Times New Roman" w:hAnsi="Times New Roman" w:cs="Times New Roman"/>
                <w:kern w:val="0"/>
                <w:sz w:val="24"/>
                <w:szCs w:val="24"/>
              </w:rPr>
            </w:pPr>
            <w:r>
              <w:rPr>
                <w:rFonts w:ascii="Times New Roman" w:hAnsi="Times New Roman" w:cs="Times New Roman"/>
                <w:sz w:val="24"/>
                <w:szCs w:val="24"/>
              </w:rPr>
              <w:t>您认为环城路建成之后使用的效果如何？</w:t>
            </w:r>
            <w:r>
              <w:rPr>
                <w:rFonts w:ascii="Times New Roman" w:hAnsi="Times New Roman" w:cs="Times New Roman"/>
                <w:kern w:val="0"/>
                <w:sz w:val="24"/>
                <w:szCs w:val="24"/>
              </w:rPr>
              <w:t xml:space="preserve"> </w:t>
            </w:r>
          </w:p>
        </w:tc>
        <w:tc>
          <w:tcPr>
            <w:tcW w:w="541" w:type="pct"/>
            <w:vAlign w:val="center"/>
          </w:tcPr>
          <w:p w14:paraId="50D5EAE8">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90.01</w:t>
            </w:r>
          </w:p>
        </w:tc>
      </w:tr>
      <w:tr w14:paraId="48170F1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1" w:type="pct"/>
            <w:vAlign w:val="center"/>
          </w:tcPr>
          <w:p w14:paraId="0823FB77">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9</w:t>
            </w:r>
          </w:p>
        </w:tc>
        <w:tc>
          <w:tcPr>
            <w:tcW w:w="4047" w:type="pct"/>
            <w:vAlign w:val="center"/>
          </w:tcPr>
          <w:p w14:paraId="6772AE0A">
            <w:pPr>
              <w:adjustRightInd w:val="0"/>
              <w:snapToGrid w:val="0"/>
              <w:rPr>
                <w:rFonts w:ascii="Times New Roman" w:hAnsi="Times New Roman" w:cs="Times New Roman"/>
                <w:sz w:val="24"/>
                <w:szCs w:val="24"/>
              </w:rPr>
            </w:pPr>
            <w:r>
              <w:rPr>
                <w:rFonts w:ascii="Times New Roman" w:hAnsi="Times New Roman" w:cs="Times New Roman"/>
                <w:sz w:val="24"/>
                <w:szCs w:val="24"/>
              </w:rPr>
              <w:t>您支持环城路工程项目的建设吗？</w:t>
            </w:r>
          </w:p>
        </w:tc>
        <w:tc>
          <w:tcPr>
            <w:tcW w:w="541" w:type="pct"/>
            <w:vAlign w:val="center"/>
          </w:tcPr>
          <w:p w14:paraId="358B9D1C">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86.67</w:t>
            </w:r>
          </w:p>
        </w:tc>
      </w:tr>
      <w:tr w14:paraId="22DE350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1" w:type="pct"/>
            <w:vAlign w:val="center"/>
          </w:tcPr>
          <w:p w14:paraId="37AACFFB">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4047" w:type="pct"/>
            <w:vAlign w:val="center"/>
          </w:tcPr>
          <w:p w14:paraId="2EF995DE">
            <w:pPr>
              <w:adjustRightInd w:val="0"/>
              <w:snapToGrid w:val="0"/>
              <w:rPr>
                <w:rFonts w:ascii="Times New Roman" w:hAnsi="Times New Roman" w:cs="Times New Roman"/>
                <w:sz w:val="24"/>
                <w:szCs w:val="24"/>
              </w:rPr>
            </w:pPr>
            <w:r>
              <w:rPr>
                <w:rFonts w:ascii="Times New Roman" w:hAnsi="Times New Roman" w:cs="Times New Roman"/>
                <w:sz w:val="24"/>
                <w:szCs w:val="24"/>
              </w:rPr>
              <w:t>您认为环城路项目施工管理是否规范？</w:t>
            </w:r>
          </w:p>
        </w:tc>
        <w:tc>
          <w:tcPr>
            <w:tcW w:w="541" w:type="pct"/>
            <w:vAlign w:val="center"/>
          </w:tcPr>
          <w:p w14:paraId="37F73CA4">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79.99</w:t>
            </w:r>
          </w:p>
        </w:tc>
      </w:tr>
      <w:tr w14:paraId="64A9994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1" w:type="pct"/>
            <w:vAlign w:val="center"/>
          </w:tcPr>
          <w:p w14:paraId="41A3F72C">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11</w:t>
            </w:r>
          </w:p>
        </w:tc>
        <w:tc>
          <w:tcPr>
            <w:tcW w:w="4047" w:type="pct"/>
            <w:vAlign w:val="center"/>
          </w:tcPr>
          <w:p w14:paraId="4A4E3956">
            <w:pPr>
              <w:adjustRightInd w:val="0"/>
              <w:snapToGrid w:val="0"/>
              <w:rPr>
                <w:rFonts w:ascii="Times New Roman" w:hAnsi="Times New Roman" w:cs="Times New Roman"/>
                <w:sz w:val="24"/>
                <w:szCs w:val="24"/>
              </w:rPr>
            </w:pPr>
            <w:r>
              <w:rPr>
                <w:rFonts w:ascii="Times New Roman" w:hAnsi="Times New Roman" w:cs="Times New Roman"/>
                <w:sz w:val="24"/>
                <w:szCs w:val="24"/>
              </w:rPr>
              <w:t>您是否因环城路工程项目实施而受到噪音影响？</w:t>
            </w:r>
          </w:p>
        </w:tc>
        <w:tc>
          <w:tcPr>
            <w:tcW w:w="541" w:type="pct"/>
            <w:vAlign w:val="center"/>
          </w:tcPr>
          <w:p w14:paraId="35FA76BA">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71.67</w:t>
            </w:r>
          </w:p>
        </w:tc>
      </w:tr>
      <w:tr w14:paraId="2A0932A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1" w:type="pct"/>
            <w:vAlign w:val="center"/>
          </w:tcPr>
          <w:p w14:paraId="596A4595">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12</w:t>
            </w:r>
          </w:p>
        </w:tc>
        <w:tc>
          <w:tcPr>
            <w:tcW w:w="4047" w:type="pct"/>
            <w:vAlign w:val="center"/>
          </w:tcPr>
          <w:p w14:paraId="5CFC4A95">
            <w:pPr>
              <w:adjustRightInd w:val="0"/>
              <w:snapToGrid w:val="0"/>
              <w:rPr>
                <w:rFonts w:ascii="Times New Roman" w:hAnsi="Times New Roman" w:cs="Times New Roman"/>
                <w:sz w:val="24"/>
                <w:szCs w:val="24"/>
              </w:rPr>
            </w:pPr>
            <w:r>
              <w:rPr>
                <w:rFonts w:ascii="Times New Roman" w:hAnsi="Times New Roman" w:cs="Times New Roman"/>
                <w:sz w:val="24"/>
                <w:szCs w:val="24"/>
              </w:rPr>
              <w:t>您认为环城路工程项目实施对空气是否造成污染？</w:t>
            </w:r>
          </w:p>
        </w:tc>
        <w:tc>
          <w:tcPr>
            <w:tcW w:w="541" w:type="pct"/>
            <w:vAlign w:val="center"/>
          </w:tcPr>
          <w:p w14:paraId="55C60DB8">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78.33</w:t>
            </w:r>
          </w:p>
        </w:tc>
      </w:tr>
      <w:tr w14:paraId="1007066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1" w:type="pct"/>
            <w:vAlign w:val="center"/>
          </w:tcPr>
          <w:p w14:paraId="3DE8C5E0">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13</w:t>
            </w:r>
          </w:p>
        </w:tc>
        <w:tc>
          <w:tcPr>
            <w:tcW w:w="4047" w:type="pct"/>
            <w:vAlign w:val="center"/>
          </w:tcPr>
          <w:p w14:paraId="25FBE55D">
            <w:pPr>
              <w:adjustRightInd w:val="0"/>
              <w:snapToGrid w:val="0"/>
              <w:rPr>
                <w:rFonts w:ascii="Times New Roman" w:hAnsi="Times New Roman" w:cs="Times New Roman"/>
                <w:sz w:val="24"/>
                <w:szCs w:val="24"/>
              </w:rPr>
            </w:pPr>
            <w:r>
              <w:rPr>
                <w:rFonts w:ascii="Times New Roman" w:hAnsi="Times New Roman" w:cs="Times New Roman"/>
                <w:sz w:val="24"/>
                <w:szCs w:val="24"/>
              </w:rPr>
              <w:t>您认为环城路工程项目实施对水是否造成污染？</w:t>
            </w:r>
          </w:p>
        </w:tc>
        <w:tc>
          <w:tcPr>
            <w:tcW w:w="541" w:type="pct"/>
            <w:vAlign w:val="center"/>
          </w:tcPr>
          <w:p w14:paraId="4B9AE319">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81.66</w:t>
            </w:r>
          </w:p>
        </w:tc>
      </w:tr>
      <w:tr w14:paraId="573B2A3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1" w:type="pct"/>
            <w:vAlign w:val="center"/>
          </w:tcPr>
          <w:p w14:paraId="788D92D4">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14</w:t>
            </w:r>
          </w:p>
        </w:tc>
        <w:tc>
          <w:tcPr>
            <w:tcW w:w="4047" w:type="pct"/>
            <w:vAlign w:val="center"/>
          </w:tcPr>
          <w:p w14:paraId="6A46C10E">
            <w:pPr>
              <w:adjustRightInd w:val="0"/>
              <w:snapToGrid w:val="0"/>
              <w:rPr>
                <w:rFonts w:ascii="Times New Roman" w:hAnsi="Times New Roman" w:cs="Times New Roman"/>
                <w:sz w:val="24"/>
                <w:szCs w:val="24"/>
              </w:rPr>
            </w:pPr>
            <w:r>
              <w:rPr>
                <w:rFonts w:ascii="Times New Roman" w:hAnsi="Times New Roman" w:cs="Times New Roman"/>
                <w:sz w:val="24"/>
                <w:szCs w:val="24"/>
              </w:rPr>
              <w:t>您认为环城路工程项目实施对土地是否造成污染？</w:t>
            </w:r>
          </w:p>
        </w:tc>
        <w:tc>
          <w:tcPr>
            <w:tcW w:w="541" w:type="pct"/>
            <w:vAlign w:val="center"/>
          </w:tcPr>
          <w:p w14:paraId="3769219C">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85.00</w:t>
            </w:r>
          </w:p>
        </w:tc>
      </w:tr>
      <w:tr w14:paraId="0FAD6D5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1" w:type="pct"/>
            <w:vAlign w:val="center"/>
          </w:tcPr>
          <w:p w14:paraId="13D0A528">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15</w:t>
            </w:r>
          </w:p>
        </w:tc>
        <w:tc>
          <w:tcPr>
            <w:tcW w:w="4047" w:type="pct"/>
            <w:vAlign w:val="center"/>
          </w:tcPr>
          <w:p w14:paraId="465CA315">
            <w:pPr>
              <w:adjustRightInd w:val="0"/>
              <w:snapToGrid w:val="0"/>
              <w:rPr>
                <w:rFonts w:ascii="Times New Roman" w:hAnsi="Times New Roman" w:cs="Times New Roman"/>
                <w:sz w:val="24"/>
                <w:szCs w:val="24"/>
              </w:rPr>
            </w:pPr>
            <w:r>
              <w:rPr>
                <w:rFonts w:ascii="Times New Roman" w:hAnsi="Times New Roman" w:cs="Times New Roman"/>
                <w:sz w:val="24"/>
                <w:szCs w:val="24"/>
              </w:rPr>
              <w:t>您认为环城路工程项目实施时间对您的生活是否造成影响？</w:t>
            </w:r>
          </w:p>
        </w:tc>
        <w:tc>
          <w:tcPr>
            <w:tcW w:w="541" w:type="pct"/>
            <w:vAlign w:val="center"/>
          </w:tcPr>
          <w:p w14:paraId="6AE93544">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90.00</w:t>
            </w:r>
          </w:p>
        </w:tc>
      </w:tr>
      <w:tr w14:paraId="7B236C8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58" w:type="pct"/>
            <w:gridSpan w:val="2"/>
            <w:tcBorders>
              <w:bottom w:val="single" w:color="auto" w:sz="8" w:space="0"/>
            </w:tcBorders>
            <w:vAlign w:val="center"/>
          </w:tcPr>
          <w:p w14:paraId="0B484AFF">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平均分</w:t>
            </w:r>
          </w:p>
        </w:tc>
        <w:tc>
          <w:tcPr>
            <w:tcW w:w="541" w:type="pct"/>
            <w:tcBorders>
              <w:bottom w:val="single" w:color="auto" w:sz="8" w:space="0"/>
            </w:tcBorders>
            <w:vAlign w:val="center"/>
          </w:tcPr>
          <w:p w14:paraId="6F71C870">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85.11</w:t>
            </w:r>
          </w:p>
        </w:tc>
      </w:tr>
      <w:bookmarkEnd w:id="111"/>
    </w:tbl>
    <w:p w14:paraId="1907F414">
      <w:pPr>
        <w:adjustRightInd w:val="0"/>
        <w:snapToGrid w:val="0"/>
        <w:spacing w:before="156" w:beforeLines="50" w:after="156" w:afterLines="50"/>
        <w:ind w:firstLine="480"/>
        <w:jc w:val="center"/>
        <w:rPr>
          <w:rFonts w:ascii="Times New Roman" w:hAnsi="Times New Roman" w:eastAsia="黑体" w:cs="Times New Roman"/>
          <w:sz w:val="24"/>
          <w:szCs w:val="24"/>
        </w:rPr>
      </w:pPr>
      <w:bookmarkStart w:id="140" w:name="_Toc49164004"/>
      <w:bookmarkStart w:id="141" w:name="_Toc44667801"/>
      <w:bookmarkStart w:id="142" w:name="_Toc58595335"/>
      <w:r>
        <w:rPr>
          <w:rFonts w:ascii="Times New Roman" w:hAnsi="Times New Roman" w:eastAsia="黑体" w:cs="Times New Roman"/>
          <w:sz w:val="24"/>
          <w:szCs w:val="24"/>
        </w:rPr>
        <w:t>表</w:t>
      </w:r>
      <w:r>
        <w:rPr>
          <w:rFonts w:hint="eastAsia" w:ascii="Times New Roman" w:hAnsi="Times New Roman" w:eastAsia="黑体" w:cs="Times New Roman"/>
          <w:sz w:val="24"/>
          <w:szCs w:val="24"/>
        </w:rPr>
        <w:t>4</w:t>
      </w:r>
      <w:r>
        <w:rPr>
          <w:rFonts w:ascii="Times New Roman" w:hAnsi="Times New Roman" w:eastAsia="黑体" w:cs="Times New Roman"/>
          <w:sz w:val="24"/>
          <w:szCs w:val="24"/>
        </w:rPr>
        <w:t xml:space="preserve">  管理单位满意度调查得分</w:t>
      </w:r>
    </w:p>
    <w:tbl>
      <w:tblPr>
        <w:tblStyle w:val="24"/>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43"/>
        <w:gridCol w:w="7337"/>
        <w:gridCol w:w="981"/>
      </w:tblGrid>
      <w:tr w14:paraId="25CCE71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410" w:type="pct"/>
            <w:tcBorders>
              <w:top w:val="single" w:color="auto" w:sz="8" w:space="0"/>
              <w:bottom w:val="single" w:color="auto" w:sz="8" w:space="0"/>
            </w:tcBorders>
            <w:vAlign w:val="center"/>
          </w:tcPr>
          <w:p w14:paraId="612B662D">
            <w:pPr>
              <w:adjustRightInd w:val="0"/>
              <w:snapToGrid w:val="0"/>
              <w:jc w:val="center"/>
              <w:rPr>
                <w:rFonts w:ascii="Times New Roman" w:hAnsi="Times New Roman" w:eastAsia="黑体" w:cs="Times New Roman"/>
                <w:kern w:val="0"/>
                <w:sz w:val="24"/>
                <w:szCs w:val="24"/>
              </w:rPr>
            </w:pPr>
            <w:r>
              <w:rPr>
                <w:rFonts w:ascii="Times New Roman" w:hAnsi="Times New Roman" w:eastAsia="黑体" w:cs="Times New Roman"/>
                <w:kern w:val="0"/>
                <w:sz w:val="24"/>
                <w:szCs w:val="24"/>
              </w:rPr>
              <w:t>序号</w:t>
            </w:r>
          </w:p>
        </w:tc>
        <w:tc>
          <w:tcPr>
            <w:tcW w:w="4048" w:type="pct"/>
            <w:tcBorders>
              <w:top w:val="single" w:color="auto" w:sz="8" w:space="0"/>
              <w:bottom w:val="single" w:color="auto" w:sz="8" w:space="0"/>
            </w:tcBorders>
            <w:vAlign w:val="center"/>
          </w:tcPr>
          <w:p w14:paraId="58FBAE0E">
            <w:pPr>
              <w:adjustRightInd w:val="0"/>
              <w:snapToGrid w:val="0"/>
              <w:jc w:val="center"/>
              <w:rPr>
                <w:rFonts w:ascii="Times New Roman" w:hAnsi="Times New Roman" w:eastAsia="黑体" w:cs="Times New Roman"/>
                <w:kern w:val="0"/>
                <w:sz w:val="24"/>
                <w:szCs w:val="24"/>
              </w:rPr>
            </w:pPr>
            <w:r>
              <w:rPr>
                <w:rFonts w:ascii="Times New Roman" w:hAnsi="Times New Roman" w:eastAsia="黑体" w:cs="Times New Roman"/>
                <w:kern w:val="0"/>
                <w:sz w:val="24"/>
                <w:szCs w:val="24"/>
              </w:rPr>
              <w:t>调查题目</w:t>
            </w:r>
          </w:p>
        </w:tc>
        <w:tc>
          <w:tcPr>
            <w:tcW w:w="541" w:type="pct"/>
            <w:tcBorders>
              <w:top w:val="single" w:color="auto" w:sz="8" w:space="0"/>
              <w:bottom w:val="single" w:color="auto" w:sz="8" w:space="0"/>
            </w:tcBorders>
            <w:vAlign w:val="center"/>
          </w:tcPr>
          <w:p w14:paraId="4A512388">
            <w:pPr>
              <w:adjustRightInd w:val="0"/>
              <w:snapToGrid w:val="0"/>
              <w:jc w:val="center"/>
              <w:rPr>
                <w:rFonts w:ascii="Times New Roman" w:hAnsi="Times New Roman" w:eastAsia="黑体" w:cs="Times New Roman"/>
                <w:kern w:val="0"/>
                <w:sz w:val="24"/>
                <w:szCs w:val="24"/>
              </w:rPr>
            </w:pPr>
            <w:r>
              <w:rPr>
                <w:rFonts w:ascii="Times New Roman" w:hAnsi="Times New Roman" w:eastAsia="黑体" w:cs="Times New Roman"/>
                <w:kern w:val="0"/>
                <w:sz w:val="24"/>
                <w:szCs w:val="24"/>
              </w:rPr>
              <w:t>得分</w:t>
            </w:r>
          </w:p>
        </w:tc>
      </w:tr>
      <w:tr w14:paraId="65E0132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0" w:type="pct"/>
            <w:tcBorders>
              <w:top w:val="single" w:color="auto" w:sz="8" w:space="0"/>
            </w:tcBorders>
            <w:vAlign w:val="center"/>
          </w:tcPr>
          <w:p w14:paraId="40C9DFD4">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1</w:t>
            </w:r>
          </w:p>
        </w:tc>
        <w:tc>
          <w:tcPr>
            <w:tcW w:w="4048" w:type="pct"/>
            <w:tcBorders>
              <w:top w:val="single" w:color="auto" w:sz="8" w:space="0"/>
            </w:tcBorders>
            <w:vAlign w:val="center"/>
          </w:tcPr>
          <w:p w14:paraId="1B9CA1A2">
            <w:pPr>
              <w:adjustRightInd w:val="0"/>
              <w:snapToGrid w:val="0"/>
              <w:rPr>
                <w:rFonts w:ascii="Times New Roman" w:hAnsi="Times New Roman" w:cs="Times New Roman"/>
                <w:sz w:val="24"/>
                <w:szCs w:val="24"/>
              </w:rPr>
            </w:pPr>
            <w:r>
              <w:rPr>
                <w:rFonts w:ascii="Times New Roman" w:hAnsi="Times New Roman" w:cs="Times New Roman"/>
                <w:sz w:val="24"/>
                <w:szCs w:val="24"/>
              </w:rPr>
              <w:t>您对环城路项目的可研报告编制是否满意？</w:t>
            </w:r>
          </w:p>
        </w:tc>
        <w:tc>
          <w:tcPr>
            <w:tcW w:w="541" w:type="pct"/>
            <w:tcBorders>
              <w:top w:val="single" w:color="auto" w:sz="8" w:space="0"/>
            </w:tcBorders>
            <w:vAlign w:val="center"/>
          </w:tcPr>
          <w:p w14:paraId="62F1809E">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82.50</w:t>
            </w:r>
          </w:p>
        </w:tc>
      </w:tr>
      <w:tr w14:paraId="4B29862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0" w:type="pct"/>
            <w:vAlign w:val="center"/>
          </w:tcPr>
          <w:p w14:paraId="604B8C44">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4048" w:type="pct"/>
            <w:vAlign w:val="center"/>
          </w:tcPr>
          <w:p w14:paraId="4D510962">
            <w:pPr>
              <w:adjustRightInd w:val="0"/>
              <w:snapToGrid w:val="0"/>
              <w:rPr>
                <w:rFonts w:ascii="Times New Roman" w:hAnsi="Times New Roman" w:cs="Times New Roman"/>
                <w:sz w:val="24"/>
                <w:szCs w:val="24"/>
              </w:rPr>
            </w:pPr>
            <w:r>
              <w:rPr>
                <w:rFonts w:ascii="Times New Roman" w:hAnsi="Times New Roman" w:cs="Times New Roman"/>
                <w:sz w:val="24"/>
                <w:szCs w:val="24"/>
              </w:rPr>
              <w:t>您对环城路项目的勘察单位服务是否满意？</w:t>
            </w:r>
          </w:p>
        </w:tc>
        <w:tc>
          <w:tcPr>
            <w:tcW w:w="541" w:type="pct"/>
            <w:vAlign w:val="center"/>
          </w:tcPr>
          <w:p w14:paraId="38E1D808">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80.00</w:t>
            </w:r>
          </w:p>
        </w:tc>
      </w:tr>
      <w:tr w14:paraId="0EF283B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0" w:type="pct"/>
            <w:vAlign w:val="center"/>
          </w:tcPr>
          <w:p w14:paraId="130D029B">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4048" w:type="pct"/>
            <w:vAlign w:val="center"/>
          </w:tcPr>
          <w:p w14:paraId="7529A5C2">
            <w:pPr>
              <w:adjustRightInd w:val="0"/>
              <w:snapToGrid w:val="0"/>
              <w:rPr>
                <w:rFonts w:ascii="Times New Roman" w:hAnsi="Times New Roman" w:cs="Times New Roman"/>
                <w:sz w:val="24"/>
                <w:szCs w:val="24"/>
              </w:rPr>
            </w:pPr>
            <w:r>
              <w:rPr>
                <w:rFonts w:ascii="Times New Roman" w:hAnsi="Times New Roman" w:cs="Times New Roman"/>
                <w:sz w:val="24"/>
                <w:szCs w:val="24"/>
              </w:rPr>
              <w:t>您认为环城路项目的初步设计是否合理？</w:t>
            </w:r>
          </w:p>
        </w:tc>
        <w:tc>
          <w:tcPr>
            <w:tcW w:w="541" w:type="pct"/>
            <w:vAlign w:val="center"/>
          </w:tcPr>
          <w:p w14:paraId="59C8FF2F">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80.00</w:t>
            </w:r>
          </w:p>
        </w:tc>
      </w:tr>
      <w:tr w14:paraId="58154E1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410" w:type="pct"/>
            <w:vAlign w:val="center"/>
          </w:tcPr>
          <w:p w14:paraId="08B3F4ED">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4048" w:type="pct"/>
            <w:vAlign w:val="center"/>
          </w:tcPr>
          <w:p w14:paraId="7AC7DBB8">
            <w:pPr>
              <w:adjustRightInd w:val="0"/>
              <w:snapToGrid w:val="0"/>
              <w:rPr>
                <w:rFonts w:ascii="Times New Roman" w:hAnsi="Times New Roman" w:cs="Times New Roman"/>
                <w:sz w:val="24"/>
                <w:szCs w:val="24"/>
              </w:rPr>
            </w:pPr>
            <w:r>
              <w:rPr>
                <w:rFonts w:ascii="Times New Roman" w:hAnsi="Times New Roman" w:cs="Times New Roman"/>
                <w:sz w:val="24"/>
                <w:szCs w:val="24"/>
              </w:rPr>
              <w:t>您对施工单位提供的建设服务是否满意？</w:t>
            </w:r>
          </w:p>
        </w:tc>
        <w:tc>
          <w:tcPr>
            <w:tcW w:w="541" w:type="pct"/>
            <w:vAlign w:val="center"/>
          </w:tcPr>
          <w:p w14:paraId="604527D0">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77.50</w:t>
            </w:r>
          </w:p>
        </w:tc>
      </w:tr>
      <w:tr w14:paraId="394769E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0" w:type="pct"/>
            <w:vAlign w:val="center"/>
          </w:tcPr>
          <w:p w14:paraId="4460FDE0">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4048" w:type="pct"/>
            <w:vAlign w:val="center"/>
          </w:tcPr>
          <w:p w14:paraId="57F86572">
            <w:pPr>
              <w:adjustRightInd w:val="0"/>
              <w:snapToGrid w:val="0"/>
              <w:rPr>
                <w:rFonts w:ascii="Times New Roman" w:hAnsi="Times New Roman" w:cs="Times New Roman"/>
                <w:sz w:val="24"/>
                <w:szCs w:val="24"/>
              </w:rPr>
            </w:pPr>
            <w:r>
              <w:rPr>
                <w:rFonts w:ascii="Times New Roman" w:hAnsi="Times New Roman" w:cs="Times New Roman"/>
                <w:sz w:val="24"/>
                <w:szCs w:val="24"/>
              </w:rPr>
              <w:t>您</w:t>
            </w:r>
            <w:bookmarkStart w:id="143" w:name="_Hlk104726286"/>
            <w:r>
              <w:rPr>
                <w:rFonts w:ascii="Times New Roman" w:hAnsi="Times New Roman" w:cs="Times New Roman"/>
                <w:sz w:val="24"/>
                <w:szCs w:val="24"/>
              </w:rPr>
              <w:t>对</w:t>
            </w:r>
            <w:bookmarkEnd w:id="143"/>
            <w:r>
              <w:rPr>
                <w:rFonts w:ascii="Times New Roman" w:hAnsi="Times New Roman" w:cs="Times New Roman"/>
                <w:sz w:val="24"/>
                <w:szCs w:val="24"/>
              </w:rPr>
              <w:t>施工单位采用的施工方式是否满意？</w:t>
            </w:r>
          </w:p>
        </w:tc>
        <w:tc>
          <w:tcPr>
            <w:tcW w:w="541" w:type="pct"/>
            <w:vAlign w:val="center"/>
          </w:tcPr>
          <w:p w14:paraId="6F58B5E8">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77.50</w:t>
            </w:r>
          </w:p>
        </w:tc>
      </w:tr>
      <w:tr w14:paraId="3403E55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0" w:type="pct"/>
            <w:vAlign w:val="center"/>
          </w:tcPr>
          <w:p w14:paraId="03B6E764">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6</w:t>
            </w:r>
          </w:p>
        </w:tc>
        <w:tc>
          <w:tcPr>
            <w:tcW w:w="4048" w:type="pct"/>
            <w:vAlign w:val="center"/>
          </w:tcPr>
          <w:p w14:paraId="1AD78F58">
            <w:pPr>
              <w:adjustRightInd w:val="0"/>
              <w:snapToGrid w:val="0"/>
              <w:rPr>
                <w:rFonts w:ascii="Times New Roman" w:hAnsi="Times New Roman" w:cs="Times New Roman"/>
                <w:sz w:val="24"/>
                <w:szCs w:val="24"/>
              </w:rPr>
            </w:pPr>
            <w:r>
              <w:rPr>
                <w:rFonts w:ascii="Times New Roman" w:hAnsi="Times New Roman" w:cs="Times New Roman"/>
                <w:sz w:val="24"/>
                <w:szCs w:val="24"/>
              </w:rPr>
              <w:t>您认为施工单位的环境保护措施是否到位？</w:t>
            </w:r>
          </w:p>
        </w:tc>
        <w:tc>
          <w:tcPr>
            <w:tcW w:w="541" w:type="pct"/>
            <w:vAlign w:val="center"/>
          </w:tcPr>
          <w:p w14:paraId="5AA2D64B">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77.50</w:t>
            </w:r>
          </w:p>
        </w:tc>
      </w:tr>
      <w:tr w14:paraId="7E47AEB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0" w:type="pct"/>
            <w:vAlign w:val="center"/>
          </w:tcPr>
          <w:p w14:paraId="1482429A">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7</w:t>
            </w:r>
          </w:p>
        </w:tc>
        <w:tc>
          <w:tcPr>
            <w:tcW w:w="4048" w:type="pct"/>
            <w:vAlign w:val="center"/>
          </w:tcPr>
          <w:p w14:paraId="6441DB6B">
            <w:pPr>
              <w:adjustRightInd w:val="0"/>
              <w:snapToGrid w:val="0"/>
              <w:rPr>
                <w:rFonts w:ascii="Times New Roman" w:hAnsi="Times New Roman" w:cs="Times New Roman"/>
                <w:sz w:val="24"/>
                <w:szCs w:val="24"/>
              </w:rPr>
            </w:pPr>
            <w:r>
              <w:rPr>
                <w:rFonts w:ascii="Times New Roman" w:hAnsi="Times New Roman" w:cs="Times New Roman"/>
                <w:sz w:val="24"/>
                <w:szCs w:val="24"/>
              </w:rPr>
              <w:t>您认为施工单位在完工后质保期的保修工作是否到位？</w:t>
            </w:r>
          </w:p>
        </w:tc>
        <w:tc>
          <w:tcPr>
            <w:tcW w:w="541" w:type="pct"/>
            <w:vAlign w:val="center"/>
          </w:tcPr>
          <w:p w14:paraId="4D8B9108">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80.00</w:t>
            </w:r>
          </w:p>
        </w:tc>
      </w:tr>
      <w:tr w14:paraId="33E98B6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0" w:type="pct"/>
            <w:vAlign w:val="center"/>
          </w:tcPr>
          <w:p w14:paraId="1F071912">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8</w:t>
            </w:r>
          </w:p>
        </w:tc>
        <w:tc>
          <w:tcPr>
            <w:tcW w:w="4048" w:type="pct"/>
            <w:vAlign w:val="center"/>
          </w:tcPr>
          <w:p w14:paraId="6E5998FC">
            <w:pPr>
              <w:adjustRightInd w:val="0"/>
              <w:snapToGrid w:val="0"/>
              <w:rPr>
                <w:rFonts w:ascii="Times New Roman" w:hAnsi="Times New Roman" w:cs="Times New Roman"/>
                <w:sz w:val="24"/>
                <w:szCs w:val="24"/>
              </w:rPr>
            </w:pPr>
            <w:r>
              <w:rPr>
                <w:rFonts w:ascii="Times New Roman" w:hAnsi="Times New Roman" w:cs="Times New Roman"/>
                <w:sz w:val="24"/>
                <w:szCs w:val="24"/>
              </w:rPr>
              <w:t xml:space="preserve">您对施工图设计单位提供的图纸设计服务是否满意？ </w:t>
            </w:r>
          </w:p>
        </w:tc>
        <w:tc>
          <w:tcPr>
            <w:tcW w:w="541" w:type="pct"/>
            <w:vAlign w:val="center"/>
          </w:tcPr>
          <w:p w14:paraId="7E4EE664">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82.50</w:t>
            </w:r>
          </w:p>
        </w:tc>
      </w:tr>
      <w:tr w14:paraId="2091885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0" w:type="pct"/>
            <w:vAlign w:val="center"/>
          </w:tcPr>
          <w:p w14:paraId="2196D39A">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9</w:t>
            </w:r>
          </w:p>
        </w:tc>
        <w:tc>
          <w:tcPr>
            <w:tcW w:w="4048" w:type="pct"/>
            <w:vAlign w:val="center"/>
          </w:tcPr>
          <w:p w14:paraId="32409037">
            <w:pPr>
              <w:adjustRightInd w:val="0"/>
              <w:snapToGrid w:val="0"/>
              <w:rPr>
                <w:rFonts w:ascii="Times New Roman" w:hAnsi="Times New Roman" w:cs="Times New Roman"/>
                <w:sz w:val="24"/>
                <w:szCs w:val="24"/>
              </w:rPr>
            </w:pPr>
            <w:r>
              <w:rPr>
                <w:rFonts w:ascii="Times New Roman" w:hAnsi="Times New Roman" w:cs="Times New Roman"/>
                <w:sz w:val="24"/>
                <w:szCs w:val="24"/>
              </w:rPr>
              <w:t>您对环城路项目的设计+施工总承包模式是否满意？</w:t>
            </w:r>
          </w:p>
        </w:tc>
        <w:tc>
          <w:tcPr>
            <w:tcW w:w="541" w:type="pct"/>
            <w:vAlign w:val="center"/>
          </w:tcPr>
          <w:p w14:paraId="71E95C94">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72.50</w:t>
            </w:r>
          </w:p>
        </w:tc>
      </w:tr>
      <w:tr w14:paraId="3180167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0" w:type="pct"/>
            <w:vAlign w:val="center"/>
          </w:tcPr>
          <w:p w14:paraId="0A290F29">
            <w:pPr>
              <w:adjustRightInd w:val="0"/>
              <w:snapToGrid w:val="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4048" w:type="pct"/>
            <w:vAlign w:val="center"/>
          </w:tcPr>
          <w:p w14:paraId="64375449">
            <w:pPr>
              <w:adjustRightInd w:val="0"/>
              <w:snapToGrid w:val="0"/>
              <w:rPr>
                <w:rFonts w:ascii="Times New Roman" w:hAnsi="Times New Roman" w:cs="Times New Roman"/>
                <w:sz w:val="24"/>
                <w:szCs w:val="24"/>
              </w:rPr>
            </w:pPr>
            <w:r>
              <w:rPr>
                <w:rFonts w:ascii="Times New Roman" w:hAnsi="Times New Roman" w:cs="Times New Roman"/>
                <w:sz w:val="24"/>
                <w:szCs w:val="24"/>
              </w:rPr>
              <w:t>您认为监理单位的现场管理工作是否到位？</w:t>
            </w:r>
          </w:p>
        </w:tc>
        <w:tc>
          <w:tcPr>
            <w:tcW w:w="541" w:type="pct"/>
            <w:vAlign w:val="center"/>
          </w:tcPr>
          <w:p w14:paraId="39A95DCB">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75.00</w:t>
            </w:r>
          </w:p>
        </w:tc>
      </w:tr>
      <w:tr w14:paraId="410199D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58" w:type="pct"/>
            <w:gridSpan w:val="2"/>
            <w:tcBorders>
              <w:bottom w:val="single" w:color="auto" w:sz="8" w:space="0"/>
            </w:tcBorders>
            <w:vAlign w:val="center"/>
          </w:tcPr>
          <w:p w14:paraId="19EA3496">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平均分</w:t>
            </w:r>
          </w:p>
        </w:tc>
        <w:tc>
          <w:tcPr>
            <w:tcW w:w="541" w:type="pct"/>
            <w:tcBorders>
              <w:bottom w:val="single" w:color="auto" w:sz="8" w:space="0"/>
            </w:tcBorders>
            <w:vAlign w:val="center"/>
          </w:tcPr>
          <w:p w14:paraId="48F02D2B">
            <w:pPr>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78.50</w:t>
            </w:r>
          </w:p>
        </w:tc>
      </w:tr>
    </w:tbl>
    <w:p w14:paraId="7576E6E6">
      <w:pPr>
        <w:pStyle w:val="2"/>
        <w:keepNext w:val="0"/>
        <w:keepLines w:val="0"/>
        <w:widowControl w:val="0"/>
        <w:adjustRightInd w:val="0"/>
        <w:snapToGrid w:val="0"/>
        <w:spacing w:before="0" w:after="0" w:line="579" w:lineRule="exact"/>
        <w:ind w:firstLine="640" w:firstLineChars="200"/>
        <w:rPr>
          <w:rFonts w:ascii="Times New Roman" w:hAnsi="Times New Roman" w:eastAsia="黑体"/>
          <w:b w:val="0"/>
          <w:bCs w:val="0"/>
          <w:sz w:val="32"/>
          <w:szCs w:val="32"/>
        </w:rPr>
      </w:pPr>
      <w:bookmarkStart w:id="144" w:name="_Toc168818829"/>
      <w:bookmarkStart w:id="145" w:name="_Toc26311"/>
      <w:r>
        <w:rPr>
          <w:rFonts w:ascii="Times New Roman" w:hAnsi="Times New Roman" w:eastAsia="黑体"/>
          <w:b w:val="0"/>
          <w:bCs w:val="0"/>
          <w:sz w:val="32"/>
          <w:szCs w:val="32"/>
        </w:rPr>
        <w:t>五、</w:t>
      </w:r>
      <w:bookmarkEnd w:id="140"/>
      <w:bookmarkEnd w:id="141"/>
      <w:bookmarkEnd w:id="142"/>
      <w:bookmarkStart w:id="146" w:name="_Hlk106379623"/>
      <w:r>
        <w:rPr>
          <w:rFonts w:ascii="Times New Roman" w:hAnsi="Times New Roman" w:eastAsia="黑体"/>
          <w:b w:val="0"/>
          <w:bCs w:val="0"/>
          <w:sz w:val="32"/>
          <w:szCs w:val="32"/>
        </w:rPr>
        <w:t>绩效管理的主要做法</w:t>
      </w:r>
      <w:bookmarkEnd w:id="146"/>
      <w:r>
        <w:rPr>
          <w:rFonts w:hint="eastAsia" w:ascii="Times New Roman" w:hAnsi="Times New Roman" w:eastAsia="黑体"/>
          <w:b w:val="0"/>
          <w:bCs w:val="0"/>
          <w:sz w:val="32"/>
          <w:szCs w:val="32"/>
        </w:rPr>
        <w:t>和成效</w:t>
      </w:r>
      <w:bookmarkEnd w:id="144"/>
      <w:bookmarkEnd w:id="145"/>
    </w:p>
    <w:p w14:paraId="6D850F0C">
      <w:pPr>
        <w:pStyle w:val="3"/>
      </w:pPr>
      <w:bookmarkStart w:id="147" w:name="_Toc168818830"/>
      <w:bookmarkStart w:id="148" w:name="_Toc32376"/>
      <w:r>
        <w:t>（一）</w:t>
      </w:r>
      <w:r>
        <w:rPr>
          <w:rFonts w:hint="eastAsia"/>
        </w:rPr>
        <w:t>注重立项依据的充分性</w:t>
      </w:r>
      <w:bookmarkEnd w:id="147"/>
      <w:bookmarkEnd w:id="148"/>
    </w:p>
    <w:p w14:paraId="249F2530">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项目根据《关于谢岗镇环城路二期工程有关问题的复函》（谢府办复〔2018〕）、《关于启动谢岗镇镇村两级道路综合整治工程（一期）建设前期工作的问题的复函》（谢府办复〔2019〕）、《关于谢岗镇环城路二期工程项目建议书的批复》（东发改谢〔2019〕4号）、《关于东莞市谢岗镇环城路二期项目用地预审的意见》（东自然资（谢岗镇）预函〔2019〕12号）、《关于谢岗镇环城路二期工程可行性研究报告的批复》（东发改谢〔2019〕17号）、《关于东莞市谢岗镇环城路二期工程项目初步设计的批复》《关于谢岗镇环城路二期工程概算的批复》（东发改谢（2020</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22号）</w:t>
      </w:r>
      <w:r>
        <w:rPr>
          <w:rFonts w:ascii="Times New Roman" w:hAnsi="Times New Roman" w:eastAsia="仿宋_GB2312" w:cs="Times New Roman"/>
          <w:bCs/>
          <w:sz w:val="32"/>
          <w:szCs w:val="32"/>
        </w:rPr>
        <w:t>等文件</w:t>
      </w:r>
      <w:r>
        <w:rPr>
          <w:rFonts w:ascii="Times New Roman" w:hAnsi="Times New Roman" w:eastAsia="仿宋_GB2312" w:cs="Times New Roman"/>
          <w:sz w:val="32"/>
          <w:szCs w:val="32"/>
        </w:rPr>
        <w:t>立项，立项依据充分。</w:t>
      </w:r>
    </w:p>
    <w:p w14:paraId="08627696">
      <w:pPr>
        <w:pStyle w:val="3"/>
      </w:pPr>
      <w:bookmarkStart w:id="149" w:name="_Toc168818831"/>
      <w:bookmarkStart w:id="150" w:name="_Toc19768"/>
      <w:r>
        <w:t>（</w:t>
      </w:r>
      <w:r>
        <w:rPr>
          <w:rFonts w:hint="eastAsia"/>
        </w:rPr>
        <w:t>二</w:t>
      </w:r>
      <w:r>
        <w:t>）</w:t>
      </w:r>
      <w:r>
        <w:rPr>
          <w:rFonts w:hint="eastAsia"/>
        </w:rPr>
        <w:t>注重工程档案的完整性</w:t>
      </w:r>
      <w:bookmarkEnd w:id="149"/>
      <w:bookmarkEnd w:id="150"/>
    </w:p>
    <w:p w14:paraId="446C0B4B">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单位遵守《谢岗镇工程建设中心财务管理制度》，资金使用合法合规。具有较为完整的设计变更审批表、造价审定表、工程量清单、工程变更会议纪要、合同、工程材料检验检测报告、工程竣工验收报告、审计报告、财务凭证、发票等工程结算资料和财务资料。</w:t>
      </w:r>
    </w:p>
    <w:p w14:paraId="7FFA1BED">
      <w:pPr>
        <w:pStyle w:val="3"/>
      </w:pPr>
      <w:bookmarkStart w:id="151" w:name="_Toc431"/>
      <w:bookmarkStart w:id="152" w:name="_Toc168818832"/>
      <w:r>
        <w:t>（</w:t>
      </w:r>
      <w:r>
        <w:rPr>
          <w:rFonts w:hint="eastAsia"/>
        </w:rPr>
        <w:t>三</w:t>
      </w:r>
      <w:r>
        <w:t>）完善</w:t>
      </w:r>
      <w:r>
        <w:rPr>
          <w:rFonts w:hint="eastAsia"/>
        </w:rPr>
        <w:t>优化了</w:t>
      </w:r>
      <w:r>
        <w:t>交通路网，</w:t>
      </w:r>
      <w:r>
        <w:rPr>
          <w:rFonts w:hint="eastAsia"/>
        </w:rPr>
        <w:t>疏解减轻了交通压力</w:t>
      </w:r>
      <w:bookmarkEnd w:id="151"/>
      <w:bookmarkEnd w:id="152"/>
    </w:p>
    <w:p w14:paraId="390E5194">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谢岗镇镇中心区域呈东西狭长形，镇内横贯东西的横向主干道仅有莞惠公路（振兴大道），谢岗环城路的建设完善了谢岗交通路网，对于形成“东西向强化区域联系，南北向强化镇内联系”的交通网络骨架，加强粤海产业园和镇区的互动起到至关重要的作用。此外，谢岗环城路连接镇区主中心与潮莞高速，能够分担部分镇中心往来潮莞高速间交通量，也可显著缩短镇南部区域车辆上下高速所需时长。</w:t>
      </w:r>
    </w:p>
    <w:p w14:paraId="755C659E">
      <w:pPr>
        <w:pStyle w:val="3"/>
      </w:pPr>
      <w:bookmarkStart w:id="153" w:name="_Toc168818833"/>
      <w:bookmarkStart w:id="154" w:name="_Toc7059"/>
      <w:r>
        <w:t>（</w:t>
      </w:r>
      <w:r>
        <w:rPr>
          <w:rFonts w:hint="eastAsia"/>
        </w:rPr>
        <w:t>四</w:t>
      </w:r>
      <w:r>
        <w:t>）</w:t>
      </w:r>
      <w:r>
        <w:rPr>
          <w:rFonts w:hint="eastAsia"/>
        </w:rPr>
        <w:t>加快了招商引资和产业集聚步伐，带动了谢岗经济</w:t>
      </w:r>
      <w:bookmarkEnd w:id="153"/>
      <w:r>
        <w:rPr>
          <w:rFonts w:hint="eastAsia"/>
        </w:rPr>
        <w:t>发展</w:t>
      </w:r>
      <w:bookmarkEnd w:id="154"/>
    </w:p>
    <w:p w14:paraId="74B349D8">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环城路项目有效满足粤海装备技术产业园（下称“粤海产业园”）的交通需求。粤海产业园地处谢岗镇中东部地区，为东莞建市以来单体投资最大的项目，重点吸引汽车装备制造等高端制造业，形成产业集聚效应。2022年，比亚迪东莞项目入驻粤海产业园，2023年正式动工东莞比亚迪新能源汽车关键零部件项目，未来将给谢岗带来9453个工作岗位（包括8582名技工、操作工和871名管理人员），每年贡献1.7亿-2亿元的财政税收。谢岗环城路作为粤海产业园对外物流的重要交通干线，有助于加强粤海产业园区对外交流合作、招商引资，推动谢岗经济高质量发展，产生显著的经济效益和社会效益。</w:t>
      </w:r>
    </w:p>
    <w:p w14:paraId="1D24CF98">
      <w:pPr>
        <w:pStyle w:val="2"/>
        <w:keepNext w:val="0"/>
        <w:keepLines w:val="0"/>
        <w:widowControl w:val="0"/>
        <w:adjustRightInd w:val="0"/>
        <w:snapToGrid w:val="0"/>
        <w:spacing w:before="0" w:after="0" w:line="579" w:lineRule="exact"/>
        <w:ind w:firstLine="640" w:firstLineChars="200"/>
        <w:rPr>
          <w:rFonts w:ascii="Times New Roman" w:hAnsi="Times New Roman" w:eastAsia="黑体"/>
          <w:b w:val="0"/>
          <w:bCs w:val="0"/>
          <w:sz w:val="32"/>
          <w:szCs w:val="32"/>
        </w:rPr>
      </w:pPr>
      <w:bookmarkStart w:id="155" w:name="_Toc168818834"/>
      <w:bookmarkStart w:id="156" w:name="_Toc7099"/>
      <w:r>
        <w:rPr>
          <w:rFonts w:ascii="Times New Roman" w:hAnsi="Times New Roman" w:eastAsia="黑体"/>
          <w:b w:val="0"/>
          <w:bCs w:val="0"/>
          <w:sz w:val="32"/>
          <w:szCs w:val="32"/>
        </w:rPr>
        <w:t>六、绩效管理存在的问题</w:t>
      </w:r>
      <w:bookmarkEnd w:id="155"/>
      <w:r>
        <w:rPr>
          <w:rFonts w:hint="eastAsia" w:ascii="Times New Roman" w:hAnsi="Times New Roman" w:eastAsia="黑体"/>
          <w:b w:val="0"/>
          <w:bCs w:val="0"/>
          <w:sz w:val="32"/>
          <w:szCs w:val="32"/>
        </w:rPr>
        <w:t>及原因</w:t>
      </w:r>
      <w:bookmarkEnd w:id="156"/>
    </w:p>
    <w:p w14:paraId="283CB1E4">
      <w:pPr>
        <w:pStyle w:val="3"/>
        <w:rPr>
          <w:b/>
          <w:bCs/>
        </w:rPr>
      </w:pPr>
      <w:bookmarkStart w:id="157" w:name="_Toc5813"/>
      <w:bookmarkStart w:id="158" w:name="_Toc168818835"/>
      <w:bookmarkStart w:id="159" w:name="_Toc49164010"/>
      <w:bookmarkStart w:id="160" w:name="_Toc58595341"/>
      <w:bookmarkStart w:id="161" w:name="_Toc105658576"/>
      <w:bookmarkStart w:id="162" w:name="_Hlk51169682"/>
      <w:bookmarkStart w:id="163" w:name="_Toc58595340"/>
      <w:r>
        <w:t>（一）债券使用不明确，工程竣工结算不及时</w:t>
      </w:r>
      <w:bookmarkEnd w:id="157"/>
      <w:bookmarkEnd w:id="158"/>
    </w:p>
    <w:p w14:paraId="3B815018">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债券使用不明确。</w:t>
      </w:r>
      <w:r>
        <w:rPr>
          <w:rFonts w:ascii="Times New Roman" w:hAnsi="Times New Roman" w:eastAsia="仿宋_GB2312" w:cs="Times New Roman"/>
          <w:sz w:val="32"/>
          <w:szCs w:val="32"/>
        </w:rPr>
        <w:t>根据《东莞市谢岗镇银瓶合作创新区园区配套项目（二期）实施方案》（下称“园区配套项目”），谢岗工程建设中心拟对创新区园区内相关配套项目进行新建和改造，涉及6个道路工程项目，其中包括谢岗镇环城路二期工程。园区配套项目计划通过专项债券融资60100万元，并于2020年开始第一期发债融资。但是根据谢岗镇环城路项目的预算批复和财政资金汇总表，无法明确本项目是否于2020、2021年使用了债券资金，2022、2023年年初预算是否全部以债券列支，无法</w:t>
      </w:r>
      <w:r>
        <w:rPr>
          <w:rFonts w:hint="eastAsia" w:ascii="Times New Roman" w:hAnsi="Times New Roman" w:eastAsia="仿宋_GB2312" w:cs="Times New Roman"/>
          <w:sz w:val="32"/>
          <w:szCs w:val="32"/>
        </w:rPr>
        <w:t>精准</w:t>
      </w:r>
      <w:r>
        <w:rPr>
          <w:rFonts w:ascii="Times New Roman" w:hAnsi="Times New Roman" w:eastAsia="仿宋_GB2312" w:cs="Times New Roman"/>
          <w:sz w:val="32"/>
          <w:szCs w:val="32"/>
        </w:rPr>
        <w:t>判断债券资金与财政资金的比例与具体数额。</w:t>
      </w:r>
    </w:p>
    <w:p w14:paraId="6AEA8182">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工程竣工结算不及时。</w:t>
      </w:r>
      <w:r>
        <w:rPr>
          <w:rFonts w:ascii="Times New Roman" w:hAnsi="Times New Roman" w:eastAsia="仿宋_GB2312" w:cs="Times New Roman"/>
          <w:sz w:val="32"/>
          <w:szCs w:val="32"/>
        </w:rPr>
        <w:t>环城路已于2023年6月</w:t>
      </w:r>
      <w:r>
        <w:rPr>
          <w:rFonts w:hint="eastAsia" w:ascii="Times New Roman" w:hAnsi="Times New Roman" w:eastAsia="仿宋_GB2312" w:cs="Times New Roman"/>
          <w:sz w:val="32"/>
          <w:szCs w:val="32"/>
        </w:rPr>
        <w:t>15日</w:t>
      </w:r>
      <w:r>
        <w:rPr>
          <w:rFonts w:ascii="Times New Roman" w:hAnsi="Times New Roman" w:eastAsia="仿宋_GB2312" w:cs="Times New Roman"/>
          <w:sz w:val="32"/>
          <w:szCs w:val="32"/>
        </w:rPr>
        <w:t>完成竣工验收</w:t>
      </w:r>
      <w:r>
        <w:rPr>
          <w:rFonts w:hint="eastAsia" w:ascii="Times New Roman" w:hAnsi="Times New Roman" w:eastAsia="仿宋_GB2312" w:cs="Times New Roman"/>
          <w:sz w:val="32"/>
          <w:szCs w:val="32"/>
        </w:rPr>
        <w:t>，谢岗镇财政投资审核中心于2024年3月14日出具施工单位结算征求意见稿，截止至2024年5月31日施工单位和审核中心仍在结算对数中，依据《环城路二期工程EPC总包合同》专用条款17.6的规定</w:t>
      </w:r>
      <w:r>
        <w:rPr>
          <w:rStyle w:val="21"/>
          <w:rFonts w:ascii="Times New Roman" w:hAnsi="Times New Roman" w:eastAsia="仿宋_GB2312" w:cs="Times New Roman"/>
          <w:sz w:val="32"/>
          <w:szCs w:val="32"/>
        </w:rPr>
        <w:footnoteReference w:id="0"/>
      </w:r>
      <w:r>
        <w:rPr>
          <w:rFonts w:hint="eastAsia" w:ascii="Times New Roman" w:hAnsi="Times New Roman" w:eastAsia="仿宋_GB2312" w:cs="Times New Roman"/>
          <w:sz w:val="32"/>
          <w:szCs w:val="32"/>
        </w:rPr>
        <w:t>应该完成竣工结算，但是未在规定时间内完成竣工结算</w:t>
      </w:r>
      <w:r>
        <w:rPr>
          <w:rFonts w:ascii="Times New Roman" w:hAnsi="Times New Roman" w:eastAsia="仿宋_GB2312" w:cs="Times New Roman"/>
          <w:sz w:val="32"/>
          <w:szCs w:val="32"/>
        </w:rPr>
        <w:t>。</w:t>
      </w:r>
    </w:p>
    <w:p w14:paraId="41773B6F">
      <w:pPr>
        <w:pStyle w:val="3"/>
        <w:rPr>
          <w:b/>
          <w:bCs/>
        </w:rPr>
      </w:pPr>
      <w:bookmarkStart w:id="164" w:name="_Toc168818836"/>
      <w:bookmarkStart w:id="165" w:name="_Toc17568"/>
      <w:r>
        <w:t>（二）绩效目标不全面，绩效指标设置不科学</w:t>
      </w:r>
      <w:bookmarkEnd w:id="164"/>
      <w:bookmarkEnd w:id="165"/>
    </w:p>
    <w:p w14:paraId="162FD7AF">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绩效目标</w:t>
      </w:r>
      <w:r>
        <w:rPr>
          <w:rFonts w:hint="eastAsia" w:ascii="Times New Roman" w:hAnsi="Times New Roman" w:eastAsia="仿宋_GB2312" w:cs="Times New Roman"/>
          <w:b/>
          <w:bCs/>
          <w:sz w:val="32"/>
          <w:szCs w:val="32"/>
        </w:rPr>
        <w:t>未量化不清晰</w:t>
      </w:r>
      <w:r>
        <w:rPr>
          <w:rFonts w:ascii="Times New Roman" w:hAnsi="Times New Roman" w:eastAsia="仿宋_GB2312" w:cs="Times New Roman"/>
          <w:b/>
          <w:bCs/>
          <w:sz w:val="32"/>
          <w:szCs w:val="32"/>
        </w:rPr>
        <w:t>。</w:t>
      </w:r>
      <w:r>
        <w:rPr>
          <w:rFonts w:ascii="Times New Roman" w:hAnsi="Times New Roman" w:eastAsia="仿宋_GB2312" w:cs="Times New Roman"/>
          <w:sz w:val="32"/>
          <w:szCs w:val="32"/>
        </w:rPr>
        <w:t>2020、2021年的绩效目标未量化当年的产出目标，2022、2023年的绩效目标仅表述拨款计划，但未明确当年度的工作产出及效益。</w:t>
      </w:r>
    </w:p>
    <w:p w14:paraId="44721D8E">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绩效指标设置不全面不科学。</w:t>
      </w:r>
      <w:r>
        <w:rPr>
          <w:rFonts w:ascii="Times New Roman" w:hAnsi="Times New Roman" w:eastAsia="仿宋_GB2312" w:cs="Times New Roman"/>
          <w:sz w:val="32"/>
          <w:szCs w:val="32"/>
        </w:rPr>
        <w:t>质量指标设置不全面，工程项目的质量指标必须设置“工程竣工验收合格率”；2022和2023年时效指标未设置标准化指标值；效益指标设置不合理、不全面，2020—2023年效益指标都只设置了一项指标，环城路项目具有经济效益、社会效益和生态效益，应当全面考虑项目带来的效益；可持续影响指标未考虑后期管理维护指标；服务对象满意度指标指向不明，应当具体为“社会公众满意度”，此外，应当</w:t>
      </w:r>
      <w:r>
        <w:rPr>
          <w:rFonts w:hint="eastAsia" w:ascii="Times New Roman" w:hAnsi="Times New Roman" w:eastAsia="仿宋_GB2312" w:cs="Times New Roman"/>
          <w:sz w:val="32"/>
          <w:szCs w:val="32"/>
        </w:rPr>
        <w:t>设置</w:t>
      </w:r>
      <w:r>
        <w:rPr>
          <w:rFonts w:ascii="Times New Roman" w:hAnsi="Times New Roman" w:eastAsia="仿宋_GB2312" w:cs="Times New Roman"/>
          <w:sz w:val="32"/>
          <w:szCs w:val="32"/>
        </w:rPr>
        <w:t>“管理单位满意度”</w:t>
      </w:r>
      <w:r>
        <w:rPr>
          <w:rFonts w:hint="eastAsia" w:ascii="Times New Roman" w:hAnsi="Times New Roman" w:eastAsia="仿宋_GB2312" w:cs="Times New Roman"/>
          <w:sz w:val="32"/>
          <w:szCs w:val="32"/>
        </w:rPr>
        <w:t>指标</w:t>
      </w:r>
      <w:r>
        <w:rPr>
          <w:rFonts w:ascii="Times New Roman" w:hAnsi="Times New Roman" w:eastAsia="仿宋_GB2312" w:cs="Times New Roman"/>
          <w:sz w:val="32"/>
          <w:szCs w:val="32"/>
        </w:rPr>
        <w:t>。</w:t>
      </w:r>
    </w:p>
    <w:p w14:paraId="68E4A747">
      <w:pPr>
        <w:pStyle w:val="3"/>
        <w:rPr>
          <w:b/>
          <w:bCs/>
        </w:rPr>
      </w:pPr>
      <w:bookmarkStart w:id="166" w:name="_Toc27334"/>
      <w:bookmarkStart w:id="167" w:name="_Toc168818837"/>
      <w:r>
        <w:t>（三）立项程序不合规，工程开工时间不合理</w:t>
      </w:r>
      <w:bookmarkEnd w:id="166"/>
      <w:bookmarkEnd w:id="167"/>
    </w:p>
    <w:p w14:paraId="26F22EB4">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立项程序不合规。</w:t>
      </w:r>
      <w:r>
        <w:rPr>
          <w:rFonts w:ascii="Times New Roman" w:hAnsi="Times New Roman" w:eastAsia="仿宋_GB2312" w:cs="Times New Roman"/>
          <w:sz w:val="32"/>
          <w:szCs w:val="32"/>
        </w:rPr>
        <w:t>可行性研究报告编制合同签订时间为2017年，建设工程项目建议书服务合同签订时间为2018年，建设工程项目建议书批复时间为 2019年，可研合同签订时间早于项目建议批复时间，立项程序不符合《东莞市财政投资建设项目前期工作暂行办法》（东府〔2011〕90号）有关规定。</w:t>
      </w:r>
    </w:p>
    <w:p w14:paraId="33F6760D">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开工时间不合理。</w:t>
      </w:r>
      <w:r>
        <w:rPr>
          <w:rFonts w:ascii="Times New Roman" w:hAnsi="Times New Roman" w:eastAsia="仿宋_GB2312" w:cs="Times New Roman"/>
          <w:sz w:val="32"/>
          <w:szCs w:val="32"/>
        </w:rPr>
        <w:t>谢岗镇环城路二期工程开工日期为2021 年4月22日，安全监督受理批复日期为2021年6月8日，实际开工日期早于安全监督批准日期，不符合《建筑工程施工许可管理办法》有关规定。</w:t>
      </w:r>
    </w:p>
    <w:p w14:paraId="111B8F37">
      <w:pPr>
        <w:pStyle w:val="3"/>
        <w:rPr>
          <w:color w:val="000000" w:themeColor="text1"/>
          <w14:textFill>
            <w14:solidFill>
              <w14:schemeClr w14:val="tx1"/>
            </w14:solidFill>
          </w14:textFill>
        </w:rPr>
      </w:pPr>
      <w:bookmarkStart w:id="168" w:name="_Toc168818838"/>
      <w:bookmarkStart w:id="169" w:name="_Toc848"/>
      <w:r>
        <w:rPr>
          <w:rFonts w:hint="eastAsia"/>
          <w:color w:val="000000" w:themeColor="text1"/>
          <w14:textFill>
            <w14:solidFill>
              <w14:schemeClr w14:val="tx1"/>
            </w14:solidFill>
          </w14:textFill>
        </w:rPr>
        <w:t>（四）合同</w:t>
      </w:r>
      <w:bookmarkEnd w:id="168"/>
      <w:r>
        <w:rPr>
          <w:rFonts w:hint="eastAsia"/>
          <w:color w:val="000000" w:themeColor="text1"/>
          <w14:textFill>
            <w14:solidFill>
              <w14:schemeClr w14:val="tx1"/>
            </w14:solidFill>
          </w14:textFill>
        </w:rPr>
        <w:t>签订不及时，未按合同规定支付款项</w:t>
      </w:r>
      <w:bookmarkEnd w:id="169"/>
    </w:p>
    <w:p w14:paraId="6951F730">
      <w:pPr>
        <w:adjustRightInd w:val="0"/>
        <w:snapToGrid w:val="0"/>
        <w:spacing w:line="579"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b/>
          <w:bCs/>
          <w:color w:val="000000" w:themeColor="text1"/>
          <w:sz w:val="32"/>
          <w:szCs w:val="32"/>
          <w14:textFill>
            <w14:solidFill>
              <w14:schemeClr w14:val="tx1"/>
            </w14:solidFill>
          </w14:textFill>
        </w:rPr>
        <w:t>合同签订不及时。</w:t>
      </w:r>
      <w:r>
        <w:rPr>
          <w:rFonts w:hint="eastAsia" w:ascii="Times New Roman" w:hAnsi="Times New Roman" w:eastAsia="仿宋_GB2312" w:cs="Times New Roman"/>
          <w:color w:val="000000" w:themeColor="text1"/>
          <w:sz w:val="32"/>
          <w:szCs w:val="32"/>
          <w14:textFill>
            <w14:solidFill>
              <w14:schemeClr w14:val="tx1"/>
            </w14:solidFill>
          </w14:textFill>
        </w:rPr>
        <w:t>谢岗镇环城路二期工程监理合同中标通知书时间为</w:t>
      </w:r>
      <w:r>
        <w:rPr>
          <w:rFonts w:ascii="Times New Roman" w:hAnsi="Times New Roman" w:eastAsia="仿宋_GB2312" w:cs="Times New Roman"/>
          <w:color w:val="000000" w:themeColor="text1"/>
          <w:sz w:val="32"/>
          <w:szCs w:val="32"/>
          <w14:textFill>
            <w14:solidFill>
              <w14:schemeClr w14:val="tx1"/>
            </w14:solidFill>
          </w14:textFill>
        </w:rPr>
        <w:t>2020</w:t>
      </w:r>
      <w:r>
        <w:rPr>
          <w:rFonts w:hint="eastAsia" w:ascii="Times New Roman" w:hAnsi="Times New Roman" w:eastAsia="仿宋_GB2312" w:cs="Times New Roman"/>
          <w:color w:val="000000" w:themeColor="text1"/>
          <w:sz w:val="32"/>
          <w:szCs w:val="32"/>
          <w14:textFill>
            <w14:solidFill>
              <w14:schemeClr w14:val="tx1"/>
            </w14:solidFill>
          </w14:textFill>
        </w:rPr>
        <w:t>年</w:t>
      </w:r>
      <w:r>
        <w:rPr>
          <w:rFonts w:ascii="Times New Roman" w:hAnsi="Times New Roman" w:eastAsia="仿宋_GB2312" w:cs="Times New Roman"/>
          <w:color w:val="000000" w:themeColor="text1"/>
          <w:sz w:val="32"/>
          <w:szCs w:val="32"/>
          <w14:textFill>
            <w14:solidFill>
              <w14:schemeClr w14:val="tx1"/>
            </w14:solidFill>
          </w14:textFill>
        </w:rPr>
        <w:t>11</w:t>
      </w:r>
      <w:r>
        <w:rPr>
          <w:rFonts w:hint="eastAsia" w:ascii="Times New Roman" w:hAnsi="Times New Roman" w:eastAsia="仿宋_GB2312" w:cs="Times New Roman"/>
          <w:color w:val="000000" w:themeColor="text1"/>
          <w:sz w:val="32"/>
          <w:szCs w:val="32"/>
          <w14:textFill>
            <w14:solidFill>
              <w14:schemeClr w14:val="tx1"/>
            </w14:solidFill>
          </w14:textFill>
        </w:rPr>
        <w:t>月</w:t>
      </w:r>
      <w:r>
        <w:rPr>
          <w:rFonts w:ascii="Times New Roman" w:hAnsi="Times New Roman" w:eastAsia="仿宋_GB2312" w:cs="Times New Roman"/>
          <w:color w:val="000000" w:themeColor="text1"/>
          <w:sz w:val="32"/>
          <w:szCs w:val="32"/>
          <w14:textFill>
            <w14:solidFill>
              <w14:schemeClr w14:val="tx1"/>
            </w14:solidFill>
          </w14:textFill>
        </w:rPr>
        <w:t>24</w:t>
      </w:r>
      <w:r>
        <w:rPr>
          <w:rFonts w:hint="eastAsia" w:ascii="Times New Roman" w:hAnsi="Times New Roman" w:eastAsia="仿宋_GB2312" w:cs="Times New Roman"/>
          <w:color w:val="000000" w:themeColor="text1"/>
          <w:sz w:val="32"/>
          <w:szCs w:val="32"/>
          <w14:textFill>
            <w14:solidFill>
              <w14:schemeClr w14:val="tx1"/>
            </w14:solidFill>
          </w14:textFill>
        </w:rPr>
        <w:t>日，其中规定</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中标人收到中标通知书后，须在</w:t>
      </w:r>
      <w:r>
        <w:rPr>
          <w:rFonts w:ascii="Times New Roman" w:hAnsi="Times New Roman" w:eastAsia="仿宋_GB2312" w:cs="Times New Roman"/>
          <w:color w:val="000000" w:themeColor="text1"/>
          <w:sz w:val="32"/>
          <w:szCs w:val="32"/>
          <w14:textFill>
            <w14:solidFill>
              <w14:schemeClr w14:val="tx1"/>
            </w14:solidFill>
          </w14:textFill>
        </w:rPr>
        <w:t>2020</w:t>
      </w:r>
      <w:r>
        <w:rPr>
          <w:rFonts w:hint="eastAsia" w:ascii="Times New Roman" w:hAnsi="Times New Roman" w:eastAsia="仿宋_GB2312" w:cs="Times New Roman"/>
          <w:color w:val="000000" w:themeColor="text1"/>
          <w:sz w:val="32"/>
          <w:szCs w:val="32"/>
          <w14:textFill>
            <w14:solidFill>
              <w14:schemeClr w14:val="tx1"/>
            </w14:solidFill>
          </w14:textFill>
        </w:rPr>
        <w:t>年</w:t>
      </w:r>
      <w:r>
        <w:rPr>
          <w:rFonts w:ascii="Times New Roman" w:hAnsi="Times New Roman" w:eastAsia="仿宋_GB2312" w:cs="Times New Roman"/>
          <w:color w:val="000000" w:themeColor="text1"/>
          <w:sz w:val="32"/>
          <w:szCs w:val="32"/>
          <w14:textFill>
            <w14:solidFill>
              <w14:schemeClr w14:val="tx1"/>
            </w14:solidFill>
          </w14:textFill>
        </w:rPr>
        <w:t xml:space="preserve">12 </w:t>
      </w:r>
      <w:r>
        <w:rPr>
          <w:rFonts w:hint="eastAsia" w:ascii="Times New Roman" w:hAnsi="Times New Roman" w:eastAsia="仿宋_GB2312" w:cs="Times New Roman"/>
          <w:color w:val="000000" w:themeColor="text1"/>
          <w:sz w:val="32"/>
          <w:szCs w:val="32"/>
          <w14:textFill>
            <w14:solidFill>
              <w14:schemeClr w14:val="tx1"/>
            </w14:solidFill>
          </w14:textFill>
        </w:rPr>
        <w:t>月</w:t>
      </w:r>
      <w:r>
        <w:rPr>
          <w:rFonts w:ascii="Times New Roman" w:hAnsi="Times New Roman" w:eastAsia="仿宋_GB2312" w:cs="Times New Roman"/>
          <w:color w:val="000000" w:themeColor="text1"/>
          <w:sz w:val="32"/>
          <w:szCs w:val="32"/>
          <w14:textFill>
            <w14:solidFill>
              <w14:schemeClr w14:val="tx1"/>
            </w14:solidFill>
          </w14:textFill>
        </w:rPr>
        <w:t>27</w:t>
      </w:r>
      <w:r>
        <w:rPr>
          <w:rFonts w:hint="eastAsia" w:ascii="Times New Roman" w:hAnsi="Times New Roman" w:eastAsia="仿宋_GB2312" w:cs="Times New Roman"/>
          <w:color w:val="000000" w:themeColor="text1"/>
          <w:sz w:val="32"/>
          <w:szCs w:val="32"/>
          <w14:textFill>
            <w14:solidFill>
              <w14:schemeClr w14:val="tx1"/>
            </w14:solidFill>
          </w14:textFill>
        </w:rPr>
        <w:t>日前按照招标文件和中标人的投标文件与招标人签订本招标工程承发包合同</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，但工程监理合同实际签订时间为</w:t>
      </w:r>
      <w:r>
        <w:rPr>
          <w:rFonts w:ascii="Times New Roman" w:hAnsi="Times New Roman" w:eastAsia="仿宋_GB2312" w:cs="Times New Roman"/>
          <w:color w:val="000000" w:themeColor="text1"/>
          <w:sz w:val="32"/>
          <w:szCs w:val="32"/>
          <w14:textFill>
            <w14:solidFill>
              <w14:schemeClr w14:val="tx1"/>
            </w14:solidFill>
          </w14:textFill>
        </w:rPr>
        <w:t>2021</w:t>
      </w:r>
      <w:r>
        <w:rPr>
          <w:rFonts w:hint="eastAsia" w:ascii="Times New Roman" w:hAnsi="Times New Roman" w:eastAsia="仿宋_GB2312" w:cs="Times New Roman"/>
          <w:color w:val="000000" w:themeColor="text1"/>
          <w:sz w:val="32"/>
          <w:szCs w:val="32"/>
          <w14:textFill>
            <w14:solidFill>
              <w14:schemeClr w14:val="tx1"/>
            </w14:solidFill>
          </w14:textFill>
        </w:rPr>
        <w:t>年</w:t>
      </w: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月</w:t>
      </w:r>
      <w:r>
        <w:rPr>
          <w:rFonts w:ascii="Times New Roman" w:hAnsi="Times New Roman" w:eastAsia="仿宋_GB2312" w:cs="Times New Roman"/>
          <w:color w:val="000000" w:themeColor="text1"/>
          <w:sz w:val="32"/>
          <w:szCs w:val="32"/>
          <w14:textFill>
            <w14:solidFill>
              <w14:schemeClr w14:val="tx1"/>
            </w14:solidFill>
          </w14:textFill>
        </w:rPr>
        <w:t>24</w:t>
      </w:r>
      <w:r>
        <w:rPr>
          <w:rFonts w:hint="eastAsia" w:ascii="Times New Roman" w:hAnsi="Times New Roman" w:eastAsia="仿宋_GB2312" w:cs="Times New Roman"/>
          <w:color w:val="000000" w:themeColor="text1"/>
          <w:sz w:val="32"/>
          <w:szCs w:val="32"/>
          <w14:textFill>
            <w14:solidFill>
              <w14:schemeClr w14:val="tx1"/>
            </w14:solidFill>
          </w14:textFill>
        </w:rPr>
        <w:t>日。</w:t>
      </w:r>
    </w:p>
    <w:p w14:paraId="0884CDD9">
      <w:pPr>
        <w:adjustRightInd w:val="0"/>
        <w:snapToGrid w:val="0"/>
        <w:spacing w:line="579"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b/>
          <w:bCs/>
          <w:color w:val="000000" w:themeColor="text1"/>
          <w:sz w:val="32"/>
          <w:szCs w:val="32"/>
          <w14:textFill>
            <w14:solidFill>
              <w14:schemeClr w14:val="tx1"/>
            </w14:solidFill>
          </w14:textFill>
        </w:rPr>
        <w:t>未按合同规定支付款项</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2017</w:t>
      </w:r>
      <w:r>
        <w:rPr>
          <w:rFonts w:hint="eastAsia" w:ascii="Times New Roman" w:hAnsi="Times New Roman" w:eastAsia="仿宋_GB2312" w:cs="Times New Roman"/>
          <w:color w:val="000000" w:themeColor="text1"/>
          <w:sz w:val="32"/>
          <w:szCs w:val="32"/>
          <w14:textFill>
            <w14:solidFill>
              <w14:schemeClr w14:val="tx1"/>
            </w14:solidFill>
          </w14:textFill>
        </w:rPr>
        <w:t>年签订的工程可行性研究报告编制合同中约定</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签订生效后</w:t>
      </w:r>
      <w:r>
        <w:rPr>
          <w:rFonts w:ascii="Times New Roman" w:hAnsi="Times New Roman" w:eastAsia="仿宋_GB2312" w:cs="Times New Roman"/>
          <w:color w:val="000000" w:themeColor="text1"/>
          <w:sz w:val="32"/>
          <w:szCs w:val="32"/>
          <w14:textFill>
            <w14:solidFill>
              <w14:schemeClr w14:val="tx1"/>
            </w14:solidFill>
          </w14:textFill>
        </w:rPr>
        <w:t>7</w:t>
      </w:r>
      <w:r>
        <w:rPr>
          <w:rFonts w:hint="eastAsia" w:ascii="Times New Roman" w:hAnsi="Times New Roman" w:eastAsia="仿宋_GB2312" w:cs="Times New Roman"/>
          <w:color w:val="000000" w:themeColor="text1"/>
          <w:sz w:val="32"/>
          <w:szCs w:val="32"/>
          <w14:textFill>
            <w14:solidFill>
              <w14:schemeClr w14:val="tx1"/>
            </w14:solidFill>
          </w14:textFill>
        </w:rPr>
        <w:t>天内，甲方向乙方拨付合同价的</w:t>
      </w:r>
      <w:r>
        <w:rPr>
          <w:rFonts w:ascii="Times New Roman" w:hAnsi="Times New Roman" w:eastAsia="仿宋_GB2312" w:cs="Times New Roman"/>
          <w:color w:val="000000" w:themeColor="text1"/>
          <w:sz w:val="32"/>
          <w:szCs w:val="32"/>
          <w14:textFill>
            <w14:solidFill>
              <w14:schemeClr w14:val="tx1"/>
            </w14:solidFill>
          </w14:textFill>
        </w:rPr>
        <w:t>30%</w:t>
      </w:r>
      <w:r>
        <w:rPr>
          <w:rFonts w:hint="eastAsia" w:ascii="Times New Roman" w:hAnsi="Times New Roman" w:eastAsia="仿宋_GB2312" w:cs="Times New Roman"/>
          <w:color w:val="000000" w:themeColor="text1"/>
          <w:sz w:val="32"/>
          <w:szCs w:val="32"/>
          <w14:textFill>
            <w14:solidFill>
              <w14:schemeClr w14:val="tx1"/>
            </w14:solidFill>
          </w14:textFill>
        </w:rPr>
        <w:t>作为预付款，正式的工可报告通过评审后</w:t>
      </w:r>
      <w:r>
        <w:rPr>
          <w:rFonts w:ascii="Times New Roman" w:hAnsi="Times New Roman" w:eastAsia="仿宋_GB2312" w:cs="Times New Roman"/>
          <w:color w:val="000000" w:themeColor="text1"/>
          <w:sz w:val="32"/>
          <w:szCs w:val="32"/>
          <w14:textFill>
            <w14:solidFill>
              <w14:schemeClr w14:val="tx1"/>
            </w14:solidFill>
          </w14:textFill>
        </w:rPr>
        <w:t>7</w:t>
      </w:r>
      <w:r>
        <w:rPr>
          <w:rFonts w:hint="eastAsia" w:ascii="Times New Roman" w:hAnsi="Times New Roman" w:eastAsia="仿宋_GB2312" w:cs="Times New Roman"/>
          <w:color w:val="000000" w:themeColor="text1"/>
          <w:sz w:val="32"/>
          <w:szCs w:val="32"/>
          <w14:textFill>
            <w14:solidFill>
              <w14:schemeClr w14:val="tx1"/>
            </w14:solidFill>
          </w14:textFill>
        </w:rPr>
        <w:t>天内，甲方向乙方拨付剩余合同费用</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。该工程可行性研究报告于</w:t>
      </w:r>
      <w:r>
        <w:rPr>
          <w:rFonts w:ascii="Times New Roman" w:hAnsi="Times New Roman" w:eastAsia="仿宋_GB2312" w:cs="Times New Roman"/>
          <w:color w:val="000000" w:themeColor="text1"/>
          <w:sz w:val="32"/>
          <w:szCs w:val="32"/>
          <w14:textFill>
            <w14:solidFill>
              <w14:schemeClr w14:val="tx1"/>
            </w14:solidFill>
          </w14:textFill>
        </w:rPr>
        <w:t>2019</w:t>
      </w:r>
      <w:r>
        <w:rPr>
          <w:rFonts w:hint="eastAsia" w:ascii="Times New Roman" w:hAnsi="Times New Roman" w:eastAsia="仿宋_GB2312" w:cs="Times New Roman"/>
          <w:color w:val="000000" w:themeColor="text1"/>
          <w:sz w:val="32"/>
          <w:szCs w:val="32"/>
          <w14:textFill>
            <w14:solidFill>
              <w14:schemeClr w14:val="tx1"/>
            </w14:solidFill>
          </w14:textFill>
        </w:rPr>
        <w:t>年</w:t>
      </w:r>
      <w:r>
        <w:rPr>
          <w:rFonts w:ascii="Times New Roman" w:hAnsi="Times New Roman" w:eastAsia="仿宋_GB2312" w:cs="Times New Roman"/>
          <w:color w:val="000000" w:themeColor="text1"/>
          <w:sz w:val="32"/>
          <w:szCs w:val="32"/>
          <w14:textFill>
            <w14:solidFill>
              <w14:schemeClr w14:val="tx1"/>
            </w14:solidFill>
          </w14:textFill>
        </w:rPr>
        <w:t>11</w:t>
      </w:r>
      <w:r>
        <w:rPr>
          <w:rFonts w:hint="eastAsia" w:ascii="Times New Roman" w:hAnsi="Times New Roman" w:eastAsia="仿宋_GB2312" w:cs="Times New Roman"/>
          <w:color w:val="000000" w:themeColor="text1"/>
          <w:sz w:val="32"/>
          <w:szCs w:val="32"/>
          <w14:textFill>
            <w14:solidFill>
              <w14:schemeClr w14:val="tx1"/>
            </w14:solidFill>
          </w14:textFill>
        </w:rPr>
        <w:t>月</w:t>
      </w:r>
      <w:r>
        <w:rPr>
          <w:rFonts w:ascii="Times New Roman" w:hAnsi="Times New Roman" w:eastAsia="仿宋_GB2312" w:cs="Times New Roman"/>
          <w:color w:val="000000" w:themeColor="text1"/>
          <w:sz w:val="32"/>
          <w:szCs w:val="32"/>
          <w14:textFill>
            <w14:solidFill>
              <w14:schemeClr w14:val="tx1"/>
            </w14:solidFill>
          </w14:textFill>
        </w:rPr>
        <w:t>4</w:t>
      </w:r>
      <w:r>
        <w:rPr>
          <w:rFonts w:hint="eastAsia" w:ascii="Times New Roman" w:hAnsi="Times New Roman" w:eastAsia="仿宋_GB2312" w:cs="Times New Roman"/>
          <w:color w:val="000000" w:themeColor="text1"/>
          <w:sz w:val="32"/>
          <w:szCs w:val="32"/>
          <w14:textFill>
            <w14:solidFill>
              <w14:schemeClr w14:val="tx1"/>
            </w14:solidFill>
          </w14:textFill>
        </w:rPr>
        <w:t>日批复，谢岗工程建设中心于</w:t>
      </w:r>
      <w:r>
        <w:rPr>
          <w:rFonts w:ascii="Times New Roman" w:hAnsi="Times New Roman" w:eastAsia="仿宋_GB2312" w:cs="Times New Roman"/>
          <w:color w:val="000000" w:themeColor="text1"/>
          <w:sz w:val="32"/>
          <w:szCs w:val="32"/>
          <w14:textFill>
            <w14:solidFill>
              <w14:schemeClr w14:val="tx1"/>
            </w14:solidFill>
          </w14:textFill>
        </w:rPr>
        <w:t>2020</w:t>
      </w:r>
      <w:r>
        <w:rPr>
          <w:rFonts w:hint="eastAsia" w:ascii="Times New Roman" w:hAnsi="Times New Roman" w:eastAsia="仿宋_GB2312" w:cs="Times New Roman"/>
          <w:color w:val="000000" w:themeColor="text1"/>
          <w:sz w:val="32"/>
          <w:szCs w:val="32"/>
          <w14:textFill>
            <w14:solidFill>
              <w14:schemeClr w14:val="tx1"/>
            </w14:solidFill>
          </w14:textFill>
        </w:rPr>
        <w:t>年</w:t>
      </w:r>
      <w:r>
        <w:rPr>
          <w:rFonts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月一次性支付可研报告编制费，既未按合同付款程序分期支付款项，也未及时支付。</w:t>
      </w:r>
    </w:p>
    <w:p w14:paraId="69D9B667">
      <w:pPr>
        <w:pStyle w:val="3"/>
        <w:rPr>
          <w:b/>
          <w:bCs/>
        </w:rPr>
      </w:pPr>
      <w:bookmarkStart w:id="170" w:name="_Toc2224"/>
      <w:bookmarkStart w:id="171" w:name="_Toc168818839"/>
      <w:r>
        <w:t>（五）变更程序不合规</w:t>
      </w:r>
      <w:bookmarkEnd w:id="170"/>
      <w:bookmarkEnd w:id="171"/>
    </w:p>
    <w:p w14:paraId="494D3777">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变更程序不合规。</w:t>
      </w:r>
      <w:r>
        <w:rPr>
          <w:rFonts w:ascii="Times New Roman" w:hAnsi="Times New Roman" w:eastAsia="仿宋_GB2312" w:cs="Times New Roman"/>
          <w:sz w:val="32"/>
          <w:szCs w:val="32"/>
        </w:rPr>
        <w:t>谢岗镇环城路二期工程变更资料显示，南华街路口取消及隔音板调整变更减少10万元、桩号K0+757~K0+900挡墙调整及桩号BK0+100~BK0+105右幅边坡防护变更增加14.20万元、粪基窝水库运营设施调整变更增加11.50万元，上述三项变更工程于2023年5月提出工程变更申请，但实际上早在2023年3-5月完成施工。先施工、后申请变更审批的行为不符合《关于印发东莞市财政性资金投资基本建设项目工程价款管理办法的通知》（东财〔2021〕20号）</w:t>
      </w:r>
      <w:r>
        <w:rPr>
          <w:rFonts w:hint="eastAsia" w:ascii="Times New Roman" w:hAnsi="Times New Roman" w:eastAsia="仿宋_GB2312" w:cs="Times New Roman"/>
          <w:sz w:val="32"/>
          <w:szCs w:val="32"/>
        </w:rPr>
        <w:t>有关规定</w:t>
      </w:r>
      <w:r>
        <w:rPr>
          <w:rFonts w:ascii="Times New Roman" w:hAnsi="Times New Roman" w:eastAsia="仿宋_GB2312" w:cs="Times New Roman"/>
          <w:sz w:val="32"/>
          <w:szCs w:val="32"/>
        </w:rPr>
        <w:t>。</w:t>
      </w:r>
    </w:p>
    <w:bookmarkEnd w:id="159"/>
    <w:bookmarkEnd w:id="160"/>
    <w:bookmarkEnd w:id="161"/>
    <w:bookmarkEnd w:id="162"/>
    <w:bookmarkEnd w:id="163"/>
    <w:p w14:paraId="3255B7EF">
      <w:pPr>
        <w:pStyle w:val="2"/>
        <w:keepNext w:val="0"/>
        <w:keepLines w:val="0"/>
        <w:widowControl w:val="0"/>
        <w:adjustRightInd w:val="0"/>
        <w:snapToGrid w:val="0"/>
        <w:spacing w:before="0" w:after="0" w:line="579" w:lineRule="exact"/>
        <w:ind w:firstLine="640" w:firstLineChars="200"/>
        <w:rPr>
          <w:rFonts w:ascii="Times New Roman" w:hAnsi="Times New Roman" w:eastAsia="黑体"/>
          <w:b w:val="0"/>
          <w:bCs w:val="0"/>
          <w:sz w:val="32"/>
          <w:szCs w:val="32"/>
        </w:rPr>
      </w:pPr>
      <w:bookmarkStart w:id="172" w:name="_Toc49164015"/>
      <w:bookmarkStart w:id="173" w:name="_Toc58595348"/>
      <w:bookmarkStart w:id="174" w:name="_Toc44667812"/>
      <w:bookmarkStart w:id="175" w:name="_Toc168818840"/>
      <w:bookmarkStart w:id="176" w:name="_Toc105658581"/>
      <w:bookmarkStart w:id="177" w:name="_Toc31686"/>
      <w:r>
        <w:rPr>
          <w:rFonts w:ascii="Times New Roman" w:hAnsi="Times New Roman" w:eastAsia="黑体"/>
          <w:b w:val="0"/>
          <w:bCs w:val="0"/>
          <w:sz w:val="32"/>
          <w:szCs w:val="32"/>
        </w:rPr>
        <w:t>七、改进绩效管理的建议</w:t>
      </w:r>
      <w:bookmarkEnd w:id="172"/>
      <w:bookmarkEnd w:id="173"/>
      <w:bookmarkEnd w:id="174"/>
      <w:bookmarkEnd w:id="175"/>
      <w:bookmarkEnd w:id="176"/>
      <w:bookmarkEnd w:id="177"/>
    </w:p>
    <w:p w14:paraId="1D7E0E4A">
      <w:pPr>
        <w:pStyle w:val="3"/>
        <w:rPr>
          <w:b/>
          <w:bCs/>
        </w:rPr>
      </w:pPr>
      <w:bookmarkStart w:id="178" w:name="_Toc2133"/>
      <w:bookmarkStart w:id="179" w:name="_Toc168818841"/>
      <w:r>
        <w:t>（一）制定项目资金使用计划，加快竣工结算进度</w:t>
      </w:r>
      <w:bookmarkEnd w:id="178"/>
      <w:bookmarkEnd w:id="179"/>
    </w:p>
    <w:p w14:paraId="07F6E4C8">
      <w:pPr>
        <w:adjustRightInd w:val="0"/>
        <w:snapToGrid w:val="0"/>
        <w:spacing w:line="579" w:lineRule="exact"/>
        <w:ind w:firstLine="640" w:firstLineChars="200"/>
        <w:rPr>
          <w:rFonts w:ascii="Times New Roman" w:hAnsi="Times New Roman" w:eastAsia="仿宋_GB2312" w:cs="Times New Roman"/>
          <w:color w:val="0070C0"/>
          <w:sz w:val="32"/>
          <w:szCs w:val="32"/>
        </w:rPr>
      </w:pPr>
      <w:r>
        <w:rPr>
          <w:rFonts w:ascii="Times New Roman" w:hAnsi="Times New Roman" w:eastAsia="仿宋_GB2312" w:cs="Times New Roman"/>
          <w:b/>
          <w:bCs/>
          <w:sz w:val="32"/>
          <w:szCs w:val="32"/>
        </w:rPr>
        <w:t>一是制定明确的资金使用计划。</w:t>
      </w:r>
      <w:r>
        <w:rPr>
          <w:rFonts w:ascii="Times New Roman" w:hAnsi="Times New Roman" w:eastAsia="仿宋_GB2312" w:cs="Times New Roman"/>
          <w:sz w:val="32"/>
          <w:szCs w:val="32"/>
        </w:rPr>
        <w:t>资金是工程实施的基本保障，为确保工程项目正常运作，应当成立项目资金管理领导小组，设立专用资金账户，建立健全成本核算</w:t>
      </w:r>
      <w:r>
        <w:rPr>
          <w:rFonts w:hint="eastAsia" w:ascii="Times New Roman" w:hAnsi="Times New Roman" w:eastAsia="仿宋_GB2312" w:cs="Times New Roman"/>
          <w:sz w:val="32"/>
          <w:szCs w:val="32"/>
        </w:rPr>
        <w:t>制度</w:t>
      </w:r>
      <w:r>
        <w:rPr>
          <w:rFonts w:ascii="Times New Roman" w:hAnsi="Times New Roman" w:eastAsia="仿宋_GB2312" w:cs="Times New Roman"/>
          <w:sz w:val="32"/>
          <w:szCs w:val="32"/>
        </w:rPr>
        <w:t>，加强成本管理，及时分析成本开支，加大成本控制力度。</w:t>
      </w:r>
      <w:r>
        <w:rPr>
          <w:rFonts w:hint="eastAsia" w:ascii="Times New Roman" w:hAnsi="Times New Roman" w:eastAsia="仿宋_GB2312" w:cs="Times New Roman"/>
          <w:color w:val="000000" w:themeColor="text1"/>
          <w:sz w:val="32"/>
          <w:szCs w:val="32"/>
          <w14:textFill>
            <w14:solidFill>
              <w14:schemeClr w14:val="tx1"/>
            </w14:solidFill>
          </w14:textFill>
        </w:rPr>
        <w:t>对于债券资金和财政资金混用项目，一方面合理制定债券资金使用计划，明确各项目债券资金使用年限和分配额度，严格落实偿债资金来源，确保债券资金预算执行率</w:t>
      </w:r>
      <w:r>
        <w:rPr>
          <w:rFonts w:ascii="Times New Roman" w:hAnsi="Times New Roman" w:eastAsia="仿宋_GB2312" w:cs="Times New Roman"/>
          <w:color w:val="000000" w:themeColor="text1"/>
          <w:sz w:val="32"/>
          <w:szCs w:val="32"/>
          <w14:textFill>
            <w14:solidFill>
              <w14:schemeClr w14:val="tx1"/>
            </w14:solidFill>
          </w14:textFill>
        </w:rPr>
        <w:t>100%</w:t>
      </w:r>
      <w:r>
        <w:rPr>
          <w:rFonts w:hint="eastAsia" w:ascii="Times New Roman" w:hAnsi="Times New Roman" w:eastAsia="仿宋_GB2312" w:cs="Times New Roman"/>
          <w:color w:val="000000" w:themeColor="text1"/>
          <w:sz w:val="32"/>
          <w:szCs w:val="32"/>
          <w14:textFill>
            <w14:solidFill>
              <w14:schemeClr w14:val="tx1"/>
            </w14:solidFill>
          </w14:textFill>
        </w:rPr>
        <w:t>和及时按时偿还利息；另一方面加强财政资金预算执行计划的实时监控，开展中期监控，根据中期监控结果适时调整预算，提高预算执行率。</w:t>
      </w:r>
    </w:p>
    <w:p w14:paraId="25B39377">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二是加快竣工结算进度。</w:t>
      </w:r>
      <w:r>
        <w:rPr>
          <w:rFonts w:ascii="Times New Roman" w:hAnsi="Times New Roman" w:eastAsia="仿宋_GB2312" w:cs="Times New Roman"/>
          <w:sz w:val="32"/>
          <w:szCs w:val="32"/>
        </w:rPr>
        <w:t>启动招标</w:t>
      </w:r>
      <w:r>
        <w:rPr>
          <w:rFonts w:hint="eastAsia" w:ascii="Times New Roman" w:hAnsi="Times New Roman" w:eastAsia="仿宋_GB2312" w:cs="Times New Roman"/>
          <w:sz w:val="32"/>
          <w:szCs w:val="32"/>
        </w:rPr>
        <w:t>工作</w:t>
      </w:r>
      <w:r>
        <w:rPr>
          <w:rFonts w:ascii="Times New Roman" w:hAnsi="Times New Roman" w:eastAsia="仿宋_GB2312" w:cs="Times New Roman"/>
          <w:sz w:val="32"/>
          <w:szCs w:val="32"/>
        </w:rPr>
        <w:t>前</w:t>
      </w:r>
      <w:r>
        <w:rPr>
          <w:rFonts w:hint="eastAsia" w:ascii="Times New Roman" w:hAnsi="Times New Roman" w:eastAsia="仿宋_GB2312" w:cs="Times New Roman"/>
          <w:sz w:val="32"/>
          <w:szCs w:val="32"/>
        </w:rPr>
        <w:t>拟好合同条款</w:t>
      </w:r>
      <w:r>
        <w:rPr>
          <w:rFonts w:ascii="Times New Roman" w:hAnsi="Times New Roman" w:eastAsia="仿宋_GB2312" w:cs="Times New Roman"/>
          <w:sz w:val="32"/>
          <w:szCs w:val="32"/>
        </w:rPr>
        <w:t>，招采及</w:t>
      </w:r>
      <w:r>
        <w:rPr>
          <w:rFonts w:hint="eastAsia" w:ascii="Times New Roman" w:hAnsi="Times New Roman" w:eastAsia="仿宋_GB2312" w:cs="Times New Roman"/>
          <w:sz w:val="32"/>
          <w:szCs w:val="32"/>
        </w:rPr>
        <w:t>合同</w:t>
      </w:r>
      <w:r>
        <w:rPr>
          <w:rFonts w:ascii="Times New Roman" w:hAnsi="Times New Roman" w:eastAsia="仿宋_GB2312" w:cs="Times New Roman"/>
          <w:sz w:val="32"/>
          <w:szCs w:val="32"/>
        </w:rPr>
        <w:t>签订环节严格执行</w:t>
      </w:r>
      <w:r>
        <w:rPr>
          <w:rFonts w:hint="eastAsia" w:ascii="Times New Roman" w:hAnsi="Times New Roman" w:eastAsia="仿宋_GB2312" w:cs="Times New Roman"/>
          <w:sz w:val="32"/>
          <w:szCs w:val="32"/>
        </w:rPr>
        <w:t>政府采购相关规定，</w:t>
      </w:r>
      <w:r>
        <w:rPr>
          <w:rFonts w:ascii="Times New Roman" w:hAnsi="Times New Roman" w:eastAsia="仿宋_GB2312" w:cs="Times New Roman"/>
          <w:sz w:val="32"/>
          <w:szCs w:val="32"/>
        </w:rPr>
        <w:t>甲乙双方协同配合按期完成竣工结算。加强全员动态成本管理意识，</w:t>
      </w:r>
      <w:r>
        <w:rPr>
          <w:rFonts w:hint="eastAsia" w:ascii="Times New Roman" w:hAnsi="Times New Roman" w:eastAsia="仿宋_GB2312" w:cs="Times New Roman"/>
          <w:sz w:val="32"/>
          <w:szCs w:val="32"/>
        </w:rPr>
        <w:t>执行</w:t>
      </w:r>
      <w:r>
        <w:rPr>
          <w:rFonts w:ascii="Times New Roman" w:hAnsi="Times New Roman" w:eastAsia="仿宋_GB2312" w:cs="Times New Roman"/>
          <w:sz w:val="32"/>
          <w:szCs w:val="32"/>
        </w:rPr>
        <w:t>设计变更及签证变更</w:t>
      </w:r>
      <w:r>
        <w:rPr>
          <w:rFonts w:hint="eastAsia" w:ascii="Times New Roman" w:hAnsi="Times New Roman" w:eastAsia="仿宋_GB2312" w:cs="Times New Roman"/>
          <w:sz w:val="32"/>
          <w:szCs w:val="32"/>
        </w:rPr>
        <w:t>及时</w:t>
      </w:r>
      <w:r>
        <w:rPr>
          <w:rFonts w:ascii="Times New Roman" w:hAnsi="Times New Roman" w:eastAsia="仿宋_GB2312" w:cs="Times New Roman"/>
          <w:sz w:val="32"/>
          <w:szCs w:val="32"/>
        </w:rPr>
        <w:t>清理制度</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现场资料标准化</w:t>
      </w:r>
      <w:r>
        <w:rPr>
          <w:rFonts w:hint="eastAsia" w:ascii="Times New Roman" w:hAnsi="Times New Roman" w:eastAsia="仿宋_GB2312" w:cs="Times New Roman"/>
          <w:sz w:val="32"/>
          <w:szCs w:val="32"/>
        </w:rPr>
        <w:t>管理制度</w:t>
      </w:r>
      <w:r>
        <w:rPr>
          <w:rFonts w:ascii="Times New Roman" w:hAnsi="Times New Roman" w:eastAsia="仿宋_GB2312" w:cs="Times New Roman"/>
          <w:sz w:val="32"/>
          <w:szCs w:val="32"/>
        </w:rPr>
        <w:t>，明确变更及竣工结算资料</w:t>
      </w:r>
      <w:r>
        <w:rPr>
          <w:rFonts w:hint="eastAsia" w:ascii="Times New Roman" w:hAnsi="Times New Roman" w:eastAsia="仿宋_GB2312" w:cs="Times New Roman"/>
          <w:sz w:val="32"/>
          <w:szCs w:val="32"/>
        </w:rPr>
        <w:t>管理</w:t>
      </w:r>
      <w:r>
        <w:rPr>
          <w:rFonts w:ascii="Times New Roman" w:hAnsi="Times New Roman" w:eastAsia="仿宋_GB2312" w:cs="Times New Roman"/>
          <w:sz w:val="32"/>
          <w:szCs w:val="32"/>
        </w:rPr>
        <w:t>标准。细化成本岗位，专岗配置、责任到人，加强</w:t>
      </w:r>
      <w:r>
        <w:rPr>
          <w:rFonts w:hint="eastAsia" w:ascii="Times New Roman" w:hAnsi="Times New Roman" w:eastAsia="仿宋_GB2312" w:cs="Times New Roman"/>
          <w:sz w:val="32"/>
          <w:szCs w:val="32"/>
        </w:rPr>
        <w:t>采购</w:t>
      </w:r>
      <w:r>
        <w:rPr>
          <w:rFonts w:ascii="Times New Roman" w:hAnsi="Times New Roman" w:eastAsia="仿宋_GB2312" w:cs="Times New Roman"/>
          <w:sz w:val="32"/>
          <w:szCs w:val="32"/>
        </w:rPr>
        <w:t>管理和专业</w:t>
      </w:r>
      <w:r>
        <w:rPr>
          <w:rFonts w:hint="eastAsia" w:ascii="Times New Roman" w:hAnsi="Times New Roman" w:eastAsia="仿宋_GB2312" w:cs="Times New Roman"/>
          <w:sz w:val="32"/>
          <w:szCs w:val="32"/>
        </w:rPr>
        <w:t>技能的</w:t>
      </w:r>
      <w:r>
        <w:rPr>
          <w:rFonts w:ascii="Times New Roman" w:hAnsi="Times New Roman" w:eastAsia="仿宋_GB2312" w:cs="Times New Roman"/>
          <w:sz w:val="32"/>
          <w:szCs w:val="32"/>
        </w:rPr>
        <w:t>培训，提高专业人员能力水平。</w:t>
      </w:r>
    </w:p>
    <w:p w14:paraId="752D08A8">
      <w:pPr>
        <w:pStyle w:val="3"/>
        <w:rPr>
          <w:b/>
          <w:bCs/>
        </w:rPr>
      </w:pPr>
      <w:bookmarkStart w:id="180" w:name="_Toc168818842"/>
      <w:bookmarkStart w:id="181" w:name="_Toc8935"/>
      <w:r>
        <w:t>（二）提升预算绩效管理意识，加强相关能力建设</w:t>
      </w:r>
      <w:bookmarkEnd w:id="180"/>
      <w:bookmarkEnd w:id="181"/>
    </w:p>
    <w:p w14:paraId="5BB1F95C">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一是提高部门对预算绩效管理工作的重视程度。</w:t>
      </w:r>
      <w:r>
        <w:rPr>
          <w:rFonts w:ascii="Times New Roman" w:hAnsi="Times New Roman" w:eastAsia="仿宋_GB2312" w:cs="Times New Roman"/>
          <w:sz w:val="32"/>
          <w:szCs w:val="32"/>
        </w:rPr>
        <w:t>强化对预算绩效管理、绩效目标管理等政策文件的学习，加深对文件精神、内容的理解，充分认识相关工作的重要性。</w:t>
      </w:r>
      <w:r>
        <w:rPr>
          <w:rFonts w:hint="eastAsia" w:ascii="Times New Roman" w:hAnsi="Times New Roman" w:eastAsia="仿宋_GB2312" w:cs="Times New Roman"/>
          <w:sz w:val="32"/>
          <w:szCs w:val="32"/>
        </w:rPr>
        <w:t>加强工程建设</w:t>
      </w:r>
      <w:r>
        <w:rPr>
          <w:rFonts w:ascii="Times New Roman" w:hAnsi="Times New Roman" w:eastAsia="仿宋_GB2312" w:cs="Times New Roman"/>
          <w:sz w:val="32"/>
          <w:szCs w:val="32"/>
        </w:rPr>
        <w:t>组织保障</w:t>
      </w:r>
      <w:r>
        <w:rPr>
          <w:rFonts w:hint="eastAsia" w:ascii="Times New Roman" w:hAnsi="Times New Roman" w:eastAsia="仿宋_GB2312" w:cs="Times New Roman"/>
          <w:sz w:val="32"/>
          <w:szCs w:val="32"/>
        </w:rPr>
        <w:t>工作</w:t>
      </w:r>
      <w:r>
        <w:rPr>
          <w:rFonts w:ascii="Times New Roman" w:hAnsi="Times New Roman" w:eastAsia="仿宋_GB2312" w:cs="Times New Roman"/>
          <w:sz w:val="32"/>
          <w:szCs w:val="32"/>
        </w:rPr>
        <w:t>，成立部门内部绩效评价工作小组，推动预算绩效管理各项工作落到实处。强化统筹力度，将预算支出绩效</w:t>
      </w:r>
      <w:r>
        <w:rPr>
          <w:rFonts w:hint="eastAsia" w:ascii="Times New Roman" w:hAnsi="Times New Roman" w:eastAsia="仿宋_GB2312" w:cs="Times New Roman"/>
          <w:sz w:val="32"/>
          <w:szCs w:val="32"/>
        </w:rPr>
        <w:t>管理工作</w:t>
      </w:r>
      <w:r>
        <w:rPr>
          <w:rFonts w:ascii="Times New Roman" w:hAnsi="Times New Roman" w:eastAsia="仿宋_GB2312" w:cs="Times New Roman"/>
          <w:sz w:val="32"/>
          <w:szCs w:val="32"/>
        </w:rPr>
        <w:t>纳入年度工作总结，梳理部门预算绩效管理成效、存在的问题</w:t>
      </w:r>
      <w:r>
        <w:rPr>
          <w:rFonts w:hint="eastAsia" w:ascii="Times New Roman" w:hAnsi="Times New Roman" w:eastAsia="仿宋_GB2312" w:cs="Times New Roman"/>
          <w:sz w:val="32"/>
          <w:szCs w:val="32"/>
        </w:rPr>
        <w:t>，做好</w:t>
      </w:r>
      <w:r>
        <w:rPr>
          <w:rFonts w:ascii="Times New Roman" w:hAnsi="Times New Roman" w:eastAsia="仿宋_GB2312" w:cs="Times New Roman"/>
          <w:sz w:val="32"/>
          <w:szCs w:val="32"/>
        </w:rPr>
        <w:t>下年度工作计划。</w:t>
      </w:r>
    </w:p>
    <w:p w14:paraId="55B820A7">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二是着力提升部门全过程、全周期预算绩效管理能力。</w:t>
      </w:r>
      <w:r>
        <w:rPr>
          <w:rFonts w:ascii="Times New Roman" w:hAnsi="Times New Roman" w:eastAsia="仿宋_GB2312" w:cs="Times New Roman"/>
          <w:sz w:val="32"/>
          <w:szCs w:val="32"/>
        </w:rPr>
        <w:t>通过培训等手段提升工作人员的绩效目标设置能力，使各项目的绩效目标设置更加全面、系统、准确、符合实际，充分利用设置绩效目标的过程，把项目“做什么、怎么做”梳理清楚，以便能更好地计划和指导各项工作。认真学习《东莞市市级财政预算绩效目标管理办法（试行）》（东财〔2020〕149号），熟悉绩效指标含义，严格按照文件要求科学设置绩效指标，</w:t>
      </w:r>
      <w:r>
        <w:rPr>
          <w:rFonts w:hint="eastAsia" w:ascii="Times New Roman" w:hAnsi="Times New Roman" w:eastAsia="仿宋_GB2312" w:cs="Times New Roman"/>
          <w:sz w:val="32"/>
          <w:szCs w:val="32"/>
        </w:rPr>
        <w:t>强化</w:t>
      </w:r>
      <w:r>
        <w:rPr>
          <w:rFonts w:ascii="Times New Roman" w:hAnsi="Times New Roman" w:eastAsia="仿宋_GB2312" w:cs="Times New Roman"/>
          <w:sz w:val="32"/>
          <w:szCs w:val="32"/>
        </w:rPr>
        <w:t>绩效管理工作。</w:t>
      </w:r>
    </w:p>
    <w:p w14:paraId="13C98588">
      <w:pPr>
        <w:pStyle w:val="3"/>
        <w:rPr>
          <w:b/>
          <w:bCs/>
        </w:rPr>
      </w:pPr>
      <w:bookmarkStart w:id="182" w:name="_Toc168818843"/>
      <w:bookmarkStart w:id="183" w:name="_Toc32102"/>
      <w:r>
        <w:t>（三）严格落实工程立项程序，有序开展工程建设</w:t>
      </w:r>
      <w:bookmarkEnd w:id="182"/>
      <w:bookmarkEnd w:id="183"/>
    </w:p>
    <w:p w14:paraId="3514643C">
      <w:pPr>
        <w:adjustRightInd w:val="0"/>
        <w:snapToGrid w:val="0"/>
        <w:spacing w:line="579" w:lineRule="exact"/>
        <w:ind w:firstLine="640" w:firstLineChars="200"/>
        <w:rPr>
          <w:rFonts w:ascii="Times New Roman" w:hAnsi="Times New Roman" w:eastAsia="仿宋_GB2312" w:cs="Times New Roman"/>
          <w:sz w:val="32"/>
          <w:szCs w:val="32"/>
        </w:rPr>
      </w:pPr>
      <w:bookmarkStart w:id="184" w:name="_Hlk109292829"/>
      <w:r>
        <w:rPr>
          <w:rFonts w:ascii="Times New Roman" w:hAnsi="Times New Roman" w:eastAsia="仿宋_GB2312" w:cs="Times New Roman"/>
          <w:b/>
          <w:bCs/>
          <w:sz w:val="32"/>
          <w:szCs w:val="32"/>
        </w:rPr>
        <w:t>严格执行工程建设政策文件，有序合规开展工程建设。</w:t>
      </w:r>
      <w:r>
        <w:rPr>
          <w:rFonts w:ascii="Times New Roman" w:hAnsi="Times New Roman" w:eastAsia="仿宋_GB2312" w:cs="Times New Roman"/>
          <w:sz w:val="32"/>
          <w:szCs w:val="32"/>
        </w:rPr>
        <w:t>谢岗工程建设中心及工程参与方应严格落实《东莞市财政投资建设项目前期工作暂行办法》（东府〔2011〕90号）、《建筑工程施工许可管理办法》等文件的程序性规定。严格遵守投资决策－工程设计－概预算－招标－采购及施工－交付使用六个阶段的先后顺序，尤其需注重投资决策阶段的程序合规性，按照报批项目建议书、编制可行性研究报告、开展事前评估、取得发改批复的四个步骤确定工程立项。在项目开工前，务必办理工程报建手续（包括质量监督、安全监督报批手续），取得施工许可证，避免违法违规。</w:t>
      </w:r>
    </w:p>
    <w:p w14:paraId="6A56239E">
      <w:pPr>
        <w:pStyle w:val="3"/>
        <w:rPr>
          <w:b/>
          <w:bCs/>
          <w:color w:val="000000" w:themeColor="text1"/>
          <w14:textFill>
            <w14:solidFill>
              <w14:schemeClr w14:val="tx1"/>
            </w14:solidFill>
          </w14:textFill>
        </w:rPr>
      </w:pPr>
      <w:bookmarkStart w:id="185" w:name="_Toc168818844"/>
      <w:bookmarkStart w:id="186" w:name="_Toc28277"/>
      <w:r>
        <w:rPr>
          <w:rFonts w:hint="eastAsia"/>
          <w:color w:val="000000" w:themeColor="text1"/>
          <w14:textFill>
            <w14:solidFill>
              <w14:schemeClr w14:val="tx1"/>
            </w14:solidFill>
          </w14:textFill>
        </w:rPr>
        <w:t>（四）</w:t>
      </w:r>
      <w:bookmarkEnd w:id="185"/>
      <w:r>
        <w:rPr>
          <w:rFonts w:hint="eastAsia"/>
          <w:color w:val="000000" w:themeColor="text1"/>
          <w14:textFill>
            <w14:solidFill>
              <w14:schemeClr w14:val="tx1"/>
            </w14:solidFill>
          </w14:textFill>
        </w:rPr>
        <w:t>加强合同管理规范性，及时支付工程款</w:t>
      </w:r>
      <w:bookmarkEnd w:id="186"/>
    </w:p>
    <w:bookmarkEnd w:id="184"/>
    <w:p w14:paraId="05A14BBA">
      <w:pPr>
        <w:adjustRightInd w:val="0"/>
        <w:snapToGrid w:val="0"/>
        <w:spacing w:line="579" w:lineRule="exact"/>
        <w:ind w:firstLine="640" w:firstLineChars="200"/>
        <w:rPr>
          <w:rFonts w:ascii="Times New Roman" w:hAnsi="Times New Roman" w:eastAsia="仿宋_GB2312" w:cs="Times New Roman"/>
          <w:b/>
          <w:bCs/>
          <w:color w:val="000000" w:themeColor="text1"/>
          <w:sz w:val="32"/>
          <w:szCs w:val="32"/>
          <w14:textFill>
            <w14:solidFill>
              <w14:schemeClr w14:val="tx1"/>
            </w14:solidFill>
          </w14:textFill>
        </w:rPr>
      </w:pPr>
      <w:r>
        <w:rPr>
          <w:rFonts w:hint="eastAsia" w:ascii="Times New Roman" w:hAnsi="Times New Roman" w:eastAsia="仿宋_GB2312" w:cs="Times New Roman"/>
          <w:b/>
          <w:bCs/>
          <w:color w:val="000000" w:themeColor="text1"/>
          <w:sz w:val="32"/>
          <w:szCs w:val="32"/>
          <w14:textFill>
            <w14:solidFill>
              <w14:schemeClr w14:val="tx1"/>
            </w14:solidFill>
          </w14:textFill>
        </w:rPr>
        <w:t>一是加强合同管理规范性。</w:t>
      </w:r>
      <w:r>
        <w:rPr>
          <w:rFonts w:hint="eastAsia" w:ascii="Times New Roman" w:hAnsi="Times New Roman" w:eastAsia="仿宋_GB2312" w:cs="Times New Roman"/>
          <w:color w:val="000000" w:themeColor="text1"/>
          <w:sz w:val="32"/>
          <w:szCs w:val="32"/>
          <w14:textFill>
            <w14:solidFill>
              <w14:schemeClr w14:val="tx1"/>
            </w14:solidFill>
          </w14:textFill>
        </w:rPr>
        <w:t>建设工程合同主要包括施工合同、设计合同、勘察合同、监理合同、咨询合同等。因建设工程合同具有周期长、价格高、不确定因素多等特点，对其有效管理的意义就尤显重要。对合同内容、期限等进行严格把关，确保合同要素齐全、条款合规，明确服务内容、完成期限、支付方式等基本内容。增强对合同重要性、严肃性的认识，重视合同签订的及时性，杜绝合同签订的随意性。充分考虑合同审批流程时长，科学、合理设置合同签订期限。</w:t>
      </w:r>
    </w:p>
    <w:p w14:paraId="17E2E48E">
      <w:pPr>
        <w:adjustRightInd w:val="0"/>
        <w:snapToGrid w:val="0"/>
        <w:spacing w:line="579" w:lineRule="exact"/>
        <w:ind w:firstLine="640" w:firstLineChars="200"/>
        <w:rPr>
          <w:rFonts w:ascii="Times New Roman" w:hAnsi="Times New Roman" w:eastAsia="仿宋_GB2312" w:cs="Times New Roman"/>
          <w:color w:val="0000FF"/>
          <w:sz w:val="32"/>
          <w:szCs w:val="32"/>
        </w:rPr>
      </w:pPr>
      <w:r>
        <w:rPr>
          <w:rFonts w:hint="eastAsia" w:ascii="Times New Roman" w:hAnsi="Times New Roman" w:eastAsia="仿宋_GB2312" w:cs="Times New Roman"/>
          <w:b/>
          <w:bCs/>
          <w:color w:val="000000" w:themeColor="text1"/>
          <w:sz w:val="32"/>
          <w:szCs w:val="32"/>
          <w14:textFill>
            <w14:solidFill>
              <w14:schemeClr w14:val="tx1"/>
            </w14:solidFill>
          </w14:textFill>
        </w:rPr>
        <w:t>二是及时支付工程款。</w:t>
      </w:r>
      <w:r>
        <w:rPr>
          <w:rFonts w:hint="eastAsia" w:ascii="Times New Roman" w:hAnsi="Times New Roman" w:eastAsia="仿宋_GB2312" w:cs="Times New Roman"/>
          <w:color w:val="000000" w:themeColor="text1"/>
          <w:sz w:val="32"/>
          <w:szCs w:val="32"/>
          <w14:textFill>
            <w14:solidFill>
              <w14:schemeClr w14:val="tx1"/>
            </w14:solidFill>
          </w14:textFill>
        </w:rPr>
        <w:t>加强合同过程管理和监控，确保合同按照约定进度执行，及时发现并处理违约或延期行为。强化合同管理意识，规范合同执行程序，并指定专人负责合同管理。及时履行合同约定时限支付工程款是公信力的重要保障，是政府信用的重要体现。</w:t>
      </w:r>
    </w:p>
    <w:p w14:paraId="7666E816">
      <w:pPr>
        <w:pStyle w:val="3"/>
      </w:pPr>
      <w:bookmarkStart w:id="187" w:name="_Toc168818845"/>
      <w:bookmarkStart w:id="188" w:name="_Toc23567"/>
      <w:r>
        <w:t>（五）合理</w:t>
      </w:r>
      <w:r>
        <w:rPr>
          <w:rFonts w:hint="eastAsia"/>
        </w:rPr>
        <w:t>控制</w:t>
      </w:r>
      <w:r>
        <w:t>工程变更</w:t>
      </w:r>
      <w:r>
        <w:rPr>
          <w:rFonts w:hint="eastAsia"/>
        </w:rPr>
        <w:t>量</w:t>
      </w:r>
      <w:r>
        <w:t>，规范</w:t>
      </w:r>
      <w:r>
        <w:rPr>
          <w:rFonts w:hint="eastAsia"/>
        </w:rPr>
        <w:t>变更程序和</w:t>
      </w:r>
      <w:r>
        <w:t>资料</w:t>
      </w:r>
      <w:r>
        <w:rPr>
          <w:rFonts w:hint="eastAsia"/>
        </w:rPr>
        <w:t>管理</w:t>
      </w:r>
      <w:bookmarkEnd w:id="187"/>
      <w:r>
        <w:rPr>
          <w:rFonts w:hint="eastAsia"/>
        </w:rPr>
        <w:t>工作</w:t>
      </w:r>
      <w:bookmarkEnd w:id="188"/>
    </w:p>
    <w:p w14:paraId="64E27F4A">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一是合理把控工程变更程序。</w:t>
      </w:r>
      <w:r>
        <w:rPr>
          <w:rFonts w:ascii="Times New Roman" w:hAnsi="Times New Roman" w:eastAsia="仿宋_GB2312" w:cs="Times New Roman"/>
          <w:sz w:val="32"/>
          <w:szCs w:val="32"/>
        </w:rPr>
        <w:t>建设单位要建立严格的工程变更审批制度，严格控制工程变更，确需变更的应按照规定程序尽快办理变更手续，</w:t>
      </w:r>
      <w:r>
        <w:rPr>
          <w:rFonts w:hint="eastAsia" w:ascii="Times New Roman" w:hAnsi="Times New Roman" w:eastAsia="仿宋_GB2312" w:cs="Times New Roman"/>
          <w:sz w:val="32"/>
          <w:szCs w:val="32"/>
        </w:rPr>
        <w:t>控制项目投资。</w:t>
      </w:r>
      <w:r>
        <w:rPr>
          <w:rFonts w:ascii="Times New Roman" w:hAnsi="Times New Roman" w:eastAsia="仿宋_GB2312" w:cs="Times New Roman"/>
          <w:sz w:val="32"/>
          <w:szCs w:val="32"/>
        </w:rPr>
        <w:t>工程变更获得批准后，尽快落实变更设计和施工，承包单位应在规定期限内全面落实变更指令。对工程变更价款的支付应当实行严格的审批制度，变更文件必须齐备，变更工程量的计算必须经过</w:t>
      </w:r>
      <w:r>
        <w:rPr>
          <w:rFonts w:hint="eastAsia" w:ascii="Times New Roman" w:hAnsi="Times New Roman" w:eastAsia="仿宋_GB2312" w:cs="Times New Roman"/>
          <w:sz w:val="32"/>
          <w:szCs w:val="32"/>
        </w:rPr>
        <w:t>复核</w:t>
      </w:r>
      <w:r>
        <w:rPr>
          <w:rFonts w:ascii="Times New Roman" w:hAnsi="Times New Roman" w:eastAsia="仿宋_GB2312" w:cs="Times New Roman"/>
          <w:sz w:val="32"/>
          <w:szCs w:val="32"/>
        </w:rPr>
        <w:t>确认，防止承包单位虚列工程费用。</w:t>
      </w:r>
    </w:p>
    <w:p w14:paraId="603A17EB">
      <w:pPr>
        <w:adjustRightInd w:val="0"/>
        <w:snapToGrid w:val="0"/>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二是规范</w:t>
      </w:r>
      <w:r>
        <w:rPr>
          <w:rFonts w:hint="eastAsia" w:ascii="Times New Roman" w:hAnsi="Times New Roman" w:eastAsia="仿宋_GB2312" w:cs="Times New Roman"/>
          <w:b/>
          <w:bCs/>
          <w:sz w:val="32"/>
          <w:szCs w:val="32"/>
        </w:rPr>
        <w:t>管理</w:t>
      </w:r>
      <w:r>
        <w:rPr>
          <w:rFonts w:ascii="Times New Roman" w:hAnsi="Times New Roman" w:eastAsia="仿宋_GB2312" w:cs="Times New Roman"/>
          <w:b/>
          <w:bCs/>
          <w:sz w:val="32"/>
          <w:szCs w:val="32"/>
        </w:rPr>
        <w:t>工程资料。</w:t>
      </w:r>
      <w:r>
        <w:rPr>
          <w:rFonts w:ascii="Times New Roman" w:hAnsi="Times New Roman" w:eastAsia="仿宋_GB2312" w:cs="Times New Roman"/>
          <w:sz w:val="32"/>
          <w:szCs w:val="32"/>
        </w:rPr>
        <w:t>组建监督管理检查小组，对各单位履职过程加强监管，提高各类资料填报的完整性、规范性、准确性。加强资料形成过程的管理，提升资料的整体管理质量。加强工程资料质量控制，确保全过程、全方位、及时、详尽地归档工程资料。加强资料管理人员的培训，提升工程资料管理人员的整体专业素养。</w:t>
      </w:r>
    </w:p>
    <w:p w14:paraId="2FB46AA3">
      <w:pPr>
        <w:adjustRightInd w:val="0"/>
        <w:snapToGrid w:val="0"/>
        <w:spacing w:line="579" w:lineRule="exact"/>
        <w:ind w:firstLine="640" w:firstLineChars="200"/>
        <w:rPr>
          <w:rFonts w:ascii="Times New Roman" w:hAnsi="Times New Roman" w:eastAsia="仿宋_GB2312" w:cs="Times New Roman"/>
          <w:sz w:val="32"/>
          <w:szCs w:val="32"/>
        </w:rPr>
      </w:pPr>
    </w:p>
    <w:p w14:paraId="4C511097">
      <w:pPr>
        <w:adjustRightInd w:val="0"/>
        <w:snapToGrid w:val="0"/>
        <w:spacing w:line="579" w:lineRule="exact"/>
        <w:ind w:firstLine="640" w:firstLineChars="200"/>
        <w:rPr>
          <w:rFonts w:ascii="Times New Roman" w:hAnsi="Times New Roman" w:eastAsia="仿宋_GB2312" w:cs="Times New Roman"/>
          <w:kern w:val="0"/>
          <w:sz w:val="32"/>
          <w:szCs w:val="32"/>
        </w:rPr>
      </w:pPr>
    </w:p>
    <w:p w14:paraId="51765377">
      <w:pPr>
        <w:adjustRightInd w:val="0"/>
        <w:snapToGrid w:val="0"/>
        <w:spacing w:line="579" w:lineRule="exact"/>
        <w:ind w:firstLine="640" w:firstLineChars="200"/>
        <w:rPr>
          <w:rFonts w:ascii="Times New Roman" w:hAnsi="Times New Roman" w:eastAsia="仿宋_GB2312" w:cs="Times New Roman"/>
          <w:kern w:val="0"/>
          <w:sz w:val="32"/>
          <w:szCs w:val="32"/>
        </w:rPr>
      </w:pPr>
    </w:p>
    <w:p w14:paraId="346BA88C">
      <w:pPr>
        <w:adjustRightInd w:val="0"/>
        <w:snapToGrid w:val="0"/>
        <w:spacing w:line="579" w:lineRule="exact"/>
        <w:ind w:firstLine="640" w:firstLineChars="200"/>
        <w:rPr>
          <w:rFonts w:ascii="Times New Roman" w:hAnsi="Times New Roman" w:eastAsia="仿宋_GB2312" w:cs="Times New Roman"/>
          <w:kern w:val="0"/>
          <w:sz w:val="32"/>
          <w:szCs w:val="32"/>
        </w:rPr>
      </w:pPr>
    </w:p>
    <w:p w14:paraId="1FC5BF07">
      <w:pPr>
        <w:adjustRightInd w:val="0"/>
        <w:snapToGrid w:val="0"/>
        <w:spacing w:line="579" w:lineRule="exact"/>
        <w:ind w:firstLine="640" w:firstLineChars="200"/>
        <w:rPr>
          <w:rFonts w:ascii="Times New Roman" w:hAnsi="Times New Roman" w:eastAsia="仿宋_GB2312" w:cs="Times New Roman"/>
          <w:kern w:val="0"/>
          <w:sz w:val="32"/>
          <w:szCs w:val="32"/>
        </w:rPr>
      </w:pPr>
    </w:p>
    <w:p w14:paraId="6B1A2541">
      <w:pPr>
        <w:adjustRightInd w:val="0"/>
        <w:snapToGrid w:val="0"/>
        <w:spacing w:line="579" w:lineRule="exact"/>
        <w:ind w:firstLine="640" w:firstLineChars="200"/>
        <w:rPr>
          <w:rFonts w:ascii="Times New Roman" w:hAnsi="Times New Roman" w:eastAsia="仿宋_GB2312" w:cs="Times New Roman"/>
          <w:kern w:val="0"/>
          <w:sz w:val="32"/>
          <w:szCs w:val="32"/>
        </w:rPr>
      </w:pPr>
    </w:p>
    <w:p w14:paraId="376BC801">
      <w:pPr>
        <w:adjustRightInd w:val="0"/>
        <w:snapToGrid w:val="0"/>
        <w:spacing w:line="579"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附件：1．评价小组名单</w:t>
      </w:r>
    </w:p>
    <w:p w14:paraId="3CE4B192">
      <w:pPr>
        <w:adjustRightInd w:val="0"/>
        <w:snapToGrid w:val="0"/>
        <w:spacing w:line="579" w:lineRule="exact"/>
        <w:ind w:left="1916" w:leftChars="760" w:hanging="320" w:hangingChars="1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2．东莞市谢岗镇工程建设中心2020—2023年度环城路项目重点绩效评价指标表</w:t>
      </w:r>
    </w:p>
    <w:p w14:paraId="2C7CF466">
      <w:pPr>
        <w:adjustRightInd w:val="0"/>
        <w:snapToGrid w:val="0"/>
        <w:spacing w:line="579" w:lineRule="exact"/>
        <w:ind w:firstLine="3520" w:firstLineChars="1100"/>
        <w:rPr>
          <w:rFonts w:ascii="Times New Roman" w:hAnsi="Times New Roman" w:eastAsia="仿宋_GB2312" w:cs="Times New Roman"/>
          <w:kern w:val="0"/>
          <w:sz w:val="32"/>
          <w:szCs w:val="32"/>
        </w:rPr>
      </w:pPr>
    </w:p>
    <w:p w14:paraId="50B8B609">
      <w:pPr>
        <w:adjustRightInd w:val="0"/>
        <w:snapToGrid w:val="0"/>
        <w:spacing w:line="480" w:lineRule="auto"/>
        <w:ind w:firstLine="3520" w:firstLineChars="11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项目负责人（签章）：</w:t>
      </w:r>
    </w:p>
    <w:p w14:paraId="592C4DF6">
      <w:pPr>
        <w:adjustRightInd w:val="0"/>
        <w:snapToGrid w:val="0"/>
        <w:spacing w:line="480" w:lineRule="auto"/>
        <w:ind w:firstLine="3520" w:firstLineChars="11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受委托机构公章（盖章）：</w:t>
      </w:r>
    </w:p>
    <w:p w14:paraId="13B7B647">
      <w:pPr>
        <w:adjustRightInd w:val="0"/>
        <w:snapToGrid w:val="0"/>
        <w:spacing w:line="480" w:lineRule="auto"/>
        <w:ind w:firstLine="3520" w:firstLineChars="11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2024年</w:t>
      </w:r>
      <w:r>
        <w:rPr>
          <w:rFonts w:hint="eastAsia" w:ascii="Times New Roman" w:hAnsi="Times New Roman" w:eastAsia="仿宋_GB2312" w:cs="Times New Roman"/>
          <w:kern w:val="0"/>
          <w:sz w:val="32"/>
          <w:szCs w:val="32"/>
        </w:rPr>
        <w:t>6</w:t>
      </w:r>
      <w:r>
        <w:rPr>
          <w:rFonts w:ascii="Times New Roman" w:hAnsi="Times New Roman" w:eastAsia="仿宋_GB2312" w:cs="Times New Roman"/>
          <w:kern w:val="0"/>
          <w:sz w:val="32"/>
          <w:szCs w:val="32"/>
        </w:rPr>
        <w:t>月</w:t>
      </w:r>
    </w:p>
    <w:p w14:paraId="360C2052">
      <w:pPr>
        <w:pStyle w:val="2"/>
        <w:keepNext w:val="0"/>
        <w:keepLines w:val="0"/>
        <w:widowControl w:val="0"/>
        <w:adjustRightInd w:val="0"/>
        <w:snapToGrid w:val="0"/>
        <w:spacing w:before="0" w:after="0" w:line="579" w:lineRule="exact"/>
        <w:rPr>
          <w:rFonts w:ascii="Times New Roman" w:hAnsi="Times New Roman" w:eastAsia="黑体"/>
          <w:b w:val="0"/>
          <w:bCs w:val="0"/>
          <w:sz w:val="32"/>
          <w:szCs w:val="32"/>
        </w:rPr>
        <w:sectPr>
          <w:footerReference r:id="rId7" w:type="default"/>
          <w:pgSz w:w="11906" w:h="16838"/>
          <w:pgMar w:top="2098" w:right="1474" w:bottom="1984" w:left="1587" w:header="851" w:footer="992" w:gutter="0"/>
          <w:pgNumType w:fmt="numberInDash" w:start="1"/>
          <w:cols w:space="425" w:num="1"/>
          <w:docGrid w:type="linesAndChars" w:linePitch="312" w:charSpace="0"/>
        </w:sectPr>
      </w:pPr>
      <w:bookmarkStart w:id="189" w:name="_Toc75359091"/>
      <w:bookmarkStart w:id="190" w:name="_Toc75358715"/>
    </w:p>
    <w:p w14:paraId="52F788A1">
      <w:pPr>
        <w:pStyle w:val="2"/>
        <w:keepNext w:val="0"/>
        <w:keepLines w:val="0"/>
        <w:widowControl w:val="0"/>
        <w:adjustRightInd w:val="0"/>
        <w:snapToGrid w:val="0"/>
        <w:spacing w:before="0" w:after="0" w:line="579" w:lineRule="exact"/>
        <w:rPr>
          <w:rFonts w:ascii="Times New Roman" w:hAnsi="Times New Roman" w:eastAsia="楷体_GB2312"/>
          <w:b w:val="0"/>
          <w:bCs w:val="0"/>
          <w:sz w:val="32"/>
          <w:szCs w:val="32"/>
        </w:rPr>
      </w:pPr>
      <w:bookmarkStart w:id="191" w:name="_Toc168818846"/>
      <w:bookmarkStart w:id="192" w:name="_Toc18846"/>
      <w:r>
        <w:rPr>
          <w:rFonts w:ascii="Times New Roman" w:hAnsi="Times New Roman" w:eastAsia="楷体_GB2312"/>
          <w:b w:val="0"/>
          <w:bCs w:val="0"/>
          <w:sz w:val="32"/>
          <w:szCs w:val="32"/>
        </w:rPr>
        <w:t>附件1：评价组名单</w:t>
      </w:r>
      <w:bookmarkEnd w:id="189"/>
      <w:bookmarkEnd w:id="190"/>
      <w:bookmarkEnd w:id="191"/>
      <w:bookmarkEnd w:id="192"/>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4"/>
        <w:gridCol w:w="1166"/>
        <w:gridCol w:w="1664"/>
        <w:gridCol w:w="2317"/>
        <w:gridCol w:w="2240"/>
      </w:tblGrid>
      <w:tr w14:paraId="340F0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4" w:type="pct"/>
            <w:tcBorders>
              <w:top w:val="single" w:color="auto" w:sz="4" w:space="0"/>
              <w:left w:val="single" w:color="auto" w:sz="4" w:space="0"/>
              <w:bottom w:val="single" w:color="auto" w:sz="4" w:space="0"/>
              <w:right w:val="single" w:color="auto" w:sz="4" w:space="0"/>
            </w:tcBorders>
            <w:vAlign w:val="center"/>
          </w:tcPr>
          <w:p w14:paraId="7D41750E">
            <w:pPr>
              <w:overflowPunct w:val="0"/>
              <w:autoSpaceDE w:val="0"/>
              <w:autoSpaceDN w:val="0"/>
              <w:adjustRightInd w:val="0"/>
              <w:snapToGrid w:val="0"/>
              <w:jc w:val="center"/>
              <w:textAlignment w:val="baseline"/>
              <w:rPr>
                <w:rFonts w:ascii="Times New Roman" w:hAnsi="Times New Roman" w:eastAsia="黑体" w:cs="Times New Roman"/>
                <w:kern w:val="0"/>
                <w:sz w:val="28"/>
                <w:szCs w:val="28"/>
              </w:rPr>
            </w:pPr>
            <w:r>
              <w:rPr>
                <w:rFonts w:ascii="Times New Roman" w:hAnsi="Times New Roman" w:eastAsia="黑体" w:cs="Times New Roman"/>
                <w:kern w:val="0"/>
                <w:sz w:val="28"/>
                <w:szCs w:val="28"/>
              </w:rPr>
              <w:t>姓名</w:t>
            </w:r>
          </w:p>
        </w:tc>
        <w:tc>
          <w:tcPr>
            <w:tcW w:w="643" w:type="pct"/>
            <w:tcBorders>
              <w:top w:val="single" w:color="auto" w:sz="4" w:space="0"/>
              <w:left w:val="single" w:color="auto" w:sz="4" w:space="0"/>
              <w:bottom w:val="single" w:color="auto" w:sz="4" w:space="0"/>
              <w:right w:val="single" w:color="auto" w:sz="4" w:space="0"/>
            </w:tcBorders>
            <w:vAlign w:val="center"/>
          </w:tcPr>
          <w:p w14:paraId="5334A1DB">
            <w:pPr>
              <w:overflowPunct w:val="0"/>
              <w:autoSpaceDE w:val="0"/>
              <w:autoSpaceDN w:val="0"/>
              <w:adjustRightInd w:val="0"/>
              <w:snapToGrid w:val="0"/>
              <w:jc w:val="center"/>
              <w:textAlignment w:val="baseline"/>
              <w:rPr>
                <w:rFonts w:ascii="Times New Roman" w:hAnsi="Times New Roman" w:eastAsia="黑体" w:cs="Times New Roman"/>
                <w:kern w:val="0"/>
                <w:sz w:val="28"/>
                <w:szCs w:val="28"/>
              </w:rPr>
            </w:pPr>
            <w:r>
              <w:rPr>
                <w:rFonts w:ascii="Times New Roman" w:hAnsi="Times New Roman" w:eastAsia="黑体" w:cs="Times New Roman"/>
                <w:kern w:val="0"/>
                <w:sz w:val="28"/>
                <w:szCs w:val="28"/>
              </w:rPr>
              <w:t>学历</w:t>
            </w:r>
          </w:p>
        </w:tc>
        <w:tc>
          <w:tcPr>
            <w:tcW w:w="918" w:type="pct"/>
            <w:tcBorders>
              <w:top w:val="single" w:color="auto" w:sz="4" w:space="0"/>
              <w:left w:val="single" w:color="auto" w:sz="4" w:space="0"/>
              <w:bottom w:val="single" w:color="auto" w:sz="4" w:space="0"/>
              <w:right w:val="single" w:color="auto" w:sz="4" w:space="0"/>
            </w:tcBorders>
            <w:vAlign w:val="center"/>
          </w:tcPr>
          <w:p w14:paraId="25322D7F">
            <w:pPr>
              <w:overflowPunct w:val="0"/>
              <w:autoSpaceDE w:val="0"/>
              <w:autoSpaceDN w:val="0"/>
              <w:adjustRightInd w:val="0"/>
              <w:snapToGrid w:val="0"/>
              <w:jc w:val="center"/>
              <w:textAlignment w:val="baseline"/>
              <w:rPr>
                <w:rFonts w:ascii="Times New Roman" w:hAnsi="Times New Roman" w:eastAsia="黑体" w:cs="Times New Roman"/>
                <w:kern w:val="0"/>
                <w:sz w:val="28"/>
                <w:szCs w:val="28"/>
              </w:rPr>
            </w:pPr>
            <w:r>
              <w:rPr>
                <w:rFonts w:ascii="Times New Roman" w:hAnsi="Times New Roman" w:eastAsia="黑体" w:cs="Times New Roman"/>
                <w:kern w:val="0"/>
                <w:sz w:val="28"/>
                <w:szCs w:val="28"/>
              </w:rPr>
              <w:t>职称</w:t>
            </w:r>
          </w:p>
        </w:tc>
        <w:tc>
          <w:tcPr>
            <w:tcW w:w="1278" w:type="pct"/>
            <w:tcBorders>
              <w:top w:val="single" w:color="auto" w:sz="4" w:space="0"/>
              <w:left w:val="single" w:color="auto" w:sz="4" w:space="0"/>
              <w:bottom w:val="single" w:color="auto" w:sz="4" w:space="0"/>
              <w:right w:val="single" w:color="auto" w:sz="4" w:space="0"/>
            </w:tcBorders>
            <w:vAlign w:val="center"/>
          </w:tcPr>
          <w:p w14:paraId="110819F0">
            <w:pPr>
              <w:overflowPunct w:val="0"/>
              <w:autoSpaceDE w:val="0"/>
              <w:autoSpaceDN w:val="0"/>
              <w:adjustRightInd w:val="0"/>
              <w:snapToGrid w:val="0"/>
              <w:jc w:val="center"/>
              <w:textAlignment w:val="baseline"/>
              <w:rPr>
                <w:rFonts w:ascii="Times New Roman" w:hAnsi="Times New Roman" w:eastAsia="黑体" w:cs="Times New Roman"/>
                <w:kern w:val="0"/>
                <w:sz w:val="28"/>
                <w:szCs w:val="28"/>
              </w:rPr>
            </w:pPr>
            <w:r>
              <w:rPr>
                <w:rFonts w:ascii="Times New Roman" w:hAnsi="Times New Roman" w:eastAsia="黑体" w:cs="Times New Roman"/>
                <w:kern w:val="0"/>
                <w:sz w:val="28"/>
                <w:szCs w:val="28"/>
              </w:rPr>
              <w:t>专业</w:t>
            </w:r>
          </w:p>
        </w:tc>
        <w:tc>
          <w:tcPr>
            <w:tcW w:w="1236" w:type="pct"/>
            <w:tcBorders>
              <w:top w:val="single" w:color="auto" w:sz="4" w:space="0"/>
              <w:left w:val="single" w:color="auto" w:sz="4" w:space="0"/>
              <w:bottom w:val="single" w:color="auto" w:sz="4" w:space="0"/>
              <w:right w:val="single" w:color="auto" w:sz="4" w:space="0"/>
            </w:tcBorders>
            <w:vAlign w:val="center"/>
          </w:tcPr>
          <w:p w14:paraId="7ED7B385">
            <w:pPr>
              <w:overflowPunct w:val="0"/>
              <w:autoSpaceDE w:val="0"/>
              <w:autoSpaceDN w:val="0"/>
              <w:adjustRightInd w:val="0"/>
              <w:snapToGrid w:val="0"/>
              <w:jc w:val="center"/>
              <w:textAlignment w:val="baseline"/>
              <w:rPr>
                <w:rFonts w:ascii="Times New Roman" w:hAnsi="Times New Roman" w:eastAsia="黑体" w:cs="Times New Roman"/>
                <w:kern w:val="0"/>
                <w:sz w:val="28"/>
                <w:szCs w:val="28"/>
              </w:rPr>
            </w:pPr>
            <w:r>
              <w:rPr>
                <w:rFonts w:ascii="Times New Roman" w:hAnsi="Times New Roman" w:eastAsia="黑体" w:cs="Times New Roman"/>
                <w:kern w:val="0"/>
                <w:sz w:val="28"/>
                <w:szCs w:val="28"/>
              </w:rPr>
              <w:t>分工</w:t>
            </w:r>
          </w:p>
        </w:tc>
      </w:tr>
      <w:tr w14:paraId="0AC25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4" w:type="pct"/>
            <w:tcBorders>
              <w:top w:val="single" w:color="auto" w:sz="4" w:space="0"/>
              <w:left w:val="single" w:color="auto" w:sz="4" w:space="0"/>
              <w:bottom w:val="single" w:color="auto" w:sz="4" w:space="0"/>
              <w:right w:val="single" w:color="auto" w:sz="4" w:space="0"/>
            </w:tcBorders>
            <w:vAlign w:val="center"/>
          </w:tcPr>
          <w:p w14:paraId="3F018910">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邓春玉</w:t>
            </w:r>
          </w:p>
        </w:tc>
        <w:tc>
          <w:tcPr>
            <w:tcW w:w="643" w:type="pct"/>
            <w:tcBorders>
              <w:top w:val="single" w:color="auto" w:sz="4" w:space="0"/>
              <w:left w:val="single" w:color="auto" w:sz="4" w:space="0"/>
              <w:bottom w:val="single" w:color="auto" w:sz="4" w:space="0"/>
              <w:right w:val="single" w:color="auto" w:sz="4" w:space="0"/>
            </w:tcBorders>
            <w:vAlign w:val="center"/>
          </w:tcPr>
          <w:p w14:paraId="38F40913">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研究生</w:t>
            </w:r>
          </w:p>
        </w:tc>
        <w:tc>
          <w:tcPr>
            <w:tcW w:w="918" w:type="pct"/>
            <w:tcBorders>
              <w:top w:val="single" w:color="auto" w:sz="4" w:space="0"/>
              <w:left w:val="single" w:color="auto" w:sz="4" w:space="0"/>
              <w:bottom w:val="single" w:color="auto" w:sz="4" w:space="0"/>
              <w:right w:val="single" w:color="auto" w:sz="4" w:space="0"/>
            </w:tcBorders>
            <w:vAlign w:val="center"/>
          </w:tcPr>
          <w:p w14:paraId="050CE4B7">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教授</w:t>
            </w:r>
          </w:p>
        </w:tc>
        <w:tc>
          <w:tcPr>
            <w:tcW w:w="1278" w:type="pct"/>
            <w:tcBorders>
              <w:top w:val="single" w:color="auto" w:sz="4" w:space="0"/>
              <w:left w:val="single" w:color="auto" w:sz="4" w:space="0"/>
              <w:bottom w:val="single" w:color="auto" w:sz="4" w:space="0"/>
              <w:right w:val="single" w:color="auto" w:sz="4" w:space="0"/>
            </w:tcBorders>
            <w:vAlign w:val="center"/>
          </w:tcPr>
          <w:p w14:paraId="5AAEE68B">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经济学</w:t>
            </w:r>
          </w:p>
        </w:tc>
        <w:tc>
          <w:tcPr>
            <w:tcW w:w="1236" w:type="pct"/>
            <w:tcBorders>
              <w:top w:val="single" w:color="auto" w:sz="4" w:space="0"/>
              <w:left w:val="single" w:color="auto" w:sz="4" w:space="0"/>
              <w:bottom w:val="single" w:color="auto" w:sz="4" w:space="0"/>
              <w:right w:val="single" w:color="auto" w:sz="4" w:space="0"/>
            </w:tcBorders>
            <w:vAlign w:val="center"/>
          </w:tcPr>
          <w:p w14:paraId="02CF46D4">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项目负责人、</w:t>
            </w:r>
          </w:p>
          <w:p w14:paraId="64DCEECE">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绩效评价专家</w:t>
            </w:r>
          </w:p>
        </w:tc>
      </w:tr>
      <w:tr w14:paraId="169E2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4" w:type="pct"/>
            <w:tcBorders>
              <w:top w:val="single" w:color="auto" w:sz="4" w:space="0"/>
              <w:left w:val="single" w:color="auto" w:sz="4" w:space="0"/>
              <w:bottom w:val="single" w:color="auto" w:sz="4" w:space="0"/>
              <w:right w:val="single" w:color="auto" w:sz="4" w:space="0"/>
            </w:tcBorders>
            <w:vAlign w:val="center"/>
          </w:tcPr>
          <w:p w14:paraId="5BFA8CAB">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王悦荣</w:t>
            </w:r>
          </w:p>
        </w:tc>
        <w:tc>
          <w:tcPr>
            <w:tcW w:w="643" w:type="pct"/>
            <w:tcBorders>
              <w:top w:val="single" w:color="auto" w:sz="4" w:space="0"/>
              <w:left w:val="single" w:color="auto" w:sz="4" w:space="0"/>
              <w:bottom w:val="single" w:color="auto" w:sz="4" w:space="0"/>
              <w:right w:val="single" w:color="auto" w:sz="4" w:space="0"/>
            </w:tcBorders>
            <w:vAlign w:val="center"/>
          </w:tcPr>
          <w:p w14:paraId="35F36ADE">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研究生</w:t>
            </w:r>
          </w:p>
        </w:tc>
        <w:tc>
          <w:tcPr>
            <w:tcW w:w="918" w:type="pct"/>
            <w:tcBorders>
              <w:top w:val="single" w:color="auto" w:sz="4" w:space="0"/>
              <w:left w:val="single" w:color="auto" w:sz="4" w:space="0"/>
              <w:bottom w:val="single" w:color="auto" w:sz="4" w:space="0"/>
              <w:right w:val="single" w:color="auto" w:sz="4" w:space="0"/>
            </w:tcBorders>
            <w:vAlign w:val="center"/>
          </w:tcPr>
          <w:p w14:paraId="56578BF5">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教授</w:t>
            </w:r>
          </w:p>
        </w:tc>
        <w:tc>
          <w:tcPr>
            <w:tcW w:w="1278" w:type="pct"/>
            <w:tcBorders>
              <w:top w:val="single" w:color="auto" w:sz="4" w:space="0"/>
              <w:left w:val="single" w:color="auto" w:sz="4" w:space="0"/>
              <w:bottom w:val="single" w:color="auto" w:sz="4" w:space="0"/>
              <w:right w:val="single" w:color="auto" w:sz="4" w:space="0"/>
            </w:tcBorders>
            <w:vAlign w:val="center"/>
          </w:tcPr>
          <w:p w14:paraId="77A11084">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行政管理学</w:t>
            </w:r>
          </w:p>
        </w:tc>
        <w:tc>
          <w:tcPr>
            <w:tcW w:w="1236" w:type="pct"/>
            <w:tcBorders>
              <w:top w:val="single" w:color="auto" w:sz="4" w:space="0"/>
              <w:left w:val="single" w:color="auto" w:sz="4" w:space="0"/>
              <w:bottom w:val="single" w:color="auto" w:sz="4" w:space="0"/>
              <w:right w:val="single" w:color="auto" w:sz="4" w:space="0"/>
            </w:tcBorders>
            <w:vAlign w:val="center"/>
          </w:tcPr>
          <w:p w14:paraId="790381F9">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绩效评价专家</w:t>
            </w:r>
          </w:p>
        </w:tc>
      </w:tr>
      <w:tr w14:paraId="588B1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4" w:type="pct"/>
            <w:tcBorders>
              <w:top w:val="single" w:color="auto" w:sz="4" w:space="0"/>
              <w:left w:val="single" w:color="auto" w:sz="4" w:space="0"/>
              <w:bottom w:val="single" w:color="auto" w:sz="4" w:space="0"/>
              <w:right w:val="single" w:color="auto" w:sz="4" w:space="0"/>
            </w:tcBorders>
            <w:vAlign w:val="center"/>
          </w:tcPr>
          <w:p w14:paraId="4D6CFC97">
            <w:pPr>
              <w:adjustRightInd w:val="0"/>
              <w:snapToGrid w:val="0"/>
              <w:spacing w:line="240" w:lineRule="atLeast"/>
              <w:jc w:val="center"/>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黄玉凤</w:t>
            </w:r>
          </w:p>
        </w:tc>
        <w:tc>
          <w:tcPr>
            <w:tcW w:w="643" w:type="pct"/>
            <w:tcBorders>
              <w:top w:val="single" w:color="auto" w:sz="4" w:space="0"/>
              <w:left w:val="single" w:color="auto" w:sz="4" w:space="0"/>
              <w:bottom w:val="single" w:color="auto" w:sz="4" w:space="0"/>
              <w:right w:val="single" w:color="auto" w:sz="4" w:space="0"/>
            </w:tcBorders>
            <w:vAlign w:val="center"/>
          </w:tcPr>
          <w:p w14:paraId="6923021F">
            <w:pPr>
              <w:adjustRightInd w:val="0"/>
              <w:snapToGrid w:val="0"/>
              <w:spacing w:line="240" w:lineRule="atLeast"/>
              <w:jc w:val="center"/>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本科</w:t>
            </w:r>
          </w:p>
        </w:tc>
        <w:tc>
          <w:tcPr>
            <w:tcW w:w="918" w:type="pct"/>
            <w:tcBorders>
              <w:top w:val="single" w:color="auto" w:sz="4" w:space="0"/>
              <w:left w:val="single" w:color="auto" w:sz="4" w:space="0"/>
              <w:bottom w:val="single" w:color="auto" w:sz="4" w:space="0"/>
              <w:right w:val="single" w:color="auto" w:sz="4" w:space="0"/>
            </w:tcBorders>
            <w:vAlign w:val="center"/>
          </w:tcPr>
          <w:p w14:paraId="7F155439">
            <w:pPr>
              <w:adjustRightInd w:val="0"/>
              <w:snapToGrid w:val="0"/>
              <w:spacing w:line="240" w:lineRule="atLeast"/>
              <w:jc w:val="center"/>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高级工程师/一级造价工程师</w:t>
            </w:r>
          </w:p>
        </w:tc>
        <w:tc>
          <w:tcPr>
            <w:tcW w:w="1278" w:type="pct"/>
            <w:tcBorders>
              <w:top w:val="single" w:color="auto" w:sz="4" w:space="0"/>
              <w:left w:val="single" w:color="auto" w:sz="4" w:space="0"/>
              <w:bottom w:val="single" w:color="auto" w:sz="4" w:space="0"/>
              <w:right w:val="single" w:color="auto" w:sz="4" w:space="0"/>
            </w:tcBorders>
            <w:vAlign w:val="center"/>
          </w:tcPr>
          <w:p w14:paraId="704CFD4C">
            <w:pPr>
              <w:adjustRightInd w:val="0"/>
              <w:snapToGrid w:val="0"/>
              <w:spacing w:line="240" w:lineRule="atLeast"/>
              <w:jc w:val="center"/>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建筑工程造价/土木建筑工程</w:t>
            </w:r>
          </w:p>
        </w:tc>
        <w:tc>
          <w:tcPr>
            <w:tcW w:w="1236" w:type="pct"/>
            <w:tcBorders>
              <w:top w:val="single" w:color="auto" w:sz="4" w:space="0"/>
              <w:left w:val="single" w:color="auto" w:sz="4" w:space="0"/>
              <w:bottom w:val="single" w:color="auto" w:sz="4" w:space="0"/>
              <w:right w:val="single" w:color="auto" w:sz="4" w:space="0"/>
            </w:tcBorders>
            <w:vAlign w:val="center"/>
          </w:tcPr>
          <w:p w14:paraId="549E50B5">
            <w:pPr>
              <w:adjustRightInd w:val="0"/>
              <w:snapToGrid w:val="0"/>
              <w:spacing w:line="240" w:lineRule="atLeast"/>
              <w:jc w:val="center"/>
              <w:rPr>
                <w:rFonts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rPr>
              <w:t>行业专家</w:t>
            </w:r>
          </w:p>
        </w:tc>
      </w:tr>
      <w:tr w14:paraId="16E48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4" w:type="pct"/>
            <w:tcBorders>
              <w:top w:val="single" w:color="auto" w:sz="4" w:space="0"/>
              <w:left w:val="single" w:color="auto" w:sz="4" w:space="0"/>
              <w:bottom w:val="single" w:color="auto" w:sz="4" w:space="0"/>
              <w:right w:val="single" w:color="auto" w:sz="4" w:space="0"/>
            </w:tcBorders>
            <w:vAlign w:val="center"/>
          </w:tcPr>
          <w:p w14:paraId="6A54CE5F">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贺一新</w:t>
            </w:r>
          </w:p>
        </w:tc>
        <w:tc>
          <w:tcPr>
            <w:tcW w:w="643" w:type="pct"/>
            <w:tcBorders>
              <w:top w:val="single" w:color="auto" w:sz="4" w:space="0"/>
              <w:left w:val="single" w:color="auto" w:sz="4" w:space="0"/>
              <w:bottom w:val="single" w:color="auto" w:sz="4" w:space="0"/>
              <w:right w:val="single" w:color="auto" w:sz="4" w:space="0"/>
            </w:tcBorders>
            <w:vAlign w:val="center"/>
          </w:tcPr>
          <w:p w14:paraId="527DF019">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本科</w:t>
            </w:r>
          </w:p>
        </w:tc>
        <w:tc>
          <w:tcPr>
            <w:tcW w:w="918" w:type="pct"/>
            <w:tcBorders>
              <w:top w:val="single" w:color="auto" w:sz="4" w:space="0"/>
              <w:left w:val="single" w:color="auto" w:sz="4" w:space="0"/>
              <w:bottom w:val="single" w:color="auto" w:sz="4" w:space="0"/>
              <w:right w:val="single" w:color="auto" w:sz="4" w:space="0"/>
            </w:tcBorders>
            <w:vAlign w:val="center"/>
          </w:tcPr>
          <w:p w14:paraId="4470C3E7">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高级工程师</w:t>
            </w:r>
          </w:p>
        </w:tc>
        <w:tc>
          <w:tcPr>
            <w:tcW w:w="1278" w:type="pct"/>
            <w:tcBorders>
              <w:top w:val="single" w:color="auto" w:sz="4" w:space="0"/>
              <w:left w:val="single" w:color="auto" w:sz="4" w:space="0"/>
              <w:bottom w:val="single" w:color="auto" w:sz="4" w:space="0"/>
              <w:right w:val="single" w:color="auto" w:sz="4" w:space="0"/>
            </w:tcBorders>
            <w:vAlign w:val="center"/>
          </w:tcPr>
          <w:p w14:paraId="35184012">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市政公用工程</w:t>
            </w:r>
          </w:p>
        </w:tc>
        <w:tc>
          <w:tcPr>
            <w:tcW w:w="1236" w:type="pct"/>
            <w:tcBorders>
              <w:top w:val="single" w:color="auto" w:sz="4" w:space="0"/>
              <w:left w:val="single" w:color="auto" w:sz="4" w:space="0"/>
              <w:bottom w:val="single" w:color="auto" w:sz="4" w:space="0"/>
              <w:right w:val="single" w:color="auto" w:sz="4" w:space="0"/>
            </w:tcBorders>
            <w:vAlign w:val="center"/>
          </w:tcPr>
          <w:p w14:paraId="7E5ED37E">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行业专家</w:t>
            </w:r>
          </w:p>
        </w:tc>
      </w:tr>
      <w:tr w14:paraId="55804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4" w:type="pct"/>
            <w:tcBorders>
              <w:top w:val="single" w:color="auto" w:sz="4" w:space="0"/>
              <w:left w:val="single" w:color="auto" w:sz="4" w:space="0"/>
              <w:bottom w:val="single" w:color="auto" w:sz="4" w:space="0"/>
              <w:right w:val="single" w:color="auto" w:sz="4" w:space="0"/>
            </w:tcBorders>
            <w:vAlign w:val="center"/>
          </w:tcPr>
          <w:p w14:paraId="58A6EDB9">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代  娟</w:t>
            </w:r>
          </w:p>
        </w:tc>
        <w:tc>
          <w:tcPr>
            <w:tcW w:w="643" w:type="pct"/>
            <w:tcBorders>
              <w:top w:val="single" w:color="auto" w:sz="4" w:space="0"/>
              <w:left w:val="single" w:color="auto" w:sz="4" w:space="0"/>
              <w:bottom w:val="single" w:color="auto" w:sz="4" w:space="0"/>
              <w:right w:val="single" w:color="auto" w:sz="4" w:space="0"/>
            </w:tcBorders>
            <w:vAlign w:val="center"/>
          </w:tcPr>
          <w:p w14:paraId="16FAA4A2">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硕士</w:t>
            </w:r>
          </w:p>
        </w:tc>
        <w:tc>
          <w:tcPr>
            <w:tcW w:w="918" w:type="pct"/>
            <w:tcBorders>
              <w:top w:val="single" w:color="auto" w:sz="4" w:space="0"/>
              <w:left w:val="single" w:color="auto" w:sz="4" w:space="0"/>
              <w:bottom w:val="single" w:color="auto" w:sz="4" w:space="0"/>
              <w:right w:val="single" w:color="auto" w:sz="4" w:space="0"/>
            </w:tcBorders>
            <w:vAlign w:val="center"/>
          </w:tcPr>
          <w:p w14:paraId="288A86D6">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中级会计师</w:t>
            </w:r>
          </w:p>
        </w:tc>
        <w:tc>
          <w:tcPr>
            <w:tcW w:w="1278" w:type="pct"/>
            <w:tcBorders>
              <w:top w:val="single" w:color="auto" w:sz="4" w:space="0"/>
              <w:left w:val="single" w:color="auto" w:sz="4" w:space="0"/>
              <w:bottom w:val="single" w:color="auto" w:sz="4" w:space="0"/>
              <w:right w:val="single" w:color="auto" w:sz="4" w:space="0"/>
            </w:tcBorders>
            <w:vAlign w:val="center"/>
          </w:tcPr>
          <w:p w14:paraId="65638B1E">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会计</w:t>
            </w:r>
          </w:p>
        </w:tc>
        <w:tc>
          <w:tcPr>
            <w:tcW w:w="1236" w:type="pct"/>
            <w:tcBorders>
              <w:top w:val="single" w:color="auto" w:sz="4" w:space="0"/>
              <w:left w:val="single" w:color="auto" w:sz="4" w:space="0"/>
              <w:bottom w:val="single" w:color="auto" w:sz="4" w:space="0"/>
              <w:right w:val="single" w:color="auto" w:sz="4" w:space="0"/>
            </w:tcBorders>
            <w:vAlign w:val="center"/>
          </w:tcPr>
          <w:p w14:paraId="36DCF3C3">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财务管理专家</w:t>
            </w:r>
          </w:p>
        </w:tc>
      </w:tr>
      <w:tr w14:paraId="3B4E5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4" w:type="pct"/>
            <w:tcBorders>
              <w:top w:val="single" w:color="auto" w:sz="4" w:space="0"/>
              <w:left w:val="single" w:color="auto" w:sz="4" w:space="0"/>
              <w:bottom w:val="single" w:color="auto" w:sz="4" w:space="0"/>
              <w:right w:val="single" w:color="auto" w:sz="4" w:space="0"/>
            </w:tcBorders>
            <w:vAlign w:val="center"/>
          </w:tcPr>
          <w:p w14:paraId="36622C61">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张萍萍</w:t>
            </w:r>
          </w:p>
        </w:tc>
        <w:tc>
          <w:tcPr>
            <w:tcW w:w="643" w:type="pct"/>
            <w:tcBorders>
              <w:top w:val="single" w:color="auto" w:sz="4" w:space="0"/>
              <w:left w:val="single" w:color="auto" w:sz="4" w:space="0"/>
              <w:bottom w:val="single" w:color="auto" w:sz="4" w:space="0"/>
              <w:right w:val="single" w:color="auto" w:sz="4" w:space="0"/>
            </w:tcBorders>
            <w:vAlign w:val="center"/>
          </w:tcPr>
          <w:p w14:paraId="6F4D4620">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硕士</w:t>
            </w:r>
          </w:p>
        </w:tc>
        <w:tc>
          <w:tcPr>
            <w:tcW w:w="918" w:type="pct"/>
            <w:tcBorders>
              <w:top w:val="single" w:color="auto" w:sz="4" w:space="0"/>
              <w:left w:val="single" w:color="auto" w:sz="4" w:space="0"/>
              <w:bottom w:val="single" w:color="auto" w:sz="4" w:space="0"/>
              <w:right w:val="single" w:color="auto" w:sz="4" w:space="0"/>
            </w:tcBorders>
            <w:vAlign w:val="center"/>
          </w:tcPr>
          <w:p w14:paraId="02881F02">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助理研究员</w:t>
            </w:r>
          </w:p>
        </w:tc>
        <w:tc>
          <w:tcPr>
            <w:tcW w:w="1278" w:type="pct"/>
            <w:tcBorders>
              <w:top w:val="single" w:color="auto" w:sz="4" w:space="0"/>
              <w:left w:val="single" w:color="auto" w:sz="4" w:space="0"/>
              <w:bottom w:val="single" w:color="auto" w:sz="4" w:space="0"/>
              <w:right w:val="single" w:color="auto" w:sz="4" w:space="0"/>
            </w:tcBorders>
            <w:vAlign w:val="center"/>
          </w:tcPr>
          <w:p w14:paraId="3B1A3A10">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社会学</w:t>
            </w:r>
          </w:p>
        </w:tc>
        <w:tc>
          <w:tcPr>
            <w:tcW w:w="1236" w:type="pct"/>
            <w:tcBorders>
              <w:top w:val="single" w:color="auto" w:sz="4" w:space="0"/>
              <w:left w:val="single" w:color="auto" w:sz="4" w:space="0"/>
              <w:bottom w:val="single" w:color="auto" w:sz="4" w:space="0"/>
              <w:right w:val="single" w:color="auto" w:sz="4" w:space="0"/>
            </w:tcBorders>
            <w:vAlign w:val="center"/>
          </w:tcPr>
          <w:p w14:paraId="78324357">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评价助理</w:t>
            </w:r>
          </w:p>
        </w:tc>
      </w:tr>
      <w:tr w14:paraId="79C05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4" w:type="pct"/>
            <w:tcBorders>
              <w:top w:val="single" w:color="auto" w:sz="4" w:space="0"/>
              <w:left w:val="single" w:color="auto" w:sz="4" w:space="0"/>
              <w:bottom w:val="single" w:color="auto" w:sz="4" w:space="0"/>
              <w:right w:val="single" w:color="auto" w:sz="4" w:space="0"/>
            </w:tcBorders>
            <w:vAlign w:val="center"/>
          </w:tcPr>
          <w:p w14:paraId="47216B53">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叶晓晴</w:t>
            </w:r>
          </w:p>
        </w:tc>
        <w:tc>
          <w:tcPr>
            <w:tcW w:w="643" w:type="pct"/>
            <w:tcBorders>
              <w:top w:val="single" w:color="auto" w:sz="4" w:space="0"/>
              <w:left w:val="single" w:color="auto" w:sz="4" w:space="0"/>
              <w:bottom w:val="single" w:color="auto" w:sz="4" w:space="0"/>
              <w:right w:val="single" w:color="auto" w:sz="4" w:space="0"/>
            </w:tcBorders>
            <w:vAlign w:val="center"/>
          </w:tcPr>
          <w:p w14:paraId="681F314E">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本科</w:t>
            </w:r>
          </w:p>
        </w:tc>
        <w:tc>
          <w:tcPr>
            <w:tcW w:w="918" w:type="pct"/>
            <w:tcBorders>
              <w:top w:val="single" w:color="auto" w:sz="4" w:space="0"/>
              <w:left w:val="single" w:color="auto" w:sz="4" w:space="0"/>
              <w:bottom w:val="single" w:color="auto" w:sz="4" w:space="0"/>
              <w:right w:val="single" w:color="auto" w:sz="4" w:space="0"/>
            </w:tcBorders>
            <w:vAlign w:val="center"/>
          </w:tcPr>
          <w:p w14:paraId="0FB37B98">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助理研究员</w:t>
            </w:r>
          </w:p>
        </w:tc>
        <w:tc>
          <w:tcPr>
            <w:tcW w:w="1278" w:type="pct"/>
            <w:tcBorders>
              <w:top w:val="single" w:color="auto" w:sz="4" w:space="0"/>
              <w:left w:val="single" w:color="auto" w:sz="4" w:space="0"/>
              <w:bottom w:val="single" w:color="auto" w:sz="4" w:space="0"/>
              <w:right w:val="single" w:color="auto" w:sz="4" w:space="0"/>
            </w:tcBorders>
            <w:vAlign w:val="center"/>
          </w:tcPr>
          <w:p w14:paraId="73992C2A">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金融学</w:t>
            </w:r>
          </w:p>
        </w:tc>
        <w:tc>
          <w:tcPr>
            <w:tcW w:w="1236" w:type="pct"/>
            <w:tcBorders>
              <w:top w:val="single" w:color="auto" w:sz="4" w:space="0"/>
              <w:left w:val="single" w:color="auto" w:sz="4" w:space="0"/>
              <w:bottom w:val="single" w:color="auto" w:sz="4" w:space="0"/>
              <w:right w:val="single" w:color="auto" w:sz="4" w:space="0"/>
            </w:tcBorders>
            <w:vAlign w:val="center"/>
          </w:tcPr>
          <w:p w14:paraId="56403F11">
            <w:pPr>
              <w:adjustRightInd w:val="0"/>
              <w:snapToGrid w:val="0"/>
              <w:spacing w:line="240" w:lineRule="atLeast"/>
              <w:jc w:val="center"/>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评价助理</w:t>
            </w:r>
          </w:p>
        </w:tc>
      </w:tr>
    </w:tbl>
    <w:p w14:paraId="634D52A3">
      <w:pPr>
        <w:adjustRightInd w:val="0"/>
        <w:snapToGrid w:val="0"/>
        <w:spacing w:line="579" w:lineRule="exact"/>
        <w:ind w:left="3360" w:firstLine="640"/>
        <w:rPr>
          <w:rFonts w:ascii="Times New Roman" w:hAnsi="Times New Roman" w:eastAsia="仿宋_GB2312" w:cs="Times New Roman"/>
          <w:kern w:val="0"/>
          <w:sz w:val="32"/>
          <w:szCs w:val="32"/>
        </w:rPr>
      </w:pPr>
    </w:p>
    <w:p w14:paraId="1242798F">
      <w:pPr>
        <w:adjustRightInd w:val="0"/>
        <w:snapToGrid w:val="0"/>
        <w:spacing w:line="579" w:lineRule="exact"/>
        <w:ind w:firstLine="640" w:firstLineChars="200"/>
        <w:rPr>
          <w:rFonts w:ascii="Times New Roman" w:hAnsi="Times New Roman" w:eastAsia="仿宋_GB2312" w:cs="Times New Roman"/>
          <w:sz w:val="32"/>
          <w:szCs w:val="32"/>
        </w:rPr>
        <w:sectPr>
          <w:pgSz w:w="11906" w:h="16838"/>
          <w:pgMar w:top="2098" w:right="1474" w:bottom="1984" w:left="1587" w:header="851" w:footer="992" w:gutter="0"/>
          <w:pgNumType w:fmt="numberInDash"/>
          <w:cols w:space="425" w:num="1"/>
          <w:docGrid w:type="linesAndChars" w:linePitch="312" w:charSpace="0"/>
        </w:sectPr>
      </w:pPr>
    </w:p>
    <w:p w14:paraId="3E42F6A7">
      <w:pPr>
        <w:pStyle w:val="2"/>
        <w:keepNext w:val="0"/>
        <w:keepLines w:val="0"/>
        <w:widowControl w:val="0"/>
        <w:adjustRightInd w:val="0"/>
        <w:snapToGrid w:val="0"/>
        <w:spacing w:before="0" w:after="0" w:line="579" w:lineRule="exact"/>
        <w:rPr>
          <w:rFonts w:ascii="Times New Roman" w:hAnsi="Times New Roman" w:eastAsia="楷体_GB2312"/>
          <w:b w:val="0"/>
          <w:bCs w:val="0"/>
          <w:sz w:val="32"/>
          <w:szCs w:val="32"/>
        </w:rPr>
      </w:pPr>
      <w:bookmarkStart w:id="193" w:name="_Toc75359092"/>
      <w:bookmarkStart w:id="194" w:name="_Toc75358716"/>
      <w:bookmarkStart w:id="195" w:name="_Toc13260"/>
      <w:bookmarkStart w:id="196" w:name="_Toc168818847"/>
      <w:r>
        <w:rPr>
          <w:rFonts w:ascii="Times New Roman" w:hAnsi="Times New Roman" w:eastAsia="楷体_GB2312"/>
          <w:b w:val="0"/>
          <w:bCs w:val="0"/>
          <w:sz w:val="32"/>
          <w:szCs w:val="32"/>
        </w:rPr>
        <w:t>附件2：</w:t>
      </w:r>
      <w:bookmarkEnd w:id="193"/>
      <w:bookmarkEnd w:id="194"/>
      <w:r>
        <w:rPr>
          <w:rFonts w:ascii="Times New Roman" w:hAnsi="Times New Roman" w:eastAsia="楷体_GB2312"/>
          <w:b w:val="0"/>
          <w:bCs w:val="0"/>
          <w:sz w:val="32"/>
          <w:szCs w:val="32"/>
        </w:rPr>
        <w:t>东莞市谢岗镇工程建设中心2020—2023年度环城路项目重点绩效评价指标表</w:t>
      </w:r>
      <w:bookmarkEnd w:id="195"/>
      <w:bookmarkEnd w:id="196"/>
    </w:p>
    <w:p w14:paraId="29FD2AE1">
      <w:pPr>
        <w:adjustRightInd w:val="0"/>
        <w:snapToGrid w:val="0"/>
        <w:spacing w:line="579" w:lineRule="exact"/>
        <w:ind w:left="-735" w:leftChars="-350"/>
        <w:jc w:val="center"/>
        <w:rPr>
          <w:rFonts w:ascii="Times New Roman" w:hAnsi="Times New Roman" w:eastAsia="方正小标宋_GBK" w:cs="Times New Roman"/>
          <w:sz w:val="32"/>
          <w:szCs w:val="32"/>
        </w:rPr>
      </w:pPr>
      <w:bookmarkStart w:id="197" w:name="_Hlk73390485"/>
      <w:r>
        <w:rPr>
          <w:rFonts w:ascii="Times New Roman" w:hAnsi="Times New Roman" w:eastAsia="方正小标宋_GBK" w:cs="Times New Roman"/>
          <w:sz w:val="32"/>
          <w:szCs w:val="32"/>
        </w:rPr>
        <w:t>东莞市谢岗镇工程建设中心2020—2023年度环城路项目重点绩效评价指标表</w:t>
      </w:r>
    </w:p>
    <w:p w14:paraId="7062B4C7">
      <w:pPr>
        <w:adjustRightInd w:val="0"/>
        <w:snapToGrid w:val="0"/>
        <w:spacing w:line="579" w:lineRule="exact"/>
        <w:ind w:firstLine="480"/>
        <w:jc w:val="left"/>
        <w:rPr>
          <w:rFonts w:ascii="Times New Roman" w:hAnsi="Times New Roman" w:cs="Times New Roman"/>
        </w:rPr>
      </w:pPr>
      <w:r>
        <w:rPr>
          <w:rFonts w:ascii="Times New Roman" w:hAnsi="Times New Roman" w:eastAsia="黑体" w:cs="Times New Roman"/>
          <w:sz w:val="24"/>
          <w:szCs w:val="24"/>
        </w:rPr>
        <w:t>编制单位：广东政典新动能研究院有限公司</w:t>
      </w:r>
      <w:bookmarkEnd w:id="197"/>
    </w:p>
    <w:tbl>
      <w:tblPr>
        <w:tblStyle w:val="15"/>
        <w:tblW w:w="52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5"/>
        <w:gridCol w:w="591"/>
        <w:gridCol w:w="573"/>
        <w:gridCol w:w="547"/>
        <w:gridCol w:w="757"/>
        <w:gridCol w:w="584"/>
        <w:gridCol w:w="1412"/>
        <w:gridCol w:w="1860"/>
        <w:gridCol w:w="1079"/>
        <w:gridCol w:w="544"/>
        <w:gridCol w:w="2015"/>
        <w:gridCol w:w="1664"/>
        <w:gridCol w:w="655"/>
        <w:gridCol w:w="1725"/>
      </w:tblGrid>
      <w:tr w14:paraId="5591D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411" w:type="pct"/>
            <w:gridSpan w:val="2"/>
            <w:shd w:val="clear" w:color="auto" w:fill="auto"/>
            <w:vAlign w:val="center"/>
          </w:tcPr>
          <w:p w14:paraId="15BE3B98">
            <w:pPr>
              <w:widowControl/>
              <w:adjustRightInd w:val="0"/>
              <w:snapToGrid w:val="0"/>
              <w:jc w:val="center"/>
              <w:textAlignment w:val="center"/>
              <w:rPr>
                <w:rFonts w:ascii="Times New Roman" w:hAnsi="Times New Roman" w:eastAsia="黑体" w:cs="Times New Roman"/>
                <w:sz w:val="16"/>
                <w:szCs w:val="16"/>
              </w:rPr>
            </w:pPr>
            <w:r>
              <w:rPr>
                <w:rFonts w:ascii="Times New Roman" w:hAnsi="Times New Roman" w:eastAsia="黑体" w:cs="Times New Roman"/>
                <w:kern w:val="0"/>
                <w:sz w:val="16"/>
                <w:szCs w:val="16"/>
                <w:lang w:bidi="ar"/>
              </w:rPr>
              <w:t>一级指标</w:t>
            </w:r>
          </w:p>
        </w:tc>
        <w:tc>
          <w:tcPr>
            <w:tcW w:w="383" w:type="pct"/>
            <w:gridSpan w:val="2"/>
            <w:shd w:val="clear" w:color="auto" w:fill="auto"/>
            <w:vAlign w:val="center"/>
          </w:tcPr>
          <w:p w14:paraId="3E00EF17">
            <w:pPr>
              <w:widowControl/>
              <w:adjustRightInd w:val="0"/>
              <w:snapToGrid w:val="0"/>
              <w:jc w:val="center"/>
              <w:textAlignment w:val="center"/>
              <w:rPr>
                <w:rFonts w:ascii="Times New Roman" w:hAnsi="Times New Roman" w:eastAsia="黑体" w:cs="Times New Roman"/>
                <w:sz w:val="16"/>
                <w:szCs w:val="16"/>
              </w:rPr>
            </w:pPr>
            <w:r>
              <w:rPr>
                <w:rFonts w:ascii="Times New Roman" w:hAnsi="Times New Roman" w:eastAsia="黑体" w:cs="Times New Roman"/>
                <w:kern w:val="0"/>
                <w:sz w:val="16"/>
                <w:szCs w:val="16"/>
                <w:lang w:bidi="ar"/>
              </w:rPr>
              <w:t>二级指标</w:t>
            </w:r>
          </w:p>
        </w:tc>
        <w:tc>
          <w:tcPr>
            <w:tcW w:w="1577" w:type="pct"/>
            <w:gridSpan w:val="4"/>
            <w:shd w:val="clear" w:color="auto" w:fill="auto"/>
            <w:noWrap/>
            <w:vAlign w:val="center"/>
          </w:tcPr>
          <w:p w14:paraId="44E11A06">
            <w:pPr>
              <w:widowControl/>
              <w:adjustRightInd w:val="0"/>
              <w:snapToGrid w:val="0"/>
              <w:jc w:val="center"/>
              <w:textAlignment w:val="center"/>
              <w:rPr>
                <w:rFonts w:ascii="Times New Roman" w:hAnsi="Times New Roman" w:eastAsia="黑体" w:cs="Times New Roman"/>
                <w:sz w:val="16"/>
                <w:szCs w:val="16"/>
              </w:rPr>
            </w:pPr>
            <w:r>
              <w:rPr>
                <w:rFonts w:ascii="Times New Roman" w:hAnsi="Times New Roman" w:eastAsia="黑体" w:cs="Times New Roman"/>
                <w:kern w:val="0"/>
                <w:sz w:val="16"/>
                <w:szCs w:val="16"/>
                <w:lang w:bidi="ar"/>
              </w:rPr>
              <w:t>三级指标</w:t>
            </w:r>
          </w:p>
        </w:tc>
        <w:tc>
          <w:tcPr>
            <w:tcW w:w="1244" w:type="pct"/>
            <w:gridSpan w:val="3"/>
            <w:shd w:val="clear" w:color="auto" w:fill="auto"/>
            <w:vAlign w:val="center"/>
          </w:tcPr>
          <w:p w14:paraId="0AB03BC3">
            <w:pPr>
              <w:widowControl/>
              <w:adjustRightInd w:val="0"/>
              <w:snapToGrid w:val="0"/>
              <w:jc w:val="center"/>
              <w:textAlignment w:val="center"/>
              <w:rPr>
                <w:rFonts w:ascii="Times New Roman" w:hAnsi="Times New Roman" w:eastAsia="黑体" w:cs="Times New Roman"/>
                <w:sz w:val="16"/>
                <w:szCs w:val="16"/>
              </w:rPr>
            </w:pPr>
            <w:r>
              <w:rPr>
                <w:rFonts w:ascii="Times New Roman" w:hAnsi="Times New Roman" w:eastAsia="黑体" w:cs="Times New Roman"/>
                <w:kern w:val="0"/>
                <w:sz w:val="16"/>
                <w:szCs w:val="16"/>
                <w:lang w:bidi="ar"/>
              </w:rPr>
              <w:t>四级指标</w:t>
            </w:r>
          </w:p>
        </w:tc>
        <w:tc>
          <w:tcPr>
            <w:tcW w:w="793" w:type="pct"/>
            <w:gridSpan w:val="2"/>
            <w:shd w:val="clear" w:color="auto" w:fill="auto"/>
            <w:vAlign w:val="center"/>
          </w:tcPr>
          <w:p w14:paraId="25F16AAE">
            <w:pPr>
              <w:widowControl/>
              <w:adjustRightInd w:val="0"/>
              <w:snapToGrid w:val="0"/>
              <w:jc w:val="center"/>
              <w:textAlignment w:val="center"/>
              <w:rPr>
                <w:rFonts w:ascii="Times New Roman" w:hAnsi="Times New Roman" w:eastAsia="黑体" w:cs="Times New Roman"/>
                <w:sz w:val="16"/>
                <w:szCs w:val="16"/>
              </w:rPr>
            </w:pPr>
            <w:r>
              <w:rPr>
                <w:rFonts w:ascii="Times New Roman" w:hAnsi="Times New Roman" w:eastAsia="黑体" w:cs="Times New Roman"/>
                <w:kern w:val="0"/>
                <w:sz w:val="16"/>
                <w:szCs w:val="16"/>
                <w:lang w:bidi="ar"/>
              </w:rPr>
              <w:t>评分</w:t>
            </w:r>
          </w:p>
        </w:tc>
        <w:tc>
          <w:tcPr>
            <w:tcW w:w="592" w:type="pct"/>
            <w:vMerge w:val="restart"/>
            <w:shd w:val="clear" w:color="auto" w:fill="auto"/>
            <w:vAlign w:val="center"/>
          </w:tcPr>
          <w:p w14:paraId="39964996">
            <w:pPr>
              <w:widowControl/>
              <w:adjustRightInd w:val="0"/>
              <w:snapToGrid w:val="0"/>
              <w:jc w:val="center"/>
              <w:textAlignment w:val="center"/>
              <w:rPr>
                <w:rFonts w:ascii="Times New Roman" w:hAnsi="Times New Roman" w:eastAsia="黑体" w:cs="Times New Roman"/>
                <w:sz w:val="16"/>
                <w:szCs w:val="16"/>
              </w:rPr>
            </w:pPr>
            <w:r>
              <w:rPr>
                <w:rFonts w:ascii="Times New Roman" w:hAnsi="Times New Roman" w:eastAsia="黑体" w:cs="Times New Roman"/>
                <w:kern w:val="0"/>
                <w:sz w:val="16"/>
                <w:szCs w:val="16"/>
                <w:lang w:bidi="ar"/>
              </w:rPr>
              <w:t>扣分说明</w:t>
            </w:r>
          </w:p>
        </w:tc>
      </w:tr>
      <w:tr w14:paraId="5D38E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210" w:type="pct"/>
            <w:shd w:val="clear" w:color="auto" w:fill="auto"/>
            <w:vAlign w:val="center"/>
          </w:tcPr>
          <w:p w14:paraId="571A85C0">
            <w:pPr>
              <w:widowControl/>
              <w:adjustRightInd w:val="0"/>
              <w:snapToGrid w:val="0"/>
              <w:jc w:val="center"/>
              <w:textAlignment w:val="center"/>
              <w:rPr>
                <w:rFonts w:ascii="Times New Roman" w:hAnsi="Times New Roman" w:eastAsia="黑体" w:cs="Times New Roman"/>
                <w:sz w:val="16"/>
                <w:szCs w:val="16"/>
              </w:rPr>
            </w:pPr>
            <w:r>
              <w:rPr>
                <w:rFonts w:ascii="Times New Roman" w:hAnsi="Times New Roman" w:eastAsia="黑体" w:cs="Times New Roman"/>
                <w:kern w:val="0"/>
                <w:sz w:val="16"/>
                <w:szCs w:val="16"/>
                <w:lang w:bidi="ar"/>
              </w:rPr>
              <w:t>指标名称</w:t>
            </w:r>
          </w:p>
        </w:tc>
        <w:tc>
          <w:tcPr>
            <w:tcW w:w="202" w:type="pct"/>
            <w:shd w:val="clear" w:color="auto" w:fill="auto"/>
            <w:vAlign w:val="center"/>
          </w:tcPr>
          <w:p w14:paraId="2F89E979">
            <w:pPr>
              <w:widowControl/>
              <w:adjustRightInd w:val="0"/>
              <w:snapToGrid w:val="0"/>
              <w:jc w:val="center"/>
              <w:textAlignment w:val="center"/>
              <w:rPr>
                <w:rFonts w:ascii="Times New Roman" w:hAnsi="Times New Roman" w:eastAsia="黑体" w:cs="Times New Roman"/>
                <w:sz w:val="16"/>
                <w:szCs w:val="16"/>
              </w:rPr>
            </w:pPr>
            <w:r>
              <w:rPr>
                <w:rFonts w:ascii="Times New Roman" w:hAnsi="Times New Roman" w:eastAsia="黑体" w:cs="Times New Roman"/>
                <w:kern w:val="0"/>
                <w:sz w:val="16"/>
                <w:szCs w:val="16"/>
                <w:lang w:bidi="ar"/>
              </w:rPr>
              <w:t>指标权重</w:t>
            </w:r>
          </w:p>
        </w:tc>
        <w:tc>
          <w:tcPr>
            <w:tcW w:w="196" w:type="pct"/>
            <w:shd w:val="clear" w:color="auto" w:fill="auto"/>
            <w:vAlign w:val="center"/>
          </w:tcPr>
          <w:p w14:paraId="58CE8ED0">
            <w:pPr>
              <w:widowControl/>
              <w:adjustRightInd w:val="0"/>
              <w:snapToGrid w:val="0"/>
              <w:jc w:val="center"/>
              <w:textAlignment w:val="center"/>
              <w:rPr>
                <w:rFonts w:ascii="Times New Roman" w:hAnsi="Times New Roman" w:eastAsia="黑体" w:cs="Times New Roman"/>
                <w:sz w:val="16"/>
                <w:szCs w:val="16"/>
              </w:rPr>
            </w:pPr>
            <w:r>
              <w:rPr>
                <w:rFonts w:ascii="Times New Roman" w:hAnsi="Times New Roman" w:eastAsia="黑体" w:cs="Times New Roman"/>
                <w:kern w:val="0"/>
                <w:sz w:val="16"/>
                <w:szCs w:val="16"/>
                <w:lang w:bidi="ar"/>
              </w:rPr>
              <w:t>指标名称</w:t>
            </w:r>
          </w:p>
        </w:tc>
        <w:tc>
          <w:tcPr>
            <w:tcW w:w="187" w:type="pct"/>
            <w:shd w:val="clear" w:color="auto" w:fill="auto"/>
            <w:vAlign w:val="center"/>
          </w:tcPr>
          <w:p w14:paraId="0749A2D3">
            <w:pPr>
              <w:widowControl/>
              <w:adjustRightInd w:val="0"/>
              <w:snapToGrid w:val="0"/>
              <w:jc w:val="center"/>
              <w:textAlignment w:val="center"/>
              <w:rPr>
                <w:rFonts w:ascii="Times New Roman" w:hAnsi="Times New Roman" w:eastAsia="黑体" w:cs="Times New Roman"/>
                <w:sz w:val="16"/>
                <w:szCs w:val="16"/>
              </w:rPr>
            </w:pPr>
            <w:r>
              <w:rPr>
                <w:rFonts w:ascii="Times New Roman" w:hAnsi="Times New Roman" w:eastAsia="黑体" w:cs="Times New Roman"/>
                <w:kern w:val="0"/>
                <w:sz w:val="16"/>
                <w:szCs w:val="16"/>
                <w:lang w:bidi="ar"/>
              </w:rPr>
              <w:t>指标权重</w:t>
            </w:r>
          </w:p>
        </w:tc>
        <w:tc>
          <w:tcPr>
            <w:tcW w:w="259" w:type="pct"/>
            <w:shd w:val="clear" w:color="auto" w:fill="auto"/>
            <w:vAlign w:val="center"/>
          </w:tcPr>
          <w:p w14:paraId="2EF8234A">
            <w:pPr>
              <w:widowControl/>
              <w:adjustRightInd w:val="0"/>
              <w:snapToGrid w:val="0"/>
              <w:jc w:val="center"/>
              <w:textAlignment w:val="center"/>
              <w:rPr>
                <w:rFonts w:ascii="Times New Roman" w:hAnsi="Times New Roman" w:eastAsia="黑体" w:cs="Times New Roman"/>
                <w:sz w:val="16"/>
                <w:szCs w:val="16"/>
              </w:rPr>
            </w:pPr>
            <w:r>
              <w:rPr>
                <w:rFonts w:ascii="Times New Roman" w:hAnsi="Times New Roman" w:eastAsia="黑体" w:cs="Times New Roman"/>
                <w:kern w:val="0"/>
                <w:sz w:val="16"/>
                <w:szCs w:val="16"/>
                <w:lang w:bidi="ar"/>
              </w:rPr>
              <w:t>指标名称</w:t>
            </w:r>
          </w:p>
        </w:tc>
        <w:tc>
          <w:tcPr>
            <w:tcW w:w="200" w:type="pct"/>
            <w:shd w:val="clear" w:color="auto" w:fill="auto"/>
            <w:vAlign w:val="center"/>
          </w:tcPr>
          <w:p w14:paraId="006E8EED">
            <w:pPr>
              <w:widowControl/>
              <w:adjustRightInd w:val="0"/>
              <w:snapToGrid w:val="0"/>
              <w:jc w:val="center"/>
              <w:textAlignment w:val="center"/>
              <w:rPr>
                <w:rFonts w:ascii="Times New Roman" w:hAnsi="Times New Roman" w:eastAsia="黑体" w:cs="Times New Roman"/>
                <w:sz w:val="16"/>
                <w:szCs w:val="16"/>
              </w:rPr>
            </w:pPr>
            <w:r>
              <w:rPr>
                <w:rFonts w:ascii="Times New Roman" w:hAnsi="Times New Roman" w:eastAsia="黑体" w:cs="Times New Roman"/>
                <w:kern w:val="0"/>
                <w:sz w:val="16"/>
                <w:szCs w:val="16"/>
                <w:lang w:bidi="ar"/>
              </w:rPr>
              <w:t>指标权重</w:t>
            </w:r>
          </w:p>
        </w:tc>
        <w:tc>
          <w:tcPr>
            <w:tcW w:w="483" w:type="pct"/>
            <w:shd w:val="clear" w:color="auto" w:fill="auto"/>
            <w:vAlign w:val="center"/>
          </w:tcPr>
          <w:p w14:paraId="2C6DC0B0">
            <w:pPr>
              <w:widowControl/>
              <w:adjustRightInd w:val="0"/>
              <w:snapToGrid w:val="0"/>
              <w:jc w:val="center"/>
              <w:textAlignment w:val="center"/>
              <w:rPr>
                <w:rFonts w:ascii="Times New Roman" w:hAnsi="Times New Roman" w:eastAsia="黑体" w:cs="Times New Roman"/>
                <w:sz w:val="16"/>
                <w:szCs w:val="16"/>
              </w:rPr>
            </w:pPr>
            <w:r>
              <w:rPr>
                <w:rFonts w:ascii="Times New Roman" w:hAnsi="Times New Roman" w:eastAsia="黑体" w:cs="Times New Roman"/>
                <w:kern w:val="0"/>
                <w:sz w:val="16"/>
                <w:szCs w:val="16"/>
                <w:lang w:bidi="ar"/>
              </w:rPr>
              <w:t>指标解释</w:t>
            </w:r>
          </w:p>
        </w:tc>
        <w:tc>
          <w:tcPr>
            <w:tcW w:w="636" w:type="pct"/>
            <w:shd w:val="clear" w:color="auto" w:fill="auto"/>
            <w:vAlign w:val="center"/>
          </w:tcPr>
          <w:p w14:paraId="0985E853">
            <w:pPr>
              <w:widowControl/>
              <w:adjustRightInd w:val="0"/>
              <w:snapToGrid w:val="0"/>
              <w:jc w:val="center"/>
              <w:textAlignment w:val="center"/>
              <w:rPr>
                <w:rFonts w:ascii="Times New Roman" w:hAnsi="Times New Roman" w:eastAsia="黑体" w:cs="Times New Roman"/>
                <w:sz w:val="16"/>
                <w:szCs w:val="16"/>
              </w:rPr>
            </w:pPr>
            <w:r>
              <w:rPr>
                <w:rFonts w:ascii="Times New Roman" w:hAnsi="Times New Roman" w:eastAsia="黑体" w:cs="Times New Roman"/>
                <w:kern w:val="0"/>
                <w:sz w:val="16"/>
                <w:szCs w:val="16"/>
                <w:lang w:bidi="ar"/>
              </w:rPr>
              <w:t>指标说明</w:t>
            </w:r>
          </w:p>
        </w:tc>
        <w:tc>
          <w:tcPr>
            <w:tcW w:w="369" w:type="pct"/>
            <w:shd w:val="clear" w:color="auto" w:fill="auto"/>
            <w:vAlign w:val="center"/>
          </w:tcPr>
          <w:p w14:paraId="712E6299">
            <w:pPr>
              <w:widowControl/>
              <w:adjustRightInd w:val="0"/>
              <w:snapToGrid w:val="0"/>
              <w:jc w:val="center"/>
              <w:textAlignment w:val="center"/>
              <w:rPr>
                <w:rFonts w:ascii="Times New Roman" w:hAnsi="Times New Roman" w:eastAsia="黑体" w:cs="Times New Roman"/>
                <w:sz w:val="16"/>
                <w:szCs w:val="16"/>
              </w:rPr>
            </w:pPr>
            <w:r>
              <w:rPr>
                <w:rFonts w:ascii="Times New Roman" w:hAnsi="Times New Roman" w:eastAsia="黑体" w:cs="Times New Roman"/>
                <w:kern w:val="0"/>
                <w:sz w:val="16"/>
                <w:szCs w:val="16"/>
                <w:lang w:bidi="ar"/>
              </w:rPr>
              <w:t>指标名称</w:t>
            </w:r>
          </w:p>
        </w:tc>
        <w:tc>
          <w:tcPr>
            <w:tcW w:w="186" w:type="pct"/>
            <w:shd w:val="clear" w:color="auto" w:fill="auto"/>
            <w:vAlign w:val="center"/>
          </w:tcPr>
          <w:p w14:paraId="1B8970BF">
            <w:pPr>
              <w:widowControl/>
              <w:adjustRightInd w:val="0"/>
              <w:snapToGrid w:val="0"/>
              <w:jc w:val="center"/>
              <w:textAlignment w:val="center"/>
              <w:rPr>
                <w:rFonts w:ascii="Times New Roman" w:hAnsi="Times New Roman" w:eastAsia="黑体" w:cs="Times New Roman"/>
                <w:kern w:val="0"/>
                <w:sz w:val="16"/>
                <w:szCs w:val="16"/>
                <w:lang w:bidi="ar"/>
              </w:rPr>
            </w:pPr>
            <w:r>
              <w:rPr>
                <w:rFonts w:ascii="Times New Roman" w:hAnsi="Times New Roman" w:eastAsia="黑体" w:cs="Times New Roman"/>
                <w:kern w:val="0"/>
                <w:sz w:val="16"/>
                <w:szCs w:val="16"/>
                <w:lang w:bidi="ar"/>
              </w:rPr>
              <w:t>指标</w:t>
            </w:r>
          </w:p>
          <w:p w14:paraId="02B71380">
            <w:pPr>
              <w:widowControl/>
              <w:adjustRightInd w:val="0"/>
              <w:snapToGrid w:val="0"/>
              <w:jc w:val="center"/>
              <w:textAlignment w:val="center"/>
              <w:rPr>
                <w:rFonts w:ascii="Times New Roman" w:hAnsi="Times New Roman" w:eastAsia="黑体" w:cs="Times New Roman"/>
                <w:sz w:val="16"/>
                <w:szCs w:val="16"/>
              </w:rPr>
            </w:pPr>
            <w:r>
              <w:rPr>
                <w:rFonts w:ascii="Times New Roman" w:hAnsi="Times New Roman" w:eastAsia="黑体" w:cs="Times New Roman"/>
                <w:kern w:val="0"/>
                <w:sz w:val="16"/>
                <w:szCs w:val="16"/>
                <w:lang w:bidi="ar"/>
              </w:rPr>
              <w:t>权重</w:t>
            </w:r>
          </w:p>
        </w:tc>
        <w:tc>
          <w:tcPr>
            <w:tcW w:w="689" w:type="pct"/>
            <w:shd w:val="clear" w:color="auto" w:fill="auto"/>
            <w:vAlign w:val="center"/>
          </w:tcPr>
          <w:p w14:paraId="4473CD3F">
            <w:pPr>
              <w:widowControl/>
              <w:adjustRightInd w:val="0"/>
              <w:snapToGrid w:val="0"/>
              <w:jc w:val="center"/>
              <w:textAlignment w:val="center"/>
              <w:rPr>
                <w:rFonts w:ascii="Times New Roman" w:hAnsi="Times New Roman" w:eastAsia="黑体" w:cs="Times New Roman"/>
                <w:sz w:val="16"/>
                <w:szCs w:val="16"/>
              </w:rPr>
            </w:pPr>
            <w:r>
              <w:rPr>
                <w:rFonts w:ascii="Times New Roman" w:hAnsi="Times New Roman" w:eastAsia="黑体" w:cs="Times New Roman"/>
                <w:kern w:val="0"/>
                <w:sz w:val="16"/>
                <w:szCs w:val="16"/>
                <w:lang w:bidi="ar"/>
              </w:rPr>
              <w:t>指标说明</w:t>
            </w:r>
          </w:p>
        </w:tc>
        <w:tc>
          <w:tcPr>
            <w:tcW w:w="569" w:type="pct"/>
            <w:shd w:val="clear" w:color="auto" w:fill="auto"/>
            <w:vAlign w:val="center"/>
          </w:tcPr>
          <w:p w14:paraId="2995C920">
            <w:pPr>
              <w:widowControl/>
              <w:adjustRightInd w:val="0"/>
              <w:snapToGrid w:val="0"/>
              <w:jc w:val="center"/>
              <w:textAlignment w:val="center"/>
              <w:rPr>
                <w:rFonts w:ascii="Times New Roman" w:hAnsi="Times New Roman" w:eastAsia="黑体" w:cs="Times New Roman"/>
                <w:sz w:val="16"/>
                <w:szCs w:val="16"/>
              </w:rPr>
            </w:pPr>
            <w:r>
              <w:rPr>
                <w:rFonts w:ascii="Times New Roman" w:hAnsi="Times New Roman" w:eastAsia="黑体" w:cs="Times New Roman"/>
                <w:kern w:val="0"/>
                <w:sz w:val="16"/>
                <w:szCs w:val="16"/>
                <w:lang w:bidi="ar"/>
              </w:rPr>
              <w:t>评分标准</w:t>
            </w:r>
          </w:p>
        </w:tc>
        <w:tc>
          <w:tcPr>
            <w:tcW w:w="224" w:type="pct"/>
            <w:shd w:val="clear" w:color="auto" w:fill="auto"/>
            <w:vAlign w:val="center"/>
          </w:tcPr>
          <w:p w14:paraId="725195EE">
            <w:pPr>
              <w:widowControl/>
              <w:adjustRightInd w:val="0"/>
              <w:snapToGrid w:val="0"/>
              <w:jc w:val="center"/>
              <w:textAlignment w:val="center"/>
              <w:rPr>
                <w:rFonts w:ascii="Times New Roman" w:hAnsi="Times New Roman" w:eastAsia="黑体" w:cs="Times New Roman"/>
                <w:sz w:val="16"/>
                <w:szCs w:val="16"/>
              </w:rPr>
            </w:pPr>
            <w:r>
              <w:rPr>
                <w:rFonts w:ascii="Times New Roman" w:hAnsi="Times New Roman" w:eastAsia="黑体" w:cs="Times New Roman"/>
                <w:kern w:val="0"/>
                <w:sz w:val="16"/>
                <w:szCs w:val="16"/>
                <w:lang w:bidi="ar"/>
              </w:rPr>
              <w:t>实际得分</w:t>
            </w:r>
          </w:p>
        </w:tc>
        <w:tc>
          <w:tcPr>
            <w:tcW w:w="592" w:type="pct"/>
            <w:vMerge w:val="continue"/>
            <w:shd w:val="clear" w:color="auto" w:fill="auto"/>
            <w:vAlign w:val="center"/>
          </w:tcPr>
          <w:p w14:paraId="3EF1CC57">
            <w:pPr>
              <w:widowControl/>
              <w:adjustRightInd w:val="0"/>
              <w:snapToGrid w:val="0"/>
              <w:jc w:val="center"/>
              <w:rPr>
                <w:rFonts w:ascii="Times New Roman" w:hAnsi="Times New Roman" w:eastAsia="黑体" w:cs="Times New Roman"/>
                <w:sz w:val="16"/>
                <w:szCs w:val="16"/>
              </w:rPr>
            </w:pPr>
          </w:p>
        </w:tc>
      </w:tr>
      <w:tr w14:paraId="3041B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restart"/>
            <w:shd w:val="clear" w:color="auto" w:fill="auto"/>
            <w:noWrap/>
            <w:textDirection w:val="tbRlV"/>
            <w:vAlign w:val="center"/>
          </w:tcPr>
          <w:p w14:paraId="6B59B05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前期工作</w:t>
            </w:r>
          </w:p>
        </w:tc>
        <w:tc>
          <w:tcPr>
            <w:tcW w:w="202" w:type="pct"/>
            <w:vMerge w:val="restart"/>
            <w:shd w:val="clear" w:color="auto" w:fill="auto"/>
            <w:noWrap/>
            <w:vAlign w:val="center"/>
          </w:tcPr>
          <w:p w14:paraId="6ACFD7B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21</w:t>
            </w:r>
          </w:p>
        </w:tc>
        <w:tc>
          <w:tcPr>
            <w:tcW w:w="196" w:type="pct"/>
            <w:vMerge w:val="restart"/>
            <w:shd w:val="clear" w:color="auto" w:fill="auto"/>
            <w:vAlign w:val="center"/>
          </w:tcPr>
          <w:p w14:paraId="42948CE2">
            <w:pPr>
              <w:widowControl/>
              <w:adjustRightInd w:val="0"/>
              <w:snapToGrid w:val="0"/>
              <w:jc w:val="center"/>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项目</w:t>
            </w:r>
          </w:p>
          <w:p w14:paraId="57ED937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立项</w:t>
            </w:r>
          </w:p>
        </w:tc>
        <w:tc>
          <w:tcPr>
            <w:tcW w:w="187" w:type="pct"/>
            <w:vMerge w:val="restart"/>
            <w:shd w:val="clear" w:color="auto" w:fill="auto"/>
            <w:vAlign w:val="center"/>
          </w:tcPr>
          <w:p w14:paraId="504016FF">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5</w:t>
            </w:r>
          </w:p>
        </w:tc>
        <w:tc>
          <w:tcPr>
            <w:tcW w:w="259" w:type="pct"/>
            <w:vMerge w:val="restart"/>
            <w:shd w:val="clear" w:color="auto" w:fill="auto"/>
            <w:vAlign w:val="center"/>
          </w:tcPr>
          <w:p w14:paraId="45BF26C1">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立项依据充分性</w:t>
            </w:r>
          </w:p>
        </w:tc>
        <w:tc>
          <w:tcPr>
            <w:tcW w:w="200" w:type="pct"/>
            <w:vMerge w:val="restart"/>
            <w:shd w:val="clear" w:color="auto" w:fill="auto"/>
            <w:vAlign w:val="center"/>
          </w:tcPr>
          <w:p w14:paraId="513E8617">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483" w:type="pct"/>
            <w:vMerge w:val="restart"/>
            <w:shd w:val="clear" w:color="auto" w:fill="auto"/>
            <w:vAlign w:val="center"/>
          </w:tcPr>
          <w:p w14:paraId="66AB013C">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项目立项是否符合法律法规、相关政策、发展规划以及部门职责，用以反映和考核项目立项依据情况。</w:t>
            </w:r>
          </w:p>
        </w:tc>
        <w:tc>
          <w:tcPr>
            <w:tcW w:w="636" w:type="pct"/>
            <w:vMerge w:val="restart"/>
            <w:shd w:val="clear" w:color="auto" w:fill="auto"/>
            <w:vAlign w:val="center"/>
          </w:tcPr>
          <w:p w14:paraId="495B55AE">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4FF2C9DA">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项目立项是否符合国家法律法规、国民经济发展规划和相关政策；</w:t>
            </w:r>
          </w:p>
          <w:p w14:paraId="3036A1A3">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项目立项是否符合行业发展规划和政策要求；</w:t>
            </w:r>
          </w:p>
          <w:p w14:paraId="3AE3C434">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项目立项是否与部门职责范围相符，属于部门履职所需；</w:t>
            </w:r>
          </w:p>
          <w:p w14:paraId="4EEADE80">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④</w:t>
            </w:r>
            <w:r>
              <w:rPr>
                <w:rFonts w:ascii="Times New Roman" w:hAnsi="Times New Roman" w:eastAsia="宋体" w:cs="Times New Roman"/>
                <w:kern w:val="0"/>
                <w:sz w:val="16"/>
                <w:szCs w:val="16"/>
                <w:lang w:bidi="ar"/>
              </w:rPr>
              <w:t>项目是否属于公共财政支持范围，是否符合中央、地方事权支出责任划分原则；</w:t>
            </w:r>
          </w:p>
          <w:p w14:paraId="2366A5A6">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⑤</w:t>
            </w:r>
            <w:r>
              <w:rPr>
                <w:rFonts w:ascii="Times New Roman" w:hAnsi="Times New Roman" w:eastAsia="宋体" w:cs="Times New Roman"/>
                <w:kern w:val="0"/>
                <w:sz w:val="16"/>
                <w:szCs w:val="16"/>
                <w:lang w:bidi="ar"/>
              </w:rPr>
              <w:t>项目是否与相关部门同类项目或部门内部相关项目重复。</w:t>
            </w:r>
          </w:p>
        </w:tc>
        <w:tc>
          <w:tcPr>
            <w:tcW w:w="369" w:type="pct"/>
            <w:shd w:val="clear" w:color="auto" w:fill="auto"/>
            <w:vAlign w:val="center"/>
          </w:tcPr>
          <w:p w14:paraId="33EDA048">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项目立项合规性</w:t>
            </w:r>
          </w:p>
        </w:tc>
        <w:tc>
          <w:tcPr>
            <w:tcW w:w="186" w:type="pct"/>
            <w:shd w:val="clear" w:color="auto" w:fill="auto"/>
            <w:vAlign w:val="center"/>
          </w:tcPr>
          <w:p w14:paraId="3E2AAED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068343C8">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74CC0DEB">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项目立项是否符合国家法律法规、国民经济发展规划和相关政策；</w:t>
            </w:r>
          </w:p>
          <w:p w14:paraId="533EEE66">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项目立项是否符合行业发展规划和政策要求。</w:t>
            </w:r>
          </w:p>
        </w:tc>
        <w:tc>
          <w:tcPr>
            <w:tcW w:w="569" w:type="pct"/>
            <w:shd w:val="clear" w:color="auto" w:fill="auto"/>
            <w:vAlign w:val="center"/>
          </w:tcPr>
          <w:p w14:paraId="304CACFA">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0894B835">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2．对标要点：</w:t>
            </w:r>
          </w:p>
          <w:p w14:paraId="4C6B845F">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项目立项符合国家法律法规、国民经济发展规划和相关政策、行业发展规划和政策，得1分；否则不得分。</w:t>
            </w:r>
          </w:p>
        </w:tc>
        <w:tc>
          <w:tcPr>
            <w:tcW w:w="224" w:type="pct"/>
            <w:shd w:val="clear" w:color="auto" w:fill="auto"/>
            <w:noWrap/>
            <w:vAlign w:val="center"/>
          </w:tcPr>
          <w:p w14:paraId="53C2166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57E2BB8B">
            <w:pPr>
              <w:widowControl/>
              <w:adjustRightInd w:val="0"/>
              <w:snapToGrid w:val="0"/>
              <w:rPr>
                <w:rFonts w:ascii="Times New Roman" w:hAnsi="Times New Roman" w:eastAsia="宋体" w:cs="Times New Roman"/>
                <w:sz w:val="16"/>
                <w:szCs w:val="16"/>
              </w:rPr>
            </w:pPr>
          </w:p>
        </w:tc>
      </w:tr>
      <w:tr w14:paraId="23C6B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643A3000">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27506A96">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5315B643">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02FE03E8">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65E88D68">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2585BC7B">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169C822B">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0D3A6A0A">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1502C0E0">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项目立项匹配性</w:t>
            </w:r>
          </w:p>
        </w:tc>
        <w:tc>
          <w:tcPr>
            <w:tcW w:w="186" w:type="pct"/>
            <w:shd w:val="clear" w:color="auto" w:fill="auto"/>
            <w:vAlign w:val="center"/>
          </w:tcPr>
          <w:p w14:paraId="25AE108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689" w:type="pct"/>
            <w:shd w:val="clear" w:color="auto" w:fill="auto"/>
            <w:vAlign w:val="center"/>
          </w:tcPr>
          <w:p w14:paraId="21BD5CB2">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7899D4FA">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项目立项是否与部门职责范围相符，属于部门履职所需；</w:t>
            </w:r>
          </w:p>
          <w:p w14:paraId="408C837D">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项目是否属于公共财政支持范围，是否符合中央、地方事权支出责任划分原则。</w:t>
            </w:r>
          </w:p>
        </w:tc>
        <w:tc>
          <w:tcPr>
            <w:tcW w:w="569" w:type="pct"/>
            <w:shd w:val="clear" w:color="auto" w:fill="auto"/>
            <w:vAlign w:val="center"/>
          </w:tcPr>
          <w:p w14:paraId="699D383C">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4F83503B">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2．对标要点：</w:t>
            </w:r>
          </w:p>
          <w:p w14:paraId="7BA9B9A0">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项目立项属于部门履职所需及公共财政支持范围，得0.5分；否则不得分。</w:t>
            </w:r>
          </w:p>
        </w:tc>
        <w:tc>
          <w:tcPr>
            <w:tcW w:w="224" w:type="pct"/>
            <w:shd w:val="clear" w:color="auto" w:fill="auto"/>
            <w:noWrap/>
            <w:vAlign w:val="center"/>
          </w:tcPr>
          <w:p w14:paraId="3943394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592" w:type="pct"/>
            <w:shd w:val="clear" w:color="auto" w:fill="auto"/>
            <w:vAlign w:val="center"/>
          </w:tcPr>
          <w:p w14:paraId="62F9C9FC">
            <w:pPr>
              <w:widowControl/>
              <w:adjustRightInd w:val="0"/>
              <w:snapToGrid w:val="0"/>
              <w:rPr>
                <w:rFonts w:ascii="Times New Roman" w:hAnsi="Times New Roman" w:eastAsia="宋体" w:cs="Times New Roman"/>
                <w:sz w:val="16"/>
                <w:szCs w:val="16"/>
              </w:rPr>
            </w:pPr>
          </w:p>
        </w:tc>
      </w:tr>
      <w:tr w14:paraId="489D4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1A587336">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4E48A25A">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53893853">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5242BBFE">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6532D211">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69B1CB5D">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64D38BEB">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22ABAE1C">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2F4325B0">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项目立项重复性</w:t>
            </w:r>
          </w:p>
        </w:tc>
        <w:tc>
          <w:tcPr>
            <w:tcW w:w="186" w:type="pct"/>
            <w:shd w:val="clear" w:color="auto" w:fill="auto"/>
            <w:vAlign w:val="center"/>
          </w:tcPr>
          <w:p w14:paraId="3E09AFA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689" w:type="pct"/>
            <w:shd w:val="clear" w:color="auto" w:fill="auto"/>
            <w:vAlign w:val="center"/>
          </w:tcPr>
          <w:p w14:paraId="14A43D90">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7BDA7102">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该项目跟相似项目的重复程度。</w:t>
            </w:r>
          </w:p>
        </w:tc>
        <w:tc>
          <w:tcPr>
            <w:tcW w:w="569" w:type="pct"/>
            <w:shd w:val="clear" w:color="auto" w:fill="auto"/>
            <w:vAlign w:val="center"/>
          </w:tcPr>
          <w:p w14:paraId="062E66AC">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3D257B39">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2．对标要点：</w:t>
            </w:r>
          </w:p>
          <w:p w14:paraId="61F51006">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项目与相关部门同类项目或部门内部相关项目不重复，得0.5分；否则不得分。</w:t>
            </w:r>
          </w:p>
        </w:tc>
        <w:tc>
          <w:tcPr>
            <w:tcW w:w="224" w:type="pct"/>
            <w:shd w:val="clear" w:color="auto" w:fill="auto"/>
            <w:noWrap/>
            <w:vAlign w:val="center"/>
          </w:tcPr>
          <w:p w14:paraId="1174999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592" w:type="pct"/>
            <w:shd w:val="clear" w:color="auto" w:fill="auto"/>
            <w:vAlign w:val="center"/>
          </w:tcPr>
          <w:p w14:paraId="4135D0EF">
            <w:pPr>
              <w:widowControl/>
              <w:adjustRightInd w:val="0"/>
              <w:snapToGrid w:val="0"/>
              <w:rPr>
                <w:rFonts w:ascii="Times New Roman" w:hAnsi="Times New Roman" w:eastAsia="宋体" w:cs="Times New Roman"/>
                <w:sz w:val="16"/>
                <w:szCs w:val="16"/>
              </w:rPr>
            </w:pPr>
          </w:p>
        </w:tc>
      </w:tr>
      <w:tr w14:paraId="64D7E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543F0DA7">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11FB9504">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7B9069A8">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6E323C80">
            <w:pPr>
              <w:widowControl/>
              <w:adjustRightInd w:val="0"/>
              <w:snapToGrid w:val="0"/>
              <w:jc w:val="center"/>
              <w:rPr>
                <w:rFonts w:ascii="Times New Roman" w:hAnsi="Times New Roman" w:eastAsia="宋体" w:cs="Times New Roman"/>
                <w:sz w:val="16"/>
                <w:szCs w:val="16"/>
              </w:rPr>
            </w:pPr>
          </w:p>
        </w:tc>
        <w:tc>
          <w:tcPr>
            <w:tcW w:w="259" w:type="pct"/>
            <w:vMerge w:val="restart"/>
            <w:shd w:val="clear" w:color="auto" w:fill="auto"/>
            <w:vAlign w:val="center"/>
          </w:tcPr>
          <w:p w14:paraId="1847FF0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立项程序规范性</w:t>
            </w:r>
          </w:p>
        </w:tc>
        <w:tc>
          <w:tcPr>
            <w:tcW w:w="200" w:type="pct"/>
            <w:vMerge w:val="restart"/>
            <w:shd w:val="clear" w:color="auto" w:fill="auto"/>
            <w:vAlign w:val="center"/>
          </w:tcPr>
          <w:p w14:paraId="1D1055A4">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3</w:t>
            </w:r>
          </w:p>
        </w:tc>
        <w:tc>
          <w:tcPr>
            <w:tcW w:w="483" w:type="pct"/>
            <w:vMerge w:val="restart"/>
            <w:shd w:val="clear" w:color="auto" w:fill="auto"/>
            <w:vAlign w:val="center"/>
          </w:tcPr>
          <w:p w14:paraId="16B225BC">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项目申请、设立过程是否符合相关要求，用以反映和考核项目立项的规范情况。</w:t>
            </w:r>
          </w:p>
        </w:tc>
        <w:tc>
          <w:tcPr>
            <w:tcW w:w="636" w:type="pct"/>
            <w:vMerge w:val="restart"/>
            <w:shd w:val="clear" w:color="auto" w:fill="auto"/>
            <w:vAlign w:val="center"/>
          </w:tcPr>
          <w:p w14:paraId="4B5E56C4">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7D338341">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项目是否按照规定的程序申请设立；</w:t>
            </w:r>
          </w:p>
          <w:p w14:paraId="3C3F3D97">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审批文件、材料是否符合相关要求；</w:t>
            </w:r>
          </w:p>
          <w:p w14:paraId="612A8FC3">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事前是否已经过必要的可行性研究、专家论证、风险评估、绩效评估、集体决策。</w:t>
            </w:r>
          </w:p>
        </w:tc>
        <w:tc>
          <w:tcPr>
            <w:tcW w:w="369" w:type="pct"/>
            <w:shd w:val="clear" w:color="auto" w:fill="auto"/>
            <w:vAlign w:val="center"/>
          </w:tcPr>
          <w:p w14:paraId="38DA17B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立项程序合规性</w:t>
            </w:r>
          </w:p>
        </w:tc>
        <w:tc>
          <w:tcPr>
            <w:tcW w:w="186" w:type="pct"/>
            <w:shd w:val="clear" w:color="auto" w:fill="auto"/>
            <w:vAlign w:val="center"/>
          </w:tcPr>
          <w:p w14:paraId="21CD76B8">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62502824">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3820C8DE">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该项目是否按照规定的程序申请设立。</w:t>
            </w:r>
          </w:p>
        </w:tc>
        <w:tc>
          <w:tcPr>
            <w:tcW w:w="569" w:type="pct"/>
            <w:shd w:val="clear" w:color="auto" w:fill="auto"/>
            <w:vAlign w:val="center"/>
          </w:tcPr>
          <w:p w14:paraId="5CC6B3AE">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4DE7FB8B">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2．对标要点：</w:t>
            </w:r>
          </w:p>
          <w:p w14:paraId="57A9DB76">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项目按照规定程序申请设立，得1分；其他情况酌情给分。</w:t>
            </w:r>
          </w:p>
        </w:tc>
        <w:tc>
          <w:tcPr>
            <w:tcW w:w="224" w:type="pct"/>
            <w:shd w:val="clear" w:color="auto" w:fill="auto"/>
            <w:noWrap/>
            <w:vAlign w:val="center"/>
          </w:tcPr>
          <w:p w14:paraId="2A55212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w:t>
            </w:r>
          </w:p>
        </w:tc>
        <w:tc>
          <w:tcPr>
            <w:tcW w:w="592" w:type="pct"/>
            <w:shd w:val="clear" w:color="auto" w:fill="auto"/>
            <w:vAlign w:val="center"/>
          </w:tcPr>
          <w:p w14:paraId="1EE57C22">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可研合同签订时间早于项目建议批复时间，不得分。</w:t>
            </w:r>
          </w:p>
        </w:tc>
      </w:tr>
      <w:tr w14:paraId="5C82F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4A1A93AF">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78A07CF5">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3FE6C1C8">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12A4FC63">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5E731690">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00357FC9">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1F7403F5">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40C8A1DA">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6BF5F3DF">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申请材料符合性</w:t>
            </w:r>
          </w:p>
        </w:tc>
        <w:tc>
          <w:tcPr>
            <w:tcW w:w="186" w:type="pct"/>
            <w:shd w:val="clear" w:color="auto" w:fill="auto"/>
            <w:vAlign w:val="center"/>
          </w:tcPr>
          <w:p w14:paraId="55999D62">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01379DA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4DA8F753">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立项文件、材料的完整性、是否符合立项要求。</w:t>
            </w:r>
          </w:p>
        </w:tc>
        <w:tc>
          <w:tcPr>
            <w:tcW w:w="569" w:type="pct"/>
            <w:shd w:val="clear" w:color="auto" w:fill="auto"/>
            <w:vAlign w:val="center"/>
          </w:tcPr>
          <w:p w14:paraId="66250032">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348569B0">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2．对标要点：</w:t>
            </w:r>
          </w:p>
          <w:p w14:paraId="7D345183">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立项文件、审批文件、材料符合相关要求，得1分；其他情况酌情给分。</w:t>
            </w:r>
          </w:p>
        </w:tc>
        <w:tc>
          <w:tcPr>
            <w:tcW w:w="224" w:type="pct"/>
            <w:shd w:val="clear" w:color="auto" w:fill="auto"/>
            <w:noWrap/>
            <w:vAlign w:val="center"/>
          </w:tcPr>
          <w:p w14:paraId="5B2800D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28B5AB8D">
            <w:pPr>
              <w:widowControl/>
              <w:adjustRightInd w:val="0"/>
              <w:snapToGrid w:val="0"/>
              <w:rPr>
                <w:rFonts w:ascii="Times New Roman" w:hAnsi="Times New Roman" w:eastAsia="宋体" w:cs="Times New Roman"/>
                <w:sz w:val="16"/>
                <w:szCs w:val="16"/>
              </w:rPr>
            </w:pPr>
          </w:p>
        </w:tc>
      </w:tr>
      <w:tr w14:paraId="2A76E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27A941BE">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234BE500">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319CF5B6">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6D8B103F">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0AFB2585">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5FDB10B1">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721C4B09">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42779852">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011B6BF7">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事前论证充分性</w:t>
            </w:r>
          </w:p>
        </w:tc>
        <w:tc>
          <w:tcPr>
            <w:tcW w:w="186" w:type="pct"/>
            <w:shd w:val="clear" w:color="auto" w:fill="auto"/>
            <w:vAlign w:val="center"/>
          </w:tcPr>
          <w:p w14:paraId="1409A4F8">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510A8773">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1BFB2574">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事前是否已经过必要的可行性研究、专家论证、风险评估、集体决策。</w:t>
            </w:r>
          </w:p>
        </w:tc>
        <w:tc>
          <w:tcPr>
            <w:tcW w:w="569" w:type="pct"/>
            <w:shd w:val="clear" w:color="auto" w:fill="auto"/>
            <w:vAlign w:val="center"/>
          </w:tcPr>
          <w:p w14:paraId="0CD886B2">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69B40CF0">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2．对标要点：</w:t>
            </w:r>
          </w:p>
          <w:p w14:paraId="3B614ED2">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事前经过必要的可行性研究、专家论证、风险评估、集体决策，得1分；其他情况酌情给分。</w:t>
            </w:r>
          </w:p>
        </w:tc>
        <w:tc>
          <w:tcPr>
            <w:tcW w:w="224" w:type="pct"/>
            <w:shd w:val="clear" w:color="auto" w:fill="auto"/>
            <w:noWrap/>
            <w:vAlign w:val="center"/>
          </w:tcPr>
          <w:p w14:paraId="1F199CE4">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34A49F0F">
            <w:pPr>
              <w:widowControl/>
              <w:adjustRightInd w:val="0"/>
              <w:snapToGrid w:val="0"/>
              <w:rPr>
                <w:rFonts w:ascii="Times New Roman" w:hAnsi="Times New Roman" w:eastAsia="宋体" w:cs="Times New Roman"/>
                <w:sz w:val="16"/>
                <w:szCs w:val="16"/>
              </w:rPr>
            </w:pPr>
          </w:p>
        </w:tc>
      </w:tr>
      <w:tr w14:paraId="46C58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2D834DD5">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214DA74B">
            <w:pPr>
              <w:widowControl/>
              <w:adjustRightInd w:val="0"/>
              <w:snapToGrid w:val="0"/>
              <w:jc w:val="center"/>
              <w:rPr>
                <w:rFonts w:ascii="Times New Roman" w:hAnsi="Times New Roman" w:eastAsia="宋体" w:cs="Times New Roman"/>
                <w:sz w:val="16"/>
                <w:szCs w:val="16"/>
              </w:rPr>
            </w:pPr>
          </w:p>
        </w:tc>
        <w:tc>
          <w:tcPr>
            <w:tcW w:w="196" w:type="pct"/>
            <w:vMerge w:val="restart"/>
            <w:shd w:val="clear" w:color="auto" w:fill="auto"/>
            <w:vAlign w:val="center"/>
          </w:tcPr>
          <w:p w14:paraId="3B17A397">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绩效目标</w:t>
            </w:r>
          </w:p>
        </w:tc>
        <w:tc>
          <w:tcPr>
            <w:tcW w:w="187" w:type="pct"/>
            <w:vMerge w:val="restart"/>
            <w:shd w:val="clear" w:color="auto" w:fill="auto"/>
            <w:vAlign w:val="center"/>
          </w:tcPr>
          <w:p w14:paraId="14EBAC4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10</w:t>
            </w:r>
          </w:p>
        </w:tc>
        <w:tc>
          <w:tcPr>
            <w:tcW w:w="259" w:type="pct"/>
            <w:vMerge w:val="restart"/>
            <w:shd w:val="clear" w:color="auto" w:fill="auto"/>
            <w:vAlign w:val="center"/>
          </w:tcPr>
          <w:p w14:paraId="303DD4A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绩效目标合理性</w:t>
            </w:r>
          </w:p>
        </w:tc>
        <w:tc>
          <w:tcPr>
            <w:tcW w:w="200" w:type="pct"/>
            <w:vMerge w:val="restart"/>
            <w:shd w:val="clear" w:color="auto" w:fill="auto"/>
            <w:vAlign w:val="center"/>
          </w:tcPr>
          <w:p w14:paraId="4F13B381">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6</w:t>
            </w:r>
          </w:p>
        </w:tc>
        <w:tc>
          <w:tcPr>
            <w:tcW w:w="483" w:type="pct"/>
            <w:vMerge w:val="restart"/>
            <w:shd w:val="clear" w:color="auto" w:fill="auto"/>
            <w:vAlign w:val="center"/>
          </w:tcPr>
          <w:p w14:paraId="41DA357A">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项目所设定的绩效目标是否依据充分，是否符合客观实际，用以反映和考核项目绩效目标与项目实施的相符情况。</w:t>
            </w:r>
          </w:p>
        </w:tc>
        <w:tc>
          <w:tcPr>
            <w:tcW w:w="636" w:type="pct"/>
            <w:vMerge w:val="restart"/>
            <w:shd w:val="clear" w:color="auto" w:fill="auto"/>
            <w:vAlign w:val="center"/>
          </w:tcPr>
          <w:p w14:paraId="6B426C73">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6E475D87">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项目绩效目标与实际工作内容是否具有相关性；</w:t>
            </w:r>
          </w:p>
          <w:p w14:paraId="42DBF7A8">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项目预期产出效益和效果是否符合正常的业绩水平；</w:t>
            </w:r>
          </w:p>
          <w:p w14:paraId="0BB8CC5D">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是否与预算确定的项目投资额或资金量相匹配；</w:t>
            </w:r>
          </w:p>
          <w:p w14:paraId="4B84C794">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（注：如未设置绩效目标，则考核其他工作任务目标）</w:t>
            </w:r>
          </w:p>
        </w:tc>
        <w:tc>
          <w:tcPr>
            <w:tcW w:w="369" w:type="pct"/>
            <w:shd w:val="clear" w:color="auto" w:fill="auto"/>
            <w:vAlign w:val="center"/>
          </w:tcPr>
          <w:p w14:paraId="3FE950A8">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绩效目标相关性</w:t>
            </w:r>
          </w:p>
        </w:tc>
        <w:tc>
          <w:tcPr>
            <w:tcW w:w="186" w:type="pct"/>
            <w:shd w:val="clear" w:color="auto" w:fill="auto"/>
            <w:vAlign w:val="center"/>
          </w:tcPr>
          <w:p w14:paraId="74C81957">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3B81166B">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6245CB6E">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项目绩效目标与实际工作内容是否具有相关性。</w:t>
            </w:r>
          </w:p>
        </w:tc>
        <w:tc>
          <w:tcPr>
            <w:tcW w:w="569" w:type="pct"/>
            <w:shd w:val="clear" w:color="auto" w:fill="auto"/>
            <w:vAlign w:val="center"/>
          </w:tcPr>
          <w:p w14:paraId="2A9A1C85">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7544E0D2">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2．对标评价要点</w:t>
            </w:r>
          </w:p>
          <w:p w14:paraId="6E71D591">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相关性强，得2分；其他情况酌情给分。</w:t>
            </w:r>
          </w:p>
        </w:tc>
        <w:tc>
          <w:tcPr>
            <w:tcW w:w="224" w:type="pct"/>
            <w:shd w:val="clear" w:color="auto" w:fill="auto"/>
            <w:noWrap/>
            <w:vAlign w:val="center"/>
          </w:tcPr>
          <w:p w14:paraId="201B107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592" w:type="pct"/>
            <w:shd w:val="clear" w:color="auto" w:fill="auto"/>
            <w:vAlign w:val="center"/>
          </w:tcPr>
          <w:p w14:paraId="49546C24">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2021年、2022年、2023年的年度目标设置不全面，综合扣除1.5分。</w:t>
            </w:r>
          </w:p>
        </w:tc>
      </w:tr>
      <w:tr w14:paraId="239A4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23E65A11">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571A0881">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1CC51DE6">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5118BCA5">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3D09F9B5">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42BD6095">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762F0712">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052F40AB">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00D08EC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绩效目标合理性</w:t>
            </w:r>
          </w:p>
        </w:tc>
        <w:tc>
          <w:tcPr>
            <w:tcW w:w="186" w:type="pct"/>
            <w:shd w:val="clear" w:color="auto" w:fill="auto"/>
            <w:vAlign w:val="center"/>
          </w:tcPr>
          <w:p w14:paraId="5C032E88">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011CEC01">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4D96A413">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项目预期产出效益和效果是否符合正常的业绩水平。</w:t>
            </w:r>
          </w:p>
        </w:tc>
        <w:tc>
          <w:tcPr>
            <w:tcW w:w="569" w:type="pct"/>
            <w:shd w:val="clear" w:color="auto" w:fill="auto"/>
            <w:vAlign w:val="center"/>
          </w:tcPr>
          <w:p w14:paraId="27215235">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445B905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2．对标评价要点</w:t>
            </w:r>
          </w:p>
          <w:p w14:paraId="07BE738B">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预期产出目标符合正常业绩水平和客观实际，得2分；绩效目标设置过高或过低，视具体情况酌情给分。</w:t>
            </w:r>
          </w:p>
        </w:tc>
        <w:tc>
          <w:tcPr>
            <w:tcW w:w="224" w:type="pct"/>
            <w:shd w:val="clear" w:color="auto" w:fill="auto"/>
            <w:noWrap/>
            <w:vAlign w:val="center"/>
          </w:tcPr>
          <w:p w14:paraId="3063459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592" w:type="pct"/>
            <w:shd w:val="clear" w:color="auto" w:fill="auto"/>
            <w:vAlign w:val="center"/>
          </w:tcPr>
          <w:p w14:paraId="6B72284B">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2021年绩效目标未量化设置。</w:t>
            </w:r>
          </w:p>
          <w:p w14:paraId="1580AF0C">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2022年设定的绩效目标不合理，</w:t>
            </w:r>
            <w:r>
              <w:rPr>
                <w:rFonts w:hint="eastAsia" w:ascii="Times New Roman" w:hAnsi="Times New Roman" w:eastAsia="宋体" w:cs="Times New Roman"/>
                <w:kern w:val="0"/>
                <w:sz w:val="16"/>
                <w:szCs w:val="16"/>
                <w:lang w:bidi="ar"/>
              </w:rPr>
              <w:t>预估的竣工时间与实际偏差过大</w:t>
            </w:r>
            <w:r>
              <w:rPr>
                <w:rFonts w:ascii="Times New Roman" w:hAnsi="Times New Roman" w:eastAsia="宋体" w:cs="Times New Roman"/>
                <w:kern w:val="0"/>
                <w:sz w:val="16"/>
                <w:szCs w:val="16"/>
                <w:lang w:bidi="ar"/>
              </w:rPr>
              <w:t>。</w:t>
            </w:r>
          </w:p>
          <w:p w14:paraId="04C8251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2023年设定的绩效目标不合理，项目尚未完成竣工结算。</w:t>
            </w:r>
          </w:p>
          <w:p w14:paraId="0D44CDDD">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综合扣除1.5分。</w:t>
            </w:r>
          </w:p>
        </w:tc>
      </w:tr>
      <w:tr w14:paraId="00D3A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6FEB3B41">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2E4D0F72">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5D56525E">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53A2C4B4">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2660FE17">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720083E1">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18D0528A">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0AFB3F18">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63B02FB8">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目标与资金规模匹配性</w:t>
            </w:r>
          </w:p>
        </w:tc>
        <w:tc>
          <w:tcPr>
            <w:tcW w:w="186" w:type="pct"/>
            <w:shd w:val="clear" w:color="auto" w:fill="auto"/>
            <w:vAlign w:val="center"/>
          </w:tcPr>
          <w:p w14:paraId="792381E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623C6A5D">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42C968FF">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项目产出目标是否与预算确定的项目投资额或资金量相匹配。</w:t>
            </w:r>
          </w:p>
        </w:tc>
        <w:tc>
          <w:tcPr>
            <w:tcW w:w="569" w:type="pct"/>
            <w:shd w:val="clear" w:color="auto" w:fill="auto"/>
            <w:vAlign w:val="center"/>
          </w:tcPr>
          <w:p w14:paraId="43CDD81A">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4AE832A3">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2．对标评价要点</w:t>
            </w:r>
          </w:p>
          <w:p w14:paraId="48EB8536">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绩效指标与资金规模匹配得2分；其他情况酌情给分。</w:t>
            </w:r>
          </w:p>
        </w:tc>
        <w:tc>
          <w:tcPr>
            <w:tcW w:w="224" w:type="pct"/>
            <w:shd w:val="clear" w:color="auto" w:fill="auto"/>
            <w:noWrap/>
            <w:vAlign w:val="center"/>
          </w:tcPr>
          <w:p w14:paraId="0E6234F9">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6896EB74">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2022年、2023年实际支出超出当年度的预算资金，综合扣除1分。</w:t>
            </w:r>
          </w:p>
        </w:tc>
      </w:tr>
      <w:tr w14:paraId="2E625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52CA8B63">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3F5234CD">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4FC067A0">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23544616">
            <w:pPr>
              <w:widowControl/>
              <w:adjustRightInd w:val="0"/>
              <w:snapToGrid w:val="0"/>
              <w:jc w:val="center"/>
              <w:rPr>
                <w:rFonts w:ascii="Times New Roman" w:hAnsi="Times New Roman" w:eastAsia="宋体" w:cs="Times New Roman"/>
                <w:sz w:val="16"/>
                <w:szCs w:val="16"/>
              </w:rPr>
            </w:pPr>
          </w:p>
        </w:tc>
        <w:tc>
          <w:tcPr>
            <w:tcW w:w="259" w:type="pct"/>
            <w:vMerge w:val="restart"/>
            <w:shd w:val="clear" w:color="auto" w:fill="auto"/>
            <w:vAlign w:val="center"/>
          </w:tcPr>
          <w:p w14:paraId="73116F1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绩效指标明确性</w:t>
            </w:r>
          </w:p>
        </w:tc>
        <w:tc>
          <w:tcPr>
            <w:tcW w:w="200" w:type="pct"/>
            <w:vMerge w:val="restart"/>
            <w:shd w:val="clear" w:color="auto" w:fill="auto"/>
            <w:vAlign w:val="center"/>
          </w:tcPr>
          <w:p w14:paraId="7EE0A36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4</w:t>
            </w:r>
          </w:p>
        </w:tc>
        <w:tc>
          <w:tcPr>
            <w:tcW w:w="483" w:type="pct"/>
            <w:vMerge w:val="restart"/>
            <w:shd w:val="clear" w:color="auto" w:fill="auto"/>
            <w:vAlign w:val="center"/>
          </w:tcPr>
          <w:p w14:paraId="0AEA31B1">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依据绩效目标设定的绩效指标是否清晰、细化、可衡量等，用以反映和考核项目绩效目标的明细化情况。</w:t>
            </w:r>
          </w:p>
        </w:tc>
        <w:tc>
          <w:tcPr>
            <w:tcW w:w="636" w:type="pct"/>
            <w:vMerge w:val="restart"/>
            <w:shd w:val="clear" w:color="auto" w:fill="auto"/>
            <w:vAlign w:val="center"/>
          </w:tcPr>
          <w:p w14:paraId="5581037B">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516F57A8">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是否将项目绩效目标细化分解为具体的绩效指标；</w:t>
            </w:r>
          </w:p>
          <w:p w14:paraId="378296EE">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是否通过清晰、可衡量的指标值予以体现；</w:t>
            </w:r>
          </w:p>
          <w:p w14:paraId="27E50C91">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是否与项目目标任务数或计划数相对应。</w:t>
            </w:r>
          </w:p>
          <w:p w14:paraId="191FE3EE">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④</w:t>
            </w:r>
            <w:r>
              <w:rPr>
                <w:rFonts w:ascii="Times New Roman" w:hAnsi="Times New Roman" w:eastAsia="宋体" w:cs="Times New Roman"/>
                <w:kern w:val="0"/>
                <w:sz w:val="16"/>
                <w:szCs w:val="16"/>
                <w:lang w:bidi="ar"/>
              </w:rPr>
              <w:t>是否与施工合同、设备采购合同等相符合。</w:t>
            </w:r>
          </w:p>
        </w:tc>
        <w:tc>
          <w:tcPr>
            <w:tcW w:w="369" w:type="pct"/>
            <w:shd w:val="clear" w:color="auto" w:fill="auto"/>
            <w:vAlign w:val="center"/>
          </w:tcPr>
          <w:p w14:paraId="7777DF59">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指标可操作性</w:t>
            </w:r>
          </w:p>
        </w:tc>
        <w:tc>
          <w:tcPr>
            <w:tcW w:w="186" w:type="pct"/>
            <w:shd w:val="clear" w:color="auto" w:fill="auto"/>
            <w:vAlign w:val="center"/>
          </w:tcPr>
          <w:p w14:paraId="4CC05AE2">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0A6B6C31">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56225058">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是否将项目绩效目标细化分解为具体的绩效指标；</w:t>
            </w:r>
          </w:p>
          <w:p w14:paraId="7D7110D0">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各个绩效指标是否通过清晰、可衡量的指标值予以体现。</w:t>
            </w:r>
          </w:p>
        </w:tc>
        <w:tc>
          <w:tcPr>
            <w:tcW w:w="569" w:type="pct"/>
            <w:shd w:val="clear" w:color="auto" w:fill="auto"/>
            <w:vAlign w:val="center"/>
          </w:tcPr>
          <w:p w14:paraId="759EFB63">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6F1F00AB">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2．对标评价要点</w:t>
            </w:r>
          </w:p>
          <w:p w14:paraId="13699C21">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细化：将绩效目标细化分解为具体的指标，得1分；否则酌情给分；</w:t>
            </w:r>
          </w:p>
          <w:p w14:paraId="55976924">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量化：设置的指标值清晰、可衡量，得1分；否则酌情给分。</w:t>
            </w:r>
          </w:p>
        </w:tc>
        <w:tc>
          <w:tcPr>
            <w:tcW w:w="224" w:type="pct"/>
            <w:shd w:val="clear" w:color="auto" w:fill="auto"/>
            <w:noWrap/>
            <w:vAlign w:val="center"/>
          </w:tcPr>
          <w:p w14:paraId="2CA96B09">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7A7C13C1">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2020年、2021年、2022年的质量指标未全面反映当年度工程建设内容。</w:t>
            </w:r>
          </w:p>
          <w:p w14:paraId="050ECB01">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2020—2023年的效益指标不合理、满意度指标不具体。</w:t>
            </w:r>
          </w:p>
          <w:p w14:paraId="238E8A74">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综合扣除1分。</w:t>
            </w:r>
          </w:p>
        </w:tc>
      </w:tr>
      <w:tr w14:paraId="39ECA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0E3ADDAE">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035708DF">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3CFC1061">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2D0D2A03">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6D118795">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548B5ECE">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01C0F276">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62224260">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57594ED8">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指标与目标对应性</w:t>
            </w:r>
          </w:p>
        </w:tc>
        <w:tc>
          <w:tcPr>
            <w:tcW w:w="186" w:type="pct"/>
            <w:shd w:val="clear" w:color="auto" w:fill="auto"/>
            <w:vAlign w:val="center"/>
          </w:tcPr>
          <w:p w14:paraId="18328984">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65D246A5">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4EED22E6">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指标设定是否与项目目标任务数或计划数相对应。</w:t>
            </w:r>
          </w:p>
          <w:p w14:paraId="7A60AE2A">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是否与施工合同、设备采购合同等相符合。</w:t>
            </w:r>
          </w:p>
        </w:tc>
        <w:tc>
          <w:tcPr>
            <w:tcW w:w="569" w:type="pct"/>
            <w:shd w:val="clear" w:color="auto" w:fill="auto"/>
            <w:vAlign w:val="center"/>
          </w:tcPr>
          <w:p w14:paraId="6A066E93">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13CCFE35">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2．对标评价要点</w:t>
            </w:r>
          </w:p>
          <w:p w14:paraId="3A40F3F2">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指向对象与项目目标任务相对应，得1分；否则酌情给分。</w:t>
            </w:r>
          </w:p>
          <w:p w14:paraId="68DB69B2">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指向对象与施工合同、设备采购合同等相符合，得1分；否则酌情给分。</w:t>
            </w:r>
          </w:p>
        </w:tc>
        <w:tc>
          <w:tcPr>
            <w:tcW w:w="224" w:type="pct"/>
            <w:shd w:val="clear" w:color="auto" w:fill="auto"/>
            <w:noWrap/>
            <w:vAlign w:val="center"/>
          </w:tcPr>
          <w:p w14:paraId="4472C940">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029F7232">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绩效指标未与建设内容一一对应，扣1分。</w:t>
            </w:r>
          </w:p>
        </w:tc>
      </w:tr>
      <w:tr w14:paraId="7332A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4712BD9F">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35014E82">
            <w:pPr>
              <w:widowControl/>
              <w:adjustRightInd w:val="0"/>
              <w:snapToGrid w:val="0"/>
              <w:jc w:val="center"/>
              <w:rPr>
                <w:rFonts w:ascii="Times New Roman" w:hAnsi="Times New Roman" w:eastAsia="宋体" w:cs="Times New Roman"/>
                <w:sz w:val="16"/>
                <w:szCs w:val="16"/>
              </w:rPr>
            </w:pPr>
          </w:p>
        </w:tc>
        <w:tc>
          <w:tcPr>
            <w:tcW w:w="196" w:type="pct"/>
            <w:vMerge w:val="restart"/>
            <w:shd w:val="clear" w:color="auto" w:fill="auto"/>
            <w:vAlign w:val="center"/>
          </w:tcPr>
          <w:p w14:paraId="0E2DB19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预算配置</w:t>
            </w:r>
          </w:p>
        </w:tc>
        <w:tc>
          <w:tcPr>
            <w:tcW w:w="187" w:type="pct"/>
            <w:vMerge w:val="restart"/>
            <w:shd w:val="clear" w:color="auto" w:fill="auto"/>
            <w:noWrap/>
            <w:vAlign w:val="center"/>
          </w:tcPr>
          <w:p w14:paraId="0A02919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6</w:t>
            </w:r>
          </w:p>
        </w:tc>
        <w:tc>
          <w:tcPr>
            <w:tcW w:w="259" w:type="pct"/>
            <w:vMerge w:val="restart"/>
            <w:shd w:val="clear" w:color="auto" w:fill="auto"/>
            <w:noWrap/>
            <w:vAlign w:val="center"/>
          </w:tcPr>
          <w:p w14:paraId="1F9866B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资金预算</w:t>
            </w:r>
          </w:p>
        </w:tc>
        <w:tc>
          <w:tcPr>
            <w:tcW w:w="200" w:type="pct"/>
            <w:vMerge w:val="restart"/>
            <w:shd w:val="clear" w:color="auto" w:fill="auto"/>
            <w:vAlign w:val="center"/>
          </w:tcPr>
          <w:p w14:paraId="34A91C93">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6</w:t>
            </w:r>
          </w:p>
        </w:tc>
        <w:tc>
          <w:tcPr>
            <w:tcW w:w="483" w:type="pct"/>
            <w:vMerge w:val="restart"/>
            <w:shd w:val="clear" w:color="auto" w:fill="auto"/>
            <w:vAlign w:val="center"/>
          </w:tcPr>
          <w:p w14:paraId="56B9FFAE">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预算资金安排的合法性、合理性、科学性和准确性；用以反映和考核预算资金的安排情况。</w:t>
            </w:r>
          </w:p>
          <w:p w14:paraId="38928C9B">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项目预算资金是否按照计划执行，用以反映或考核项目预算执行情况。</w:t>
            </w:r>
          </w:p>
          <w:p w14:paraId="6928DA57">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资金安排与专项债券支持领域及方向的匹配性情况。</w:t>
            </w:r>
          </w:p>
        </w:tc>
        <w:tc>
          <w:tcPr>
            <w:tcW w:w="636" w:type="pct"/>
            <w:vMerge w:val="restart"/>
            <w:shd w:val="clear" w:color="auto" w:fill="auto"/>
            <w:vAlign w:val="center"/>
          </w:tcPr>
          <w:p w14:paraId="5F4D391C">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3094CA87">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申请的资金是否符合法定程序，列入年初部门预算，还是中途追加；</w:t>
            </w:r>
          </w:p>
          <w:p w14:paraId="572A7156">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申请预算的依据是否充分合理，是否有有效的计费依据；</w:t>
            </w:r>
          </w:p>
          <w:p w14:paraId="124AD759">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预算费用的计算过程是否详细具体；</w:t>
            </w:r>
          </w:p>
          <w:p w14:paraId="5C342269">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④</w:t>
            </w:r>
            <w:r>
              <w:rPr>
                <w:rFonts w:ascii="Times New Roman" w:hAnsi="Times New Roman" w:eastAsia="宋体" w:cs="Times New Roman"/>
                <w:kern w:val="0"/>
                <w:sz w:val="16"/>
                <w:szCs w:val="16"/>
                <w:lang w:bidi="ar"/>
              </w:rPr>
              <w:t>申请的预算是否符合客观实际和市场价格水平；预算费用中途是否调整过，调整幅度是否控制；</w:t>
            </w:r>
          </w:p>
          <w:p w14:paraId="5718EF02">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⑤</w:t>
            </w:r>
            <w:r>
              <w:rPr>
                <w:rFonts w:ascii="Times New Roman" w:hAnsi="Times New Roman" w:eastAsia="宋体" w:cs="Times New Roman"/>
                <w:kern w:val="0"/>
                <w:sz w:val="16"/>
                <w:szCs w:val="16"/>
                <w:lang w:bidi="ar"/>
              </w:rPr>
              <w:t>预算执行率=（实际支出资金/年初预算资金）×100%。</w:t>
            </w:r>
          </w:p>
          <w:p w14:paraId="729609E6">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⑥</w:t>
            </w:r>
            <w:r>
              <w:rPr>
                <w:rFonts w:ascii="Times New Roman" w:hAnsi="Times New Roman" w:eastAsia="宋体" w:cs="Times New Roman"/>
                <w:kern w:val="0"/>
                <w:sz w:val="16"/>
                <w:szCs w:val="16"/>
                <w:lang w:bidi="ar"/>
              </w:rPr>
              <w:t>资金安排与专项债券支持领域及方向的匹配性情况。</w:t>
            </w:r>
          </w:p>
        </w:tc>
        <w:tc>
          <w:tcPr>
            <w:tcW w:w="369" w:type="pct"/>
            <w:shd w:val="clear" w:color="auto" w:fill="auto"/>
            <w:vAlign w:val="center"/>
          </w:tcPr>
          <w:p w14:paraId="0106A529">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预算编制合法性</w:t>
            </w:r>
          </w:p>
        </w:tc>
        <w:tc>
          <w:tcPr>
            <w:tcW w:w="186" w:type="pct"/>
            <w:shd w:val="clear" w:color="auto" w:fill="auto"/>
            <w:vAlign w:val="center"/>
          </w:tcPr>
          <w:p w14:paraId="76FAB8E2">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0B93AFA4">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3BC5D70F">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申请的资金是否符合法定程序，列入年初部门预算。</w:t>
            </w:r>
          </w:p>
        </w:tc>
        <w:tc>
          <w:tcPr>
            <w:tcW w:w="569" w:type="pct"/>
            <w:shd w:val="clear" w:color="auto" w:fill="auto"/>
            <w:vAlign w:val="center"/>
          </w:tcPr>
          <w:p w14:paraId="2FD821E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119A8C3E">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2．对标要点：程序合规，依据充分，得1分，否则不得分。</w:t>
            </w:r>
          </w:p>
        </w:tc>
        <w:tc>
          <w:tcPr>
            <w:tcW w:w="224" w:type="pct"/>
            <w:shd w:val="clear" w:color="auto" w:fill="auto"/>
            <w:noWrap/>
            <w:vAlign w:val="center"/>
          </w:tcPr>
          <w:p w14:paraId="7102E5C3">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17354F5F">
            <w:pPr>
              <w:widowControl/>
              <w:adjustRightInd w:val="0"/>
              <w:snapToGrid w:val="0"/>
              <w:rPr>
                <w:rFonts w:ascii="Times New Roman" w:hAnsi="Times New Roman" w:eastAsia="宋体" w:cs="Times New Roman"/>
                <w:sz w:val="16"/>
                <w:szCs w:val="16"/>
              </w:rPr>
            </w:pPr>
          </w:p>
        </w:tc>
      </w:tr>
      <w:tr w14:paraId="55E54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795B8D4D">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4848C7AC">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2B20DF56">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noWrap/>
            <w:vAlign w:val="center"/>
          </w:tcPr>
          <w:p w14:paraId="2724B585">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noWrap/>
            <w:vAlign w:val="center"/>
          </w:tcPr>
          <w:p w14:paraId="46546989">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2F618BC8">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4C3C376B">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3D26F3D1">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1A645AA4">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预算编制合理性</w:t>
            </w:r>
          </w:p>
        </w:tc>
        <w:tc>
          <w:tcPr>
            <w:tcW w:w="186" w:type="pct"/>
            <w:shd w:val="clear" w:color="auto" w:fill="auto"/>
            <w:vAlign w:val="center"/>
          </w:tcPr>
          <w:p w14:paraId="16F60485">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77182BF8">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755BB822">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申请预算的依据是否充分合理，是否有有效的计费依据。</w:t>
            </w:r>
          </w:p>
        </w:tc>
        <w:tc>
          <w:tcPr>
            <w:tcW w:w="569" w:type="pct"/>
            <w:shd w:val="clear" w:color="auto" w:fill="auto"/>
            <w:vAlign w:val="center"/>
          </w:tcPr>
          <w:p w14:paraId="5AB3F80C">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453FBC66">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2．对标要点：编制依据充分合理、有效，得1分，其他情况酌情给分。</w:t>
            </w:r>
          </w:p>
        </w:tc>
        <w:tc>
          <w:tcPr>
            <w:tcW w:w="224" w:type="pct"/>
            <w:shd w:val="clear" w:color="auto" w:fill="auto"/>
            <w:noWrap/>
            <w:vAlign w:val="center"/>
          </w:tcPr>
          <w:p w14:paraId="392B7F4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54BF9C8A">
            <w:pPr>
              <w:widowControl/>
              <w:adjustRightInd w:val="0"/>
              <w:snapToGrid w:val="0"/>
              <w:rPr>
                <w:rFonts w:ascii="Times New Roman" w:hAnsi="Times New Roman" w:eastAsia="宋体" w:cs="Times New Roman"/>
                <w:sz w:val="16"/>
                <w:szCs w:val="16"/>
              </w:rPr>
            </w:pPr>
          </w:p>
        </w:tc>
      </w:tr>
      <w:tr w14:paraId="19AAA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57B0EA7A">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39203877">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24230785">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noWrap/>
            <w:vAlign w:val="center"/>
          </w:tcPr>
          <w:p w14:paraId="6EE44E6F">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noWrap/>
            <w:vAlign w:val="center"/>
          </w:tcPr>
          <w:p w14:paraId="47A1DF5A">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2802503F">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7BCD3E79">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0BE2B400">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13202A3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预算编制准确性</w:t>
            </w:r>
          </w:p>
        </w:tc>
        <w:tc>
          <w:tcPr>
            <w:tcW w:w="186" w:type="pct"/>
            <w:shd w:val="clear" w:color="auto" w:fill="auto"/>
            <w:vAlign w:val="center"/>
          </w:tcPr>
          <w:p w14:paraId="540014A9">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22257655">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123953AD">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预算费用的计算过程是否详细具体。</w:t>
            </w:r>
          </w:p>
          <w:p w14:paraId="3C4BE18D">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申请的预算是否符合客观实际和市场价格水平，是否中途调整过预算费用，是否控制调整幅度。</w:t>
            </w:r>
          </w:p>
        </w:tc>
        <w:tc>
          <w:tcPr>
            <w:tcW w:w="569" w:type="pct"/>
            <w:shd w:val="clear" w:color="auto" w:fill="auto"/>
            <w:vAlign w:val="center"/>
          </w:tcPr>
          <w:p w14:paraId="46189F8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39AE19C6">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2．对标要点：计算过程详尽，依据充分，得0.5分，其他情况酌情给分。</w:t>
            </w:r>
          </w:p>
          <w:p w14:paraId="671F9F30">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3．对标要点：没有调整，得0.5分，调整率大于等于10%，扣0.1分，调整率绝对值每增加5%，扣0.1分，扣完为止。</w:t>
            </w:r>
          </w:p>
        </w:tc>
        <w:tc>
          <w:tcPr>
            <w:tcW w:w="224" w:type="pct"/>
            <w:shd w:val="clear" w:color="auto" w:fill="auto"/>
            <w:noWrap/>
            <w:vAlign w:val="center"/>
          </w:tcPr>
          <w:p w14:paraId="432AE19C">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5F1DEA19">
            <w:pPr>
              <w:widowControl/>
              <w:adjustRightInd w:val="0"/>
              <w:snapToGrid w:val="0"/>
              <w:rPr>
                <w:rFonts w:ascii="Times New Roman" w:hAnsi="Times New Roman" w:eastAsia="宋体" w:cs="Times New Roman"/>
                <w:sz w:val="16"/>
                <w:szCs w:val="16"/>
              </w:rPr>
            </w:pPr>
          </w:p>
        </w:tc>
      </w:tr>
      <w:tr w14:paraId="03C60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42988F4D">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71BE54DC">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2DCA7E99">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noWrap/>
            <w:vAlign w:val="center"/>
          </w:tcPr>
          <w:p w14:paraId="4C678507">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noWrap/>
            <w:vAlign w:val="center"/>
          </w:tcPr>
          <w:p w14:paraId="3A674864">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2750FEEB">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695047FF">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47E6FE8B">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03BFEC79">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预算执行率</w:t>
            </w:r>
          </w:p>
        </w:tc>
        <w:tc>
          <w:tcPr>
            <w:tcW w:w="186" w:type="pct"/>
            <w:shd w:val="clear" w:color="auto" w:fill="auto"/>
            <w:vAlign w:val="center"/>
          </w:tcPr>
          <w:p w14:paraId="74DF867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3E3773E1">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70654BFD">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项目预算资金是否按照计划执行，用以反映或考核项目预算执行情况。</w:t>
            </w:r>
          </w:p>
        </w:tc>
        <w:tc>
          <w:tcPr>
            <w:tcW w:w="569" w:type="pct"/>
            <w:shd w:val="clear" w:color="auto" w:fill="auto"/>
            <w:vAlign w:val="center"/>
          </w:tcPr>
          <w:p w14:paraId="79210D29">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0402DF99">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2．对标要点：得分=预算执行率*权重</w:t>
            </w:r>
          </w:p>
        </w:tc>
        <w:tc>
          <w:tcPr>
            <w:tcW w:w="224" w:type="pct"/>
            <w:shd w:val="clear" w:color="auto" w:fill="auto"/>
            <w:noWrap/>
            <w:vAlign w:val="center"/>
          </w:tcPr>
          <w:p w14:paraId="7D48B43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1.58</w:t>
            </w:r>
          </w:p>
        </w:tc>
        <w:tc>
          <w:tcPr>
            <w:tcW w:w="592" w:type="pct"/>
            <w:shd w:val="clear" w:color="auto" w:fill="auto"/>
            <w:vAlign w:val="center"/>
          </w:tcPr>
          <w:p w14:paraId="6937892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2020年预算支出2700.29万元，实际支出2561.64万元，预算执行率94.87%。</w:t>
            </w:r>
          </w:p>
          <w:p w14:paraId="1296C830">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2021年预算支出4350万元，实际支出4349.04万元，预算执行率99.98%。</w:t>
            </w:r>
          </w:p>
          <w:p w14:paraId="3D8A936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2022年预算支出4239.06万元，实际支出2613.40万元，预算执行率61.65%。</w:t>
            </w:r>
          </w:p>
          <w:p w14:paraId="0846D36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2023年预算支出2693.07万元，实际支出1623.76万元，预算执行率60.29%。</w:t>
            </w:r>
          </w:p>
          <w:p w14:paraId="2029EF17">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年均预算执行率为79.20%，加权得分为1.58分。</w:t>
            </w:r>
          </w:p>
        </w:tc>
      </w:tr>
      <w:tr w14:paraId="537A6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600CB0D6">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61E8FE7F">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42783889">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noWrap/>
            <w:vAlign w:val="center"/>
          </w:tcPr>
          <w:p w14:paraId="191DB6EA">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noWrap/>
            <w:vAlign w:val="center"/>
          </w:tcPr>
          <w:p w14:paraId="23FEEC00">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05B0904C">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619C7458">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4A2851C6">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07D5F1CC">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资金安排与专项债券支持领域及方向的匹配性</w:t>
            </w:r>
          </w:p>
        </w:tc>
        <w:tc>
          <w:tcPr>
            <w:tcW w:w="186" w:type="pct"/>
            <w:shd w:val="clear" w:color="auto" w:fill="auto"/>
            <w:vAlign w:val="center"/>
          </w:tcPr>
          <w:p w14:paraId="35A9E2EC">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517339F8">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4C83CED0">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环城路项目所属领域和方向是否属于国家规定的专项债券支持领域和方向。</w:t>
            </w:r>
          </w:p>
        </w:tc>
        <w:tc>
          <w:tcPr>
            <w:tcW w:w="569" w:type="pct"/>
            <w:shd w:val="clear" w:color="auto" w:fill="auto"/>
            <w:vAlign w:val="center"/>
          </w:tcPr>
          <w:p w14:paraId="77A1D4BB">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166AFB9A">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2．将东莞市谢岗镇工程建设中心环城路项目与专项债券支持领域及方向匹配程度分成“很匹配、较匹配、一般、不太匹配、不匹配”5个等级，采用5等级赋分法，折合成百分制计算匹配程度，最高分值为100分。</w:t>
            </w:r>
          </w:p>
        </w:tc>
        <w:tc>
          <w:tcPr>
            <w:tcW w:w="224" w:type="pct"/>
            <w:shd w:val="clear" w:color="auto" w:fill="auto"/>
            <w:noWrap/>
            <w:vAlign w:val="center"/>
          </w:tcPr>
          <w:p w14:paraId="21430B8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241EFA70">
            <w:pPr>
              <w:widowControl/>
              <w:adjustRightInd w:val="0"/>
              <w:snapToGrid w:val="0"/>
              <w:rPr>
                <w:rFonts w:ascii="Times New Roman" w:hAnsi="Times New Roman" w:eastAsia="宋体" w:cs="Times New Roman"/>
                <w:sz w:val="16"/>
                <w:szCs w:val="16"/>
              </w:rPr>
            </w:pPr>
          </w:p>
        </w:tc>
      </w:tr>
      <w:tr w14:paraId="1D8AF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1A14C4E4">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29D22EEE">
            <w:pPr>
              <w:widowControl/>
              <w:adjustRightInd w:val="0"/>
              <w:snapToGrid w:val="0"/>
              <w:jc w:val="center"/>
              <w:rPr>
                <w:rFonts w:ascii="Times New Roman" w:hAnsi="Times New Roman" w:eastAsia="宋体" w:cs="Times New Roman"/>
                <w:sz w:val="16"/>
                <w:szCs w:val="16"/>
              </w:rPr>
            </w:pPr>
          </w:p>
        </w:tc>
        <w:tc>
          <w:tcPr>
            <w:tcW w:w="196" w:type="pct"/>
            <w:vMerge w:val="restart"/>
            <w:shd w:val="clear" w:color="auto" w:fill="auto"/>
            <w:vAlign w:val="center"/>
          </w:tcPr>
          <w:p w14:paraId="7F5F1A9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逆指标</w:t>
            </w:r>
          </w:p>
        </w:tc>
        <w:tc>
          <w:tcPr>
            <w:tcW w:w="187" w:type="pct"/>
            <w:vMerge w:val="restart"/>
            <w:shd w:val="clear" w:color="auto" w:fill="auto"/>
            <w:vAlign w:val="center"/>
          </w:tcPr>
          <w:p w14:paraId="7E8C8459">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-5</w:t>
            </w:r>
          </w:p>
        </w:tc>
        <w:tc>
          <w:tcPr>
            <w:tcW w:w="259" w:type="pct"/>
            <w:shd w:val="clear" w:color="auto" w:fill="auto"/>
            <w:vAlign w:val="center"/>
          </w:tcPr>
          <w:p w14:paraId="6FBE34A7">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资金到位率</w:t>
            </w:r>
          </w:p>
        </w:tc>
        <w:tc>
          <w:tcPr>
            <w:tcW w:w="200" w:type="pct"/>
            <w:shd w:val="clear" w:color="auto" w:fill="auto"/>
            <w:vAlign w:val="center"/>
          </w:tcPr>
          <w:p w14:paraId="6EF6E147">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-3</w:t>
            </w:r>
          </w:p>
        </w:tc>
        <w:tc>
          <w:tcPr>
            <w:tcW w:w="483" w:type="pct"/>
            <w:shd w:val="clear" w:color="auto" w:fill="auto"/>
            <w:vAlign w:val="center"/>
          </w:tcPr>
          <w:p w14:paraId="102D4F51">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实际到位资金与计划投入资金的比率，用以反映和考核资金落实情况对项目实施的总体保障程度。</w:t>
            </w:r>
          </w:p>
        </w:tc>
        <w:tc>
          <w:tcPr>
            <w:tcW w:w="636" w:type="pct"/>
            <w:shd w:val="clear" w:color="auto" w:fill="auto"/>
            <w:vAlign w:val="center"/>
          </w:tcPr>
          <w:p w14:paraId="354886E8">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3A6C39C3">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资金到位率=（实际到位资金/计划投入资金）×100%。</w:t>
            </w:r>
          </w:p>
          <w:p w14:paraId="64F0D29E">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实际到位资金：一定时期（本年度或项目期）内实际落实到具体项目的资金（含配套资金）。</w:t>
            </w:r>
          </w:p>
          <w:p w14:paraId="05CCDD01">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计划投入资金：一定时期（本年度或项目期）内计划投入到具体项目的资金（含配套资金）。</w:t>
            </w:r>
          </w:p>
        </w:tc>
        <w:tc>
          <w:tcPr>
            <w:tcW w:w="369" w:type="pct"/>
            <w:shd w:val="clear" w:color="auto" w:fill="auto"/>
            <w:vAlign w:val="center"/>
          </w:tcPr>
          <w:p w14:paraId="1F472E88">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资金到位率</w:t>
            </w:r>
          </w:p>
        </w:tc>
        <w:tc>
          <w:tcPr>
            <w:tcW w:w="186" w:type="pct"/>
            <w:shd w:val="clear" w:color="auto" w:fill="auto"/>
            <w:vAlign w:val="center"/>
          </w:tcPr>
          <w:p w14:paraId="08D0CF9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-3</w:t>
            </w:r>
          </w:p>
        </w:tc>
        <w:tc>
          <w:tcPr>
            <w:tcW w:w="689" w:type="pct"/>
            <w:shd w:val="clear" w:color="auto" w:fill="auto"/>
            <w:vAlign w:val="center"/>
          </w:tcPr>
          <w:p w14:paraId="4DB929A0">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537EC16E">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评价项目市级、其他镇级、社会资本到位情况。</w:t>
            </w:r>
          </w:p>
        </w:tc>
        <w:tc>
          <w:tcPr>
            <w:tcW w:w="569" w:type="pct"/>
            <w:shd w:val="clear" w:color="auto" w:fill="auto"/>
            <w:vAlign w:val="center"/>
          </w:tcPr>
          <w:p w14:paraId="40CF7ECA">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733FDF73">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2．对标要点：90%—80%，扣1分；80%—70%，扣2分；小于70%扣3分。</w:t>
            </w:r>
          </w:p>
        </w:tc>
        <w:tc>
          <w:tcPr>
            <w:tcW w:w="224" w:type="pct"/>
            <w:shd w:val="clear" w:color="auto" w:fill="auto"/>
            <w:noWrap/>
            <w:vAlign w:val="center"/>
          </w:tcPr>
          <w:p w14:paraId="746C3756">
            <w:pPr>
              <w:widowControl/>
              <w:adjustRightInd w:val="0"/>
              <w:snapToGrid w:val="0"/>
              <w:jc w:val="center"/>
              <w:rPr>
                <w:rFonts w:ascii="Times New Roman" w:hAnsi="Times New Roman" w:eastAsia="宋体" w:cs="Times New Roman"/>
                <w:sz w:val="16"/>
                <w:szCs w:val="16"/>
              </w:rPr>
            </w:pPr>
          </w:p>
        </w:tc>
        <w:tc>
          <w:tcPr>
            <w:tcW w:w="592" w:type="pct"/>
            <w:shd w:val="clear" w:color="auto" w:fill="auto"/>
            <w:vAlign w:val="center"/>
          </w:tcPr>
          <w:p w14:paraId="7693C21E">
            <w:pPr>
              <w:widowControl/>
              <w:adjustRightInd w:val="0"/>
              <w:snapToGrid w:val="0"/>
              <w:rPr>
                <w:rFonts w:ascii="Times New Roman" w:hAnsi="Times New Roman" w:eastAsia="宋体" w:cs="Times New Roman"/>
                <w:sz w:val="16"/>
                <w:szCs w:val="16"/>
              </w:rPr>
            </w:pPr>
          </w:p>
        </w:tc>
      </w:tr>
      <w:tr w14:paraId="4022C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7840E3A7">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6C6A80F1">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4CE18061">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0206F98F">
            <w:pPr>
              <w:widowControl/>
              <w:adjustRightInd w:val="0"/>
              <w:snapToGrid w:val="0"/>
              <w:jc w:val="center"/>
              <w:rPr>
                <w:rFonts w:ascii="Times New Roman" w:hAnsi="Times New Roman" w:eastAsia="宋体" w:cs="Times New Roman"/>
                <w:sz w:val="16"/>
                <w:szCs w:val="16"/>
              </w:rPr>
            </w:pPr>
          </w:p>
        </w:tc>
        <w:tc>
          <w:tcPr>
            <w:tcW w:w="259" w:type="pct"/>
            <w:shd w:val="clear" w:color="auto" w:fill="auto"/>
            <w:vAlign w:val="center"/>
          </w:tcPr>
          <w:p w14:paraId="60A0A123">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资金到位及时率</w:t>
            </w:r>
          </w:p>
        </w:tc>
        <w:tc>
          <w:tcPr>
            <w:tcW w:w="200" w:type="pct"/>
            <w:shd w:val="clear" w:color="auto" w:fill="auto"/>
            <w:vAlign w:val="center"/>
          </w:tcPr>
          <w:p w14:paraId="0D52B2C8">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483" w:type="pct"/>
            <w:shd w:val="clear" w:color="auto" w:fill="auto"/>
            <w:vAlign w:val="center"/>
          </w:tcPr>
          <w:p w14:paraId="38A15ED3">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及时到位资金与应到位资金的比率，用以反映和考核项目资金落实的及时性程度。</w:t>
            </w:r>
          </w:p>
        </w:tc>
        <w:tc>
          <w:tcPr>
            <w:tcW w:w="636" w:type="pct"/>
            <w:shd w:val="clear" w:color="auto" w:fill="auto"/>
            <w:vAlign w:val="center"/>
          </w:tcPr>
          <w:p w14:paraId="21BF9906">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4E5E42E3">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到位及时率=（及时到位资金/应到位资金）×100%。</w:t>
            </w:r>
          </w:p>
          <w:p w14:paraId="1138D1CA">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及时到位资金：截至规定时点实际落实到具体项目的资金（含配套资金）。</w:t>
            </w:r>
          </w:p>
          <w:p w14:paraId="4BD4E542">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应到位资金：按照合同或项目进度要求截至规定时点应落实到具体项目的资金（含配套资金）。</w:t>
            </w:r>
          </w:p>
        </w:tc>
        <w:tc>
          <w:tcPr>
            <w:tcW w:w="369" w:type="pct"/>
            <w:shd w:val="clear" w:color="auto" w:fill="auto"/>
            <w:vAlign w:val="center"/>
          </w:tcPr>
          <w:p w14:paraId="416BFBA1">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资金到位及时率</w:t>
            </w:r>
          </w:p>
        </w:tc>
        <w:tc>
          <w:tcPr>
            <w:tcW w:w="186" w:type="pct"/>
            <w:shd w:val="clear" w:color="auto" w:fill="auto"/>
            <w:vAlign w:val="center"/>
          </w:tcPr>
          <w:p w14:paraId="66A1237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4EDB1746">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4618C05B">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评价项目市级、其他镇级、社会资本到位及时情况。</w:t>
            </w:r>
          </w:p>
        </w:tc>
        <w:tc>
          <w:tcPr>
            <w:tcW w:w="569" w:type="pct"/>
            <w:shd w:val="clear" w:color="auto" w:fill="auto"/>
            <w:vAlign w:val="center"/>
          </w:tcPr>
          <w:p w14:paraId="3E983A6D">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7106397E">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2．对标要点：80%—60%，扣1分；小于60%扣2分。</w:t>
            </w:r>
          </w:p>
        </w:tc>
        <w:tc>
          <w:tcPr>
            <w:tcW w:w="224" w:type="pct"/>
            <w:shd w:val="clear" w:color="auto" w:fill="auto"/>
            <w:noWrap/>
            <w:vAlign w:val="center"/>
          </w:tcPr>
          <w:p w14:paraId="16D88512">
            <w:pPr>
              <w:widowControl/>
              <w:adjustRightInd w:val="0"/>
              <w:snapToGrid w:val="0"/>
              <w:jc w:val="center"/>
              <w:rPr>
                <w:rFonts w:ascii="Times New Roman" w:hAnsi="Times New Roman" w:eastAsia="宋体" w:cs="Times New Roman"/>
                <w:sz w:val="16"/>
                <w:szCs w:val="16"/>
              </w:rPr>
            </w:pPr>
          </w:p>
        </w:tc>
        <w:tc>
          <w:tcPr>
            <w:tcW w:w="592" w:type="pct"/>
            <w:shd w:val="clear" w:color="auto" w:fill="auto"/>
            <w:vAlign w:val="center"/>
          </w:tcPr>
          <w:p w14:paraId="0B75C568">
            <w:pPr>
              <w:widowControl/>
              <w:adjustRightInd w:val="0"/>
              <w:snapToGrid w:val="0"/>
              <w:rPr>
                <w:rFonts w:ascii="Times New Roman" w:hAnsi="Times New Roman" w:eastAsia="宋体" w:cs="Times New Roman"/>
                <w:sz w:val="16"/>
                <w:szCs w:val="16"/>
              </w:rPr>
            </w:pPr>
          </w:p>
        </w:tc>
      </w:tr>
      <w:tr w14:paraId="5702B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restart"/>
            <w:shd w:val="clear" w:color="auto" w:fill="auto"/>
            <w:noWrap/>
            <w:textDirection w:val="tbRlV"/>
            <w:vAlign w:val="center"/>
          </w:tcPr>
          <w:p w14:paraId="122A9E0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项目管理</w:t>
            </w:r>
          </w:p>
        </w:tc>
        <w:tc>
          <w:tcPr>
            <w:tcW w:w="202" w:type="pct"/>
            <w:vMerge w:val="restart"/>
            <w:shd w:val="clear" w:color="auto" w:fill="auto"/>
            <w:noWrap/>
            <w:vAlign w:val="center"/>
          </w:tcPr>
          <w:p w14:paraId="07FD159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31</w:t>
            </w:r>
          </w:p>
        </w:tc>
        <w:tc>
          <w:tcPr>
            <w:tcW w:w="196" w:type="pct"/>
            <w:vMerge w:val="restart"/>
            <w:shd w:val="clear" w:color="auto" w:fill="auto"/>
            <w:vAlign w:val="center"/>
          </w:tcPr>
          <w:p w14:paraId="1332DBD0">
            <w:pPr>
              <w:widowControl/>
              <w:adjustRightInd w:val="0"/>
              <w:snapToGrid w:val="0"/>
              <w:jc w:val="center"/>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建设</w:t>
            </w:r>
          </w:p>
          <w:p w14:paraId="212781BF">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管理</w:t>
            </w:r>
          </w:p>
        </w:tc>
        <w:tc>
          <w:tcPr>
            <w:tcW w:w="187" w:type="pct"/>
            <w:vMerge w:val="restart"/>
            <w:shd w:val="clear" w:color="auto" w:fill="auto"/>
            <w:vAlign w:val="center"/>
          </w:tcPr>
          <w:p w14:paraId="03A9454C">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15.5</w:t>
            </w:r>
          </w:p>
        </w:tc>
        <w:tc>
          <w:tcPr>
            <w:tcW w:w="259" w:type="pct"/>
            <w:shd w:val="clear" w:color="auto" w:fill="auto"/>
            <w:vAlign w:val="center"/>
          </w:tcPr>
          <w:p w14:paraId="0FD41DF9">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公开招标执行率</w:t>
            </w:r>
          </w:p>
        </w:tc>
        <w:tc>
          <w:tcPr>
            <w:tcW w:w="200" w:type="pct"/>
            <w:shd w:val="clear" w:color="auto" w:fill="auto"/>
            <w:vAlign w:val="center"/>
          </w:tcPr>
          <w:p w14:paraId="578E971F">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483" w:type="pct"/>
            <w:shd w:val="clear" w:color="auto" w:fill="auto"/>
            <w:vAlign w:val="center"/>
          </w:tcPr>
          <w:p w14:paraId="14486CE9">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反映所有项目或服务进行公开招标的情况。</w:t>
            </w:r>
          </w:p>
        </w:tc>
        <w:tc>
          <w:tcPr>
            <w:tcW w:w="636" w:type="pct"/>
            <w:shd w:val="clear" w:color="auto" w:fill="auto"/>
            <w:vAlign w:val="center"/>
          </w:tcPr>
          <w:p w14:paraId="3986E8A8">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07984FD9">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反映所有项目或服务进行公开招标情况的指标；</w:t>
            </w:r>
          </w:p>
          <w:p w14:paraId="793BF100">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指标值=当期通过公开招标购买的数量/当期所采购的达到公开招标标准的数量×100%。</w:t>
            </w:r>
          </w:p>
        </w:tc>
        <w:tc>
          <w:tcPr>
            <w:tcW w:w="369" w:type="pct"/>
            <w:shd w:val="clear" w:color="auto" w:fill="auto"/>
            <w:vAlign w:val="center"/>
          </w:tcPr>
          <w:p w14:paraId="0B997D8C">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公开招标执行率</w:t>
            </w:r>
          </w:p>
        </w:tc>
        <w:tc>
          <w:tcPr>
            <w:tcW w:w="186" w:type="pct"/>
            <w:shd w:val="clear" w:color="auto" w:fill="auto"/>
            <w:vAlign w:val="center"/>
          </w:tcPr>
          <w:p w14:paraId="1A7210B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24F91B4C">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0398F706">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反映所有项目或服务进行公开招标情况的指标；</w:t>
            </w:r>
          </w:p>
          <w:p w14:paraId="1E494E70">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指标值=当期通过公开招标购买的数量/当期所采购的达到公开招标标准的数量×100%。</w:t>
            </w:r>
          </w:p>
        </w:tc>
        <w:tc>
          <w:tcPr>
            <w:tcW w:w="569" w:type="pct"/>
            <w:shd w:val="clear" w:color="auto" w:fill="auto"/>
            <w:vAlign w:val="center"/>
          </w:tcPr>
          <w:p w14:paraId="7D52ED6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716BB7DA">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2．对标要点：得分=公开招标执行率*权重。</w:t>
            </w:r>
          </w:p>
        </w:tc>
        <w:tc>
          <w:tcPr>
            <w:tcW w:w="224" w:type="pct"/>
            <w:shd w:val="clear" w:color="auto" w:fill="auto"/>
            <w:noWrap/>
            <w:vAlign w:val="center"/>
          </w:tcPr>
          <w:p w14:paraId="4C792234">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5E21F00B">
            <w:pPr>
              <w:widowControl/>
              <w:adjustRightInd w:val="0"/>
              <w:snapToGrid w:val="0"/>
              <w:rPr>
                <w:rFonts w:ascii="Times New Roman" w:hAnsi="Times New Roman" w:eastAsia="宋体" w:cs="Times New Roman"/>
                <w:sz w:val="16"/>
                <w:szCs w:val="16"/>
              </w:rPr>
            </w:pPr>
          </w:p>
        </w:tc>
      </w:tr>
      <w:tr w14:paraId="3B4C7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1E318A21">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6D8CE582">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514D9E0B">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29B4E28A">
            <w:pPr>
              <w:widowControl/>
              <w:adjustRightInd w:val="0"/>
              <w:snapToGrid w:val="0"/>
              <w:jc w:val="center"/>
              <w:rPr>
                <w:rFonts w:ascii="Times New Roman" w:hAnsi="Times New Roman" w:eastAsia="宋体" w:cs="Times New Roman"/>
                <w:sz w:val="16"/>
                <w:szCs w:val="16"/>
              </w:rPr>
            </w:pPr>
          </w:p>
        </w:tc>
        <w:tc>
          <w:tcPr>
            <w:tcW w:w="259" w:type="pct"/>
            <w:vMerge w:val="restart"/>
            <w:shd w:val="clear" w:color="auto" w:fill="auto"/>
            <w:vAlign w:val="center"/>
          </w:tcPr>
          <w:p w14:paraId="1B639A1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管理制度健全性</w:t>
            </w:r>
          </w:p>
        </w:tc>
        <w:tc>
          <w:tcPr>
            <w:tcW w:w="200" w:type="pct"/>
            <w:vMerge w:val="restart"/>
            <w:shd w:val="clear" w:color="auto" w:fill="auto"/>
            <w:vAlign w:val="center"/>
          </w:tcPr>
          <w:p w14:paraId="571BCCB5">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483" w:type="pct"/>
            <w:vMerge w:val="restart"/>
            <w:shd w:val="clear" w:color="auto" w:fill="auto"/>
            <w:vAlign w:val="center"/>
          </w:tcPr>
          <w:p w14:paraId="60891FDB">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项目实施单位的工程项目管理、绩效管理制度是否健全，用以反映和考核业务管理制度对项目顺利实施的保障情况。</w:t>
            </w:r>
          </w:p>
        </w:tc>
        <w:tc>
          <w:tcPr>
            <w:tcW w:w="636" w:type="pct"/>
            <w:vMerge w:val="restart"/>
            <w:shd w:val="clear" w:color="auto" w:fill="auto"/>
            <w:vAlign w:val="center"/>
          </w:tcPr>
          <w:p w14:paraId="0798082D">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6E7E643C">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是否已制定或具有相应的工程项目管理制度、绩效管理制度；</w:t>
            </w:r>
          </w:p>
          <w:p w14:paraId="01D8535A">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业务管理制度是否合法、合规、完整。</w:t>
            </w:r>
          </w:p>
          <w:p w14:paraId="6302596B">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项目支出绩效是否纳入本单位年度工作总结内容。</w:t>
            </w:r>
          </w:p>
        </w:tc>
        <w:tc>
          <w:tcPr>
            <w:tcW w:w="369" w:type="pct"/>
            <w:shd w:val="clear" w:color="auto" w:fill="auto"/>
            <w:vAlign w:val="center"/>
          </w:tcPr>
          <w:p w14:paraId="6C2D40C7">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制度健全性</w:t>
            </w:r>
          </w:p>
        </w:tc>
        <w:tc>
          <w:tcPr>
            <w:tcW w:w="186" w:type="pct"/>
            <w:shd w:val="clear" w:color="auto" w:fill="auto"/>
            <w:vAlign w:val="center"/>
          </w:tcPr>
          <w:p w14:paraId="1F1AFA25">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68FB2DFD">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072026DE">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是否已制定或具有相应的工程项目财务、业务、绩效管理制度；</w:t>
            </w:r>
          </w:p>
          <w:p w14:paraId="777FD1F6">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项目支出绩效是否纳入本单位年度工作总结内容。</w:t>
            </w:r>
          </w:p>
        </w:tc>
        <w:tc>
          <w:tcPr>
            <w:tcW w:w="569" w:type="pct"/>
            <w:shd w:val="clear" w:color="auto" w:fill="auto"/>
            <w:vAlign w:val="center"/>
          </w:tcPr>
          <w:p w14:paraId="7DA6B6DC">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7FC216B8">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2．对标要点：健全，得1分，其他情况酌情给分。</w:t>
            </w:r>
          </w:p>
        </w:tc>
        <w:tc>
          <w:tcPr>
            <w:tcW w:w="224" w:type="pct"/>
            <w:shd w:val="clear" w:color="auto" w:fill="auto"/>
            <w:noWrap/>
            <w:vAlign w:val="center"/>
          </w:tcPr>
          <w:p w14:paraId="53EE9A5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03A3BB13">
            <w:pPr>
              <w:widowControl/>
              <w:adjustRightInd w:val="0"/>
              <w:snapToGrid w:val="0"/>
              <w:rPr>
                <w:rFonts w:ascii="Times New Roman" w:hAnsi="Times New Roman" w:eastAsia="宋体" w:cs="Times New Roman"/>
                <w:sz w:val="16"/>
                <w:szCs w:val="16"/>
              </w:rPr>
            </w:pPr>
          </w:p>
        </w:tc>
      </w:tr>
      <w:tr w14:paraId="2EB59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7F48B3DD">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23292F74">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7E0E4CE1">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05A8487B">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23F14A29">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7AB6D890">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539F0C10">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179EB67B">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3ECB390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制度合法合规性</w:t>
            </w:r>
          </w:p>
        </w:tc>
        <w:tc>
          <w:tcPr>
            <w:tcW w:w="186" w:type="pct"/>
            <w:shd w:val="clear" w:color="auto" w:fill="auto"/>
            <w:vAlign w:val="center"/>
          </w:tcPr>
          <w:p w14:paraId="155822D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713DE673">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6EBEC123">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实施单位财务、业务和绩效管理制度是否合法、合规、完整。</w:t>
            </w:r>
          </w:p>
        </w:tc>
        <w:tc>
          <w:tcPr>
            <w:tcW w:w="569" w:type="pct"/>
            <w:shd w:val="clear" w:color="auto" w:fill="auto"/>
            <w:vAlign w:val="center"/>
          </w:tcPr>
          <w:p w14:paraId="27044331">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699282CB">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2．对标要点：财务、业务、绩效管理制度合法、合规，得1分，否则不得分。</w:t>
            </w:r>
          </w:p>
        </w:tc>
        <w:tc>
          <w:tcPr>
            <w:tcW w:w="224" w:type="pct"/>
            <w:shd w:val="clear" w:color="auto" w:fill="auto"/>
            <w:noWrap/>
            <w:vAlign w:val="center"/>
          </w:tcPr>
          <w:p w14:paraId="34B09757">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75AAA62A">
            <w:pPr>
              <w:widowControl/>
              <w:adjustRightInd w:val="0"/>
              <w:snapToGrid w:val="0"/>
              <w:rPr>
                <w:rFonts w:ascii="Times New Roman" w:hAnsi="Times New Roman" w:eastAsia="宋体" w:cs="Times New Roman"/>
                <w:sz w:val="16"/>
                <w:szCs w:val="16"/>
              </w:rPr>
            </w:pPr>
          </w:p>
        </w:tc>
      </w:tr>
      <w:tr w14:paraId="78CA4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076E39F6">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2AB241E0">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1395E7FF">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78F1EF42">
            <w:pPr>
              <w:widowControl/>
              <w:adjustRightInd w:val="0"/>
              <w:snapToGrid w:val="0"/>
              <w:jc w:val="center"/>
              <w:rPr>
                <w:rFonts w:ascii="Times New Roman" w:hAnsi="Times New Roman" w:eastAsia="宋体" w:cs="Times New Roman"/>
                <w:sz w:val="16"/>
                <w:szCs w:val="16"/>
              </w:rPr>
            </w:pPr>
          </w:p>
        </w:tc>
        <w:tc>
          <w:tcPr>
            <w:tcW w:w="259" w:type="pct"/>
            <w:vMerge w:val="restart"/>
            <w:shd w:val="clear" w:color="auto" w:fill="auto"/>
            <w:vAlign w:val="center"/>
          </w:tcPr>
          <w:p w14:paraId="7474BE12">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管理制度执行有效性</w:t>
            </w:r>
          </w:p>
        </w:tc>
        <w:tc>
          <w:tcPr>
            <w:tcW w:w="200" w:type="pct"/>
            <w:vMerge w:val="restart"/>
            <w:shd w:val="clear" w:color="auto" w:fill="auto"/>
            <w:vAlign w:val="center"/>
          </w:tcPr>
          <w:p w14:paraId="3DACA58F">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4.5</w:t>
            </w:r>
          </w:p>
        </w:tc>
        <w:tc>
          <w:tcPr>
            <w:tcW w:w="483" w:type="pct"/>
            <w:vMerge w:val="restart"/>
            <w:shd w:val="clear" w:color="auto" w:fill="auto"/>
            <w:vAlign w:val="center"/>
          </w:tcPr>
          <w:p w14:paraId="235843E1">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项目实施是否符合相关业务管理规定，用以反映和考核业务绩效管理制度的有效执行情况。</w:t>
            </w:r>
          </w:p>
        </w:tc>
        <w:tc>
          <w:tcPr>
            <w:tcW w:w="636" w:type="pct"/>
            <w:vMerge w:val="restart"/>
            <w:shd w:val="clear" w:color="auto" w:fill="auto"/>
            <w:vAlign w:val="center"/>
          </w:tcPr>
          <w:p w14:paraId="0C30DBEB">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49717D4B">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是否遵守相关法律法规和业务管理规定；</w:t>
            </w:r>
          </w:p>
          <w:p w14:paraId="21E0858F">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项目在征地拆迁、政府采购、工程招投标方面执行制度的情况；</w:t>
            </w:r>
          </w:p>
          <w:p w14:paraId="3D707439">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项目开工前工程报建手续是否按规定及时办理；</w:t>
            </w:r>
          </w:p>
          <w:p w14:paraId="1E278E2B">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④</w:t>
            </w:r>
            <w:r>
              <w:rPr>
                <w:rFonts w:ascii="Times New Roman" w:hAnsi="Times New Roman" w:eastAsia="宋体" w:cs="Times New Roman"/>
                <w:kern w:val="0"/>
                <w:sz w:val="16"/>
                <w:szCs w:val="16"/>
                <w:lang w:bidi="ar"/>
              </w:rPr>
              <w:t>项目在工程竣工验收方面是否按规定及时办理；</w:t>
            </w:r>
          </w:p>
          <w:p w14:paraId="6E85CAD4">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⑤</w:t>
            </w:r>
            <w:r>
              <w:rPr>
                <w:rFonts w:ascii="Times New Roman" w:hAnsi="Times New Roman" w:eastAsia="宋体" w:cs="Times New Roman"/>
                <w:kern w:val="0"/>
                <w:sz w:val="16"/>
                <w:szCs w:val="16"/>
                <w:lang w:bidi="ar"/>
              </w:rPr>
              <w:t>项目合同书、验收报告、技术鉴定等工程竣工资料是否齐全并及时归档；</w:t>
            </w:r>
          </w:p>
          <w:p w14:paraId="1DC32499">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⑥</w:t>
            </w:r>
            <w:r>
              <w:rPr>
                <w:rFonts w:ascii="Times New Roman" w:hAnsi="Times New Roman" w:eastAsia="宋体" w:cs="Times New Roman"/>
                <w:kern w:val="0"/>
                <w:sz w:val="16"/>
                <w:szCs w:val="16"/>
                <w:lang w:bidi="ar"/>
              </w:rPr>
              <w:t>项目工程结算、竣工财务决算是否按规定及时办结。</w:t>
            </w:r>
          </w:p>
        </w:tc>
        <w:tc>
          <w:tcPr>
            <w:tcW w:w="369" w:type="pct"/>
            <w:shd w:val="clear" w:color="auto" w:fill="auto"/>
            <w:vAlign w:val="center"/>
          </w:tcPr>
          <w:p w14:paraId="625FC58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项目实施合规性</w:t>
            </w:r>
          </w:p>
        </w:tc>
        <w:tc>
          <w:tcPr>
            <w:tcW w:w="186" w:type="pct"/>
            <w:shd w:val="clear" w:color="auto" w:fill="auto"/>
            <w:vAlign w:val="center"/>
          </w:tcPr>
          <w:p w14:paraId="0F2A35AC">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689" w:type="pct"/>
            <w:shd w:val="clear" w:color="auto" w:fill="auto"/>
            <w:vAlign w:val="center"/>
          </w:tcPr>
          <w:p w14:paraId="6159C898">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4C716980">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项目实施是否遵守相关法律法规和业务管理规定。</w:t>
            </w:r>
          </w:p>
        </w:tc>
        <w:tc>
          <w:tcPr>
            <w:tcW w:w="569" w:type="pct"/>
            <w:shd w:val="clear" w:color="auto" w:fill="auto"/>
            <w:vAlign w:val="center"/>
          </w:tcPr>
          <w:p w14:paraId="35E93E20">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5001174F">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2．对标要点：合规，得0.5分；不合规不得分。</w:t>
            </w:r>
          </w:p>
        </w:tc>
        <w:tc>
          <w:tcPr>
            <w:tcW w:w="224" w:type="pct"/>
            <w:shd w:val="clear" w:color="auto" w:fill="auto"/>
            <w:noWrap/>
            <w:vAlign w:val="center"/>
          </w:tcPr>
          <w:p w14:paraId="54E808B1">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w:t>
            </w:r>
          </w:p>
        </w:tc>
        <w:tc>
          <w:tcPr>
            <w:tcW w:w="592" w:type="pct"/>
            <w:shd w:val="clear" w:color="auto" w:fill="auto"/>
            <w:vAlign w:val="center"/>
          </w:tcPr>
          <w:p w14:paraId="64A243B8">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工资及考勤台账签名不规范。</w:t>
            </w:r>
          </w:p>
          <w:p w14:paraId="400CC661">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工程变更先实施后审批。</w:t>
            </w:r>
          </w:p>
          <w:p w14:paraId="45235D97">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不得分。</w:t>
            </w:r>
          </w:p>
        </w:tc>
      </w:tr>
      <w:tr w14:paraId="4FACA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03460D52">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3179C2DB">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27350AA7">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38E670E6">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7B860549">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5F85CAA3">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2ABBB8A4">
            <w:pPr>
              <w:widowControl/>
              <w:adjustRightInd w:val="0"/>
              <w:snapToGrid w:val="0"/>
              <w:jc w:val="center"/>
              <w:rPr>
                <w:rFonts w:ascii="Times New Roman" w:hAnsi="Times New Roman" w:eastAsia="宋体" w:cs="Times New Roman"/>
                <w:sz w:val="16"/>
                <w:szCs w:val="16"/>
              </w:rPr>
            </w:pPr>
          </w:p>
        </w:tc>
        <w:tc>
          <w:tcPr>
            <w:tcW w:w="636" w:type="pct"/>
            <w:vMerge w:val="continue"/>
            <w:shd w:val="clear" w:color="auto" w:fill="auto"/>
            <w:vAlign w:val="center"/>
          </w:tcPr>
          <w:p w14:paraId="7EA734DB">
            <w:pPr>
              <w:widowControl/>
              <w:adjustRightInd w:val="0"/>
              <w:snapToGrid w:val="0"/>
              <w:jc w:val="left"/>
              <w:rPr>
                <w:rFonts w:ascii="Times New Roman" w:hAnsi="Times New Roman" w:eastAsia="宋体" w:cs="Times New Roman"/>
                <w:sz w:val="16"/>
                <w:szCs w:val="16"/>
              </w:rPr>
            </w:pPr>
          </w:p>
        </w:tc>
        <w:tc>
          <w:tcPr>
            <w:tcW w:w="369" w:type="pct"/>
            <w:shd w:val="clear" w:color="auto" w:fill="auto"/>
            <w:vAlign w:val="center"/>
          </w:tcPr>
          <w:p w14:paraId="6FA3A81F">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工程征地拆迁合规性</w:t>
            </w:r>
          </w:p>
        </w:tc>
        <w:tc>
          <w:tcPr>
            <w:tcW w:w="186" w:type="pct"/>
            <w:shd w:val="clear" w:color="auto" w:fill="auto"/>
            <w:vAlign w:val="center"/>
          </w:tcPr>
          <w:p w14:paraId="7475A31F">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689" w:type="pct"/>
            <w:shd w:val="clear" w:color="auto" w:fill="auto"/>
            <w:vAlign w:val="center"/>
          </w:tcPr>
          <w:p w14:paraId="5FFFD1D3">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74216557">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项目征地拆迁执行制度的情况。</w:t>
            </w:r>
          </w:p>
        </w:tc>
        <w:tc>
          <w:tcPr>
            <w:tcW w:w="569" w:type="pct"/>
            <w:shd w:val="clear" w:color="auto" w:fill="auto"/>
            <w:vAlign w:val="center"/>
          </w:tcPr>
          <w:p w14:paraId="4039A4B4">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7E706F05">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2．对标要点：合规，得0.5分；不合规不得分。</w:t>
            </w:r>
          </w:p>
        </w:tc>
        <w:tc>
          <w:tcPr>
            <w:tcW w:w="224" w:type="pct"/>
            <w:shd w:val="clear" w:color="auto" w:fill="auto"/>
            <w:noWrap/>
            <w:vAlign w:val="center"/>
          </w:tcPr>
          <w:p w14:paraId="3A6006A8">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592" w:type="pct"/>
            <w:shd w:val="clear" w:color="auto" w:fill="auto"/>
            <w:vAlign w:val="center"/>
          </w:tcPr>
          <w:p w14:paraId="10EC2DFB">
            <w:pPr>
              <w:widowControl/>
              <w:adjustRightInd w:val="0"/>
              <w:snapToGrid w:val="0"/>
              <w:rPr>
                <w:rFonts w:ascii="Times New Roman" w:hAnsi="Times New Roman" w:eastAsia="宋体" w:cs="Times New Roman"/>
                <w:sz w:val="16"/>
                <w:szCs w:val="16"/>
              </w:rPr>
            </w:pPr>
          </w:p>
        </w:tc>
      </w:tr>
      <w:tr w14:paraId="2CBAC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2E65A506">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0C78A94E">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0C03CBD0">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08AEA011">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2E3F53D0">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4E7F2FC6">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00589746">
            <w:pPr>
              <w:widowControl/>
              <w:adjustRightInd w:val="0"/>
              <w:snapToGrid w:val="0"/>
              <w:jc w:val="center"/>
              <w:rPr>
                <w:rFonts w:ascii="Times New Roman" w:hAnsi="Times New Roman" w:eastAsia="宋体" w:cs="Times New Roman"/>
                <w:sz w:val="16"/>
                <w:szCs w:val="16"/>
              </w:rPr>
            </w:pPr>
          </w:p>
        </w:tc>
        <w:tc>
          <w:tcPr>
            <w:tcW w:w="636" w:type="pct"/>
            <w:vMerge w:val="continue"/>
            <w:shd w:val="clear" w:color="auto" w:fill="auto"/>
            <w:vAlign w:val="center"/>
          </w:tcPr>
          <w:p w14:paraId="61B011D3">
            <w:pPr>
              <w:widowControl/>
              <w:adjustRightInd w:val="0"/>
              <w:snapToGrid w:val="0"/>
              <w:jc w:val="left"/>
              <w:rPr>
                <w:rFonts w:ascii="Times New Roman" w:hAnsi="Times New Roman" w:eastAsia="宋体" w:cs="Times New Roman"/>
                <w:sz w:val="16"/>
                <w:szCs w:val="16"/>
              </w:rPr>
            </w:pPr>
          </w:p>
        </w:tc>
        <w:tc>
          <w:tcPr>
            <w:tcW w:w="369" w:type="pct"/>
            <w:shd w:val="clear" w:color="auto" w:fill="auto"/>
            <w:vAlign w:val="center"/>
          </w:tcPr>
          <w:p w14:paraId="3AA8AAB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项目报建手续完备性</w:t>
            </w:r>
          </w:p>
        </w:tc>
        <w:tc>
          <w:tcPr>
            <w:tcW w:w="186" w:type="pct"/>
            <w:shd w:val="clear" w:color="auto" w:fill="auto"/>
            <w:vAlign w:val="center"/>
          </w:tcPr>
          <w:p w14:paraId="73AAE9C7">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7ED75E51">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274A4057">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项目开工前工程报建手续是否按规定及时办理。</w:t>
            </w:r>
          </w:p>
        </w:tc>
        <w:tc>
          <w:tcPr>
            <w:tcW w:w="569" w:type="pct"/>
            <w:shd w:val="clear" w:color="auto" w:fill="auto"/>
            <w:vAlign w:val="center"/>
          </w:tcPr>
          <w:p w14:paraId="66930745">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318ACEB7">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2．对标要点：完备，得1分；不完备不得分。</w:t>
            </w:r>
          </w:p>
        </w:tc>
        <w:tc>
          <w:tcPr>
            <w:tcW w:w="224" w:type="pct"/>
            <w:shd w:val="clear" w:color="auto" w:fill="auto"/>
            <w:noWrap/>
            <w:vAlign w:val="center"/>
          </w:tcPr>
          <w:p w14:paraId="3529047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w:t>
            </w:r>
          </w:p>
        </w:tc>
        <w:tc>
          <w:tcPr>
            <w:tcW w:w="592" w:type="pct"/>
            <w:shd w:val="clear" w:color="auto" w:fill="auto"/>
            <w:vAlign w:val="center"/>
          </w:tcPr>
          <w:p w14:paraId="019E3097">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未按规定办理安全监督手续先行开工，不得分。</w:t>
            </w:r>
          </w:p>
        </w:tc>
      </w:tr>
      <w:tr w14:paraId="4A1A0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14E538BA">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38BDEFCE">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69A584D1">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0DE53952">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2DD4A7C7">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52353E7B">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5FAACF92">
            <w:pPr>
              <w:widowControl/>
              <w:adjustRightInd w:val="0"/>
              <w:snapToGrid w:val="0"/>
              <w:jc w:val="center"/>
              <w:rPr>
                <w:rFonts w:ascii="Times New Roman" w:hAnsi="Times New Roman" w:eastAsia="宋体" w:cs="Times New Roman"/>
                <w:sz w:val="16"/>
                <w:szCs w:val="16"/>
              </w:rPr>
            </w:pPr>
          </w:p>
        </w:tc>
        <w:tc>
          <w:tcPr>
            <w:tcW w:w="636" w:type="pct"/>
            <w:vMerge w:val="continue"/>
            <w:shd w:val="clear" w:color="auto" w:fill="auto"/>
            <w:vAlign w:val="center"/>
          </w:tcPr>
          <w:p w14:paraId="36E9FA8B">
            <w:pPr>
              <w:widowControl/>
              <w:adjustRightInd w:val="0"/>
              <w:snapToGrid w:val="0"/>
              <w:jc w:val="left"/>
              <w:rPr>
                <w:rFonts w:ascii="Times New Roman" w:hAnsi="Times New Roman" w:eastAsia="宋体" w:cs="Times New Roman"/>
                <w:sz w:val="16"/>
                <w:szCs w:val="16"/>
              </w:rPr>
            </w:pPr>
          </w:p>
        </w:tc>
        <w:tc>
          <w:tcPr>
            <w:tcW w:w="369" w:type="pct"/>
            <w:shd w:val="clear" w:color="auto" w:fill="auto"/>
            <w:vAlign w:val="center"/>
          </w:tcPr>
          <w:p w14:paraId="493D6C8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工程竣工验收合规性</w:t>
            </w:r>
          </w:p>
        </w:tc>
        <w:tc>
          <w:tcPr>
            <w:tcW w:w="186" w:type="pct"/>
            <w:shd w:val="clear" w:color="auto" w:fill="auto"/>
            <w:vAlign w:val="center"/>
          </w:tcPr>
          <w:p w14:paraId="547A570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689" w:type="pct"/>
            <w:shd w:val="clear" w:color="auto" w:fill="auto"/>
            <w:vAlign w:val="center"/>
          </w:tcPr>
          <w:p w14:paraId="746A9B42">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38D337C0">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项目在工程竣工验收方面执行制度的情况。</w:t>
            </w:r>
          </w:p>
        </w:tc>
        <w:tc>
          <w:tcPr>
            <w:tcW w:w="569" w:type="pct"/>
            <w:shd w:val="clear" w:color="auto" w:fill="auto"/>
            <w:vAlign w:val="center"/>
          </w:tcPr>
          <w:p w14:paraId="1A0E957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3C89ED52">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2．对标要点：合规，得0.5分；不合规不得分。</w:t>
            </w:r>
          </w:p>
        </w:tc>
        <w:tc>
          <w:tcPr>
            <w:tcW w:w="224" w:type="pct"/>
            <w:shd w:val="clear" w:color="auto" w:fill="auto"/>
            <w:noWrap/>
            <w:vAlign w:val="center"/>
          </w:tcPr>
          <w:p w14:paraId="126247DF">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592" w:type="pct"/>
            <w:shd w:val="clear" w:color="auto" w:fill="auto"/>
            <w:vAlign w:val="center"/>
          </w:tcPr>
          <w:p w14:paraId="5F6BEAC2">
            <w:pPr>
              <w:widowControl/>
              <w:adjustRightInd w:val="0"/>
              <w:snapToGrid w:val="0"/>
              <w:rPr>
                <w:rFonts w:ascii="Times New Roman" w:hAnsi="Times New Roman" w:eastAsia="宋体" w:cs="Times New Roman"/>
                <w:sz w:val="16"/>
                <w:szCs w:val="16"/>
              </w:rPr>
            </w:pPr>
          </w:p>
        </w:tc>
      </w:tr>
      <w:tr w14:paraId="57F01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64E03128">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07CAC67E">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092D8606">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327B5B23">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41642814">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3A62635A">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6B8A5699">
            <w:pPr>
              <w:widowControl/>
              <w:adjustRightInd w:val="0"/>
              <w:snapToGrid w:val="0"/>
              <w:jc w:val="center"/>
              <w:rPr>
                <w:rFonts w:ascii="Times New Roman" w:hAnsi="Times New Roman" w:eastAsia="宋体" w:cs="Times New Roman"/>
                <w:sz w:val="16"/>
                <w:szCs w:val="16"/>
              </w:rPr>
            </w:pPr>
          </w:p>
        </w:tc>
        <w:tc>
          <w:tcPr>
            <w:tcW w:w="636" w:type="pct"/>
            <w:vMerge w:val="continue"/>
            <w:shd w:val="clear" w:color="auto" w:fill="auto"/>
            <w:vAlign w:val="center"/>
          </w:tcPr>
          <w:p w14:paraId="352922CB">
            <w:pPr>
              <w:widowControl/>
              <w:adjustRightInd w:val="0"/>
              <w:snapToGrid w:val="0"/>
              <w:jc w:val="left"/>
              <w:rPr>
                <w:rFonts w:ascii="Times New Roman" w:hAnsi="Times New Roman" w:eastAsia="宋体" w:cs="Times New Roman"/>
                <w:sz w:val="16"/>
                <w:szCs w:val="16"/>
              </w:rPr>
            </w:pPr>
          </w:p>
        </w:tc>
        <w:tc>
          <w:tcPr>
            <w:tcW w:w="369" w:type="pct"/>
            <w:shd w:val="clear" w:color="auto" w:fill="auto"/>
            <w:vAlign w:val="center"/>
          </w:tcPr>
          <w:p w14:paraId="06289F4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建设工程资料归档完整性</w:t>
            </w:r>
          </w:p>
        </w:tc>
        <w:tc>
          <w:tcPr>
            <w:tcW w:w="186" w:type="pct"/>
            <w:shd w:val="clear" w:color="auto" w:fill="auto"/>
            <w:vAlign w:val="center"/>
          </w:tcPr>
          <w:p w14:paraId="5F738FA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6F5BF015">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351648B8">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项目在工程资料管理、归档方面执行制度的情况。</w:t>
            </w:r>
          </w:p>
        </w:tc>
        <w:tc>
          <w:tcPr>
            <w:tcW w:w="569" w:type="pct"/>
            <w:shd w:val="clear" w:color="auto" w:fill="auto"/>
            <w:vAlign w:val="center"/>
          </w:tcPr>
          <w:p w14:paraId="32F094A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5284CF3F">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2．对标要点：完备，得1分；其他情况酌情给分。</w:t>
            </w:r>
          </w:p>
        </w:tc>
        <w:tc>
          <w:tcPr>
            <w:tcW w:w="224" w:type="pct"/>
            <w:shd w:val="clear" w:color="auto" w:fill="auto"/>
            <w:noWrap/>
            <w:vAlign w:val="center"/>
          </w:tcPr>
          <w:p w14:paraId="4C0F7D47">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w:t>
            </w:r>
          </w:p>
        </w:tc>
        <w:tc>
          <w:tcPr>
            <w:tcW w:w="592" w:type="pct"/>
            <w:shd w:val="clear" w:color="auto" w:fill="auto"/>
            <w:vAlign w:val="center"/>
          </w:tcPr>
          <w:p w14:paraId="0945DB06">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单位无法提供工程参与方的请款资料，资料归档不完整，不得分。</w:t>
            </w:r>
          </w:p>
        </w:tc>
      </w:tr>
      <w:tr w14:paraId="594E1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31381F05">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510ABD56">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240E60C3">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56A2EE7B">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43A3D620">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7F5A639C">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49AC5DA5">
            <w:pPr>
              <w:widowControl/>
              <w:adjustRightInd w:val="0"/>
              <w:snapToGrid w:val="0"/>
              <w:jc w:val="center"/>
              <w:rPr>
                <w:rFonts w:ascii="Times New Roman" w:hAnsi="Times New Roman" w:eastAsia="宋体" w:cs="Times New Roman"/>
                <w:sz w:val="16"/>
                <w:szCs w:val="16"/>
              </w:rPr>
            </w:pPr>
          </w:p>
        </w:tc>
        <w:tc>
          <w:tcPr>
            <w:tcW w:w="636" w:type="pct"/>
            <w:vMerge w:val="continue"/>
            <w:shd w:val="clear" w:color="auto" w:fill="auto"/>
            <w:vAlign w:val="center"/>
          </w:tcPr>
          <w:p w14:paraId="74915416">
            <w:pPr>
              <w:widowControl/>
              <w:adjustRightInd w:val="0"/>
              <w:snapToGrid w:val="0"/>
              <w:jc w:val="left"/>
              <w:rPr>
                <w:rFonts w:ascii="Times New Roman" w:hAnsi="Times New Roman" w:eastAsia="宋体" w:cs="Times New Roman"/>
                <w:sz w:val="16"/>
                <w:szCs w:val="16"/>
              </w:rPr>
            </w:pPr>
          </w:p>
        </w:tc>
        <w:tc>
          <w:tcPr>
            <w:tcW w:w="369" w:type="pct"/>
            <w:shd w:val="clear" w:color="auto" w:fill="auto"/>
            <w:vAlign w:val="center"/>
          </w:tcPr>
          <w:p w14:paraId="0653C555">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工程结算合规性</w:t>
            </w:r>
          </w:p>
        </w:tc>
        <w:tc>
          <w:tcPr>
            <w:tcW w:w="186" w:type="pct"/>
            <w:shd w:val="clear" w:color="auto" w:fill="auto"/>
            <w:vAlign w:val="center"/>
          </w:tcPr>
          <w:p w14:paraId="56C612B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689" w:type="pct"/>
            <w:shd w:val="clear" w:color="auto" w:fill="auto"/>
            <w:vAlign w:val="center"/>
          </w:tcPr>
          <w:p w14:paraId="07C9B3BB">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6000C2F5">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项目在工程结算执行制度的情况。</w:t>
            </w:r>
          </w:p>
        </w:tc>
        <w:tc>
          <w:tcPr>
            <w:tcW w:w="569" w:type="pct"/>
            <w:shd w:val="clear" w:color="auto" w:fill="auto"/>
            <w:vAlign w:val="center"/>
          </w:tcPr>
          <w:p w14:paraId="1844096C">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052A349A">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2．对标要点：合规，得0.5分；不合规不得分。</w:t>
            </w:r>
          </w:p>
        </w:tc>
        <w:tc>
          <w:tcPr>
            <w:tcW w:w="224" w:type="pct"/>
            <w:shd w:val="clear" w:color="auto" w:fill="auto"/>
            <w:noWrap/>
            <w:vAlign w:val="center"/>
          </w:tcPr>
          <w:p w14:paraId="3F30AC8C">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w:t>
            </w:r>
          </w:p>
        </w:tc>
        <w:tc>
          <w:tcPr>
            <w:tcW w:w="592" w:type="pct"/>
            <w:shd w:val="clear" w:color="auto" w:fill="auto"/>
            <w:vAlign w:val="center"/>
          </w:tcPr>
          <w:p w14:paraId="49583DF7">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未在合同规定时间内竣工结算，不得分。</w:t>
            </w:r>
          </w:p>
        </w:tc>
      </w:tr>
      <w:tr w14:paraId="2F623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2389A7C1">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72F55467">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48B3E396">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382EC82F">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75C292FB">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448D9434">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067B73D3">
            <w:pPr>
              <w:widowControl/>
              <w:adjustRightInd w:val="0"/>
              <w:snapToGrid w:val="0"/>
              <w:jc w:val="center"/>
              <w:rPr>
                <w:rFonts w:ascii="Times New Roman" w:hAnsi="Times New Roman" w:eastAsia="宋体" w:cs="Times New Roman"/>
                <w:sz w:val="16"/>
                <w:szCs w:val="16"/>
              </w:rPr>
            </w:pPr>
          </w:p>
        </w:tc>
        <w:tc>
          <w:tcPr>
            <w:tcW w:w="636" w:type="pct"/>
            <w:vMerge w:val="continue"/>
            <w:shd w:val="clear" w:color="auto" w:fill="auto"/>
            <w:vAlign w:val="center"/>
          </w:tcPr>
          <w:p w14:paraId="49170C77">
            <w:pPr>
              <w:widowControl/>
              <w:adjustRightInd w:val="0"/>
              <w:snapToGrid w:val="0"/>
              <w:jc w:val="left"/>
              <w:rPr>
                <w:rFonts w:ascii="Times New Roman" w:hAnsi="Times New Roman" w:eastAsia="宋体" w:cs="Times New Roman"/>
                <w:sz w:val="16"/>
                <w:szCs w:val="16"/>
              </w:rPr>
            </w:pPr>
          </w:p>
        </w:tc>
        <w:tc>
          <w:tcPr>
            <w:tcW w:w="369" w:type="pct"/>
            <w:shd w:val="clear" w:color="auto" w:fill="auto"/>
            <w:vAlign w:val="center"/>
          </w:tcPr>
          <w:p w14:paraId="14460E85">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竣工财务决算合规性</w:t>
            </w:r>
          </w:p>
        </w:tc>
        <w:tc>
          <w:tcPr>
            <w:tcW w:w="186" w:type="pct"/>
            <w:shd w:val="clear" w:color="auto" w:fill="auto"/>
            <w:vAlign w:val="center"/>
          </w:tcPr>
          <w:p w14:paraId="5EA7BD43">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689" w:type="pct"/>
            <w:shd w:val="clear" w:color="auto" w:fill="auto"/>
            <w:vAlign w:val="center"/>
          </w:tcPr>
          <w:p w14:paraId="64148EFA">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03BDEC48">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项目在竣工财务决算执行制度的情况。</w:t>
            </w:r>
          </w:p>
        </w:tc>
        <w:tc>
          <w:tcPr>
            <w:tcW w:w="569" w:type="pct"/>
            <w:shd w:val="clear" w:color="auto" w:fill="auto"/>
            <w:vAlign w:val="center"/>
          </w:tcPr>
          <w:p w14:paraId="281E495E">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2CF1725E">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2．对标要点：合规，得0.5分；不合规不得分。</w:t>
            </w:r>
          </w:p>
        </w:tc>
        <w:tc>
          <w:tcPr>
            <w:tcW w:w="224" w:type="pct"/>
            <w:shd w:val="clear" w:color="auto" w:fill="auto"/>
            <w:noWrap/>
            <w:vAlign w:val="center"/>
          </w:tcPr>
          <w:p w14:paraId="45BD441C">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w:t>
            </w:r>
          </w:p>
        </w:tc>
        <w:tc>
          <w:tcPr>
            <w:tcW w:w="592" w:type="pct"/>
            <w:shd w:val="clear" w:color="auto" w:fill="auto"/>
            <w:vAlign w:val="center"/>
          </w:tcPr>
          <w:p w14:paraId="08EAB659">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项目未完成竣工结算，不得分。</w:t>
            </w:r>
          </w:p>
        </w:tc>
      </w:tr>
      <w:tr w14:paraId="0B6E7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65A92A55">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25C9E981">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4E0FBF8C">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4D3434DA">
            <w:pPr>
              <w:widowControl/>
              <w:adjustRightInd w:val="0"/>
              <w:snapToGrid w:val="0"/>
              <w:jc w:val="center"/>
              <w:rPr>
                <w:rFonts w:ascii="Times New Roman" w:hAnsi="Times New Roman" w:eastAsia="宋体" w:cs="Times New Roman"/>
                <w:sz w:val="16"/>
                <w:szCs w:val="16"/>
              </w:rPr>
            </w:pPr>
          </w:p>
        </w:tc>
        <w:tc>
          <w:tcPr>
            <w:tcW w:w="259" w:type="pct"/>
            <w:vMerge w:val="restart"/>
            <w:shd w:val="clear" w:color="auto" w:fill="auto"/>
            <w:vAlign w:val="center"/>
          </w:tcPr>
          <w:p w14:paraId="66DC649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项目实施计划性</w:t>
            </w:r>
          </w:p>
        </w:tc>
        <w:tc>
          <w:tcPr>
            <w:tcW w:w="200" w:type="pct"/>
            <w:vMerge w:val="restart"/>
            <w:shd w:val="clear" w:color="auto" w:fill="auto"/>
            <w:vAlign w:val="center"/>
          </w:tcPr>
          <w:p w14:paraId="300CB793">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483" w:type="pct"/>
            <w:vMerge w:val="restart"/>
            <w:shd w:val="clear" w:color="auto" w:fill="auto"/>
            <w:vAlign w:val="center"/>
          </w:tcPr>
          <w:p w14:paraId="72EB4263">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项目实施是否制定工作计划，具体包括政府采购、招标投标、用款计划，用以反映和考核业务计划性。</w:t>
            </w:r>
          </w:p>
        </w:tc>
        <w:tc>
          <w:tcPr>
            <w:tcW w:w="636" w:type="pct"/>
            <w:vMerge w:val="restart"/>
            <w:shd w:val="clear" w:color="auto" w:fill="auto"/>
            <w:vAlign w:val="center"/>
          </w:tcPr>
          <w:p w14:paraId="465ED4D0">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3F170B5A">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各项业务是否有详细的计划和实施方案；</w:t>
            </w:r>
          </w:p>
          <w:p w14:paraId="721B42B9">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项目计划和实施方案调整及调整手续是否完备；</w:t>
            </w:r>
          </w:p>
          <w:p w14:paraId="1ADBBAE8">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项目实施过程的各个时间节点控制是否明确；</w:t>
            </w:r>
          </w:p>
          <w:p w14:paraId="7A9E07F5">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④</w:t>
            </w:r>
            <w:r>
              <w:rPr>
                <w:rFonts w:ascii="Times New Roman" w:hAnsi="Times New Roman" w:eastAsia="宋体" w:cs="Times New Roman"/>
                <w:kern w:val="0"/>
                <w:sz w:val="16"/>
                <w:szCs w:val="16"/>
                <w:lang w:bidi="ar"/>
              </w:rPr>
              <w:t>项目用款计划在实施过程是否发生调整。</w:t>
            </w:r>
          </w:p>
        </w:tc>
        <w:tc>
          <w:tcPr>
            <w:tcW w:w="369" w:type="pct"/>
            <w:shd w:val="clear" w:color="auto" w:fill="auto"/>
            <w:vAlign w:val="center"/>
          </w:tcPr>
          <w:p w14:paraId="1BA42C41">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业务计划性</w:t>
            </w:r>
          </w:p>
        </w:tc>
        <w:tc>
          <w:tcPr>
            <w:tcW w:w="186" w:type="pct"/>
            <w:shd w:val="clear" w:color="auto" w:fill="auto"/>
            <w:vAlign w:val="center"/>
          </w:tcPr>
          <w:p w14:paraId="044282F9">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689" w:type="pct"/>
            <w:shd w:val="clear" w:color="auto" w:fill="auto"/>
            <w:vAlign w:val="center"/>
          </w:tcPr>
          <w:p w14:paraId="06A73745">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57FFF701">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各项业务是否有详细的计划和实施方案。</w:t>
            </w:r>
          </w:p>
        </w:tc>
        <w:tc>
          <w:tcPr>
            <w:tcW w:w="569" w:type="pct"/>
            <w:shd w:val="clear" w:color="auto" w:fill="auto"/>
            <w:vAlign w:val="center"/>
          </w:tcPr>
          <w:p w14:paraId="11B3D043">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3A494739">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2．对标要点：齐全细化，得0.5分；其他情况酌情给分。</w:t>
            </w:r>
          </w:p>
        </w:tc>
        <w:tc>
          <w:tcPr>
            <w:tcW w:w="224" w:type="pct"/>
            <w:shd w:val="clear" w:color="auto" w:fill="auto"/>
            <w:noWrap/>
            <w:vAlign w:val="center"/>
          </w:tcPr>
          <w:p w14:paraId="283E27F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592" w:type="pct"/>
            <w:shd w:val="clear" w:color="auto" w:fill="auto"/>
            <w:vAlign w:val="center"/>
          </w:tcPr>
          <w:p w14:paraId="73908C97">
            <w:pPr>
              <w:widowControl/>
              <w:adjustRightInd w:val="0"/>
              <w:snapToGrid w:val="0"/>
              <w:rPr>
                <w:rFonts w:ascii="Times New Roman" w:hAnsi="Times New Roman" w:eastAsia="宋体" w:cs="Times New Roman"/>
                <w:sz w:val="16"/>
                <w:szCs w:val="16"/>
              </w:rPr>
            </w:pPr>
          </w:p>
        </w:tc>
      </w:tr>
      <w:tr w14:paraId="06B32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27D1E4DB">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3A457BBA">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16A86411">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55139D51">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6C870EA8">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144A21E5">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7B03002A">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3D2A5161">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1B80D57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计划调整手续完备性</w:t>
            </w:r>
          </w:p>
        </w:tc>
        <w:tc>
          <w:tcPr>
            <w:tcW w:w="186" w:type="pct"/>
            <w:shd w:val="clear" w:color="auto" w:fill="auto"/>
            <w:vAlign w:val="center"/>
          </w:tcPr>
          <w:p w14:paraId="388A57A0">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689" w:type="pct"/>
            <w:shd w:val="clear" w:color="auto" w:fill="auto"/>
            <w:vAlign w:val="center"/>
          </w:tcPr>
          <w:p w14:paraId="2E5078B5">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60337A97">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项目计划和实施方案调整及调整手续是否完备。</w:t>
            </w:r>
          </w:p>
        </w:tc>
        <w:tc>
          <w:tcPr>
            <w:tcW w:w="569" w:type="pct"/>
            <w:shd w:val="clear" w:color="auto" w:fill="auto"/>
            <w:vAlign w:val="center"/>
          </w:tcPr>
          <w:p w14:paraId="31F2CD98">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4AC618C9">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2．对标要点：完备，得0.5分，其他情况酌情给分。</w:t>
            </w:r>
          </w:p>
        </w:tc>
        <w:tc>
          <w:tcPr>
            <w:tcW w:w="224" w:type="pct"/>
            <w:shd w:val="clear" w:color="auto" w:fill="auto"/>
            <w:noWrap/>
            <w:vAlign w:val="center"/>
          </w:tcPr>
          <w:p w14:paraId="2CB1A552">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592" w:type="pct"/>
            <w:shd w:val="clear" w:color="auto" w:fill="auto"/>
            <w:vAlign w:val="center"/>
          </w:tcPr>
          <w:p w14:paraId="36200D83">
            <w:pPr>
              <w:widowControl/>
              <w:adjustRightInd w:val="0"/>
              <w:snapToGrid w:val="0"/>
              <w:rPr>
                <w:rFonts w:ascii="Times New Roman" w:hAnsi="Times New Roman" w:eastAsia="宋体" w:cs="Times New Roman"/>
                <w:sz w:val="16"/>
                <w:szCs w:val="16"/>
              </w:rPr>
            </w:pPr>
          </w:p>
        </w:tc>
      </w:tr>
      <w:tr w14:paraId="4595C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213D50AC">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484CA77B">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3FC20116">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10B075F2">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5CA98D4B">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6F9E61EA">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2A1F4EE3">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0E221E21">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4DEA8C4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时间节点控制明确性</w:t>
            </w:r>
          </w:p>
        </w:tc>
        <w:tc>
          <w:tcPr>
            <w:tcW w:w="186" w:type="pct"/>
            <w:shd w:val="clear" w:color="auto" w:fill="auto"/>
            <w:vAlign w:val="center"/>
          </w:tcPr>
          <w:p w14:paraId="3A14C47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689" w:type="pct"/>
            <w:shd w:val="clear" w:color="auto" w:fill="auto"/>
            <w:vAlign w:val="center"/>
          </w:tcPr>
          <w:p w14:paraId="49C2751B">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44135F28">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项目实施过程的各个时间节点控制是否明确。</w:t>
            </w:r>
          </w:p>
        </w:tc>
        <w:tc>
          <w:tcPr>
            <w:tcW w:w="569" w:type="pct"/>
            <w:shd w:val="clear" w:color="auto" w:fill="auto"/>
            <w:vAlign w:val="center"/>
          </w:tcPr>
          <w:p w14:paraId="36364CE9">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5C315624">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2．对标要点：明确，得0.5分，其他情况酌情给分。</w:t>
            </w:r>
          </w:p>
        </w:tc>
        <w:tc>
          <w:tcPr>
            <w:tcW w:w="224" w:type="pct"/>
            <w:shd w:val="clear" w:color="auto" w:fill="auto"/>
            <w:noWrap/>
            <w:vAlign w:val="center"/>
          </w:tcPr>
          <w:p w14:paraId="6BC29890">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592" w:type="pct"/>
            <w:shd w:val="clear" w:color="auto" w:fill="auto"/>
            <w:vAlign w:val="center"/>
          </w:tcPr>
          <w:p w14:paraId="2363C553">
            <w:pPr>
              <w:widowControl/>
              <w:adjustRightInd w:val="0"/>
              <w:snapToGrid w:val="0"/>
              <w:rPr>
                <w:rFonts w:ascii="Times New Roman" w:hAnsi="Times New Roman" w:eastAsia="宋体" w:cs="Times New Roman"/>
                <w:sz w:val="16"/>
                <w:szCs w:val="16"/>
              </w:rPr>
            </w:pPr>
          </w:p>
        </w:tc>
      </w:tr>
      <w:tr w14:paraId="3B489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1D44BEE2">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715BB09A">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6592EF3E">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50F0FB8F">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47EF7537">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487097C5">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227B43C6">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6DE3C949">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56ADE4D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用款计划调整性</w:t>
            </w:r>
          </w:p>
        </w:tc>
        <w:tc>
          <w:tcPr>
            <w:tcW w:w="186" w:type="pct"/>
            <w:shd w:val="clear" w:color="auto" w:fill="auto"/>
            <w:vAlign w:val="center"/>
          </w:tcPr>
          <w:p w14:paraId="6831C920">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689" w:type="pct"/>
            <w:shd w:val="clear" w:color="auto" w:fill="auto"/>
            <w:vAlign w:val="center"/>
          </w:tcPr>
          <w:p w14:paraId="58FDBE78">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1980E660">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项目用款计划在实施过程是否发生调整。</w:t>
            </w:r>
          </w:p>
        </w:tc>
        <w:tc>
          <w:tcPr>
            <w:tcW w:w="569" w:type="pct"/>
            <w:shd w:val="clear" w:color="auto" w:fill="auto"/>
            <w:vAlign w:val="center"/>
          </w:tcPr>
          <w:p w14:paraId="0112B01E">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44FB2E10">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2．对标要点：用款计划未发生调整，得0.5分，其他情况酌情给分。</w:t>
            </w:r>
          </w:p>
        </w:tc>
        <w:tc>
          <w:tcPr>
            <w:tcW w:w="224" w:type="pct"/>
            <w:shd w:val="clear" w:color="auto" w:fill="auto"/>
            <w:noWrap/>
            <w:vAlign w:val="center"/>
          </w:tcPr>
          <w:p w14:paraId="7322FA5F">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592" w:type="pct"/>
            <w:shd w:val="clear" w:color="auto" w:fill="auto"/>
            <w:vAlign w:val="center"/>
          </w:tcPr>
          <w:p w14:paraId="1FEBFCA9">
            <w:pPr>
              <w:widowControl/>
              <w:adjustRightInd w:val="0"/>
              <w:snapToGrid w:val="0"/>
              <w:rPr>
                <w:rFonts w:ascii="Times New Roman" w:hAnsi="Times New Roman" w:eastAsia="宋体" w:cs="Times New Roman"/>
                <w:sz w:val="16"/>
                <w:szCs w:val="16"/>
              </w:rPr>
            </w:pPr>
          </w:p>
        </w:tc>
      </w:tr>
      <w:tr w14:paraId="6CE67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6A4E45A6">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57D2D016">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4D85D394">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2212AAB6">
            <w:pPr>
              <w:widowControl/>
              <w:adjustRightInd w:val="0"/>
              <w:snapToGrid w:val="0"/>
              <w:jc w:val="center"/>
              <w:rPr>
                <w:rFonts w:ascii="Times New Roman" w:hAnsi="Times New Roman" w:eastAsia="宋体" w:cs="Times New Roman"/>
                <w:sz w:val="16"/>
                <w:szCs w:val="16"/>
              </w:rPr>
            </w:pPr>
          </w:p>
        </w:tc>
        <w:tc>
          <w:tcPr>
            <w:tcW w:w="259" w:type="pct"/>
            <w:vMerge w:val="restart"/>
            <w:shd w:val="clear" w:color="auto" w:fill="auto"/>
            <w:vAlign w:val="center"/>
          </w:tcPr>
          <w:p w14:paraId="412BC8B5">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项目质量可控性</w:t>
            </w:r>
          </w:p>
        </w:tc>
        <w:tc>
          <w:tcPr>
            <w:tcW w:w="200" w:type="pct"/>
            <w:vMerge w:val="restart"/>
            <w:shd w:val="clear" w:color="auto" w:fill="auto"/>
            <w:vAlign w:val="center"/>
          </w:tcPr>
          <w:p w14:paraId="47BF9142">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483" w:type="pct"/>
            <w:vMerge w:val="restart"/>
            <w:shd w:val="clear" w:color="auto" w:fill="auto"/>
            <w:vAlign w:val="center"/>
          </w:tcPr>
          <w:p w14:paraId="1B347216">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项目实施单位是否为达到项目质量要求而采取了必需的措施，用以反映和考核项目实施单位对项目质量的控制情况。</w:t>
            </w:r>
          </w:p>
        </w:tc>
        <w:tc>
          <w:tcPr>
            <w:tcW w:w="636" w:type="pct"/>
            <w:vMerge w:val="restart"/>
            <w:shd w:val="clear" w:color="auto" w:fill="auto"/>
            <w:vAlign w:val="center"/>
          </w:tcPr>
          <w:p w14:paraId="4609790E">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7475D75D">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是否已制定或具有相应的项目质量要求或标准；</w:t>
            </w:r>
          </w:p>
          <w:p w14:paraId="67D3FD59">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是否采取了相应的项目质量检查、主要材料见证送检、隐蔽验收、分部验收、竣工验收等必需的控制措施或手段。</w:t>
            </w:r>
          </w:p>
        </w:tc>
        <w:tc>
          <w:tcPr>
            <w:tcW w:w="369" w:type="pct"/>
            <w:shd w:val="clear" w:color="auto" w:fill="auto"/>
            <w:vAlign w:val="center"/>
          </w:tcPr>
          <w:p w14:paraId="4AAB3532">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质量标准制度健全性</w:t>
            </w:r>
          </w:p>
        </w:tc>
        <w:tc>
          <w:tcPr>
            <w:tcW w:w="186" w:type="pct"/>
            <w:shd w:val="clear" w:color="auto" w:fill="auto"/>
            <w:vAlign w:val="center"/>
          </w:tcPr>
          <w:p w14:paraId="25248E4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06737F88">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17F0454C">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是否已制定或具有相应的项目质量要求或标准。</w:t>
            </w:r>
          </w:p>
        </w:tc>
        <w:tc>
          <w:tcPr>
            <w:tcW w:w="569" w:type="pct"/>
            <w:shd w:val="clear" w:color="auto" w:fill="auto"/>
            <w:vAlign w:val="center"/>
          </w:tcPr>
          <w:p w14:paraId="779F339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318C51C0">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2．对标要点：健全，得1分，其他情况酌情给分。</w:t>
            </w:r>
          </w:p>
        </w:tc>
        <w:tc>
          <w:tcPr>
            <w:tcW w:w="224" w:type="pct"/>
            <w:shd w:val="clear" w:color="auto" w:fill="auto"/>
            <w:noWrap/>
            <w:vAlign w:val="center"/>
          </w:tcPr>
          <w:p w14:paraId="6F28F74F">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11A47342">
            <w:pPr>
              <w:widowControl/>
              <w:adjustRightInd w:val="0"/>
              <w:snapToGrid w:val="0"/>
              <w:rPr>
                <w:rFonts w:ascii="Times New Roman" w:hAnsi="Times New Roman" w:eastAsia="宋体" w:cs="Times New Roman"/>
                <w:sz w:val="16"/>
                <w:szCs w:val="16"/>
              </w:rPr>
            </w:pPr>
          </w:p>
        </w:tc>
      </w:tr>
      <w:tr w14:paraId="0AAD2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5FA238B4">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6D663E1C">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0669A785">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1E4C49CC">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6FB7DE97">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7BE32BA1">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550DCB87">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0D45E69E">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4DACF671">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质量控制措施有效性</w:t>
            </w:r>
          </w:p>
        </w:tc>
        <w:tc>
          <w:tcPr>
            <w:tcW w:w="186" w:type="pct"/>
            <w:shd w:val="clear" w:color="auto" w:fill="auto"/>
            <w:vAlign w:val="center"/>
          </w:tcPr>
          <w:p w14:paraId="7F772BF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19DF41B5">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24E88A9B">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是否采取了相应的项目质量检查、主要材料见证送检、隐蔽验收、分部验收、竣工验收等必需的控制措施或手段。</w:t>
            </w:r>
          </w:p>
        </w:tc>
        <w:tc>
          <w:tcPr>
            <w:tcW w:w="569" w:type="pct"/>
            <w:shd w:val="clear" w:color="auto" w:fill="auto"/>
            <w:vAlign w:val="center"/>
          </w:tcPr>
          <w:p w14:paraId="081A2B96">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6F06D3B5">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2．对标要点：有效，得1分，其他情况酌情给分。</w:t>
            </w:r>
          </w:p>
        </w:tc>
        <w:tc>
          <w:tcPr>
            <w:tcW w:w="224" w:type="pct"/>
            <w:shd w:val="clear" w:color="auto" w:fill="auto"/>
            <w:noWrap/>
            <w:vAlign w:val="center"/>
          </w:tcPr>
          <w:p w14:paraId="73F4CC20">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1147CDC1">
            <w:pPr>
              <w:widowControl/>
              <w:adjustRightInd w:val="0"/>
              <w:snapToGrid w:val="0"/>
              <w:rPr>
                <w:rFonts w:ascii="Times New Roman" w:hAnsi="Times New Roman" w:eastAsia="宋体" w:cs="Times New Roman"/>
                <w:sz w:val="16"/>
                <w:szCs w:val="16"/>
              </w:rPr>
            </w:pPr>
          </w:p>
        </w:tc>
      </w:tr>
      <w:tr w14:paraId="25E78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30E80440">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4FF7C611">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6F766A91">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2CE32833">
            <w:pPr>
              <w:widowControl/>
              <w:adjustRightInd w:val="0"/>
              <w:snapToGrid w:val="0"/>
              <w:jc w:val="center"/>
              <w:rPr>
                <w:rFonts w:ascii="Times New Roman" w:hAnsi="Times New Roman" w:eastAsia="宋体" w:cs="Times New Roman"/>
                <w:sz w:val="16"/>
                <w:szCs w:val="16"/>
              </w:rPr>
            </w:pPr>
          </w:p>
        </w:tc>
        <w:tc>
          <w:tcPr>
            <w:tcW w:w="259" w:type="pct"/>
            <w:vMerge w:val="restart"/>
            <w:shd w:val="clear" w:color="auto" w:fill="auto"/>
            <w:vAlign w:val="center"/>
          </w:tcPr>
          <w:p w14:paraId="2189F92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履职管理尽职性</w:t>
            </w:r>
          </w:p>
        </w:tc>
        <w:tc>
          <w:tcPr>
            <w:tcW w:w="200" w:type="pct"/>
            <w:vMerge w:val="restart"/>
            <w:shd w:val="clear" w:color="auto" w:fill="auto"/>
            <w:vAlign w:val="center"/>
          </w:tcPr>
          <w:p w14:paraId="45292C95">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3</w:t>
            </w:r>
          </w:p>
        </w:tc>
        <w:tc>
          <w:tcPr>
            <w:tcW w:w="483" w:type="pct"/>
            <w:shd w:val="clear" w:color="auto" w:fill="auto"/>
            <w:vAlign w:val="center"/>
          </w:tcPr>
          <w:p w14:paraId="57A025EC">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项目委托单位是否采取了必需的措施对项目监理、施工单位进行了有效监督考核。</w:t>
            </w:r>
          </w:p>
        </w:tc>
        <w:tc>
          <w:tcPr>
            <w:tcW w:w="636" w:type="pct"/>
            <w:shd w:val="clear" w:color="auto" w:fill="auto"/>
            <w:vAlign w:val="center"/>
          </w:tcPr>
          <w:p w14:paraId="35DBA7C0">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46BF427F">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委托单位是否已制定或具有相应的项目监督考核要求或标准；</w:t>
            </w:r>
          </w:p>
          <w:p w14:paraId="3266E27F">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委托单位是否采取了相应的项目质量检查、验收等必需的控制措施或手段。</w:t>
            </w:r>
          </w:p>
        </w:tc>
        <w:tc>
          <w:tcPr>
            <w:tcW w:w="369" w:type="pct"/>
            <w:shd w:val="clear" w:color="auto" w:fill="auto"/>
            <w:vAlign w:val="center"/>
          </w:tcPr>
          <w:p w14:paraId="300BEC3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委托单位履职率</w:t>
            </w:r>
          </w:p>
        </w:tc>
        <w:tc>
          <w:tcPr>
            <w:tcW w:w="186" w:type="pct"/>
            <w:shd w:val="clear" w:color="auto" w:fill="auto"/>
            <w:vAlign w:val="center"/>
          </w:tcPr>
          <w:p w14:paraId="5472D2A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5408191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55B8ACE7">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评价项目委托单位是否对代建、施工、监理等单位进行考核监督，且资料齐全。</w:t>
            </w:r>
          </w:p>
        </w:tc>
        <w:tc>
          <w:tcPr>
            <w:tcW w:w="569" w:type="pct"/>
            <w:shd w:val="clear" w:color="auto" w:fill="auto"/>
            <w:vAlign w:val="center"/>
          </w:tcPr>
          <w:p w14:paraId="28CDF050">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7F88F118">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2．对标要点：有考核监督且考核监督资料齐全，得1分；其他情况酌情给分。</w:t>
            </w:r>
          </w:p>
        </w:tc>
        <w:tc>
          <w:tcPr>
            <w:tcW w:w="224" w:type="pct"/>
            <w:shd w:val="clear" w:color="auto" w:fill="auto"/>
            <w:noWrap/>
            <w:vAlign w:val="center"/>
          </w:tcPr>
          <w:p w14:paraId="43962339">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71D22522">
            <w:pPr>
              <w:widowControl/>
              <w:adjustRightInd w:val="0"/>
              <w:snapToGrid w:val="0"/>
              <w:rPr>
                <w:rFonts w:ascii="Times New Roman" w:hAnsi="Times New Roman" w:eastAsia="宋体" w:cs="Times New Roman"/>
                <w:sz w:val="16"/>
                <w:szCs w:val="16"/>
              </w:rPr>
            </w:pPr>
          </w:p>
        </w:tc>
      </w:tr>
      <w:tr w14:paraId="5ADDC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3ECB7BF3">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1F5EFF08">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1A6AA303">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07FC5A0C">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77173B6C">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514F9FDC">
            <w:pPr>
              <w:widowControl/>
              <w:adjustRightInd w:val="0"/>
              <w:snapToGrid w:val="0"/>
              <w:jc w:val="center"/>
              <w:rPr>
                <w:rFonts w:ascii="Times New Roman" w:hAnsi="Times New Roman" w:eastAsia="宋体" w:cs="Times New Roman"/>
                <w:sz w:val="16"/>
                <w:szCs w:val="16"/>
              </w:rPr>
            </w:pPr>
          </w:p>
        </w:tc>
        <w:tc>
          <w:tcPr>
            <w:tcW w:w="483" w:type="pct"/>
            <w:shd w:val="clear" w:color="auto" w:fill="auto"/>
            <w:vAlign w:val="center"/>
          </w:tcPr>
          <w:p w14:paraId="76B49E0D">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项目代建单位是否采取了必需的措施对项目施工单位进行了有效监督考核。</w:t>
            </w:r>
          </w:p>
        </w:tc>
        <w:tc>
          <w:tcPr>
            <w:tcW w:w="636" w:type="pct"/>
            <w:shd w:val="clear" w:color="auto" w:fill="auto"/>
            <w:vAlign w:val="center"/>
          </w:tcPr>
          <w:p w14:paraId="0A203E7B">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12099B93">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代建单位是否已制定或具有相应的项目监督考核要求或标准；</w:t>
            </w:r>
          </w:p>
          <w:p w14:paraId="15A2144C">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代建单位是否采取了相应的项目质量检查、验收等必需的控制措施或手段。</w:t>
            </w:r>
          </w:p>
        </w:tc>
        <w:tc>
          <w:tcPr>
            <w:tcW w:w="369" w:type="pct"/>
            <w:shd w:val="clear" w:color="auto" w:fill="auto"/>
            <w:vAlign w:val="center"/>
          </w:tcPr>
          <w:p w14:paraId="05F15C70">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代建单位履职率</w:t>
            </w:r>
          </w:p>
        </w:tc>
        <w:tc>
          <w:tcPr>
            <w:tcW w:w="186" w:type="pct"/>
            <w:shd w:val="clear" w:color="auto" w:fill="auto"/>
            <w:vAlign w:val="center"/>
          </w:tcPr>
          <w:p w14:paraId="1773EA57">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54F1C12E">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598CD6AE">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评价代建单位是否对工程全程进行监督管理，且资料齐全。</w:t>
            </w:r>
          </w:p>
        </w:tc>
        <w:tc>
          <w:tcPr>
            <w:tcW w:w="569" w:type="pct"/>
            <w:shd w:val="clear" w:color="auto" w:fill="auto"/>
            <w:vAlign w:val="center"/>
          </w:tcPr>
          <w:p w14:paraId="0B14AA4E">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32D624B0">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2．对标要点：有考核监督且考核监督资料齐全，得1分；其他情况酌情给分。</w:t>
            </w:r>
          </w:p>
        </w:tc>
        <w:tc>
          <w:tcPr>
            <w:tcW w:w="224" w:type="pct"/>
            <w:shd w:val="clear" w:color="auto" w:fill="auto"/>
            <w:noWrap/>
            <w:vAlign w:val="center"/>
          </w:tcPr>
          <w:p w14:paraId="5C4A502C">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29F298D4">
            <w:pPr>
              <w:widowControl/>
              <w:adjustRightInd w:val="0"/>
              <w:snapToGrid w:val="0"/>
              <w:rPr>
                <w:rFonts w:ascii="Times New Roman" w:hAnsi="Times New Roman" w:eastAsia="宋体" w:cs="Times New Roman"/>
                <w:sz w:val="16"/>
                <w:szCs w:val="16"/>
              </w:rPr>
            </w:pPr>
          </w:p>
        </w:tc>
      </w:tr>
      <w:tr w14:paraId="77E75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08F33EFB">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76C3CAF8">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504E773E">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6D4155C5">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7E845502">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35BE240A">
            <w:pPr>
              <w:widowControl/>
              <w:adjustRightInd w:val="0"/>
              <w:snapToGrid w:val="0"/>
              <w:jc w:val="center"/>
              <w:rPr>
                <w:rFonts w:ascii="Times New Roman" w:hAnsi="Times New Roman" w:eastAsia="宋体" w:cs="Times New Roman"/>
                <w:sz w:val="16"/>
                <w:szCs w:val="16"/>
              </w:rPr>
            </w:pPr>
          </w:p>
        </w:tc>
        <w:tc>
          <w:tcPr>
            <w:tcW w:w="483" w:type="pct"/>
            <w:shd w:val="clear" w:color="auto" w:fill="auto"/>
            <w:vAlign w:val="center"/>
          </w:tcPr>
          <w:p w14:paraId="5A796647">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项目监理单位是否采取了必需的措施对项目施工单位进行了有效监督考核。</w:t>
            </w:r>
          </w:p>
        </w:tc>
        <w:tc>
          <w:tcPr>
            <w:tcW w:w="636" w:type="pct"/>
            <w:shd w:val="clear" w:color="auto" w:fill="auto"/>
            <w:vAlign w:val="center"/>
          </w:tcPr>
          <w:p w14:paraId="7E55990A">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34DD2060">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监理单位是否已制定或具有相应的项目监督考核要求或标准；</w:t>
            </w:r>
          </w:p>
          <w:p w14:paraId="222FD393">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监理单位是否采取了相应的项目质量检查、验收等必需的控制措施或手段。</w:t>
            </w:r>
          </w:p>
        </w:tc>
        <w:tc>
          <w:tcPr>
            <w:tcW w:w="369" w:type="pct"/>
            <w:shd w:val="clear" w:color="auto" w:fill="auto"/>
            <w:vAlign w:val="center"/>
          </w:tcPr>
          <w:p w14:paraId="1FD479EF">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监理单位履职率</w:t>
            </w:r>
          </w:p>
        </w:tc>
        <w:tc>
          <w:tcPr>
            <w:tcW w:w="186" w:type="pct"/>
            <w:shd w:val="clear" w:color="auto" w:fill="auto"/>
            <w:vAlign w:val="center"/>
          </w:tcPr>
          <w:p w14:paraId="35567CE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52024A70">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3CEE7E15">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评价监理单位是否对施工全程进行监督管理，且资料齐全。</w:t>
            </w:r>
          </w:p>
        </w:tc>
        <w:tc>
          <w:tcPr>
            <w:tcW w:w="569" w:type="pct"/>
            <w:shd w:val="clear" w:color="auto" w:fill="auto"/>
            <w:vAlign w:val="center"/>
          </w:tcPr>
          <w:p w14:paraId="2467CBD7">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3D03B346">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2．对标要点：正常出勤、监理日志齐全，得1分；其他情况酌情给分。</w:t>
            </w:r>
          </w:p>
        </w:tc>
        <w:tc>
          <w:tcPr>
            <w:tcW w:w="224" w:type="pct"/>
            <w:shd w:val="clear" w:color="auto" w:fill="auto"/>
            <w:noWrap/>
            <w:vAlign w:val="center"/>
          </w:tcPr>
          <w:p w14:paraId="520158CC">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592" w:type="pct"/>
            <w:shd w:val="clear" w:color="auto" w:fill="auto"/>
            <w:vAlign w:val="center"/>
          </w:tcPr>
          <w:p w14:paraId="18B8782F">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工程监理履职不到位。扣除0.5分。</w:t>
            </w:r>
          </w:p>
        </w:tc>
      </w:tr>
      <w:tr w14:paraId="0847B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7FF61C24">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1FA29E2C">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3C9AB2A9">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15C4CB79">
            <w:pPr>
              <w:widowControl/>
              <w:adjustRightInd w:val="0"/>
              <w:snapToGrid w:val="0"/>
              <w:jc w:val="center"/>
              <w:rPr>
                <w:rFonts w:ascii="Times New Roman" w:hAnsi="Times New Roman" w:eastAsia="宋体" w:cs="Times New Roman"/>
                <w:sz w:val="16"/>
                <w:szCs w:val="16"/>
              </w:rPr>
            </w:pPr>
          </w:p>
        </w:tc>
        <w:tc>
          <w:tcPr>
            <w:tcW w:w="259" w:type="pct"/>
            <w:shd w:val="clear" w:color="auto" w:fill="auto"/>
            <w:vAlign w:val="center"/>
          </w:tcPr>
          <w:p w14:paraId="39BE9EC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项目问题整改</w:t>
            </w:r>
          </w:p>
        </w:tc>
        <w:tc>
          <w:tcPr>
            <w:tcW w:w="200" w:type="pct"/>
            <w:shd w:val="clear" w:color="auto" w:fill="auto"/>
            <w:vAlign w:val="center"/>
          </w:tcPr>
          <w:p w14:paraId="60DDE62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483" w:type="pct"/>
            <w:shd w:val="clear" w:color="auto" w:fill="auto"/>
            <w:vAlign w:val="center"/>
          </w:tcPr>
          <w:p w14:paraId="3BD31FF0">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项目在审计、监管核查、巡视等工作中被检查出来问题的整改落实的及时性和有效性，用以反映和考核项目对发现问题的整改落实情况。</w:t>
            </w:r>
          </w:p>
        </w:tc>
        <w:tc>
          <w:tcPr>
            <w:tcW w:w="636" w:type="pct"/>
            <w:shd w:val="clear" w:color="auto" w:fill="auto"/>
            <w:vAlign w:val="center"/>
          </w:tcPr>
          <w:p w14:paraId="2D7D15C0">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32B83F3E">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项目是否根据审计、监管核查、巡视等工作中被检查出来的问题及时根据相应要求进行整改；</w:t>
            </w:r>
          </w:p>
          <w:p w14:paraId="615EF4DA">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整改措施是否全面有效，符合相关要求。</w:t>
            </w:r>
          </w:p>
        </w:tc>
        <w:tc>
          <w:tcPr>
            <w:tcW w:w="369" w:type="pct"/>
            <w:shd w:val="clear" w:color="auto" w:fill="auto"/>
            <w:vAlign w:val="center"/>
          </w:tcPr>
          <w:p w14:paraId="12E44C67">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整改率</w:t>
            </w:r>
          </w:p>
        </w:tc>
        <w:tc>
          <w:tcPr>
            <w:tcW w:w="186" w:type="pct"/>
            <w:shd w:val="clear" w:color="auto" w:fill="auto"/>
            <w:vAlign w:val="center"/>
          </w:tcPr>
          <w:p w14:paraId="5B53D2E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39CEA655">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47CFF07B">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环城路项目是否根据审计、监管核查、巡视等工作中被检查出来的问题及时根据相应要求进行整改；</w:t>
            </w:r>
          </w:p>
          <w:p w14:paraId="0F498437">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整改措施是否全面有效，符合相关要求。</w:t>
            </w:r>
          </w:p>
        </w:tc>
        <w:tc>
          <w:tcPr>
            <w:tcW w:w="569" w:type="pct"/>
            <w:shd w:val="clear" w:color="auto" w:fill="auto"/>
            <w:vAlign w:val="center"/>
          </w:tcPr>
          <w:p w14:paraId="1261EA2E">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5161A307">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2．对标要点：满足①项得0.5分，满足②项得0.5分，全部满足得满分。</w:t>
            </w:r>
          </w:p>
        </w:tc>
        <w:tc>
          <w:tcPr>
            <w:tcW w:w="224" w:type="pct"/>
            <w:shd w:val="clear" w:color="auto" w:fill="auto"/>
            <w:noWrap/>
            <w:vAlign w:val="center"/>
          </w:tcPr>
          <w:p w14:paraId="29B825D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1890DBAA">
            <w:pPr>
              <w:widowControl/>
              <w:adjustRightInd w:val="0"/>
              <w:snapToGrid w:val="0"/>
              <w:rPr>
                <w:rFonts w:ascii="Times New Roman" w:hAnsi="Times New Roman" w:eastAsia="宋体" w:cs="Times New Roman"/>
                <w:sz w:val="16"/>
                <w:szCs w:val="16"/>
              </w:rPr>
            </w:pPr>
          </w:p>
        </w:tc>
      </w:tr>
      <w:tr w14:paraId="78B11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422FC56D">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3DB5CA67">
            <w:pPr>
              <w:widowControl/>
              <w:adjustRightInd w:val="0"/>
              <w:snapToGrid w:val="0"/>
              <w:jc w:val="center"/>
              <w:rPr>
                <w:rFonts w:ascii="Times New Roman" w:hAnsi="Times New Roman" w:eastAsia="宋体" w:cs="Times New Roman"/>
                <w:sz w:val="16"/>
                <w:szCs w:val="16"/>
              </w:rPr>
            </w:pPr>
          </w:p>
        </w:tc>
        <w:tc>
          <w:tcPr>
            <w:tcW w:w="196" w:type="pct"/>
            <w:vMerge w:val="restart"/>
            <w:shd w:val="clear" w:color="auto" w:fill="auto"/>
            <w:vAlign w:val="center"/>
          </w:tcPr>
          <w:p w14:paraId="0222A92A">
            <w:pPr>
              <w:widowControl/>
              <w:adjustRightInd w:val="0"/>
              <w:snapToGrid w:val="0"/>
              <w:jc w:val="center"/>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财务</w:t>
            </w:r>
          </w:p>
          <w:p w14:paraId="06C0584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管理</w:t>
            </w:r>
          </w:p>
        </w:tc>
        <w:tc>
          <w:tcPr>
            <w:tcW w:w="187" w:type="pct"/>
            <w:vMerge w:val="restart"/>
            <w:shd w:val="clear" w:color="auto" w:fill="auto"/>
            <w:vAlign w:val="center"/>
          </w:tcPr>
          <w:p w14:paraId="1C0728C3">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10.5</w:t>
            </w:r>
          </w:p>
        </w:tc>
        <w:tc>
          <w:tcPr>
            <w:tcW w:w="259" w:type="pct"/>
            <w:vMerge w:val="restart"/>
            <w:shd w:val="clear" w:color="auto" w:fill="auto"/>
            <w:vAlign w:val="center"/>
          </w:tcPr>
          <w:p w14:paraId="59B37534">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财务制度健全性</w:t>
            </w:r>
          </w:p>
        </w:tc>
        <w:tc>
          <w:tcPr>
            <w:tcW w:w="200" w:type="pct"/>
            <w:vMerge w:val="restart"/>
            <w:shd w:val="clear" w:color="auto" w:fill="auto"/>
            <w:vAlign w:val="center"/>
          </w:tcPr>
          <w:p w14:paraId="54A43B92">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483" w:type="pct"/>
            <w:vMerge w:val="restart"/>
            <w:shd w:val="clear" w:color="auto" w:fill="auto"/>
            <w:vAlign w:val="center"/>
          </w:tcPr>
          <w:p w14:paraId="3B8E32F2">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项目实施单位的财务制度是否健全，用以反映和考核财务管理制度对资金规范、安全运行的保障情况。</w:t>
            </w:r>
          </w:p>
        </w:tc>
        <w:tc>
          <w:tcPr>
            <w:tcW w:w="636" w:type="pct"/>
            <w:vMerge w:val="restart"/>
            <w:shd w:val="clear" w:color="auto" w:fill="auto"/>
            <w:vAlign w:val="center"/>
          </w:tcPr>
          <w:p w14:paraId="59453EC3">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5085984E">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是否已制定或具有相应的项目资金管理办法；</w:t>
            </w:r>
          </w:p>
          <w:p w14:paraId="3030BD88">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项目资金管理办法是否符合相关财务会计制度的规定。</w:t>
            </w:r>
          </w:p>
        </w:tc>
        <w:tc>
          <w:tcPr>
            <w:tcW w:w="369" w:type="pct"/>
            <w:shd w:val="clear" w:color="auto" w:fill="auto"/>
            <w:vAlign w:val="center"/>
          </w:tcPr>
          <w:p w14:paraId="58E3D209">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项目资金管理办法健全性</w:t>
            </w:r>
          </w:p>
        </w:tc>
        <w:tc>
          <w:tcPr>
            <w:tcW w:w="186" w:type="pct"/>
            <w:shd w:val="clear" w:color="auto" w:fill="auto"/>
            <w:vAlign w:val="center"/>
          </w:tcPr>
          <w:p w14:paraId="36FD95FC">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396FC1E9">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0F6EC790">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项目管理单位是否已制定或具有相应的项目资金管理办法。</w:t>
            </w:r>
          </w:p>
        </w:tc>
        <w:tc>
          <w:tcPr>
            <w:tcW w:w="569" w:type="pct"/>
            <w:shd w:val="clear" w:color="auto" w:fill="auto"/>
            <w:vAlign w:val="center"/>
          </w:tcPr>
          <w:p w14:paraId="27EA9078">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6CB50510">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2．对标要点：健全，得1分；其他情况酌情扣分。</w:t>
            </w:r>
          </w:p>
        </w:tc>
        <w:tc>
          <w:tcPr>
            <w:tcW w:w="224" w:type="pct"/>
            <w:shd w:val="clear" w:color="auto" w:fill="auto"/>
            <w:noWrap/>
            <w:vAlign w:val="center"/>
          </w:tcPr>
          <w:p w14:paraId="77901CD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6EB03368">
            <w:pPr>
              <w:widowControl/>
              <w:adjustRightInd w:val="0"/>
              <w:snapToGrid w:val="0"/>
              <w:rPr>
                <w:rFonts w:ascii="Times New Roman" w:hAnsi="Times New Roman" w:eastAsia="宋体" w:cs="Times New Roman"/>
                <w:sz w:val="16"/>
                <w:szCs w:val="16"/>
              </w:rPr>
            </w:pPr>
          </w:p>
        </w:tc>
      </w:tr>
      <w:tr w14:paraId="5BFC5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3CCBCBA4">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7150236C">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2A6BE610">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0865C929">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43E2D919">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70AF7E8D">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1796EBB3">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13DCEAE7">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1D2C4E3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项目资金管理办法合规性</w:t>
            </w:r>
          </w:p>
        </w:tc>
        <w:tc>
          <w:tcPr>
            <w:tcW w:w="186" w:type="pct"/>
            <w:shd w:val="clear" w:color="auto" w:fill="auto"/>
            <w:vAlign w:val="center"/>
          </w:tcPr>
          <w:p w14:paraId="47C1C449">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6F940DB7">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1DDF2696">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项目管理单位制定的项目资金管理办法是否符合相关财务会计制度的规定。</w:t>
            </w:r>
          </w:p>
        </w:tc>
        <w:tc>
          <w:tcPr>
            <w:tcW w:w="569" w:type="pct"/>
            <w:shd w:val="clear" w:color="auto" w:fill="auto"/>
            <w:vAlign w:val="center"/>
          </w:tcPr>
          <w:p w14:paraId="14D7FAC6">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3CBC2CD6">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2．对标要点：合规，得1分；不合规，不得分。</w:t>
            </w:r>
          </w:p>
        </w:tc>
        <w:tc>
          <w:tcPr>
            <w:tcW w:w="224" w:type="pct"/>
            <w:shd w:val="clear" w:color="auto" w:fill="auto"/>
            <w:noWrap/>
            <w:vAlign w:val="center"/>
          </w:tcPr>
          <w:p w14:paraId="1A10DC58">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13E1E434">
            <w:pPr>
              <w:widowControl/>
              <w:adjustRightInd w:val="0"/>
              <w:snapToGrid w:val="0"/>
              <w:rPr>
                <w:rFonts w:ascii="Times New Roman" w:hAnsi="Times New Roman" w:eastAsia="宋体" w:cs="Times New Roman"/>
                <w:sz w:val="16"/>
                <w:szCs w:val="16"/>
              </w:rPr>
            </w:pPr>
          </w:p>
        </w:tc>
      </w:tr>
      <w:tr w14:paraId="522A5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7A862B18">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083020FF">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396E920E">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61E5FE7F">
            <w:pPr>
              <w:widowControl/>
              <w:adjustRightInd w:val="0"/>
              <w:snapToGrid w:val="0"/>
              <w:jc w:val="center"/>
              <w:rPr>
                <w:rFonts w:ascii="Times New Roman" w:hAnsi="Times New Roman" w:eastAsia="宋体" w:cs="Times New Roman"/>
                <w:sz w:val="16"/>
                <w:szCs w:val="16"/>
              </w:rPr>
            </w:pPr>
          </w:p>
        </w:tc>
        <w:tc>
          <w:tcPr>
            <w:tcW w:w="259" w:type="pct"/>
            <w:vMerge w:val="restart"/>
            <w:shd w:val="clear" w:color="auto" w:fill="auto"/>
            <w:vAlign w:val="center"/>
          </w:tcPr>
          <w:p w14:paraId="4F613F0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资金使用合规性</w:t>
            </w:r>
          </w:p>
        </w:tc>
        <w:tc>
          <w:tcPr>
            <w:tcW w:w="200" w:type="pct"/>
            <w:vMerge w:val="restart"/>
            <w:shd w:val="clear" w:color="auto" w:fill="auto"/>
            <w:vAlign w:val="center"/>
          </w:tcPr>
          <w:p w14:paraId="60BCCBA8">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3</w:t>
            </w:r>
          </w:p>
        </w:tc>
        <w:tc>
          <w:tcPr>
            <w:tcW w:w="483" w:type="pct"/>
            <w:vMerge w:val="restart"/>
            <w:shd w:val="clear" w:color="auto" w:fill="auto"/>
            <w:vAlign w:val="center"/>
          </w:tcPr>
          <w:p w14:paraId="45DDE87D">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项目资金使用是否符合相关的财务管理制度规定，用以反映和考核项目资金的规范运行情况。</w:t>
            </w:r>
          </w:p>
        </w:tc>
        <w:tc>
          <w:tcPr>
            <w:tcW w:w="636" w:type="pct"/>
            <w:vMerge w:val="restart"/>
            <w:shd w:val="clear" w:color="auto" w:fill="auto"/>
            <w:vAlign w:val="center"/>
          </w:tcPr>
          <w:p w14:paraId="6D2CD1E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6B7EA573">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是否符合国家财经法规和财务管理制度以及有关专项资金管理办法的规定；</w:t>
            </w:r>
          </w:p>
          <w:p w14:paraId="749E0EB5">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资金的拨付是否有完整的审批程序和手续；</w:t>
            </w:r>
          </w:p>
          <w:p w14:paraId="6EA71F2D">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项目的重大开支是否经过评估认证；</w:t>
            </w:r>
          </w:p>
          <w:p w14:paraId="1C63F111">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④</w:t>
            </w:r>
            <w:r>
              <w:rPr>
                <w:rFonts w:ascii="Times New Roman" w:hAnsi="Times New Roman" w:eastAsia="宋体" w:cs="Times New Roman"/>
                <w:kern w:val="0"/>
                <w:sz w:val="16"/>
                <w:szCs w:val="16"/>
                <w:lang w:bidi="ar"/>
              </w:rPr>
              <w:t>是否符合项目预算批复或合同规定的用途；</w:t>
            </w:r>
          </w:p>
          <w:p w14:paraId="4123EC6C">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⑤</w:t>
            </w:r>
            <w:r>
              <w:rPr>
                <w:rFonts w:ascii="Times New Roman" w:hAnsi="Times New Roman" w:eastAsia="宋体" w:cs="Times New Roman"/>
                <w:kern w:val="0"/>
                <w:sz w:val="16"/>
                <w:szCs w:val="16"/>
                <w:lang w:bidi="ar"/>
              </w:rPr>
              <w:t>是否实行专账管理，支出记录完整规范，凭证合格有效；</w:t>
            </w:r>
          </w:p>
          <w:p w14:paraId="1A31BD82">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⑥</w:t>
            </w:r>
            <w:r>
              <w:rPr>
                <w:rFonts w:ascii="Times New Roman" w:hAnsi="Times New Roman" w:eastAsia="宋体" w:cs="Times New Roman"/>
                <w:kern w:val="0"/>
                <w:sz w:val="16"/>
                <w:szCs w:val="16"/>
                <w:lang w:bidi="ar"/>
              </w:rPr>
              <w:t>是否存在截留、挤占、挪用、虚列支出等情况。</w:t>
            </w:r>
          </w:p>
        </w:tc>
        <w:tc>
          <w:tcPr>
            <w:tcW w:w="369" w:type="pct"/>
            <w:shd w:val="clear" w:color="auto" w:fill="auto"/>
            <w:vAlign w:val="center"/>
          </w:tcPr>
          <w:p w14:paraId="013FE8A4">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资金使用合法合规性</w:t>
            </w:r>
          </w:p>
        </w:tc>
        <w:tc>
          <w:tcPr>
            <w:tcW w:w="186" w:type="pct"/>
            <w:shd w:val="clear" w:color="auto" w:fill="auto"/>
            <w:vAlign w:val="center"/>
          </w:tcPr>
          <w:p w14:paraId="0BCC88D7">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40AA487E">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5FABEB71">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是否符合国家财经法规和财务管理制度以及有关专项资金管理办法的规定；</w:t>
            </w:r>
          </w:p>
          <w:p w14:paraId="61743227">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项目的重大开支是否经过评估认证；</w:t>
            </w:r>
          </w:p>
          <w:p w14:paraId="41B4F5C8">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是否实行专账管理，支出记录完整规范，凭证合格有效；</w:t>
            </w:r>
          </w:p>
          <w:p w14:paraId="5645DDE9">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④</w:t>
            </w:r>
            <w:r>
              <w:rPr>
                <w:rFonts w:ascii="Times New Roman" w:hAnsi="Times New Roman" w:eastAsia="宋体" w:cs="Times New Roman"/>
                <w:kern w:val="0"/>
                <w:sz w:val="16"/>
                <w:szCs w:val="16"/>
                <w:lang w:bidi="ar"/>
              </w:rPr>
              <w:t>是否存在截留、挤占、挪用、虚列支出等情况。</w:t>
            </w:r>
          </w:p>
        </w:tc>
        <w:tc>
          <w:tcPr>
            <w:tcW w:w="569" w:type="pct"/>
            <w:shd w:val="clear" w:color="auto" w:fill="auto"/>
            <w:vAlign w:val="center"/>
          </w:tcPr>
          <w:p w14:paraId="515F0ED5">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46C8DD64">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2．对标要点：合法合规，得1分；否则不得分。</w:t>
            </w:r>
          </w:p>
        </w:tc>
        <w:tc>
          <w:tcPr>
            <w:tcW w:w="224" w:type="pct"/>
            <w:shd w:val="clear" w:color="auto" w:fill="auto"/>
            <w:noWrap/>
            <w:vAlign w:val="center"/>
          </w:tcPr>
          <w:p w14:paraId="22E22144">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582302AC">
            <w:pPr>
              <w:widowControl/>
              <w:adjustRightInd w:val="0"/>
              <w:snapToGrid w:val="0"/>
              <w:rPr>
                <w:rFonts w:ascii="Times New Roman" w:hAnsi="Times New Roman" w:eastAsia="宋体" w:cs="Times New Roman"/>
                <w:sz w:val="16"/>
                <w:szCs w:val="16"/>
              </w:rPr>
            </w:pPr>
          </w:p>
        </w:tc>
      </w:tr>
      <w:tr w14:paraId="34EEE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3DBB351E">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51F19C22">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3CFFB532">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38D707C5">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2C51EAC8">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5DA8C8CE">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2F2C71FC">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571DA0A5">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26A8BA73">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资金使用手续完备性</w:t>
            </w:r>
          </w:p>
        </w:tc>
        <w:tc>
          <w:tcPr>
            <w:tcW w:w="186" w:type="pct"/>
            <w:shd w:val="clear" w:color="auto" w:fill="auto"/>
            <w:vAlign w:val="center"/>
          </w:tcPr>
          <w:p w14:paraId="3205A5D2">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1DB72D2D">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174CE08E">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资金的拨付是否有完整的审批程序和手续。</w:t>
            </w:r>
          </w:p>
        </w:tc>
        <w:tc>
          <w:tcPr>
            <w:tcW w:w="569" w:type="pct"/>
            <w:shd w:val="clear" w:color="auto" w:fill="auto"/>
            <w:vAlign w:val="center"/>
          </w:tcPr>
          <w:p w14:paraId="7B4F6CD1">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310E87D6">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2．对标要点：完备，得1分；否则不得分。</w:t>
            </w:r>
          </w:p>
        </w:tc>
        <w:tc>
          <w:tcPr>
            <w:tcW w:w="224" w:type="pct"/>
            <w:shd w:val="clear" w:color="auto" w:fill="auto"/>
            <w:vAlign w:val="center"/>
          </w:tcPr>
          <w:p w14:paraId="157DE49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19B7A2D7">
            <w:pPr>
              <w:widowControl/>
              <w:adjustRightInd w:val="0"/>
              <w:snapToGrid w:val="0"/>
              <w:rPr>
                <w:rFonts w:ascii="Times New Roman" w:hAnsi="Times New Roman" w:eastAsia="宋体" w:cs="Times New Roman"/>
                <w:sz w:val="16"/>
                <w:szCs w:val="16"/>
              </w:rPr>
            </w:pPr>
          </w:p>
        </w:tc>
      </w:tr>
      <w:tr w14:paraId="78EF3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4B8B43D9">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38B6A8C9">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5275EF66">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116E07BB">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452B4515">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280620A7">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0E1F8156">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69B16B79">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5674F9B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资金用途相符性</w:t>
            </w:r>
          </w:p>
        </w:tc>
        <w:tc>
          <w:tcPr>
            <w:tcW w:w="186" w:type="pct"/>
            <w:shd w:val="clear" w:color="auto" w:fill="auto"/>
            <w:vAlign w:val="center"/>
          </w:tcPr>
          <w:p w14:paraId="609DC05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1EE9C7E4">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09A64555">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是否符合项目预算批复或合同规定的用途。</w:t>
            </w:r>
          </w:p>
        </w:tc>
        <w:tc>
          <w:tcPr>
            <w:tcW w:w="569" w:type="pct"/>
            <w:shd w:val="clear" w:color="auto" w:fill="auto"/>
            <w:vAlign w:val="center"/>
          </w:tcPr>
          <w:p w14:paraId="4ABE76A4">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07DA443A">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2．对标要点：符合，得1分；否则不得分。</w:t>
            </w:r>
          </w:p>
        </w:tc>
        <w:tc>
          <w:tcPr>
            <w:tcW w:w="224" w:type="pct"/>
            <w:shd w:val="clear" w:color="auto" w:fill="auto"/>
            <w:vAlign w:val="center"/>
          </w:tcPr>
          <w:p w14:paraId="5B7825F5">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2B550D62">
            <w:pPr>
              <w:widowControl/>
              <w:adjustRightInd w:val="0"/>
              <w:snapToGrid w:val="0"/>
              <w:rPr>
                <w:rFonts w:ascii="Times New Roman" w:hAnsi="Times New Roman" w:eastAsia="宋体" w:cs="Times New Roman"/>
                <w:sz w:val="16"/>
                <w:szCs w:val="16"/>
              </w:rPr>
            </w:pPr>
          </w:p>
        </w:tc>
      </w:tr>
      <w:tr w14:paraId="7CFDD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0C732AA2">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3937441F">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183D26BE">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7D03F374">
            <w:pPr>
              <w:widowControl/>
              <w:adjustRightInd w:val="0"/>
              <w:snapToGrid w:val="0"/>
              <w:jc w:val="center"/>
              <w:rPr>
                <w:rFonts w:ascii="Times New Roman" w:hAnsi="Times New Roman" w:eastAsia="宋体" w:cs="Times New Roman"/>
                <w:sz w:val="16"/>
                <w:szCs w:val="16"/>
              </w:rPr>
            </w:pPr>
          </w:p>
        </w:tc>
        <w:tc>
          <w:tcPr>
            <w:tcW w:w="259" w:type="pct"/>
            <w:vMerge w:val="restart"/>
            <w:shd w:val="clear" w:color="auto" w:fill="auto"/>
            <w:vAlign w:val="center"/>
          </w:tcPr>
          <w:p w14:paraId="1B9F9E55">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债券管理情况</w:t>
            </w:r>
          </w:p>
        </w:tc>
        <w:tc>
          <w:tcPr>
            <w:tcW w:w="200" w:type="pct"/>
            <w:vMerge w:val="restart"/>
            <w:shd w:val="clear" w:color="auto" w:fill="auto"/>
            <w:vAlign w:val="center"/>
          </w:tcPr>
          <w:p w14:paraId="5589D9A7">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3.5</w:t>
            </w:r>
          </w:p>
        </w:tc>
        <w:tc>
          <w:tcPr>
            <w:tcW w:w="483" w:type="pct"/>
            <w:vMerge w:val="restart"/>
            <w:shd w:val="clear" w:color="auto" w:fill="auto"/>
            <w:vAlign w:val="center"/>
          </w:tcPr>
          <w:p w14:paraId="246FAD0B">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1.项目专项债券收支、还本付息和专项收入是否纳入政府性基金预算管理，用以反映和考察财政部门对专项债券的预算管理情况。</w:t>
            </w:r>
          </w:p>
          <w:p w14:paraId="6B4E3C83">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2.项目专项债券资金的实际成本是否合理可控，用以反映和考核专项债券资金的融资成本。</w:t>
            </w:r>
          </w:p>
          <w:p w14:paraId="33744C4D">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3.专项债券的本息偿还是否和原定计划和要求一致，用以反映和考核专项债券本息偿还的实际执行情况。</w:t>
            </w:r>
          </w:p>
          <w:p w14:paraId="0F9FF03B">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4.项目在申请专项债券时对项目收入、成本和预期收益的测算是否合理。</w:t>
            </w:r>
          </w:p>
          <w:p w14:paraId="05CFBB23">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5.项目的年度收支是否平衡或项目全生命周期预期收益与专项债券规模是否匹配，用以反映和考核项目收支平衡情况。</w:t>
            </w:r>
          </w:p>
          <w:p w14:paraId="0D4AEDE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6.专项债券的期限与项目实施期限是否匹配，用以反映专项债券期限结构确定的合理情况。</w:t>
            </w:r>
          </w:p>
          <w:p w14:paraId="0E96907E">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7.项目信息是否按照规定及时、完整在地方政府债务管理信息系统中录入，相关信息是否按照政府信息公开的有关规定予以公开，用以反映和考核信息管理工作开展落实情况。</w:t>
            </w:r>
          </w:p>
        </w:tc>
        <w:tc>
          <w:tcPr>
            <w:tcW w:w="636" w:type="pct"/>
            <w:vMerge w:val="restart"/>
            <w:shd w:val="clear" w:color="auto" w:fill="auto"/>
            <w:vAlign w:val="center"/>
          </w:tcPr>
          <w:p w14:paraId="4131DAC2">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30A22C07">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1.项目专项债券收支、还本付息和专项收入是否纳入政府性基金预算管理，用以反映和考察财政部门对专项债券的预算管理情况。</w:t>
            </w:r>
          </w:p>
          <w:p w14:paraId="587FE36E">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2.项目专项债券资金的实际成本是否合理可控，用以反映和考核专项债券资金的融资成本。</w:t>
            </w:r>
          </w:p>
          <w:p w14:paraId="3D44D977">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3.项目专项债券的本息偿还是否和原定计划和要求一致，用以反映和考核专项债券本息偿还的实际执行情况。</w:t>
            </w:r>
          </w:p>
          <w:p w14:paraId="1557704B">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4.项目在申请专项债券时对项目收入、成本和预期收益的测算是否合理。</w:t>
            </w:r>
          </w:p>
          <w:p w14:paraId="567B9A5A">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5.项目的年度收支是否平衡或项目全生命周期预期收益与专项债券规模是否匹配，用以反映和考核项目收支平衡情况。</w:t>
            </w:r>
          </w:p>
          <w:p w14:paraId="5EDD55D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6.专项债券的期限与项目实施期限是否匹配，用以反映专项债券期限结构确定的合理情况。</w:t>
            </w:r>
          </w:p>
          <w:p w14:paraId="6C342A6B">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7.项目信息是否按照规定及时、完整在地方政府债务管理信息系统中录入，相关信息是否按照政府信息公开的有关规定予以公开，用以反映和考核信息管理工作开展落实情况。</w:t>
            </w:r>
          </w:p>
        </w:tc>
        <w:tc>
          <w:tcPr>
            <w:tcW w:w="369" w:type="pct"/>
            <w:shd w:val="clear" w:color="auto" w:fill="auto"/>
            <w:vAlign w:val="center"/>
          </w:tcPr>
          <w:p w14:paraId="284C45F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专项债券预算管理规范性</w:t>
            </w:r>
          </w:p>
        </w:tc>
        <w:tc>
          <w:tcPr>
            <w:tcW w:w="186" w:type="pct"/>
            <w:shd w:val="clear" w:color="auto" w:fill="auto"/>
            <w:vAlign w:val="center"/>
          </w:tcPr>
          <w:p w14:paraId="11257272">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689" w:type="pct"/>
            <w:shd w:val="clear" w:color="auto" w:fill="auto"/>
            <w:vAlign w:val="center"/>
          </w:tcPr>
          <w:p w14:paraId="64A44518">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0CFBA714">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专项债券收支、还本付息和专项收入是否纳入政府性基金预算管理；</w:t>
            </w:r>
          </w:p>
          <w:p w14:paraId="2D455952">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专项债券收支、还本付息和专项收入是否按照专门设置的预算收支科目单独核算和全面管理。</w:t>
            </w:r>
          </w:p>
        </w:tc>
        <w:tc>
          <w:tcPr>
            <w:tcW w:w="569" w:type="pct"/>
            <w:shd w:val="clear" w:color="auto" w:fill="auto"/>
            <w:vAlign w:val="center"/>
          </w:tcPr>
          <w:p w14:paraId="58807B53">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54080581">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2．对标要点：满足1项得0.25分，全部满足得满分。</w:t>
            </w:r>
          </w:p>
        </w:tc>
        <w:tc>
          <w:tcPr>
            <w:tcW w:w="224" w:type="pct"/>
            <w:shd w:val="clear" w:color="auto" w:fill="auto"/>
            <w:noWrap/>
            <w:vAlign w:val="center"/>
          </w:tcPr>
          <w:p w14:paraId="52C80459">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592" w:type="pct"/>
            <w:shd w:val="clear" w:color="auto" w:fill="auto"/>
            <w:vAlign w:val="center"/>
          </w:tcPr>
          <w:p w14:paraId="5E5BA60B">
            <w:pPr>
              <w:widowControl/>
              <w:adjustRightInd w:val="0"/>
              <w:snapToGrid w:val="0"/>
              <w:rPr>
                <w:rFonts w:ascii="Times New Roman" w:hAnsi="Times New Roman" w:eastAsia="宋体" w:cs="Times New Roman"/>
                <w:sz w:val="16"/>
                <w:szCs w:val="16"/>
              </w:rPr>
            </w:pPr>
          </w:p>
        </w:tc>
      </w:tr>
      <w:tr w14:paraId="63A7F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31B146B0">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78F1A5AD">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696DD295">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35349E55">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3EAAF48D">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3F749E9D">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77F5BB42">
            <w:pPr>
              <w:widowControl/>
              <w:adjustRightInd w:val="0"/>
              <w:snapToGrid w:val="0"/>
              <w:jc w:val="left"/>
              <w:rPr>
                <w:rFonts w:ascii="Times New Roman" w:hAnsi="Times New Roman" w:eastAsia="宋体" w:cs="Times New Roman"/>
                <w:sz w:val="16"/>
                <w:szCs w:val="16"/>
              </w:rPr>
            </w:pPr>
          </w:p>
        </w:tc>
        <w:tc>
          <w:tcPr>
            <w:tcW w:w="636" w:type="pct"/>
            <w:vMerge w:val="continue"/>
            <w:shd w:val="clear" w:color="auto" w:fill="auto"/>
            <w:vAlign w:val="center"/>
          </w:tcPr>
          <w:p w14:paraId="291DC518">
            <w:pPr>
              <w:widowControl/>
              <w:adjustRightInd w:val="0"/>
              <w:snapToGrid w:val="0"/>
              <w:jc w:val="left"/>
              <w:rPr>
                <w:rFonts w:ascii="Times New Roman" w:hAnsi="Times New Roman" w:eastAsia="宋体" w:cs="Times New Roman"/>
                <w:sz w:val="16"/>
                <w:szCs w:val="16"/>
              </w:rPr>
            </w:pPr>
          </w:p>
        </w:tc>
        <w:tc>
          <w:tcPr>
            <w:tcW w:w="369" w:type="pct"/>
            <w:shd w:val="clear" w:color="auto" w:fill="auto"/>
            <w:vAlign w:val="center"/>
          </w:tcPr>
          <w:p w14:paraId="761EF5C5">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专项债券资金实际成本</w:t>
            </w:r>
          </w:p>
        </w:tc>
        <w:tc>
          <w:tcPr>
            <w:tcW w:w="186" w:type="pct"/>
            <w:shd w:val="clear" w:color="auto" w:fill="auto"/>
            <w:vAlign w:val="center"/>
          </w:tcPr>
          <w:p w14:paraId="1CC76E6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689" w:type="pct"/>
            <w:shd w:val="clear" w:color="auto" w:fill="auto"/>
            <w:vAlign w:val="center"/>
          </w:tcPr>
          <w:p w14:paraId="29E3CF6C">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23991FD4">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项目专项债券资金的实际成本是否合理可控。</w:t>
            </w:r>
          </w:p>
        </w:tc>
        <w:tc>
          <w:tcPr>
            <w:tcW w:w="569" w:type="pct"/>
            <w:shd w:val="clear" w:color="auto" w:fill="auto"/>
            <w:vAlign w:val="center"/>
          </w:tcPr>
          <w:p w14:paraId="4466C755">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35F9CE03">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2．对标要点：得分=合理可控程度*权重。</w:t>
            </w:r>
          </w:p>
        </w:tc>
        <w:tc>
          <w:tcPr>
            <w:tcW w:w="224" w:type="pct"/>
            <w:shd w:val="clear" w:color="auto" w:fill="auto"/>
            <w:noWrap/>
            <w:vAlign w:val="center"/>
          </w:tcPr>
          <w:p w14:paraId="4B612387">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592" w:type="pct"/>
            <w:shd w:val="clear" w:color="auto" w:fill="auto"/>
            <w:vAlign w:val="center"/>
          </w:tcPr>
          <w:p w14:paraId="689CD519">
            <w:pPr>
              <w:widowControl/>
              <w:adjustRightInd w:val="0"/>
              <w:snapToGrid w:val="0"/>
              <w:rPr>
                <w:rFonts w:ascii="Times New Roman" w:hAnsi="Times New Roman" w:eastAsia="宋体" w:cs="Times New Roman"/>
                <w:sz w:val="16"/>
                <w:szCs w:val="16"/>
              </w:rPr>
            </w:pPr>
          </w:p>
        </w:tc>
      </w:tr>
      <w:tr w14:paraId="05FBD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3EE95BDF">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19764FF5">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6AE62A97">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1AFCD2BA">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702CE463">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05429A5C">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67288094">
            <w:pPr>
              <w:widowControl/>
              <w:adjustRightInd w:val="0"/>
              <w:snapToGrid w:val="0"/>
              <w:jc w:val="left"/>
              <w:rPr>
                <w:rFonts w:ascii="Times New Roman" w:hAnsi="Times New Roman" w:eastAsia="宋体" w:cs="Times New Roman"/>
                <w:sz w:val="16"/>
                <w:szCs w:val="16"/>
              </w:rPr>
            </w:pPr>
          </w:p>
        </w:tc>
        <w:tc>
          <w:tcPr>
            <w:tcW w:w="636" w:type="pct"/>
            <w:vMerge w:val="continue"/>
            <w:shd w:val="clear" w:color="auto" w:fill="auto"/>
            <w:vAlign w:val="center"/>
          </w:tcPr>
          <w:p w14:paraId="17D9A0B5">
            <w:pPr>
              <w:widowControl/>
              <w:adjustRightInd w:val="0"/>
              <w:snapToGrid w:val="0"/>
              <w:jc w:val="left"/>
              <w:rPr>
                <w:rFonts w:ascii="Times New Roman" w:hAnsi="Times New Roman" w:eastAsia="宋体" w:cs="Times New Roman"/>
                <w:sz w:val="16"/>
                <w:szCs w:val="16"/>
              </w:rPr>
            </w:pPr>
          </w:p>
        </w:tc>
        <w:tc>
          <w:tcPr>
            <w:tcW w:w="369" w:type="pct"/>
            <w:shd w:val="clear" w:color="auto" w:fill="auto"/>
            <w:vAlign w:val="center"/>
          </w:tcPr>
          <w:p w14:paraId="12F70BA9">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专项债券本息偿还计划执行情况</w:t>
            </w:r>
          </w:p>
        </w:tc>
        <w:tc>
          <w:tcPr>
            <w:tcW w:w="186" w:type="pct"/>
            <w:shd w:val="clear" w:color="auto" w:fill="auto"/>
            <w:vAlign w:val="center"/>
          </w:tcPr>
          <w:p w14:paraId="2A8705F2">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689" w:type="pct"/>
            <w:shd w:val="clear" w:color="auto" w:fill="auto"/>
            <w:vAlign w:val="center"/>
          </w:tcPr>
          <w:p w14:paraId="18FBED8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13D535DB">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项目专项债券本息是否按规定时间、规定金额进行偿还；</w:t>
            </w:r>
          </w:p>
          <w:p w14:paraId="757FE128">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项目偿债资金来源科学性、真实性、合理性；</w:t>
            </w:r>
          </w:p>
          <w:p w14:paraId="45EDAA20">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项目债券还本付息方式的科学性；</w:t>
            </w:r>
          </w:p>
          <w:p w14:paraId="49A46B5C">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④</w:t>
            </w:r>
            <w:r>
              <w:rPr>
                <w:rFonts w:ascii="Times New Roman" w:hAnsi="Times New Roman" w:eastAsia="宋体" w:cs="Times New Roman"/>
                <w:kern w:val="0"/>
                <w:sz w:val="16"/>
                <w:szCs w:val="16"/>
                <w:lang w:bidi="ar"/>
              </w:rPr>
              <w:t>项目债券存续期内净收益对债券本金覆盖倍率；</w:t>
            </w:r>
          </w:p>
          <w:p w14:paraId="43B78B2D">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⑤</w:t>
            </w:r>
            <w:r>
              <w:rPr>
                <w:rFonts w:ascii="Times New Roman" w:hAnsi="Times New Roman" w:eastAsia="宋体" w:cs="Times New Roman"/>
                <w:kern w:val="0"/>
                <w:sz w:val="16"/>
                <w:szCs w:val="16"/>
                <w:lang w:bidi="ar"/>
              </w:rPr>
              <w:t>项目是否按要求建立偿债备付金制度。</w:t>
            </w:r>
          </w:p>
        </w:tc>
        <w:tc>
          <w:tcPr>
            <w:tcW w:w="569" w:type="pct"/>
            <w:shd w:val="clear" w:color="auto" w:fill="auto"/>
            <w:vAlign w:val="center"/>
          </w:tcPr>
          <w:p w14:paraId="7363269E">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3DCD8378">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2．对标要点：满足其中任意一项得0.1分，全部满足得满分。</w:t>
            </w:r>
          </w:p>
        </w:tc>
        <w:tc>
          <w:tcPr>
            <w:tcW w:w="224" w:type="pct"/>
            <w:shd w:val="clear" w:color="auto" w:fill="auto"/>
            <w:noWrap/>
            <w:vAlign w:val="center"/>
          </w:tcPr>
          <w:p w14:paraId="1039670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592" w:type="pct"/>
            <w:shd w:val="clear" w:color="auto" w:fill="auto"/>
            <w:vAlign w:val="center"/>
          </w:tcPr>
          <w:p w14:paraId="0532B950">
            <w:pPr>
              <w:widowControl/>
              <w:adjustRightInd w:val="0"/>
              <w:snapToGrid w:val="0"/>
              <w:rPr>
                <w:rFonts w:ascii="Times New Roman" w:hAnsi="Times New Roman" w:eastAsia="宋体" w:cs="Times New Roman"/>
                <w:sz w:val="16"/>
                <w:szCs w:val="16"/>
              </w:rPr>
            </w:pPr>
          </w:p>
        </w:tc>
      </w:tr>
      <w:tr w14:paraId="6C9D3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2A09832C">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49F9EBC0">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13D60A81">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155DC3F8">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4933B10C">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5F1BFCCA">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4FBDACA5">
            <w:pPr>
              <w:widowControl/>
              <w:adjustRightInd w:val="0"/>
              <w:snapToGrid w:val="0"/>
              <w:jc w:val="left"/>
              <w:rPr>
                <w:rFonts w:ascii="Times New Roman" w:hAnsi="Times New Roman" w:eastAsia="宋体" w:cs="Times New Roman"/>
                <w:sz w:val="16"/>
                <w:szCs w:val="16"/>
              </w:rPr>
            </w:pPr>
          </w:p>
        </w:tc>
        <w:tc>
          <w:tcPr>
            <w:tcW w:w="636" w:type="pct"/>
            <w:vMerge w:val="continue"/>
            <w:shd w:val="clear" w:color="auto" w:fill="auto"/>
            <w:vAlign w:val="center"/>
          </w:tcPr>
          <w:p w14:paraId="3A9518EC">
            <w:pPr>
              <w:widowControl/>
              <w:adjustRightInd w:val="0"/>
              <w:snapToGrid w:val="0"/>
              <w:jc w:val="left"/>
              <w:rPr>
                <w:rFonts w:ascii="Times New Roman" w:hAnsi="Times New Roman" w:eastAsia="宋体" w:cs="Times New Roman"/>
                <w:sz w:val="16"/>
                <w:szCs w:val="16"/>
              </w:rPr>
            </w:pPr>
          </w:p>
        </w:tc>
        <w:tc>
          <w:tcPr>
            <w:tcW w:w="369" w:type="pct"/>
            <w:shd w:val="clear" w:color="auto" w:fill="auto"/>
            <w:vAlign w:val="center"/>
          </w:tcPr>
          <w:p w14:paraId="04E9ED8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收入、成本及预期收益合理性</w:t>
            </w:r>
          </w:p>
        </w:tc>
        <w:tc>
          <w:tcPr>
            <w:tcW w:w="186" w:type="pct"/>
            <w:shd w:val="clear" w:color="auto" w:fill="auto"/>
            <w:vAlign w:val="center"/>
          </w:tcPr>
          <w:p w14:paraId="1D4B0F92">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689" w:type="pct"/>
            <w:shd w:val="clear" w:color="auto" w:fill="auto"/>
            <w:vAlign w:val="center"/>
          </w:tcPr>
          <w:p w14:paraId="63A1033E">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33064BFF">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对工程收入、成本和预期收益的测算是否有相应的依据，并符合项目实际情况。</w:t>
            </w:r>
          </w:p>
        </w:tc>
        <w:tc>
          <w:tcPr>
            <w:tcW w:w="569" w:type="pct"/>
            <w:shd w:val="clear" w:color="auto" w:fill="auto"/>
            <w:vAlign w:val="center"/>
          </w:tcPr>
          <w:p w14:paraId="139E53C0">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3BFFA59F">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2．对标要点：得分=合理程度*权重。</w:t>
            </w:r>
          </w:p>
        </w:tc>
        <w:tc>
          <w:tcPr>
            <w:tcW w:w="224" w:type="pct"/>
            <w:shd w:val="clear" w:color="auto" w:fill="auto"/>
            <w:noWrap/>
            <w:vAlign w:val="center"/>
          </w:tcPr>
          <w:p w14:paraId="5981996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592" w:type="pct"/>
            <w:shd w:val="clear" w:color="auto" w:fill="auto"/>
            <w:vAlign w:val="center"/>
          </w:tcPr>
          <w:p w14:paraId="5BE7F48A">
            <w:pPr>
              <w:widowControl/>
              <w:adjustRightInd w:val="0"/>
              <w:snapToGrid w:val="0"/>
              <w:rPr>
                <w:rFonts w:ascii="Times New Roman" w:hAnsi="Times New Roman" w:eastAsia="宋体" w:cs="Times New Roman"/>
                <w:sz w:val="16"/>
                <w:szCs w:val="16"/>
              </w:rPr>
            </w:pPr>
          </w:p>
        </w:tc>
      </w:tr>
      <w:tr w14:paraId="01005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66FA069D">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20DCB40A">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4DF3B8E7">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1A094485">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70966A8B">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55825A98">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04DA5C0E">
            <w:pPr>
              <w:widowControl/>
              <w:adjustRightInd w:val="0"/>
              <w:snapToGrid w:val="0"/>
              <w:jc w:val="left"/>
              <w:rPr>
                <w:rFonts w:ascii="Times New Roman" w:hAnsi="Times New Roman" w:eastAsia="宋体" w:cs="Times New Roman"/>
                <w:sz w:val="16"/>
                <w:szCs w:val="16"/>
              </w:rPr>
            </w:pPr>
          </w:p>
        </w:tc>
        <w:tc>
          <w:tcPr>
            <w:tcW w:w="636" w:type="pct"/>
            <w:vMerge w:val="continue"/>
            <w:shd w:val="clear" w:color="auto" w:fill="auto"/>
            <w:vAlign w:val="center"/>
          </w:tcPr>
          <w:p w14:paraId="480A289A">
            <w:pPr>
              <w:widowControl/>
              <w:adjustRightInd w:val="0"/>
              <w:snapToGrid w:val="0"/>
              <w:jc w:val="left"/>
              <w:rPr>
                <w:rFonts w:ascii="Times New Roman" w:hAnsi="Times New Roman" w:eastAsia="宋体" w:cs="Times New Roman"/>
                <w:sz w:val="16"/>
                <w:szCs w:val="16"/>
              </w:rPr>
            </w:pPr>
          </w:p>
        </w:tc>
        <w:tc>
          <w:tcPr>
            <w:tcW w:w="369" w:type="pct"/>
            <w:shd w:val="clear" w:color="auto" w:fill="auto"/>
            <w:vAlign w:val="center"/>
          </w:tcPr>
          <w:p w14:paraId="48C47988">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年度收支平衡或全生命周期预期收益与专项债券规模匹配性</w:t>
            </w:r>
          </w:p>
        </w:tc>
        <w:tc>
          <w:tcPr>
            <w:tcW w:w="186" w:type="pct"/>
            <w:shd w:val="clear" w:color="auto" w:fill="auto"/>
            <w:vAlign w:val="center"/>
          </w:tcPr>
          <w:p w14:paraId="34772B3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689" w:type="pct"/>
            <w:shd w:val="clear" w:color="auto" w:fill="auto"/>
            <w:vAlign w:val="center"/>
          </w:tcPr>
          <w:p w14:paraId="5AC21B39">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639B3AAA">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项目各年度收支是否平衡或者项目全生命周期预期收益和专项债券规模是否匹配。</w:t>
            </w:r>
          </w:p>
        </w:tc>
        <w:tc>
          <w:tcPr>
            <w:tcW w:w="569" w:type="pct"/>
            <w:shd w:val="clear" w:color="auto" w:fill="auto"/>
            <w:vAlign w:val="center"/>
          </w:tcPr>
          <w:p w14:paraId="5526673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3D53AD69">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2．对标要点：得分=平衡度/匹配度*权重。</w:t>
            </w:r>
          </w:p>
        </w:tc>
        <w:tc>
          <w:tcPr>
            <w:tcW w:w="224" w:type="pct"/>
            <w:shd w:val="clear" w:color="auto" w:fill="auto"/>
            <w:noWrap/>
            <w:vAlign w:val="center"/>
          </w:tcPr>
          <w:p w14:paraId="4E306099">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592" w:type="pct"/>
            <w:shd w:val="clear" w:color="auto" w:fill="auto"/>
            <w:vAlign w:val="center"/>
          </w:tcPr>
          <w:p w14:paraId="30F6A40D">
            <w:pPr>
              <w:widowControl/>
              <w:adjustRightInd w:val="0"/>
              <w:snapToGrid w:val="0"/>
              <w:rPr>
                <w:rFonts w:ascii="Times New Roman" w:hAnsi="Times New Roman" w:eastAsia="宋体" w:cs="Times New Roman"/>
                <w:sz w:val="16"/>
                <w:szCs w:val="16"/>
              </w:rPr>
            </w:pPr>
          </w:p>
        </w:tc>
      </w:tr>
      <w:tr w14:paraId="504B9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044C1F98">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7764C795">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7049A1C2">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53CF8F61">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5CBC5879">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409B0ACD">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16FA2315">
            <w:pPr>
              <w:widowControl/>
              <w:adjustRightInd w:val="0"/>
              <w:snapToGrid w:val="0"/>
              <w:jc w:val="left"/>
              <w:rPr>
                <w:rFonts w:ascii="Times New Roman" w:hAnsi="Times New Roman" w:eastAsia="宋体" w:cs="Times New Roman"/>
                <w:sz w:val="16"/>
                <w:szCs w:val="16"/>
              </w:rPr>
            </w:pPr>
          </w:p>
        </w:tc>
        <w:tc>
          <w:tcPr>
            <w:tcW w:w="636" w:type="pct"/>
            <w:vMerge w:val="continue"/>
            <w:shd w:val="clear" w:color="auto" w:fill="auto"/>
            <w:vAlign w:val="center"/>
          </w:tcPr>
          <w:p w14:paraId="1520907B">
            <w:pPr>
              <w:widowControl/>
              <w:adjustRightInd w:val="0"/>
              <w:snapToGrid w:val="0"/>
              <w:jc w:val="left"/>
              <w:rPr>
                <w:rFonts w:ascii="Times New Roman" w:hAnsi="Times New Roman" w:eastAsia="宋体" w:cs="Times New Roman"/>
                <w:sz w:val="16"/>
                <w:szCs w:val="16"/>
              </w:rPr>
            </w:pPr>
          </w:p>
        </w:tc>
        <w:tc>
          <w:tcPr>
            <w:tcW w:w="369" w:type="pct"/>
            <w:shd w:val="clear" w:color="auto" w:fill="auto"/>
            <w:vAlign w:val="center"/>
          </w:tcPr>
          <w:p w14:paraId="1D538CD6">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专项债券期限与实施期限匹配情况</w:t>
            </w:r>
          </w:p>
        </w:tc>
        <w:tc>
          <w:tcPr>
            <w:tcW w:w="186" w:type="pct"/>
            <w:shd w:val="clear" w:color="auto" w:fill="auto"/>
            <w:vAlign w:val="center"/>
          </w:tcPr>
          <w:p w14:paraId="294EB287">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689" w:type="pct"/>
            <w:shd w:val="clear" w:color="auto" w:fill="auto"/>
            <w:vAlign w:val="center"/>
          </w:tcPr>
          <w:p w14:paraId="4B23B524">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33E90696">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专项债券期限与项目建设和运营期限是否匹配（统筹考虑投资者需求、分年到期债务分布等因素）。</w:t>
            </w:r>
          </w:p>
        </w:tc>
        <w:tc>
          <w:tcPr>
            <w:tcW w:w="569" w:type="pct"/>
            <w:shd w:val="clear" w:color="auto" w:fill="auto"/>
            <w:vAlign w:val="center"/>
          </w:tcPr>
          <w:p w14:paraId="0DAE8089">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7A85CBA7">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2．对标要点：得分=匹配度*权重。</w:t>
            </w:r>
          </w:p>
        </w:tc>
        <w:tc>
          <w:tcPr>
            <w:tcW w:w="224" w:type="pct"/>
            <w:shd w:val="clear" w:color="auto" w:fill="auto"/>
            <w:noWrap/>
            <w:vAlign w:val="center"/>
          </w:tcPr>
          <w:p w14:paraId="79E2B53C">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592" w:type="pct"/>
            <w:shd w:val="clear" w:color="auto" w:fill="auto"/>
            <w:vAlign w:val="center"/>
          </w:tcPr>
          <w:p w14:paraId="094FAA79">
            <w:pPr>
              <w:widowControl/>
              <w:adjustRightInd w:val="0"/>
              <w:snapToGrid w:val="0"/>
              <w:rPr>
                <w:rFonts w:ascii="Times New Roman" w:hAnsi="Times New Roman" w:eastAsia="宋体" w:cs="Times New Roman"/>
                <w:sz w:val="16"/>
                <w:szCs w:val="16"/>
              </w:rPr>
            </w:pPr>
          </w:p>
        </w:tc>
      </w:tr>
      <w:tr w14:paraId="4CEB5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7F1A0DB3">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258C88EF">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1B6E0AE0">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67A3E2E1">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1543B1B9">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6105D3D5">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379C731D">
            <w:pPr>
              <w:widowControl/>
              <w:adjustRightInd w:val="0"/>
              <w:snapToGrid w:val="0"/>
              <w:jc w:val="left"/>
              <w:rPr>
                <w:rFonts w:ascii="Times New Roman" w:hAnsi="Times New Roman" w:eastAsia="宋体" w:cs="Times New Roman"/>
                <w:sz w:val="16"/>
                <w:szCs w:val="16"/>
              </w:rPr>
            </w:pPr>
          </w:p>
        </w:tc>
        <w:tc>
          <w:tcPr>
            <w:tcW w:w="636" w:type="pct"/>
            <w:vMerge w:val="continue"/>
            <w:shd w:val="clear" w:color="auto" w:fill="auto"/>
            <w:vAlign w:val="center"/>
          </w:tcPr>
          <w:p w14:paraId="07F8E61F">
            <w:pPr>
              <w:widowControl/>
              <w:adjustRightInd w:val="0"/>
              <w:snapToGrid w:val="0"/>
              <w:jc w:val="left"/>
              <w:rPr>
                <w:rFonts w:ascii="Times New Roman" w:hAnsi="Times New Roman" w:eastAsia="宋体" w:cs="Times New Roman"/>
                <w:sz w:val="16"/>
                <w:szCs w:val="16"/>
              </w:rPr>
            </w:pPr>
          </w:p>
        </w:tc>
        <w:tc>
          <w:tcPr>
            <w:tcW w:w="369" w:type="pct"/>
            <w:shd w:val="clear" w:color="auto" w:fill="auto"/>
            <w:vAlign w:val="center"/>
          </w:tcPr>
          <w:p w14:paraId="72A0EAC8">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专项债券项目信息管理规范性</w:t>
            </w:r>
          </w:p>
        </w:tc>
        <w:tc>
          <w:tcPr>
            <w:tcW w:w="186" w:type="pct"/>
            <w:shd w:val="clear" w:color="auto" w:fill="auto"/>
            <w:vAlign w:val="center"/>
          </w:tcPr>
          <w:p w14:paraId="225BEB5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689" w:type="pct"/>
            <w:shd w:val="clear" w:color="auto" w:fill="auto"/>
            <w:vAlign w:val="center"/>
          </w:tcPr>
          <w:p w14:paraId="3B60965D">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0375503F">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项目信息是否按照规定及时、完整地在地方政府债务管理信息系统中进行录入和更新；</w:t>
            </w:r>
          </w:p>
          <w:p w14:paraId="469427ED">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项目是否按照政府信息公开的有关规定和要求，将项目的有关信息在“中国地方政府债券信息公开平台”等平台上进行公开。</w:t>
            </w:r>
          </w:p>
        </w:tc>
        <w:tc>
          <w:tcPr>
            <w:tcW w:w="569" w:type="pct"/>
            <w:shd w:val="clear" w:color="auto" w:fill="auto"/>
            <w:vAlign w:val="center"/>
          </w:tcPr>
          <w:p w14:paraId="3CCC7AED">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0B94A90C">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2．对标要点：满足1项得0.25分，全部满足得满分。</w:t>
            </w:r>
          </w:p>
        </w:tc>
        <w:tc>
          <w:tcPr>
            <w:tcW w:w="224" w:type="pct"/>
            <w:shd w:val="clear" w:color="auto" w:fill="auto"/>
            <w:noWrap/>
            <w:vAlign w:val="center"/>
          </w:tcPr>
          <w:p w14:paraId="6125E7C1">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592" w:type="pct"/>
            <w:shd w:val="clear" w:color="auto" w:fill="auto"/>
            <w:vAlign w:val="center"/>
          </w:tcPr>
          <w:p w14:paraId="0638D260">
            <w:pPr>
              <w:widowControl/>
              <w:adjustRightInd w:val="0"/>
              <w:snapToGrid w:val="0"/>
              <w:rPr>
                <w:rFonts w:ascii="Times New Roman" w:hAnsi="Times New Roman" w:eastAsia="宋体" w:cs="Times New Roman"/>
                <w:sz w:val="16"/>
                <w:szCs w:val="16"/>
              </w:rPr>
            </w:pPr>
          </w:p>
        </w:tc>
      </w:tr>
      <w:tr w14:paraId="11ACE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7BB41BAF">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47970ACD">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088628A0">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1DD146E9">
            <w:pPr>
              <w:widowControl/>
              <w:adjustRightInd w:val="0"/>
              <w:snapToGrid w:val="0"/>
              <w:jc w:val="center"/>
              <w:rPr>
                <w:rFonts w:ascii="Times New Roman" w:hAnsi="Times New Roman" w:eastAsia="宋体" w:cs="Times New Roman"/>
                <w:sz w:val="16"/>
                <w:szCs w:val="16"/>
              </w:rPr>
            </w:pPr>
          </w:p>
        </w:tc>
        <w:tc>
          <w:tcPr>
            <w:tcW w:w="259" w:type="pct"/>
            <w:vMerge w:val="restart"/>
            <w:shd w:val="clear" w:color="auto" w:fill="auto"/>
            <w:vAlign w:val="center"/>
          </w:tcPr>
          <w:p w14:paraId="009A28BF">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财务监控有效性</w:t>
            </w:r>
          </w:p>
        </w:tc>
        <w:tc>
          <w:tcPr>
            <w:tcW w:w="200" w:type="pct"/>
            <w:vMerge w:val="restart"/>
            <w:shd w:val="clear" w:color="auto" w:fill="auto"/>
            <w:vAlign w:val="center"/>
          </w:tcPr>
          <w:p w14:paraId="3519E188">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483" w:type="pct"/>
            <w:vMerge w:val="restart"/>
            <w:shd w:val="clear" w:color="auto" w:fill="auto"/>
            <w:vAlign w:val="center"/>
          </w:tcPr>
          <w:p w14:paraId="3CEDF673">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项目实施单位是否为保障资金的安全、规范运行而采取了必要的监控措施，用以反映和考核项目实施单位对资金运行的控制情况。</w:t>
            </w:r>
          </w:p>
        </w:tc>
        <w:tc>
          <w:tcPr>
            <w:tcW w:w="636" w:type="pct"/>
            <w:vMerge w:val="restart"/>
            <w:shd w:val="clear" w:color="auto" w:fill="auto"/>
            <w:vAlign w:val="center"/>
          </w:tcPr>
          <w:p w14:paraId="1014692B">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7A134812">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是否采取了相应的财务检查等必要的监控措施或手段；</w:t>
            </w:r>
          </w:p>
          <w:p w14:paraId="50C0D63F">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是否按用款计划支出。</w:t>
            </w:r>
          </w:p>
        </w:tc>
        <w:tc>
          <w:tcPr>
            <w:tcW w:w="369" w:type="pct"/>
            <w:shd w:val="clear" w:color="auto" w:fill="auto"/>
            <w:vAlign w:val="center"/>
          </w:tcPr>
          <w:p w14:paraId="10E80488">
            <w:pPr>
              <w:widowControl/>
              <w:adjustRightInd w:val="0"/>
              <w:snapToGrid w:val="0"/>
              <w:jc w:val="center"/>
              <w:textAlignment w:val="center"/>
              <w:rPr>
                <w:rFonts w:ascii="Times New Roman" w:hAnsi="Times New Roman" w:eastAsia="宋体" w:cs="Times New Roman"/>
                <w:color w:val="000000" w:themeColor="text1"/>
                <w:sz w:val="16"/>
                <w:szCs w:val="16"/>
                <w14:textFill>
                  <w14:solidFill>
                    <w14:schemeClr w14:val="tx1"/>
                  </w14:solidFill>
                </w14:textFill>
              </w:rPr>
            </w:pPr>
            <w:r>
              <w:rPr>
                <w:rFonts w:hint="eastAsia" w:ascii="Times New Roman" w:hAnsi="Times New Roman" w:eastAsia="宋体" w:cs="Times New Roman"/>
                <w:color w:val="000000" w:themeColor="text1"/>
                <w:kern w:val="0"/>
                <w:sz w:val="16"/>
                <w:szCs w:val="16"/>
                <w:lang w:bidi="ar"/>
                <w14:textFill>
                  <w14:solidFill>
                    <w14:schemeClr w14:val="tx1"/>
                  </w14:solidFill>
                </w14:textFill>
              </w:rPr>
              <w:t>财务监控措施有效性</w:t>
            </w:r>
          </w:p>
        </w:tc>
        <w:tc>
          <w:tcPr>
            <w:tcW w:w="186" w:type="pct"/>
            <w:shd w:val="clear" w:color="auto" w:fill="auto"/>
            <w:vAlign w:val="center"/>
          </w:tcPr>
          <w:p w14:paraId="3002A07C">
            <w:pPr>
              <w:widowControl/>
              <w:adjustRightInd w:val="0"/>
              <w:snapToGrid w:val="0"/>
              <w:jc w:val="center"/>
              <w:textAlignment w:val="center"/>
              <w:rPr>
                <w:rFonts w:ascii="Times New Roman" w:hAnsi="Times New Roman" w:eastAsia="宋体" w:cs="Times New Roman"/>
                <w:color w:val="000000" w:themeColor="text1"/>
                <w:sz w:val="16"/>
                <w:szCs w:val="16"/>
                <w14:textFill>
                  <w14:solidFill>
                    <w14:schemeClr w14:val="tx1"/>
                  </w14:solidFill>
                </w14:textFill>
              </w:rPr>
            </w:pPr>
            <w:r>
              <w:rPr>
                <w:rFonts w:ascii="Times New Roman" w:hAnsi="Times New Roman" w:eastAsia="宋体" w:cs="Times New Roman"/>
                <w:color w:val="000000" w:themeColor="text1"/>
                <w:kern w:val="0"/>
                <w:sz w:val="16"/>
                <w:szCs w:val="16"/>
                <w:lang w:bidi="ar"/>
                <w14:textFill>
                  <w14:solidFill>
                    <w14:schemeClr w14:val="tx1"/>
                  </w14:solidFill>
                </w14:textFill>
              </w:rPr>
              <w:t>1</w:t>
            </w:r>
          </w:p>
        </w:tc>
        <w:tc>
          <w:tcPr>
            <w:tcW w:w="689" w:type="pct"/>
            <w:shd w:val="clear" w:color="auto" w:fill="auto"/>
            <w:vAlign w:val="center"/>
          </w:tcPr>
          <w:p w14:paraId="6FD38F08">
            <w:pPr>
              <w:widowControl/>
              <w:adjustRightInd w:val="0"/>
              <w:snapToGrid w:val="0"/>
              <w:jc w:val="left"/>
              <w:textAlignment w:val="center"/>
              <w:rPr>
                <w:rFonts w:ascii="Times New Roman" w:hAnsi="Times New Roman" w:eastAsia="宋体" w:cs="Times New Roman"/>
                <w:color w:val="000000" w:themeColor="text1"/>
                <w:kern w:val="0"/>
                <w:sz w:val="16"/>
                <w:szCs w:val="16"/>
                <w:lang w:bidi="ar"/>
                <w14:textFill>
                  <w14:solidFill>
                    <w14:schemeClr w14:val="tx1"/>
                  </w14:solidFill>
                </w14:textFill>
              </w:rPr>
            </w:pPr>
            <w:r>
              <w:rPr>
                <w:rFonts w:hint="eastAsia" w:ascii="Times New Roman" w:hAnsi="Times New Roman" w:eastAsia="宋体" w:cs="Times New Roman"/>
                <w:color w:val="000000" w:themeColor="text1"/>
                <w:kern w:val="0"/>
                <w:sz w:val="16"/>
                <w:szCs w:val="16"/>
                <w:lang w:bidi="ar"/>
                <w14:textFill>
                  <w14:solidFill>
                    <w14:schemeClr w14:val="tx1"/>
                  </w14:solidFill>
                </w14:textFill>
              </w:rPr>
              <w:t>评价要点：</w:t>
            </w:r>
          </w:p>
          <w:p w14:paraId="22232BE1">
            <w:pPr>
              <w:widowControl/>
              <w:adjustRightInd w:val="0"/>
              <w:snapToGrid w:val="0"/>
              <w:jc w:val="left"/>
              <w:textAlignment w:val="center"/>
              <w:rPr>
                <w:rFonts w:ascii="Times New Roman" w:hAnsi="Times New Roman" w:eastAsia="宋体" w:cs="Times New Roman"/>
                <w:color w:val="000000" w:themeColor="text1"/>
                <w:sz w:val="16"/>
                <w:szCs w:val="16"/>
                <w14:textFill>
                  <w14:solidFill>
                    <w14:schemeClr w14:val="tx1"/>
                  </w14:solidFill>
                </w14:textFill>
              </w:rPr>
            </w:pPr>
            <w:r>
              <w:rPr>
                <w:rFonts w:hint="eastAsia" w:ascii="Times New Roman" w:hAnsi="Times New Roman" w:eastAsia="宋体" w:cs="Times New Roman"/>
                <w:color w:val="000000" w:themeColor="text1"/>
                <w:kern w:val="0"/>
                <w:sz w:val="16"/>
                <w:szCs w:val="16"/>
                <w:lang w:bidi="ar"/>
                <w14:textFill>
                  <w14:solidFill>
                    <w14:schemeClr w14:val="tx1"/>
                  </w14:solidFill>
                </w14:textFill>
              </w:rPr>
              <w:t>评价是否采取了相应的财务检查等必要的监控措施或手段。</w:t>
            </w:r>
          </w:p>
        </w:tc>
        <w:tc>
          <w:tcPr>
            <w:tcW w:w="569" w:type="pct"/>
            <w:shd w:val="clear" w:color="auto" w:fill="auto"/>
            <w:vAlign w:val="center"/>
          </w:tcPr>
          <w:p w14:paraId="3A5727E3">
            <w:pPr>
              <w:widowControl/>
              <w:adjustRightInd w:val="0"/>
              <w:snapToGrid w:val="0"/>
              <w:jc w:val="left"/>
              <w:textAlignment w:val="center"/>
              <w:rPr>
                <w:rFonts w:ascii="Times New Roman" w:hAnsi="Times New Roman" w:eastAsia="宋体" w:cs="Times New Roman"/>
                <w:color w:val="000000" w:themeColor="text1"/>
                <w:kern w:val="0"/>
                <w:sz w:val="16"/>
                <w:szCs w:val="16"/>
                <w:lang w:bidi="ar"/>
                <w14:textFill>
                  <w14:solidFill>
                    <w14:schemeClr w14:val="tx1"/>
                  </w14:solidFill>
                </w14:textFill>
              </w:rPr>
            </w:pPr>
            <w:r>
              <w:rPr>
                <w:rFonts w:ascii="Times New Roman" w:hAnsi="Times New Roman" w:eastAsia="宋体" w:cs="Times New Roman"/>
                <w:color w:val="000000" w:themeColor="text1"/>
                <w:kern w:val="0"/>
                <w:sz w:val="16"/>
                <w:szCs w:val="16"/>
                <w:lang w:bidi="ar"/>
                <w14:textFill>
                  <w14:solidFill>
                    <w14:schemeClr w14:val="tx1"/>
                  </w14:solidFill>
                </w14:textFill>
              </w:rPr>
              <w:t>1</w:t>
            </w:r>
            <w:r>
              <w:rPr>
                <w:rFonts w:hint="eastAsia" w:ascii="Times New Roman" w:hAnsi="Times New Roman" w:eastAsia="宋体" w:cs="Times New Roman"/>
                <w:color w:val="000000" w:themeColor="text1"/>
                <w:kern w:val="0"/>
                <w:sz w:val="16"/>
                <w:szCs w:val="16"/>
                <w:lang w:bidi="ar"/>
                <w14:textFill>
                  <w14:solidFill>
                    <w14:schemeClr w14:val="tx1"/>
                  </w14:solidFill>
                </w14:textFill>
              </w:rPr>
              <w:t>．核实资料；</w:t>
            </w:r>
          </w:p>
          <w:p w14:paraId="3CA1FE71">
            <w:pPr>
              <w:widowControl/>
              <w:adjustRightInd w:val="0"/>
              <w:snapToGrid w:val="0"/>
              <w:jc w:val="left"/>
              <w:textAlignment w:val="center"/>
              <w:rPr>
                <w:rFonts w:ascii="Times New Roman" w:hAnsi="Times New Roman" w:eastAsia="宋体" w:cs="Times New Roman"/>
                <w:color w:val="000000" w:themeColor="text1"/>
                <w:sz w:val="16"/>
                <w:szCs w:val="16"/>
                <w14:textFill>
                  <w14:solidFill>
                    <w14:schemeClr w14:val="tx1"/>
                  </w14:solidFill>
                </w14:textFill>
              </w:rPr>
            </w:pPr>
            <w:r>
              <w:rPr>
                <w:rFonts w:ascii="Times New Roman" w:hAnsi="Times New Roman" w:eastAsia="宋体" w:cs="Times New Roman"/>
                <w:color w:val="000000" w:themeColor="text1"/>
                <w:kern w:val="0"/>
                <w:sz w:val="16"/>
                <w:szCs w:val="16"/>
                <w:lang w:bidi="ar"/>
                <w14:textFill>
                  <w14:solidFill>
                    <w14:schemeClr w14:val="tx1"/>
                  </w14:solidFill>
                </w14:textFill>
              </w:rPr>
              <w:t>2</w:t>
            </w:r>
            <w:r>
              <w:rPr>
                <w:rFonts w:hint="eastAsia" w:ascii="Times New Roman" w:hAnsi="Times New Roman" w:eastAsia="宋体" w:cs="Times New Roman"/>
                <w:color w:val="000000" w:themeColor="text1"/>
                <w:kern w:val="0"/>
                <w:sz w:val="16"/>
                <w:szCs w:val="16"/>
                <w:lang w:bidi="ar"/>
                <w14:textFill>
                  <w14:solidFill>
                    <w14:schemeClr w14:val="tx1"/>
                  </w14:solidFill>
                </w14:textFill>
              </w:rPr>
              <w:t>．对标要点：有效，得</w:t>
            </w:r>
            <w:r>
              <w:rPr>
                <w:rFonts w:ascii="Times New Roman" w:hAnsi="Times New Roman" w:eastAsia="宋体" w:cs="Times New Roman"/>
                <w:color w:val="000000" w:themeColor="text1"/>
                <w:kern w:val="0"/>
                <w:sz w:val="16"/>
                <w:szCs w:val="16"/>
                <w:lang w:bidi="ar"/>
                <w14:textFill>
                  <w14:solidFill>
                    <w14:schemeClr w14:val="tx1"/>
                  </w14:solidFill>
                </w14:textFill>
              </w:rPr>
              <w:t>1</w:t>
            </w:r>
            <w:r>
              <w:rPr>
                <w:rFonts w:hint="eastAsia" w:ascii="Times New Roman" w:hAnsi="Times New Roman" w:eastAsia="宋体" w:cs="Times New Roman"/>
                <w:color w:val="000000" w:themeColor="text1"/>
                <w:kern w:val="0"/>
                <w:sz w:val="16"/>
                <w:szCs w:val="16"/>
                <w:lang w:bidi="ar"/>
                <w14:textFill>
                  <w14:solidFill>
                    <w14:schemeClr w14:val="tx1"/>
                  </w14:solidFill>
                </w14:textFill>
              </w:rPr>
              <w:t>分，其他情况酌情给分。</w:t>
            </w:r>
          </w:p>
        </w:tc>
        <w:tc>
          <w:tcPr>
            <w:tcW w:w="224" w:type="pct"/>
            <w:shd w:val="clear" w:color="auto" w:fill="auto"/>
            <w:noWrap/>
            <w:vAlign w:val="center"/>
          </w:tcPr>
          <w:p w14:paraId="2DAAF9C3">
            <w:pPr>
              <w:widowControl/>
              <w:adjustRightInd w:val="0"/>
              <w:snapToGrid w:val="0"/>
              <w:jc w:val="center"/>
              <w:textAlignment w:val="center"/>
              <w:rPr>
                <w:rFonts w:ascii="Times New Roman" w:hAnsi="Times New Roman" w:eastAsia="宋体" w:cs="Times New Roman"/>
                <w:color w:val="000000" w:themeColor="text1"/>
                <w:sz w:val="16"/>
                <w:szCs w:val="16"/>
                <w14:textFill>
                  <w14:solidFill>
                    <w14:schemeClr w14:val="tx1"/>
                  </w14:solidFill>
                </w14:textFill>
              </w:rPr>
            </w:pPr>
            <w:r>
              <w:rPr>
                <w:rFonts w:ascii="Times New Roman" w:hAnsi="Times New Roman" w:eastAsia="宋体" w:cs="Times New Roman"/>
                <w:color w:val="000000" w:themeColor="text1"/>
                <w:kern w:val="0"/>
                <w:sz w:val="16"/>
                <w:szCs w:val="16"/>
                <w:lang w:bidi="ar"/>
                <w14:textFill>
                  <w14:solidFill>
                    <w14:schemeClr w14:val="tx1"/>
                  </w14:solidFill>
                </w14:textFill>
              </w:rPr>
              <w:t>1</w:t>
            </w:r>
          </w:p>
        </w:tc>
        <w:tc>
          <w:tcPr>
            <w:tcW w:w="592" w:type="pct"/>
            <w:shd w:val="clear" w:color="auto" w:fill="auto"/>
            <w:vAlign w:val="center"/>
          </w:tcPr>
          <w:p w14:paraId="133C76F9">
            <w:pPr>
              <w:widowControl/>
              <w:adjustRightInd w:val="0"/>
              <w:snapToGrid w:val="0"/>
              <w:jc w:val="left"/>
              <w:textAlignment w:val="center"/>
              <w:rPr>
                <w:rFonts w:ascii="Times New Roman" w:hAnsi="Times New Roman" w:eastAsia="宋体" w:cs="Times New Roman"/>
                <w:color w:val="0000FF"/>
                <w:sz w:val="16"/>
                <w:szCs w:val="16"/>
              </w:rPr>
            </w:pPr>
          </w:p>
        </w:tc>
      </w:tr>
      <w:tr w14:paraId="2A3A0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32024CE0">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1D4BF4C9">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05FA7A78">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753910F4">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294C45CC">
            <w:pPr>
              <w:widowControl/>
              <w:adjustRightInd w:val="0"/>
              <w:snapToGrid w:val="0"/>
              <w:rPr>
                <w:rFonts w:ascii="Times New Roman" w:hAnsi="Times New Roman" w:eastAsia="宋体" w:cs="Times New Roman"/>
                <w:sz w:val="16"/>
                <w:szCs w:val="16"/>
              </w:rPr>
            </w:pPr>
          </w:p>
        </w:tc>
        <w:tc>
          <w:tcPr>
            <w:tcW w:w="200" w:type="pct"/>
            <w:vMerge w:val="continue"/>
            <w:shd w:val="clear" w:color="auto" w:fill="auto"/>
            <w:vAlign w:val="center"/>
          </w:tcPr>
          <w:p w14:paraId="6E1E5EF9">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1E2E7BAF">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784B9A8C">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0774F2FC">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用款计划执行性</w:t>
            </w:r>
          </w:p>
        </w:tc>
        <w:tc>
          <w:tcPr>
            <w:tcW w:w="186" w:type="pct"/>
            <w:shd w:val="clear" w:color="auto" w:fill="auto"/>
            <w:vAlign w:val="center"/>
          </w:tcPr>
          <w:p w14:paraId="2C9A666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3A57EB8A">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59F3F0B6">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评价是否按用款计划支出。</w:t>
            </w:r>
          </w:p>
        </w:tc>
        <w:tc>
          <w:tcPr>
            <w:tcW w:w="569" w:type="pct"/>
            <w:shd w:val="clear" w:color="auto" w:fill="auto"/>
            <w:vAlign w:val="center"/>
          </w:tcPr>
          <w:p w14:paraId="7E665F50">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3863812A">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2．对标要点：按用款计划支出，得1分，否则酌情给分。</w:t>
            </w:r>
          </w:p>
        </w:tc>
        <w:tc>
          <w:tcPr>
            <w:tcW w:w="224" w:type="pct"/>
            <w:shd w:val="clear" w:color="auto" w:fill="auto"/>
            <w:noWrap/>
            <w:vAlign w:val="center"/>
          </w:tcPr>
          <w:p w14:paraId="5C5F00E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43B24CD3">
            <w:pPr>
              <w:widowControl/>
              <w:adjustRightInd w:val="0"/>
              <w:snapToGrid w:val="0"/>
              <w:rPr>
                <w:rFonts w:ascii="Times New Roman" w:hAnsi="Times New Roman" w:eastAsia="宋体" w:cs="Times New Roman"/>
                <w:sz w:val="16"/>
                <w:szCs w:val="16"/>
              </w:rPr>
            </w:pPr>
          </w:p>
        </w:tc>
      </w:tr>
      <w:tr w14:paraId="3E7A6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0F81CAD9">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014F9E35">
            <w:pPr>
              <w:widowControl/>
              <w:adjustRightInd w:val="0"/>
              <w:snapToGrid w:val="0"/>
              <w:jc w:val="center"/>
              <w:rPr>
                <w:rFonts w:ascii="Times New Roman" w:hAnsi="Times New Roman" w:eastAsia="宋体" w:cs="Times New Roman"/>
                <w:sz w:val="16"/>
                <w:szCs w:val="16"/>
              </w:rPr>
            </w:pPr>
          </w:p>
        </w:tc>
        <w:tc>
          <w:tcPr>
            <w:tcW w:w="196" w:type="pct"/>
            <w:vMerge w:val="restart"/>
            <w:shd w:val="clear" w:color="auto" w:fill="auto"/>
            <w:vAlign w:val="center"/>
          </w:tcPr>
          <w:p w14:paraId="667513A5">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合同管理</w:t>
            </w:r>
          </w:p>
        </w:tc>
        <w:tc>
          <w:tcPr>
            <w:tcW w:w="187" w:type="pct"/>
            <w:vMerge w:val="restart"/>
            <w:shd w:val="clear" w:color="auto" w:fill="auto"/>
            <w:vAlign w:val="center"/>
          </w:tcPr>
          <w:p w14:paraId="347F8A38">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5</w:t>
            </w:r>
          </w:p>
        </w:tc>
        <w:tc>
          <w:tcPr>
            <w:tcW w:w="259" w:type="pct"/>
            <w:shd w:val="clear" w:color="auto" w:fill="auto"/>
            <w:vAlign w:val="center"/>
          </w:tcPr>
          <w:p w14:paraId="1BE64D27">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合同价款调整率</w:t>
            </w:r>
          </w:p>
        </w:tc>
        <w:tc>
          <w:tcPr>
            <w:tcW w:w="200" w:type="pct"/>
            <w:shd w:val="clear" w:color="auto" w:fill="auto"/>
            <w:vAlign w:val="center"/>
          </w:tcPr>
          <w:p w14:paraId="6D2A9D98">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483" w:type="pct"/>
            <w:shd w:val="clear" w:color="auto" w:fill="auto"/>
            <w:vAlign w:val="center"/>
          </w:tcPr>
          <w:p w14:paraId="16ECB48D">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项目施工过程是否发生工程设计变更、现场签证、物价涨落等符合合同调整价款事件，合同价款调整是否履行相关手续，用以反映和考核代建单位对工程项目成本管控的管理情况。</w:t>
            </w:r>
          </w:p>
        </w:tc>
        <w:tc>
          <w:tcPr>
            <w:tcW w:w="636" w:type="pct"/>
            <w:shd w:val="clear" w:color="auto" w:fill="auto"/>
            <w:vAlign w:val="center"/>
          </w:tcPr>
          <w:p w14:paraId="11D74118">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09E8EE38">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=（工程结算金额-工程合同金额）/工程合同金额×100%。</w:t>
            </w:r>
          </w:p>
        </w:tc>
        <w:tc>
          <w:tcPr>
            <w:tcW w:w="369" w:type="pct"/>
            <w:shd w:val="clear" w:color="auto" w:fill="auto"/>
            <w:vAlign w:val="center"/>
          </w:tcPr>
          <w:p w14:paraId="48078C2C">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合同价款调整率</w:t>
            </w:r>
          </w:p>
        </w:tc>
        <w:tc>
          <w:tcPr>
            <w:tcW w:w="186" w:type="pct"/>
            <w:shd w:val="clear" w:color="auto" w:fill="auto"/>
            <w:vAlign w:val="center"/>
          </w:tcPr>
          <w:p w14:paraId="649945C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6717D729">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18A62C3E">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合同价款调整率=（工程结算金额-工程合同金额）/工程合同金额×100%。</w:t>
            </w:r>
          </w:p>
        </w:tc>
        <w:tc>
          <w:tcPr>
            <w:tcW w:w="569" w:type="pct"/>
            <w:shd w:val="clear" w:color="auto" w:fill="auto"/>
            <w:vAlign w:val="center"/>
          </w:tcPr>
          <w:p w14:paraId="39FC1307">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1672B87B">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2．对标要点：合同价款调整率控制在3%内的，得1分；在3%—5%内的，得0.5分；在5%—10%内的，得0.25分；超过10%的不得分。</w:t>
            </w:r>
          </w:p>
        </w:tc>
        <w:tc>
          <w:tcPr>
            <w:tcW w:w="224" w:type="pct"/>
            <w:shd w:val="clear" w:color="auto" w:fill="auto"/>
            <w:noWrap/>
            <w:vAlign w:val="center"/>
          </w:tcPr>
          <w:p w14:paraId="4A1BFE5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2EF9C153">
            <w:pPr>
              <w:widowControl/>
              <w:adjustRightInd w:val="0"/>
              <w:snapToGrid w:val="0"/>
              <w:rPr>
                <w:rFonts w:ascii="Times New Roman" w:hAnsi="Times New Roman" w:eastAsia="宋体" w:cs="Times New Roman"/>
                <w:sz w:val="16"/>
                <w:szCs w:val="16"/>
              </w:rPr>
            </w:pPr>
          </w:p>
        </w:tc>
      </w:tr>
      <w:tr w14:paraId="3D2E8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78A5B1C1">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07A125D7">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4C354BCC">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33A9AEC5">
            <w:pPr>
              <w:widowControl/>
              <w:adjustRightInd w:val="0"/>
              <w:snapToGrid w:val="0"/>
              <w:jc w:val="center"/>
              <w:rPr>
                <w:rFonts w:ascii="Times New Roman" w:hAnsi="Times New Roman" w:eastAsia="宋体" w:cs="Times New Roman"/>
                <w:sz w:val="16"/>
                <w:szCs w:val="16"/>
              </w:rPr>
            </w:pPr>
          </w:p>
        </w:tc>
        <w:tc>
          <w:tcPr>
            <w:tcW w:w="259" w:type="pct"/>
            <w:vMerge w:val="restart"/>
            <w:shd w:val="clear" w:color="auto" w:fill="auto"/>
            <w:vAlign w:val="center"/>
          </w:tcPr>
          <w:p w14:paraId="0FA2975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合同管理合规性</w:t>
            </w:r>
          </w:p>
        </w:tc>
        <w:tc>
          <w:tcPr>
            <w:tcW w:w="200" w:type="pct"/>
            <w:vMerge w:val="restart"/>
            <w:shd w:val="clear" w:color="auto" w:fill="auto"/>
            <w:vAlign w:val="center"/>
          </w:tcPr>
          <w:p w14:paraId="6B954517">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483" w:type="pct"/>
            <w:vMerge w:val="restart"/>
            <w:shd w:val="clear" w:color="auto" w:fill="auto"/>
            <w:vAlign w:val="center"/>
          </w:tcPr>
          <w:p w14:paraId="588864B0">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用以反映和考核代建单位对投资建设合同的管理情况。</w:t>
            </w:r>
          </w:p>
        </w:tc>
        <w:tc>
          <w:tcPr>
            <w:tcW w:w="636" w:type="pct"/>
            <w:vMerge w:val="restart"/>
            <w:shd w:val="clear" w:color="auto" w:fill="auto"/>
            <w:vAlign w:val="center"/>
          </w:tcPr>
          <w:p w14:paraId="038B8BFB">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1B85E012">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勘察、设计、施工、采购等是否按招标投标的约定及时签订合同并严格执行；</w:t>
            </w:r>
          </w:p>
          <w:p w14:paraId="79F1DBBE">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是否有调整合同约定行为。</w:t>
            </w:r>
          </w:p>
        </w:tc>
        <w:tc>
          <w:tcPr>
            <w:tcW w:w="369" w:type="pct"/>
            <w:shd w:val="clear" w:color="auto" w:fill="auto"/>
            <w:vAlign w:val="center"/>
          </w:tcPr>
          <w:p w14:paraId="4E87F39F">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合同签订及时率</w:t>
            </w:r>
          </w:p>
        </w:tc>
        <w:tc>
          <w:tcPr>
            <w:tcW w:w="186" w:type="pct"/>
            <w:shd w:val="clear" w:color="auto" w:fill="auto"/>
            <w:vAlign w:val="center"/>
          </w:tcPr>
          <w:p w14:paraId="5099EE4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3C58147B">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1A168CFA">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评价勘察、设计、施工、采购等是否按招标投标的约定及时签订合同并严格执行。</w:t>
            </w:r>
          </w:p>
        </w:tc>
        <w:tc>
          <w:tcPr>
            <w:tcW w:w="569" w:type="pct"/>
            <w:shd w:val="clear" w:color="auto" w:fill="auto"/>
            <w:vAlign w:val="center"/>
          </w:tcPr>
          <w:p w14:paraId="6E2B0193">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02E84B6F">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2．对标要点：及时签订并执行，得1分，其他情况酌情给分。</w:t>
            </w:r>
          </w:p>
        </w:tc>
        <w:tc>
          <w:tcPr>
            <w:tcW w:w="224" w:type="pct"/>
            <w:shd w:val="clear" w:color="auto" w:fill="auto"/>
            <w:noWrap/>
            <w:vAlign w:val="center"/>
          </w:tcPr>
          <w:p w14:paraId="24A28B83">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0.5</w:t>
            </w:r>
          </w:p>
        </w:tc>
        <w:tc>
          <w:tcPr>
            <w:tcW w:w="592" w:type="pct"/>
            <w:shd w:val="clear" w:color="auto" w:fill="auto"/>
            <w:vAlign w:val="center"/>
          </w:tcPr>
          <w:p w14:paraId="0ACEDE30">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未在规定期限签订监理合同。扣除0.5分。</w:t>
            </w:r>
          </w:p>
        </w:tc>
      </w:tr>
      <w:tr w14:paraId="4C713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3D0CEAC2">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3396EFBE">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407808A4">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57F05365">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39BC1F09">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00FF71D8">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62BF0937">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55D16117">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5C869A0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合同调整率</w:t>
            </w:r>
          </w:p>
        </w:tc>
        <w:tc>
          <w:tcPr>
            <w:tcW w:w="186" w:type="pct"/>
            <w:shd w:val="clear" w:color="auto" w:fill="auto"/>
            <w:vAlign w:val="center"/>
          </w:tcPr>
          <w:p w14:paraId="32D0D7B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10F14089">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12457734">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是否有调整合同约定行为。</w:t>
            </w:r>
          </w:p>
        </w:tc>
        <w:tc>
          <w:tcPr>
            <w:tcW w:w="569" w:type="pct"/>
            <w:shd w:val="clear" w:color="auto" w:fill="auto"/>
            <w:vAlign w:val="center"/>
          </w:tcPr>
          <w:p w14:paraId="0DFAB88C">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66867E3E">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2．对标要点：未调整，得1分；其他情况酌情给分。</w:t>
            </w:r>
          </w:p>
        </w:tc>
        <w:tc>
          <w:tcPr>
            <w:tcW w:w="224" w:type="pct"/>
            <w:shd w:val="clear" w:color="auto" w:fill="auto"/>
            <w:noWrap/>
            <w:vAlign w:val="center"/>
          </w:tcPr>
          <w:p w14:paraId="50A5F0E1">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0916D836">
            <w:pPr>
              <w:widowControl/>
              <w:adjustRightInd w:val="0"/>
              <w:snapToGrid w:val="0"/>
              <w:rPr>
                <w:rFonts w:ascii="Times New Roman" w:hAnsi="Times New Roman" w:eastAsia="宋体" w:cs="Times New Roman"/>
                <w:sz w:val="16"/>
                <w:szCs w:val="16"/>
              </w:rPr>
            </w:pPr>
          </w:p>
        </w:tc>
      </w:tr>
      <w:tr w14:paraId="387C2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2E19B90F">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2BDD40BA">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6208F5F6">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0CD0C8C5">
            <w:pPr>
              <w:widowControl/>
              <w:adjustRightInd w:val="0"/>
              <w:snapToGrid w:val="0"/>
              <w:jc w:val="center"/>
              <w:rPr>
                <w:rFonts w:ascii="Times New Roman" w:hAnsi="Times New Roman" w:eastAsia="宋体" w:cs="Times New Roman"/>
                <w:sz w:val="16"/>
                <w:szCs w:val="16"/>
              </w:rPr>
            </w:pPr>
          </w:p>
        </w:tc>
        <w:tc>
          <w:tcPr>
            <w:tcW w:w="259" w:type="pct"/>
            <w:shd w:val="clear" w:color="auto" w:fill="auto"/>
            <w:vAlign w:val="center"/>
          </w:tcPr>
          <w:p w14:paraId="40B2DE58">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合同履约有效性</w:t>
            </w:r>
          </w:p>
        </w:tc>
        <w:tc>
          <w:tcPr>
            <w:tcW w:w="200" w:type="pct"/>
            <w:shd w:val="clear" w:color="auto" w:fill="auto"/>
            <w:vAlign w:val="center"/>
          </w:tcPr>
          <w:p w14:paraId="2908B953">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483" w:type="pct"/>
            <w:shd w:val="clear" w:color="auto" w:fill="auto"/>
            <w:vAlign w:val="center"/>
          </w:tcPr>
          <w:p w14:paraId="4EBA7972">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用以反映和考核项目各单位对合同条款的履约情况</w:t>
            </w:r>
          </w:p>
        </w:tc>
        <w:tc>
          <w:tcPr>
            <w:tcW w:w="636" w:type="pct"/>
            <w:shd w:val="clear" w:color="auto" w:fill="auto"/>
            <w:vAlign w:val="center"/>
          </w:tcPr>
          <w:p w14:paraId="62D1F183">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2B2B2C65">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项目代建、勘察、设计、施工、采购等单位是否按合同条款约定执行。</w:t>
            </w:r>
          </w:p>
        </w:tc>
        <w:tc>
          <w:tcPr>
            <w:tcW w:w="369" w:type="pct"/>
            <w:shd w:val="clear" w:color="auto" w:fill="auto"/>
            <w:vAlign w:val="center"/>
          </w:tcPr>
          <w:p w14:paraId="3252F78F">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合同履约有效性</w:t>
            </w:r>
          </w:p>
        </w:tc>
        <w:tc>
          <w:tcPr>
            <w:tcW w:w="186" w:type="pct"/>
            <w:shd w:val="clear" w:color="auto" w:fill="auto"/>
            <w:vAlign w:val="center"/>
          </w:tcPr>
          <w:p w14:paraId="33EFECC3">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165AB714">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312E439F">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项目代建、勘察、设计、施工、采购等单位是否按合同条款约定执行。</w:t>
            </w:r>
          </w:p>
        </w:tc>
        <w:tc>
          <w:tcPr>
            <w:tcW w:w="569" w:type="pct"/>
            <w:shd w:val="clear" w:color="auto" w:fill="auto"/>
            <w:vAlign w:val="center"/>
          </w:tcPr>
          <w:p w14:paraId="56E4FDEE">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29EE8521">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2．对标要点：履约有效，得1分；其他情况酌情给分。</w:t>
            </w:r>
          </w:p>
        </w:tc>
        <w:tc>
          <w:tcPr>
            <w:tcW w:w="224" w:type="pct"/>
            <w:shd w:val="clear" w:color="auto" w:fill="auto"/>
            <w:noWrap/>
            <w:vAlign w:val="center"/>
          </w:tcPr>
          <w:p w14:paraId="3E760B85">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w:t>
            </w:r>
          </w:p>
        </w:tc>
        <w:tc>
          <w:tcPr>
            <w:tcW w:w="592" w:type="pct"/>
            <w:shd w:val="clear" w:color="auto" w:fill="auto"/>
            <w:vAlign w:val="center"/>
          </w:tcPr>
          <w:p w14:paraId="51A4C090">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代建单位未按合同规定支付款项，不得分。</w:t>
            </w:r>
          </w:p>
        </w:tc>
      </w:tr>
      <w:tr w14:paraId="4F6BC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0DE10CE8">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0DB8CD8B">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05B1F5E3">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1732B546">
            <w:pPr>
              <w:widowControl/>
              <w:adjustRightInd w:val="0"/>
              <w:snapToGrid w:val="0"/>
              <w:jc w:val="center"/>
              <w:rPr>
                <w:rFonts w:ascii="Times New Roman" w:hAnsi="Times New Roman" w:eastAsia="宋体" w:cs="Times New Roman"/>
                <w:sz w:val="16"/>
                <w:szCs w:val="16"/>
              </w:rPr>
            </w:pPr>
          </w:p>
        </w:tc>
        <w:tc>
          <w:tcPr>
            <w:tcW w:w="259" w:type="pct"/>
            <w:shd w:val="clear" w:color="auto" w:fill="auto"/>
            <w:vAlign w:val="center"/>
          </w:tcPr>
          <w:p w14:paraId="0F60ED90">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合同结算争议率</w:t>
            </w:r>
          </w:p>
        </w:tc>
        <w:tc>
          <w:tcPr>
            <w:tcW w:w="200" w:type="pct"/>
            <w:shd w:val="clear" w:color="auto" w:fill="auto"/>
            <w:vAlign w:val="center"/>
          </w:tcPr>
          <w:p w14:paraId="14866A75">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483" w:type="pct"/>
            <w:shd w:val="clear" w:color="auto" w:fill="auto"/>
            <w:vAlign w:val="center"/>
          </w:tcPr>
          <w:p w14:paraId="03AEC660">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项目竣工后是否及时结算，并及时解决争议，用以反映和考评代建单位对项目结算的管理情况。</w:t>
            </w:r>
          </w:p>
        </w:tc>
        <w:tc>
          <w:tcPr>
            <w:tcW w:w="636" w:type="pct"/>
            <w:shd w:val="clear" w:color="auto" w:fill="auto"/>
            <w:vAlign w:val="center"/>
          </w:tcPr>
          <w:p w14:paraId="62FD095E">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205D59B4">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合同结算争议率=（因争议不能如期结算的项目数/当期计划应完成结算项目数）×100%。</w:t>
            </w:r>
          </w:p>
        </w:tc>
        <w:tc>
          <w:tcPr>
            <w:tcW w:w="369" w:type="pct"/>
            <w:shd w:val="clear" w:color="auto" w:fill="auto"/>
            <w:vAlign w:val="center"/>
          </w:tcPr>
          <w:p w14:paraId="38472037">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合同结算争议率</w:t>
            </w:r>
          </w:p>
        </w:tc>
        <w:tc>
          <w:tcPr>
            <w:tcW w:w="186" w:type="pct"/>
            <w:shd w:val="clear" w:color="auto" w:fill="auto"/>
            <w:vAlign w:val="center"/>
          </w:tcPr>
          <w:p w14:paraId="1BAB9EF2">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689" w:type="pct"/>
            <w:shd w:val="clear" w:color="auto" w:fill="auto"/>
            <w:vAlign w:val="center"/>
          </w:tcPr>
          <w:p w14:paraId="21FD6FE6">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12BA970F">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合同结算争议率=（因争议不能如期结算的项目数/当期计划应完成结算项目数）×100%。</w:t>
            </w:r>
          </w:p>
        </w:tc>
        <w:tc>
          <w:tcPr>
            <w:tcW w:w="569" w:type="pct"/>
            <w:shd w:val="clear" w:color="auto" w:fill="auto"/>
            <w:vAlign w:val="center"/>
          </w:tcPr>
          <w:p w14:paraId="1B41DF63">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492390A3">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2．对标要点：得分=（1-合同结算争议率）*权重</w:t>
            </w:r>
          </w:p>
        </w:tc>
        <w:tc>
          <w:tcPr>
            <w:tcW w:w="224" w:type="pct"/>
            <w:shd w:val="clear" w:color="auto" w:fill="auto"/>
            <w:noWrap/>
            <w:vAlign w:val="center"/>
          </w:tcPr>
          <w:p w14:paraId="7470957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0</w:t>
            </w:r>
          </w:p>
        </w:tc>
        <w:tc>
          <w:tcPr>
            <w:tcW w:w="592" w:type="pct"/>
            <w:shd w:val="clear" w:color="auto" w:fill="auto"/>
            <w:vAlign w:val="center"/>
          </w:tcPr>
          <w:p w14:paraId="1E23687A">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项目未完成结算，不得分。</w:t>
            </w:r>
          </w:p>
        </w:tc>
      </w:tr>
      <w:tr w14:paraId="5D0D1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75AD6A7C">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18DB0246">
            <w:pPr>
              <w:widowControl/>
              <w:adjustRightInd w:val="0"/>
              <w:snapToGrid w:val="0"/>
              <w:jc w:val="center"/>
              <w:rPr>
                <w:rFonts w:ascii="Times New Roman" w:hAnsi="Times New Roman" w:eastAsia="宋体" w:cs="Times New Roman"/>
                <w:sz w:val="16"/>
                <w:szCs w:val="16"/>
              </w:rPr>
            </w:pPr>
          </w:p>
        </w:tc>
        <w:tc>
          <w:tcPr>
            <w:tcW w:w="196" w:type="pct"/>
            <w:vMerge w:val="restart"/>
            <w:shd w:val="clear" w:color="auto" w:fill="auto"/>
            <w:vAlign w:val="center"/>
          </w:tcPr>
          <w:p w14:paraId="24F2E83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逆指标</w:t>
            </w:r>
          </w:p>
        </w:tc>
        <w:tc>
          <w:tcPr>
            <w:tcW w:w="187" w:type="pct"/>
            <w:vMerge w:val="restart"/>
            <w:shd w:val="clear" w:color="auto" w:fill="auto"/>
            <w:vAlign w:val="center"/>
          </w:tcPr>
          <w:p w14:paraId="15C31C9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-5</w:t>
            </w:r>
          </w:p>
        </w:tc>
        <w:tc>
          <w:tcPr>
            <w:tcW w:w="259" w:type="pct"/>
            <w:shd w:val="clear" w:color="auto" w:fill="auto"/>
            <w:vAlign w:val="center"/>
          </w:tcPr>
          <w:p w14:paraId="792D60F7">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三公经费违规支出</w:t>
            </w:r>
          </w:p>
        </w:tc>
        <w:tc>
          <w:tcPr>
            <w:tcW w:w="200" w:type="pct"/>
            <w:shd w:val="clear" w:color="auto" w:fill="auto"/>
            <w:vAlign w:val="center"/>
          </w:tcPr>
          <w:p w14:paraId="5CEDCAD5">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-3</w:t>
            </w:r>
          </w:p>
        </w:tc>
        <w:tc>
          <w:tcPr>
            <w:tcW w:w="483" w:type="pct"/>
            <w:shd w:val="clear" w:color="auto" w:fill="auto"/>
            <w:vAlign w:val="center"/>
          </w:tcPr>
          <w:p w14:paraId="298B24D2">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评价项目是否违规列支三公经费支出，用以反映三公经费控制程度。</w:t>
            </w:r>
          </w:p>
        </w:tc>
        <w:tc>
          <w:tcPr>
            <w:tcW w:w="636" w:type="pct"/>
            <w:shd w:val="clear" w:color="auto" w:fill="auto"/>
            <w:vAlign w:val="center"/>
          </w:tcPr>
          <w:p w14:paraId="5A106527">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42057357">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项目支出中是否列支了三公经费；</w:t>
            </w:r>
          </w:p>
          <w:p w14:paraId="6626B934">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列支的三公经费是否有政府批准的文件依据；</w:t>
            </w:r>
          </w:p>
          <w:p w14:paraId="769BEF9B">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三公经费支出是否符合审批程序；</w:t>
            </w:r>
          </w:p>
          <w:p w14:paraId="574406D7">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④</w:t>
            </w:r>
            <w:r>
              <w:rPr>
                <w:rFonts w:ascii="Times New Roman" w:hAnsi="Times New Roman" w:eastAsia="宋体" w:cs="Times New Roman"/>
                <w:kern w:val="0"/>
                <w:sz w:val="16"/>
                <w:szCs w:val="16"/>
                <w:lang w:bidi="ar"/>
              </w:rPr>
              <w:t>三公经费支出，尤其是公务接待费，标准是否适当。</w:t>
            </w:r>
          </w:p>
        </w:tc>
        <w:tc>
          <w:tcPr>
            <w:tcW w:w="369" w:type="pct"/>
            <w:shd w:val="clear" w:color="auto" w:fill="auto"/>
            <w:vAlign w:val="center"/>
          </w:tcPr>
          <w:p w14:paraId="67C757E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三公经费违规支出</w:t>
            </w:r>
          </w:p>
        </w:tc>
        <w:tc>
          <w:tcPr>
            <w:tcW w:w="186" w:type="pct"/>
            <w:shd w:val="clear" w:color="auto" w:fill="auto"/>
            <w:vAlign w:val="center"/>
          </w:tcPr>
          <w:p w14:paraId="6584CF33">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-3</w:t>
            </w:r>
          </w:p>
        </w:tc>
        <w:tc>
          <w:tcPr>
            <w:tcW w:w="689" w:type="pct"/>
            <w:shd w:val="clear" w:color="auto" w:fill="auto"/>
            <w:vAlign w:val="center"/>
          </w:tcPr>
          <w:p w14:paraId="330DC8E5">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32E0CC37">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项目支出中是否列支了三公经费；</w:t>
            </w:r>
          </w:p>
          <w:p w14:paraId="75071758">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列支的三公经费是否有政府批准的文件依据；</w:t>
            </w:r>
          </w:p>
          <w:p w14:paraId="2C17821B">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三公经费支出是否符合审批程序；</w:t>
            </w:r>
          </w:p>
          <w:p w14:paraId="1CE71875">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④</w:t>
            </w:r>
            <w:r>
              <w:rPr>
                <w:rFonts w:ascii="Times New Roman" w:hAnsi="Times New Roman" w:eastAsia="宋体" w:cs="Times New Roman"/>
                <w:kern w:val="0"/>
                <w:sz w:val="16"/>
                <w:szCs w:val="16"/>
                <w:lang w:bidi="ar"/>
              </w:rPr>
              <w:t>三公经费支出，尤其是公务接待费，标准是否适当。</w:t>
            </w:r>
          </w:p>
        </w:tc>
        <w:tc>
          <w:tcPr>
            <w:tcW w:w="569" w:type="pct"/>
            <w:shd w:val="clear" w:color="auto" w:fill="auto"/>
            <w:vAlign w:val="center"/>
          </w:tcPr>
          <w:p w14:paraId="68A20164">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2A1C3EB5">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2．对标要点：没有批准文件依据列支的，扣3分；虽有依据，但不符合审批程序的，扣2分；违反标准的，扣1分。</w:t>
            </w:r>
          </w:p>
        </w:tc>
        <w:tc>
          <w:tcPr>
            <w:tcW w:w="224" w:type="pct"/>
            <w:shd w:val="clear" w:color="auto" w:fill="auto"/>
            <w:noWrap/>
            <w:vAlign w:val="center"/>
          </w:tcPr>
          <w:p w14:paraId="189E7661">
            <w:pPr>
              <w:widowControl/>
              <w:adjustRightInd w:val="0"/>
              <w:snapToGrid w:val="0"/>
              <w:jc w:val="center"/>
              <w:rPr>
                <w:rFonts w:ascii="Times New Roman" w:hAnsi="Times New Roman" w:eastAsia="宋体" w:cs="Times New Roman"/>
                <w:sz w:val="16"/>
                <w:szCs w:val="16"/>
              </w:rPr>
            </w:pPr>
          </w:p>
        </w:tc>
        <w:tc>
          <w:tcPr>
            <w:tcW w:w="592" w:type="pct"/>
            <w:shd w:val="clear" w:color="auto" w:fill="auto"/>
            <w:vAlign w:val="center"/>
          </w:tcPr>
          <w:p w14:paraId="12302BCD">
            <w:pPr>
              <w:widowControl/>
              <w:adjustRightInd w:val="0"/>
              <w:snapToGrid w:val="0"/>
              <w:rPr>
                <w:rFonts w:ascii="Times New Roman" w:hAnsi="Times New Roman" w:eastAsia="宋体" w:cs="Times New Roman"/>
                <w:sz w:val="16"/>
                <w:szCs w:val="16"/>
              </w:rPr>
            </w:pPr>
          </w:p>
        </w:tc>
      </w:tr>
      <w:tr w14:paraId="71945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5991F0A1">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4EC92768">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15F98F3C">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21F8AB18">
            <w:pPr>
              <w:widowControl/>
              <w:adjustRightInd w:val="0"/>
              <w:snapToGrid w:val="0"/>
              <w:jc w:val="center"/>
              <w:rPr>
                <w:rFonts w:ascii="Times New Roman" w:hAnsi="Times New Roman" w:eastAsia="宋体" w:cs="Times New Roman"/>
                <w:sz w:val="16"/>
                <w:szCs w:val="16"/>
              </w:rPr>
            </w:pPr>
          </w:p>
        </w:tc>
        <w:tc>
          <w:tcPr>
            <w:tcW w:w="259" w:type="pct"/>
            <w:shd w:val="clear" w:color="auto" w:fill="auto"/>
            <w:vAlign w:val="center"/>
          </w:tcPr>
          <w:p w14:paraId="5BC87755">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预算绩效管理保障机制</w:t>
            </w:r>
          </w:p>
        </w:tc>
        <w:tc>
          <w:tcPr>
            <w:tcW w:w="200" w:type="pct"/>
            <w:shd w:val="clear" w:color="auto" w:fill="auto"/>
            <w:vAlign w:val="center"/>
          </w:tcPr>
          <w:p w14:paraId="3496D9E3">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483" w:type="pct"/>
            <w:shd w:val="clear" w:color="auto" w:fill="auto"/>
            <w:vAlign w:val="center"/>
          </w:tcPr>
          <w:p w14:paraId="1A31A36C">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反映对项目预算绩效管理的重视程度和机构保障。</w:t>
            </w:r>
          </w:p>
        </w:tc>
        <w:tc>
          <w:tcPr>
            <w:tcW w:w="636" w:type="pct"/>
            <w:shd w:val="clear" w:color="auto" w:fill="auto"/>
            <w:vAlign w:val="center"/>
          </w:tcPr>
          <w:p w14:paraId="7D57246C">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131D3A4C">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评价预算支出绩效是否纳入本单位年度工作总结内容；</w:t>
            </w:r>
          </w:p>
          <w:p w14:paraId="63524136">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工作总结是否能详细反映本单位绩效的情况；</w:t>
            </w:r>
          </w:p>
          <w:p w14:paraId="659C9905">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是否成立绩效评价小组；</w:t>
            </w:r>
          </w:p>
          <w:p w14:paraId="43A73DF1">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④</w:t>
            </w:r>
            <w:r>
              <w:rPr>
                <w:rFonts w:ascii="Times New Roman" w:hAnsi="Times New Roman" w:eastAsia="宋体" w:cs="Times New Roman"/>
                <w:kern w:val="0"/>
                <w:sz w:val="16"/>
                <w:szCs w:val="16"/>
                <w:lang w:bidi="ar"/>
              </w:rPr>
              <w:t>绩效信息是否予以公开。</w:t>
            </w:r>
          </w:p>
        </w:tc>
        <w:tc>
          <w:tcPr>
            <w:tcW w:w="369" w:type="pct"/>
            <w:shd w:val="clear" w:color="auto" w:fill="auto"/>
            <w:vAlign w:val="center"/>
          </w:tcPr>
          <w:p w14:paraId="02001A53">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预算绩效管理保障机制</w:t>
            </w:r>
          </w:p>
        </w:tc>
        <w:tc>
          <w:tcPr>
            <w:tcW w:w="186" w:type="pct"/>
            <w:shd w:val="clear" w:color="auto" w:fill="auto"/>
            <w:vAlign w:val="center"/>
          </w:tcPr>
          <w:p w14:paraId="58FE9879">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3A2C4E40">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50C2B422">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评价预算支出绩效是否纳入本单位年度工作总结内容；</w:t>
            </w:r>
          </w:p>
          <w:p w14:paraId="58854FBF">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工作总结是否能详细反映本单位绩效的情况；</w:t>
            </w:r>
          </w:p>
          <w:p w14:paraId="0D513299">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是否成立绩效评价小组；</w:t>
            </w:r>
          </w:p>
          <w:p w14:paraId="7F0ED3BF">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④</w:t>
            </w:r>
            <w:r>
              <w:rPr>
                <w:rFonts w:ascii="Times New Roman" w:hAnsi="Times New Roman" w:eastAsia="宋体" w:cs="Times New Roman"/>
                <w:kern w:val="0"/>
                <w:sz w:val="16"/>
                <w:szCs w:val="16"/>
                <w:lang w:bidi="ar"/>
              </w:rPr>
              <w:t>绩效信息是否予以公开。</w:t>
            </w:r>
          </w:p>
        </w:tc>
        <w:tc>
          <w:tcPr>
            <w:tcW w:w="569" w:type="pct"/>
            <w:shd w:val="clear" w:color="auto" w:fill="auto"/>
            <w:vAlign w:val="center"/>
          </w:tcPr>
          <w:p w14:paraId="76DE411E">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47750A1E">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2．对标要点：没有纳入本单位年度工作总结的，扣1分；没有成立绩效评价小组的，扣1分。</w:t>
            </w:r>
          </w:p>
        </w:tc>
        <w:tc>
          <w:tcPr>
            <w:tcW w:w="224" w:type="pct"/>
            <w:shd w:val="clear" w:color="auto" w:fill="auto"/>
            <w:noWrap/>
            <w:vAlign w:val="center"/>
          </w:tcPr>
          <w:p w14:paraId="7012023A">
            <w:pPr>
              <w:widowControl/>
              <w:adjustRightInd w:val="0"/>
              <w:snapToGrid w:val="0"/>
              <w:jc w:val="center"/>
              <w:rPr>
                <w:rFonts w:ascii="Times New Roman" w:hAnsi="Times New Roman" w:eastAsia="宋体" w:cs="Times New Roman"/>
                <w:sz w:val="16"/>
                <w:szCs w:val="16"/>
              </w:rPr>
            </w:pPr>
          </w:p>
        </w:tc>
        <w:tc>
          <w:tcPr>
            <w:tcW w:w="592" w:type="pct"/>
            <w:shd w:val="clear" w:color="auto" w:fill="auto"/>
            <w:vAlign w:val="center"/>
          </w:tcPr>
          <w:p w14:paraId="7DEC6965">
            <w:pPr>
              <w:widowControl/>
              <w:adjustRightInd w:val="0"/>
              <w:snapToGrid w:val="0"/>
              <w:rPr>
                <w:rFonts w:ascii="Times New Roman" w:hAnsi="Times New Roman" w:eastAsia="宋体" w:cs="Times New Roman"/>
                <w:sz w:val="16"/>
                <w:szCs w:val="16"/>
              </w:rPr>
            </w:pPr>
          </w:p>
        </w:tc>
      </w:tr>
      <w:tr w14:paraId="0AADA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restart"/>
            <w:shd w:val="clear" w:color="auto" w:fill="auto"/>
            <w:noWrap/>
            <w:textDirection w:val="tbRlV"/>
            <w:vAlign w:val="center"/>
          </w:tcPr>
          <w:p w14:paraId="6206DD62">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产出</w:t>
            </w:r>
          </w:p>
        </w:tc>
        <w:tc>
          <w:tcPr>
            <w:tcW w:w="202" w:type="pct"/>
            <w:vMerge w:val="restart"/>
            <w:shd w:val="clear" w:color="auto" w:fill="auto"/>
            <w:noWrap/>
            <w:vAlign w:val="center"/>
          </w:tcPr>
          <w:p w14:paraId="3C67E2A0">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26</w:t>
            </w:r>
          </w:p>
        </w:tc>
        <w:tc>
          <w:tcPr>
            <w:tcW w:w="196" w:type="pct"/>
            <w:vMerge w:val="restart"/>
            <w:shd w:val="clear" w:color="auto" w:fill="auto"/>
            <w:vAlign w:val="center"/>
          </w:tcPr>
          <w:p w14:paraId="786DEEC9">
            <w:pPr>
              <w:widowControl/>
              <w:adjustRightInd w:val="0"/>
              <w:snapToGrid w:val="0"/>
              <w:jc w:val="center"/>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项目</w:t>
            </w:r>
          </w:p>
          <w:p w14:paraId="2C6E8CF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产出</w:t>
            </w:r>
          </w:p>
        </w:tc>
        <w:tc>
          <w:tcPr>
            <w:tcW w:w="187" w:type="pct"/>
            <w:vMerge w:val="restart"/>
            <w:shd w:val="clear" w:color="auto" w:fill="auto"/>
            <w:vAlign w:val="center"/>
          </w:tcPr>
          <w:p w14:paraId="28234BA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26</w:t>
            </w:r>
          </w:p>
        </w:tc>
        <w:tc>
          <w:tcPr>
            <w:tcW w:w="259" w:type="pct"/>
            <w:vMerge w:val="restart"/>
            <w:shd w:val="clear" w:color="auto" w:fill="auto"/>
            <w:vAlign w:val="center"/>
          </w:tcPr>
          <w:p w14:paraId="6D1B2B8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实际完成情况</w:t>
            </w:r>
          </w:p>
        </w:tc>
        <w:tc>
          <w:tcPr>
            <w:tcW w:w="200" w:type="pct"/>
            <w:vMerge w:val="restart"/>
            <w:shd w:val="clear" w:color="auto" w:fill="auto"/>
            <w:vAlign w:val="center"/>
          </w:tcPr>
          <w:p w14:paraId="4661A14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6</w:t>
            </w:r>
          </w:p>
        </w:tc>
        <w:tc>
          <w:tcPr>
            <w:tcW w:w="483" w:type="pct"/>
            <w:vMerge w:val="restart"/>
            <w:shd w:val="clear" w:color="auto" w:fill="auto"/>
            <w:vAlign w:val="center"/>
          </w:tcPr>
          <w:p w14:paraId="2A75D6EC">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项目实施的实际完成数与计划完成数的比率，用以反映和考核项目完工数量和目标的实现程度。</w:t>
            </w:r>
          </w:p>
        </w:tc>
        <w:tc>
          <w:tcPr>
            <w:tcW w:w="636" w:type="pct"/>
            <w:vMerge w:val="restart"/>
            <w:shd w:val="clear" w:color="auto" w:fill="auto"/>
            <w:vAlign w:val="center"/>
          </w:tcPr>
          <w:p w14:paraId="05C2EE4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223D069F">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对照政府有关部门的项目批复书、 可行性研究报告、设计方案等进行分析，评估项目的工程量、投资规模、设计规模、设计功能等的实现情况。</w:t>
            </w:r>
          </w:p>
        </w:tc>
        <w:tc>
          <w:tcPr>
            <w:tcW w:w="369" w:type="pct"/>
            <w:shd w:val="clear" w:color="auto" w:fill="auto"/>
            <w:vAlign w:val="center"/>
          </w:tcPr>
          <w:p w14:paraId="1A33C4E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工程实际完成率</w:t>
            </w:r>
          </w:p>
        </w:tc>
        <w:tc>
          <w:tcPr>
            <w:tcW w:w="186" w:type="pct"/>
            <w:shd w:val="clear" w:color="auto" w:fill="auto"/>
            <w:vAlign w:val="center"/>
          </w:tcPr>
          <w:p w14:paraId="4F157BC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3</w:t>
            </w:r>
          </w:p>
        </w:tc>
        <w:tc>
          <w:tcPr>
            <w:tcW w:w="689" w:type="pct"/>
            <w:shd w:val="clear" w:color="auto" w:fill="auto"/>
            <w:vAlign w:val="center"/>
          </w:tcPr>
          <w:p w14:paraId="063B55EC">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2D5BE82C">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工程实际完成率=（实际完工项目数/计划完工项目数）×100%。</w:t>
            </w:r>
          </w:p>
          <w:p w14:paraId="39E6A49F">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实际完工项目数：一定时期（或项目期）内项目实际完成的项目数量。</w:t>
            </w:r>
          </w:p>
          <w:p w14:paraId="604629EC">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计划完工数：项目绩效目标确定的在一定时期（或项目期）内计划完工项目数量。</w:t>
            </w:r>
          </w:p>
          <w:p w14:paraId="7EC32B7B">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④</w:t>
            </w:r>
            <w:r>
              <w:rPr>
                <w:rFonts w:ascii="Times New Roman" w:hAnsi="Times New Roman" w:eastAsia="宋体" w:cs="Times New Roman"/>
                <w:kern w:val="0"/>
                <w:sz w:val="16"/>
                <w:szCs w:val="16"/>
                <w:lang w:bidi="ar"/>
              </w:rPr>
              <w:t>工程含临时工程、道路工程、桥涵工程、交通工程、绿化工程、排水工程、电力电信工程、照明工程等。</w:t>
            </w:r>
          </w:p>
        </w:tc>
        <w:tc>
          <w:tcPr>
            <w:tcW w:w="569" w:type="pct"/>
            <w:shd w:val="clear" w:color="auto" w:fill="auto"/>
            <w:vAlign w:val="center"/>
          </w:tcPr>
          <w:p w14:paraId="20680B57">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5287D39C">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2．对标要点：得分=完成率*权重</w:t>
            </w:r>
          </w:p>
        </w:tc>
        <w:tc>
          <w:tcPr>
            <w:tcW w:w="224" w:type="pct"/>
            <w:shd w:val="clear" w:color="auto" w:fill="auto"/>
            <w:noWrap/>
            <w:vAlign w:val="center"/>
          </w:tcPr>
          <w:p w14:paraId="3FCDDAB1">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3</w:t>
            </w:r>
          </w:p>
        </w:tc>
        <w:tc>
          <w:tcPr>
            <w:tcW w:w="592" w:type="pct"/>
            <w:shd w:val="clear" w:color="auto" w:fill="auto"/>
            <w:vAlign w:val="center"/>
          </w:tcPr>
          <w:p w14:paraId="574B9C07">
            <w:pPr>
              <w:widowControl/>
              <w:adjustRightInd w:val="0"/>
              <w:snapToGrid w:val="0"/>
              <w:rPr>
                <w:rFonts w:ascii="Times New Roman" w:hAnsi="Times New Roman" w:eastAsia="宋体" w:cs="Times New Roman"/>
                <w:sz w:val="16"/>
                <w:szCs w:val="16"/>
              </w:rPr>
            </w:pPr>
          </w:p>
        </w:tc>
      </w:tr>
      <w:tr w14:paraId="0948A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443978B5">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6BD89111">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6E4226CB">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7AD7300E">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2C5B8219">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4D9ABA0B">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43E02458">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08DF1079">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7087B6E3">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设计规模达成率</w:t>
            </w:r>
          </w:p>
        </w:tc>
        <w:tc>
          <w:tcPr>
            <w:tcW w:w="186" w:type="pct"/>
            <w:shd w:val="clear" w:color="auto" w:fill="auto"/>
            <w:vAlign w:val="center"/>
          </w:tcPr>
          <w:p w14:paraId="218026D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3</w:t>
            </w:r>
          </w:p>
        </w:tc>
        <w:tc>
          <w:tcPr>
            <w:tcW w:w="689" w:type="pct"/>
            <w:shd w:val="clear" w:color="auto" w:fill="auto"/>
            <w:vAlign w:val="center"/>
          </w:tcPr>
          <w:p w14:paraId="4C5FC4A0">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设计规模达成率=（实际完成规模/设计规模）×100%。实际完成规模指实际完成的建设规模；设计规模指政府有关部门批准的设计规模和绩效目标所设定的规模。</w:t>
            </w:r>
          </w:p>
        </w:tc>
        <w:tc>
          <w:tcPr>
            <w:tcW w:w="569" w:type="pct"/>
            <w:shd w:val="clear" w:color="auto" w:fill="auto"/>
            <w:vAlign w:val="center"/>
          </w:tcPr>
          <w:p w14:paraId="11070DE3">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56AC762F">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2．对标要点：实际完成率100%的，3分；90%—100%的，2分；90%以下的，酌情扣分。</w:t>
            </w:r>
          </w:p>
        </w:tc>
        <w:tc>
          <w:tcPr>
            <w:tcW w:w="224" w:type="pct"/>
            <w:shd w:val="clear" w:color="auto" w:fill="auto"/>
            <w:noWrap/>
            <w:vAlign w:val="center"/>
          </w:tcPr>
          <w:p w14:paraId="313ED62C">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3</w:t>
            </w:r>
          </w:p>
        </w:tc>
        <w:tc>
          <w:tcPr>
            <w:tcW w:w="592" w:type="pct"/>
            <w:shd w:val="clear" w:color="auto" w:fill="auto"/>
            <w:vAlign w:val="center"/>
          </w:tcPr>
          <w:p w14:paraId="52AB1B71">
            <w:pPr>
              <w:widowControl/>
              <w:adjustRightInd w:val="0"/>
              <w:snapToGrid w:val="0"/>
              <w:rPr>
                <w:rFonts w:ascii="Times New Roman" w:hAnsi="Times New Roman" w:eastAsia="宋体" w:cs="Times New Roman"/>
                <w:sz w:val="16"/>
                <w:szCs w:val="16"/>
              </w:rPr>
            </w:pPr>
          </w:p>
        </w:tc>
      </w:tr>
      <w:tr w14:paraId="5F7F5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43285E48">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7EB5CB91">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1F4F6A98">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44B918DE">
            <w:pPr>
              <w:widowControl/>
              <w:adjustRightInd w:val="0"/>
              <w:snapToGrid w:val="0"/>
              <w:jc w:val="center"/>
              <w:rPr>
                <w:rFonts w:ascii="Times New Roman" w:hAnsi="Times New Roman" w:eastAsia="宋体" w:cs="Times New Roman"/>
                <w:sz w:val="16"/>
                <w:szCs w:val="16"/>
              </w:rPr>
            </w:pPr>
          </w:p>
        </w:tc>
        <w:tc>
          <w:tcPr>
            <w:tcW w:w="259" w:type="pct"/>
            <w:vMerge w:val="restart"/>
            <w:shd w:val="clear" w:color="auto" w:fill="auto"/>
            <w:vAlign w:val="center"/>
          </w:tcPr>
          <w:p w14:paraId="0BFBD9B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完成及时率</w:t>
            </w:r>
          </w:p>
        </w:tc>
        <w:tc>
          <w:tcPr>
            <w:tcW w:w="200" w:type="pct"/>
            <w:vMerge w:val="restart"/>
            <w:shd w:val="clear" w:color="auto" w:fill="auto"/>
            <w:vAlign w:val="center"/>
          </w:tcPr>
          <w:p w14:paraId="57DBE585">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6</w:t>
            </w:r>
          </w:p>
        </w:tc>
        <w:tc>
          <w:tcPr>
            <w:tcW w:w="483" w:type="pct"/>
            <w:vMerge w:val="restart"/>
            <w:shd w:val="clear" w:color="auto" w:fill="auto"/>
            <w:vAlign w:val="center"/>
          </w:tcPr>
          <w:p w14:paraId="2A010752">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项目实际提前完成时间与计划完成时间的比率，用以反映和考核项目产出时效目标的实现程度。还可用计划工程完成率、工期提前率等指标。</w:t>
            </w:r>
          </w:p>
        </w:tc>
        <w:tc>
          <w:tcPr>
            <w:tcW w:w="636" w:type="pct"/>
            <w:vMerge w:val="restart"/>
            <w:shd w:val="clear" w:color="auto" w:fill="auto"/>
            <w:vAlign w:val="center"/>
          </w:tcPr>
          <w:p w14:paraId="04828CC4">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1F5EE29E">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完成及时率=[（实际完成时间-计划完成时间）/计划完成时间]×100%。</w:t>
            </w:r>
          </w:p>
          <w:p w14:paraId="16288FB5">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实际完成时间：项目实施单位完成该项目实际所耗用的时间。</w:t>
            </w:r>
          </w:p>
          <w:p w14:paraId="2D1DD119">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计划完成时间：按照项目实施计划、预先设定的绩效目标或相关规定完成该项目所需的时间。</w:t>
            </w:r>
          </w:p>
        </w:tc>
        <w:tc>
          <w:tcPr>
            <w:tcW w:w="369" w:type="pct"/>
            <w:shd w:val="clear" w:color="auto" w:fill="auto"/>
            <w:vAlign w:val="center"/>
          </w:tcPr>
          <w:p w14:paraId="6BEB645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计划工期完成及时率</w:t>
            </w:r>
          </w:p>
        </w:tc>
        <w:tc>
          <w:tcPr>
            <w:tcW w:w="186" w:type="pct"/>
            <w:shd w:val="clear" w:color="auto" w:fill="auto"/>
            <w:vAlign w:val="center"/>
          </w:tcPr>
          <w:p w14:paraId="4075BA58">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3</w:t>
            </w:r>
          </w:p>
        </w:tc>
        <w:tc>
          <w:tcPr>
            <w:tcW w:w="689" w:type="pct"/>
            <w:shd w:val="clear" w:color="auto" w:fill="auto"/>
            <w:vAlign w:val="center"/>
          </w:tcPr>
          <w:p w14:paraId="7F7AA04D">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1E649E1D">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计划工期完成及时率=[（工程实际时间-工期目标完成时间）/工期目标完成时间]×100%。</w:t>
            </w:r>
          </w:p>
          <w:p w14:paraId="151286FE">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工期时间按月数计算。客观原因造成延误的需要提供证据。</w:t>
            </w:r>
          </w:p>
        </w:tc>
        <w:tc>
          <w:tcPr>
            <w:tcW w:w="569" w:type="pct"/>
            <w:shd w:val="clear" w:color="auto" w:fill="auto"/>
            <w:vAlign w:val="center"/>
          </w:tcPr>
          <w:p w14:paraId="02D18A8E">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3BBD199E">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2．对标要点：完成及时率≤0，得3分；0＜完成及时率≤10%，得2分；10%＜完成及时率≤20%，得1分；完成及时率＞20%的不得分。</w:t>
            </w:r>
          </w:p>
        </w:tc>
        <w:tc>
          <w:tcPr>
            <w:tcW w:w="224" w:type="pct"/>
            <w:shd w:val="clear" w:color="auto" w:fill="auto"/>
            <w:noWrap/>
            <w:vAlign w:val="center"/>
          </w:tcPr>
          <w:p w14:paraId="608C866F">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3</w:t>
            </w:r>
          </w:p>
        </w:tc>
        <w:tc>
          <w:tcPr>
            <w:tcW w:w="592" w:type="pct"/>
            <w:shd w:val="clear" w:color="auto" w:fill="auto"/>
            <w:vAlign w:val="center"/>
          </w:tcPr>
          <w:p w14:paraId="0A0E3E79">
            <w:pPr>
              <w:widowControl/>
              <w:adjustRightInd w:val="0"/>
              <w:snapToGrid w:val="0"/>
              <w:rPr>
                <w:rFonts w:ascii="Times New Roman" w:hAnsi="Times New Roman" w:eastAsia="宋体" w:cs="Times New Roman"/>
                <w:sz w:val="16"/>
                <w:szCs w:val="16"/>
              </w:rPr>
            </w:pPr>
          </w:p>
        </w:tc>
      </w:tr>
      <w:tr w14:paraId="68487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33F4C239">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4FCBC55F">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575F9DFC">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0A3CA989">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5440B034">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50B4A703">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3D77FC0D">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3F0D5005">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7CC3ACB9">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单位工程进度完成及时率</w:t>
            </w:r>
          </w:p>
        </w:tc>
        <w:tc>
          <w:tcPr>
            <w:tcW w:w="186" w:type="pct"/>
            <w:shd w:val="clear" w:color="auto" w:fill="auto"/>
            <w:vAlign w:val="center"/>
          </w:tcPr>
          <w:p w14:paraId="79C63E6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3</w:t>
            </w:r>
          </w:p>
        </w:tc>
        <w:tc>
          <w:tcPr>
            <w:tcW w:w="689" w:type="pct"/>
            <w:shd w:val="clear" w:color="auto" w:fill="auto"/>
            <w:vAlign w:val="center"/>
          </w:tcPr>
          <w:p w14:paraId="4554BF5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5F3E8424">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在规定时限内及时完成的实际工作数与计划工作数的比率，用以反映和考核时效目标实现程度。</w:t>
            </w:r>
          </w:p>
        </w:tc>
        <w:tc>
          <w:tcPr>
            <w:tcW w:w="569" w:type="pct"/>
            <w:shd w:val="clear" w:color="auto" w:fill="auto"/>
            <w:vAlign w:val="center"/>
          </w:tcPr>
          <w:p w14:paraId="7C6030BE">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113AD6CC">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2．对标要点：得分=及时完成的单位工程数量/计划工作数量*权重。</w:t>
            </w:r>
          </w:p>
        </w:tc>
        <w:tc>
          <w:tcPr>
            <w:tcW w:w="224" w:type="pct"/>
            <w:shd w:val="clear" w:color="auto" w:fill="auto"/>
            <w:noWrap/>
            <w:vAlign w:val="center"/>
          </w:tcPr>
          <w:p w14:paraId="194F07A2">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3</w:t>
            </w:r>
          </w:p>
        </w:tc>
        <w:tc>
          <w:tcPr>
            <w:tcW w:w="592" w:type="pct"/>
            <w:shd w:val="clear" w:color="auto" w:fill="auto"/>
            <w:vAlign w:val="center"/>
          </w:tcPr>
          <w:p w14:paraId="07E49C2F">
            <w:pPr>
              <w:widowControl/>
              <w:adjustRightInd w:val="0"/>
              <w:snapToGrid w:val="0"/>
              <w:rPr>
                <w:rFonts w:ascii="Times New Roman" w:hAnsi="Times New Roman" w:eastAsia="宋体" w:cs="Times New Roman"/>
                <w:sz w:val="16"/>
                <w:szCs w:val="16"/>
              </w:rPr>
            </w:pPr>
          </w:p>
        </w:tc>
      </w:tr>
      <w:tr w14:paraId="67635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3E40687B">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47F50416">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1DAA8BD2">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32C2CA3C">
            <w:pPr>
              <w:widowControl/>
              <w:adjustRightInd w:val="0"/>
              <w:snapToGrid w:val="0"/>
              <w:jc w:val="center"/>
              <w:rPr>
                <w:rFonts w:ascii="Times New Roman" w:hAnsi="Times New Roman" w:eastAsia="宋体" w:cs="Times New Roman"/>
                <w:sz w:val="16"/>
                <w:szCs w:val="16"/>
              </w:rPr>
            </w:pPr>
          </w:p>
        </w:tc>
        <w:tc>
          <w:tcPr>
            <w:tcW w:w="259" w:type="pct"/>
            <w:vMerge w:val="restart"/>
            <w:shd w:val="clear" w:color="auto" w:fill="auto"/>
            <w:vAlign w:val="center"/>
          </w:tcPr>
          <w:p w14:paraId="75D53C8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质量达标率</w:t>
            </w:r>
          </w:p>
        </w:tc>
        <w:tc>
          <w:tcPr>
            <w:tcW w:w="200" w:type="pct"/>
            <w:vMerge w:val="restart"/>
            <w:shd w:val="clear" w:color="auto" w:fill="auto"/>
            <w:vAlign w:val="center"/>
          </w:tcPr>
          <w:p w14:paraId="10810ED9">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8</w:t>
            </w:r>
          </w:p>
        </w:tc>
        <w:tc>
          <w:tcPr>
            <w:tcW w:w="483" w:type="pct"/>
            <w:vMerge w:val="restart"/>
            <w:shd w:val="clear" w:color="auto" w:fill="auto"/>
            <w:vAlign w:val="center"/>
          </w:tcPr>
          <w:p w14:paraId="422346AA">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项目完成的质量达标产出数与实际产出数的比率，用以反映和考核项目产出质量目标的实现程度。</w:t>
            </w:r>
          </w:p>
        </w:tc>
        <w:tc>
          <w:tcPr>
            <w:tcW w:w="636" w:type="pct"/>
            <w:vMerge w:val="restart"/>
            <w:shd w:val="clear" w:color="auto" w:fill="auto"/>
            <w:vAlign w:val="center"/>
          </w:tcPr>
          <w:p w14:paraId="5E5ACB90">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5C402B0D">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质量达标率=（质量达标产出数/实际产出数）×100%。</w:t>
            </w:r>
          </w:p>
          <w:p w14:paraId="24C08677">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质量达标产出数：一定时期（本年度或项目期）内实际达到既定质量标准的工程或服务数量。</w:t>
            </w:r>
          </w:p>
          <w:p w14:paraId="08F3368F">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既定质量标准是指项目实施单位设立绩效目标时依据计划标准、行业标准、历史标准或其他标准而设定的绩效指标值。</w:t>
            </w:r>
          </w:p>
          <w:p w14:paraId="7580CFAE">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④</w:t>
            </w:r>
            <w:r>
              <w:rPr>
                <w:rFonts w:ascii="Times New Roman" w:hAnsi="Times New Roman" w:eastAsia="宋体" w:cs="Times New Roman"/>
                <w:kern w:val="0"/>
                <w:sz w:val="16"/>
                <w:szCs w:val="16"/>
                <w:lang w:bidi="ar"/>
              </w:rPr>
              <w:t>施工组织设计列示的工程主要材料按国家规定标准检验合格的材料与计划检验的材料的比率，用以反映和考核施工建设的材料质量控制情况。</w:t>
            </w:r>
          </w:p>
          <w:p w14:paraId="69AC4E34">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⑤</w:t>
            </w:r>
            <w:r>
              <w:rPr>
                <w:rFonts w:ascii="Times New Roman" w:hAnsi="Times New Roman" w:eastAsia="宋体" w:cs="Times New Roman"/>
                <w:kern w:val="0"/>
                <w:sz w:val="16"/>
                <w:szCs w:val="16"/>
                <w:lang w:bidi="ar"/>
              </w:rPr>
              <w:t>按照国家颁发的现行相关专业质量验收规范验收合格的工程量与实际应验收的工程量的比率，用以反映和考核项目整体情况。</w:t>
            </w:r>
          </w:p>
        </w:tc>
        <w:tc>
          <w:tcPr>
            <w:tcW w:w="369" w:type="pct"/>
            <w:shd w:val="clear" w:color="auto" w:fill="auto"/>
            <w:vAlign w:val="center"/>
          </w:tcPr>
          <w:p w14:paraId="124114CF">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施工材料检验合格率</w:t>
            </w:r>
          </w:p>
        </w:tc>
        <w:tc>
          <w:tcPr>
            <w:tcW w:w="186" w:type="pct"/>
            <w:shd w:val="clear" w:color="auto" w:fill="auto"/>
            <w:vAlign w:val="center"/>
          </w:tcPr>
          <w:p w14:paraId="65C7FC99">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44326AA6">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5D323FD0">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检验合格率=（实际检验合格的材料数量/计划检验的材料的数量）×100%；</w:t>
            </w:r>
          </w:p>
          <w:p w14:paraId="6BC702C6">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施工组织设计列示的工程主要材料按国家规定标准检验合格的材料与计划检验的材料的比率，用以反映和考核施工建设的材料质量控制情况。</w:t>
            </w:r>
          </w:p>
        </w:tc>
        <w:tc>
          <w:tcPr>
            <w:tcW w:w="569" w:type="pct"/>
            <w:shd w:val="clear" w:color="auto" w:fill="auto"/>
            <w:vAlign w:val="center"/>
          </w:tcPr>
          <w:p w14:paraId="4CC25B91">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573FAA68">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2．对标要点：得分=施工材料检验合格率*权重。</w:t>
            </w:r>
          </w:p>
        </w:tc>
        <w:tc>
          <w:tcPr>
            <w:tcW w:w="224" w:type="pct"/>
            <w:shd w:val="clear" w:color="auto" w:fill="auto"/>
            <w:noWrap/>
            <w:vAlign w:val="center"/>
          </w:tcPr>
          <w:p w14:paraId="407944B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592" w:type="pct"/>
            <w:shd w:val="clear" w:color="auto" w:fill="auto"/>
            <w:noWrap/>
            <w:vAlign w:val="center"/>
          </w:tcPr>
          <w:p w14:paraId="074E7176">
            <w:pPr>
              <w:widowControl/>
              <w:adjustRightInd w:val="0"/>
              <w:snapToGrid w:val="0"/>
              <w:rPr>
                <w:rFonts w:ascii="Times New Roman" w:hAnsi="Times New Roman" w:eastAsia="宋体" w:cs="Times New Roman"/>
                <w:sz w:val="16"/>
                <w:szCs w:val="16"/>
              </w:rPr>
            </w:pPr>
          </w:p>
        </w:tc>
      </w:tr>
      <w:tr w14:paraId="6F319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6A604F69">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0BD3519B">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44EE4E59">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0540782A">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154E8FD8">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01F107DF">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16C7A48C">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04003AA0">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17D5B33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工程质量达标率</w:t>
            </w:r>
          </w:p>
        </w:tc>
        <w:tc>
          <w:tcPr>
            <w:tcW w:w="186" w:type="pct"/>
            <w:shd w:val="clear" w:color="auto" w:fill="auto"/>
            <w:vAlign w:val="center"/>
          </w:tcPr>
          <w:p w14:paraId="7C49FDF4">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3DA06ED4">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4EC89827">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工程质量达标率=（质量达标产出数/实际产出数）×100%。</w:t>
            </w:r>
          </w:p>
          <w:p w14:paraId="0081E18B">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质量达标产出数：一定时期（本年度或项目期）内实际达到既定质量标准的工程或服务数量。</w:t>
            </w:r>
          </w:p>
          <w:p w14:paraId="11B64F04">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既定质量标准是指项目实施单位设立绩效目标时依据计划标准、行业标准、历史标准或其他标准而设定的绩效指标值。</w:t>
            </w:r>
          </w:p>
        </w:tc>
        <w:tc>
          <w:tcPr>
            <w:tcW w:w="569" w:type="pct"/>
            <w:shd w:val="clear" w:color="auto" w:fill="auto"/>
            <w:vAlign w:val="center"/>
          </w:tcPr>
          <w:p w14:paraId="1A0204CE">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5A7F023A">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2．对标要点：得分=达标率*权重。</w:t>
            </w:r>
          </w:p>
          <w:p w14:paraId="558553C8">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出现安全质量事故的得0分；难以确定质量达标情况的，酌情扣分。</w:t>
            </w:r>
          </w:p>
        </w:tc>
        <w:tc>
          <w:tcPr>
            <w:tcW w:w="224" w:type="pct"/>
            <w:shd w:val="clear" w:color="auto" w:fill="auto"/>
            <w:noWrap/>
            <w:vAlign w:val="center"/>
          </w:tcPr>
          <w:p w14:paraId="76EC069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592" w:type="pct"/>
            <w:shd w:val="clear" w:color="auto" w:fill="auto"/>
            <w:vAlign w:val="center"/>
          </w:tcPr>
          <w:p w14:paraId="57C6582D">
            <w:pPr>
              <w:widowControl/>
              <w:adjustRightInd w:val="0"/>
              <w:snapToGrid w:val="0"/>
              <w:rPr>
                <w:rFonts w:ascii="Times New Roman" w:hAnsi="Times New Roman" w:eastAsia="宋体" w:cs="Times New Roman"/>
                <w:sz w:val="16"/>
                <w:szCs w:val="16"/>
              </w:rPr>
            </w:pPr>
          </w:p>
        </w:tc>
      </w:tr>
      <w:tr w14:paraId="3CD1B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5C8F066F">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75F6BBD8">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15914069">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0060C833">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1BED0E04">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703F7FDA">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4F18B299">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018880B6">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6CBE7385">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工程验收合格率</w:t>
            </w:r>
          </w:p>
        </w:tc>
        <w:tc>
          <w:tcPr>
            <w:tcW w:w="186" w:type="pct"/>
            <w:shd w:val="clear" w:color="auto" w:fill="auto"/>
            <w:vAlign w:val="center"/>
          </w:tcPr>
          <w:p w14:paraId="6162B85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2347C7B1">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13C4871A">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工程竣工验收合格率=实际验收合格的工程量／实际应验收的工程量×100%</w:t>
            </w:r>
          </w:p>
          <w:p w14:paraId="757FB3F4">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按照国家颁发的现行相关专业质量验收规范验收合格的工程量与实际应验收的工程量的比率，用以反映和考核项目整体情况。</w:t>
            </w:r>
          </w:p>
        </w:tc>
        <w:tc>
          <w:tcPr>
            <w:tcW w:w="569" w:type="pct"/>
            <w:shd w:val="clear" w:color="auto" w:fill="auto"/>
            <w:vAlign w:val="center"/>
          </w:tcPr>
          <w:p w14:paraId="3F278ABB">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6B0201C5">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2．对标要点：得分=工程验收合格率*权重。</w:t>
            </w:r>
          </w:p>
        </w:tc>
        <w:tc>
          <w:tcPr>
            <w:tcW w:w="224" w:type="pct"/>
            <w:shd w:val="clear" w:color="auto" w:fill="auto"/>
            <w:noWrap/>
            <w:vAlign w:val="center"/>
          </w:tcPr>
          <w:p w14:paraId="470ADA9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592" w:type="pct"/>
            <w:shd w:val="clear" w:color="auto" w:fill="auto"/>
            <w:vAlign w:val="center"/>
          </w:tcPr>
          <w:p w14:paraId="06711F7D">
            <w:pPr>
              <w:widowControl/>
              <w:adjustRightInd w:val="0"/>
              <w:snapToGrid w:val="0"/>
              <w:rPr>
                <w:rFonts w:ascii="Times New Roman" w:hAnsi="Times New Roman" w:eastAsia="宋体" w:cs="Times New Roman"/>
                <w:sz w:val="16"/>
                <w:szCs w:val="16"/>
              </w:rPr>
            </w:pPr>
          </w:p>
        </w:tc>
      </w:tr>
      <w:tr w14:paraId="01182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53FB3F20">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68B1A1B6">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0195C353">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6972F275">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79CC7241">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334827AB">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72268EEE">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4C46290F">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3AA2142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工程结算误差控制率</w:t>
            </w:r>
          </w:p>
        </w:tc>
        <w:tc>
          <w:tcPr>
            <w:tcW w:w="186" w:type="pct"/>
            <w:shd w:val="clear" w:color="auto" w:fill="auto"/>
            <w:vAlign w:val="center"/>
          </w:tcPr>
          <w:p w14:paraId="76EC88C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6B489F0C">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5C0A7E54">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用以反映和考核本项目工程结算编制的质量。</w:t>
            </w:r>
          </w:p>
          <w:p w14:paraId="199D36CF">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工程结算误差控制率=（本年度结算财审核减或核增项目数量/应结算项目数量）×100%。</w:t>
            </w:r>
          </w:p>
          <w:p w14:paraId="3F4C51F4">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本年度结算财审核减或核增项目数量是指经过审核超过行业允许误差5%的项目数量。</w:t>
            </w:r>
          </w:p>
          <w:p w14:paraId="6DF0E4AA">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④</w:t>
            </w:r>
            <w:r>
              <w:rPr>
                <w:rFonts w:ascii="Times New Roman" w:hAnsi="Times New Roman" w:eastAsia="宋体" w:cs="Times New Roman"/>
                <w:kern w:val="0"/>
                <w:sz w:val="16"/>
                <w:szCs w:val="16"/>
                <w:lang w:bidi="ar"/>
              </w:rPr>
              <w:t>误差的计算，总价合同按变更工程送审金额计算，单价合同按送审总价计算。</w:t>
            </w:r>
          </w:p>
        </w:tc>
        <w:tc>
          <w:tcPr>
            <w:tcW w:w="569" w:type="pct"/>
            <w:shd w:val="clear" w:color="auto" w:fill="auto"/>
            <w:vAlign w:val="center"/>
          </w:tcPr>
          <w:p w14:paraId="4D814498">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7331585A">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2．对标要点：得分=（1-工程结算误差控制率）*权重。</w:t>
            </w:r>
          </w:p>
        </w:tc>
        <w:tc>
          <w:tcPr>
            <w:tcW w:w="224" w:type="pct"/>
            <w:shd w:val="clear" w:color="auto" w:fill="auto"/>
            <w:noWrap/>
            <w:vAlign w:val="center"/>
          </w:tcPr>
          <w:p w14:paraId="47176C6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592" w:type="pct"/>
            <w:shd w:val="clear" w:color="auto" w:fill="auto"/>
            <w:vAlign w:val="center"/>
          </w:tcPr>
          <w:p w14:paraId="68A79BFD">
            <w:pPr>
              <w:widowControl/>
              <w:adjustRightInd w:val="0"/>
              <w:snapToGrid w:val="0"/>
              <w:rPr>
                <w:rFonts w:ascii="Times New Roman" w:hAnsi="Times New Roman" w:eastAsia="宋体" w:cs="Times New Roman"/>
                <w:sz w:val="16"/>
                <w:szCs w:val="16"/>
              </w:rPr>
            </w:pPr>
          </w:p>
        </w:tc>
      </w:tr>
      <w:tr w14:paraId="7A253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1665A0F7">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53DCD82E">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5A5E47BF">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6DF34340">
            <w:pPr>
              <w:widowControl/>
              <w:adjustRightInd w:val="0"/>
              <w:snapToGrid w:val="0"/>
              <w:jc w:val="center"/>
              <w:rPr>
                <w:rFonts w:ascii="Times New Roman" w:hAnsi="Times New Roman" w:eastAsia="宋体" w:cs="Times New Roman"/>
                <w:sz w:val="16"/>
                <w:szCs w:val="16"/>
              </w:rPr>
            </w:pPr>
          </w:p>
        </w:tc>
        <w:tc>
          <w:tcPr>
            <w:tcW w:w="259" w:type="pct"/>
            <w:vMerge w:val="restart"/>
            <w:shd w:val="clear" w:color="auto" w:fill="auto"/>
            <w:vAlign w:val="center"/>
          </w:tcPr>
          <w:p w14:paraId="2867D86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预算（成本）控制</w:t>
            </w:r>
          </w:p>
        </w:tc>
        <w:tc>
          <w:tcPr>
            <w:tcW w:w="200" w:type="pct"/>
            <w:vMerge w:val="restart"/>
            <w:shd w:val="clear" w:color="auto" w:fill="auto"/>
            <w:vAlign w:val="center"/>
          </w:tcPr>
          <w:p w14:paraId="32E68FE9">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6</w:t>
            </w:r>
          </w:p>
        </w:tc>
        <w:tc>
          <w:tcPr>
            <w:tcW w:w="483" w:type="pct"/>
            <w:vMerge w:val="restart"/>
            <w:shd w:val="clear" w:color="auto" w:fill="auto"/>
            <w:vAlign w:val="center"/>
          </w:tcPr>
          <w:p w14:paraId="522BADF8">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完成项目工作目标实际成本控制与计划成本对比，用以反映和考核项目成本的经济性和效率性</w:t>
            </w:r>
          </w:p>
        </w:tc>
        <w:tc>
          <w:tcPr>
            <w:tcW w:w="636" w:type="pct"/>
            <w:vMerge w:val="restart"/>
            <w:shd w:val="clear" w:color="auto" w:fill="auto"/>
            <w:vAlign w:val="center"/>
          </w:tcPr>
          <w:p w14:paraId="70BDD224">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3D33A11F">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项目是否按计划、按预算的控制；</w:t>
            </w:r>
          </w:p>
          <w:p w14:paraId="00B8E76D">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是否超计划预算还是节约；</w:t>
            </w:r>
          </w:p>
          <w:p w14:paraId="5092E6CF">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预算资金是否有结余需要结转。</w:t>
            </w:r>
          </w:p>
        </w:tc>
        <w:tc>
          <w:tcPr>
            <w:tcW w:w="369" w:type="pct"/>
            <w:shd w:val="clear" w:color="auto" w:fill="auto"/>
            <w:vAlign w:val="center"/>
          </w:tcPr>
          <w:p w14:paraId="2EAD8578">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预决算差异率</w:t>
            </w:r>
          </w:p>
        </w:tc>
        <w:tc>
          <w:tcPr>
            <w:tcW w:w="186" w:type="pct"/>
            <w:shd w:val="clear" w:color="auto" w:fill="auto"/>
            <w:vAlign w:val="center"/>
          </w:tcPr>
          <w:p w14:paraId="51E60B9C">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0158304D">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2F41982C">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用以反映和考核项目代建单位对投资预算控制和管理的情况。</w:t>
            </w:r>
          </w:p>
          <w:p w14:paraId="02778B2F">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预决算差异率=（项目财务决算金额-项目预算金额）/项目预算金额×100%。</w:t>
            </w:r>
          </w:p>
          <w:p w14:paraId="3F2335B8">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项目预算金额，是指政府有关文件要求财政安排的资金预算金额。</w:t>
            </w:r>
          </w:p>
        </w:tc>
        <w:tc>
          <w:tcPr>
            <w:tcW w:w="569" w:type="pct"/>
            <w:shd w:val="clear" w:color="auto" w:fill="auto"/>
            <w:vAlign w:val="center"/>
          </w:tcPr>
          <w:p w14:paraId="44D0B969">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1665D6FA">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2．对标要点：预决算差异率控制在±10%内的，得2分；其他情况不得分。</w:t>
            </w:r>
          </w:p>
        </w:tc>
        <w:tc>
          <w:tcPr>
            <w:tcW w:w="224" w:type="pct"/>
            <w:shd w:val="clear" w:color="auto" w:fill="auto"/>
            <w:noWrap/>
            <w:vAlign w:val="center"/>
          </w:tcPr>
          <w:p w14:paraId="5BF4E28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w:t>
            </w:r>
          </w:p>
        </w:tc>
        <w:tc>
          <w:tcPr>
            <w:tcW w:w="592" w:type="pct"/>
            <w:shd w:val="clear" w:color="auto" w:fill="auto"/>
            <w:vAlign w:val="center"/>
          </w:tcPr>
          <w:p w14:paraId="5CA3273D">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项目未完成结算，扣除1分。</w:t>
            </w:r>
          </w:p>
        </w:tc>
      </w:tr>
      <w:tr w14:paraId="52972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0021057A">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0DDBC169">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42979371">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4C002408">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3C732BFC">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296B3DA9">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12295171">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562615BF">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0E1D14FC">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投资结构变动率</w:t>
            </w:r>
          </w:p>
        </w:tc>
        <w:tc>
          <w:tcPr>
            <w:tcW w:w="186" w:type="pct"/>
            <w:shd w:val="clear" w:color="auto" w:fill="auto"/>
            <w:vAlign w:val="center"/>
          </w:tcPr>
          <w:p w14:paraId="0CBABDCC">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73100210">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482C208A">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评价项目在没有突破批准的投资规模的情况下，对照批准的设计方案是否有增加建设内容，或各单项工程之间进行调整；用以反映和考核建设单位执行原设计方案的有效性。</w:t>
            </w:r>
          </w:p>
          <w:p w14:paraId="5FE92A5E">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投资结构变动率=（增加、变更项目投资金额/项目总投资金额）×100%</w:t>
            </w:r>
          </w:p>
        </w:tc>
        <w:tc>
          <w:tcPr>
            <w:tcW w:w="569" w:type="pct"/>
            <w:shd w:val="clear" w:color="auto" w:fill="auto"/>
            <w:vAlign w:val="center"/>
          </w:tcPr>
          <w:p w14:paraId="0F0B48FE">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3EFC00E1">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2．对标要点：投资结构变动率在10%以内得2分，其他情况酌情给分。</w:t>
            </w:r>
          </w:p>
        </w:tc>
        <w:tc>
          <w:tcPr>
            <w:tcW w:w="224" w:type="pct"/>
            <w:shd w:val="clear" w:color="auto" w:fill="auto"/>
            <w:noWrap/>
            <w:vAlign w:val="center"/>
          </w:tcPr>
          <w:p w14:paraId="64BA91F3">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592" w:type="pct"/>
            <w:shd w:val="clear" w:color="auto" w:fill="auto"/>
            <w:vAlign w:val="center"/>
          </w:tcPr>
          <w:p w14:paraId="647E0BCA">
            <w:pPr>
              <w:widowControl/>
              <w:adjustRightInd w:val="0"/>
              <w:snapToGrid w:val="0"/>
              <w:jc w:val="center"/>
              <w:rPr>
                <w:rFonts w:ascii="Times New Roman" w:hAnsi="Times New Roman" w:eastAsia="宋体" w:cs="Times New Roman"/>
                <w:sz w:val="16"/>
                <w:szCs w:val="16"/>
              </w:rPr>
            </w:pPr>
          </w:p>
        </w:tc>
      </w:tr>
      <w:tr w14:paraId="1EFD1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0D074482">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6ADBE95E">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1194B98E">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119F408D">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257C0B09">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22C01962">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3E9A9886">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4BDA10F0">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07C8B33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成本节约率</w:t>
            </w:r>
          </w:p>
        </w:tc>
        <w:tc>
          <w:tcPr>
            <w:tcW w:w="186" w:type="pct"/>
            <w:shd w:val="clear" w:color="auto" w:fill="auto"/>
            <w:vAlign w:val="center"/>
          </w:tcPr>
          <w:p w14:paraId="3990DBC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054CA9CE">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691AFA02">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完成项目计划工作目标的实际节约成本与计划成本的比率，用以反映和考核项目的成本节约程度。</w:t>
            </w:r>
          </w:p>
          <w:p w14:paraId="4AF60514">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成本节约率=[（计划成本-实际成本）/计划成本]×100%。</w:t>
            </w:r>
          </w:p>
          <w:p w14:paraId="5B2DAEC0">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实际成本：项目实施单位如期、保质、保量完成既定工作目标实际所耗费的支出。</w:t>
            </w:r>
          </w:p>
          <w:p w14:paraId="0295D777">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④</w:t>
            </w:r>
            <w:r>
              <w:rPr>
                <w:rFonts w:ascii="Times New Roman" w:hAnsi="Times New Roman" w:eastAsia="宋体" w:cs="Times New Roman"/>
                <w:kern w:val="0"/>
                <w:sz w:val="16"/>
                <w:szCs w:val="16"/>
                <w:lang w:bidi="ar"/>
              </w:rPr>
              <w:t>计划成本：项目实施单位为完成工作目标计划安排的支出，一般以项目预算为参考。</w:t>
            </w:r>
          </w:p>
        </w:tc>
        <w:tc>
          <w:tcPr>
            <w:tcW w:w="569" w:type="pct"/>
            <w:shd w:val="clear" w:color="auto" w:fill="auto"/>
            <w:vAlign w:val="center"/>
          </w:tcPr>
          <w:p w14:paraId="4977B04B">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0FB312B4">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2．对标要点：节约率5%以上，得2分；5%以内，得1分；无节约不得分。</w:t>
            </w:r>
          </w:p>
        </w:tc>
        <w:tc>
          <w:tcPr>
            <w:tcW w:w="224" w:type="pct"/>
            <w:shd w:val="clear" w:color="auto" w:fill="auto"/>
            <w:noWrap/>
            <w:vAlign w:val="center"/>
          </w:tcPr>
          <w:p w14:paraId="63E14B9F">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592" w:type="pct"/>
            <w:shd w:val="clear" w:color="auto" w:fill="auto"/>
            <w:vAlign w:val="center"/>
          </w:tcPr>
          <w:p w14:paraId="551EF07F">
            <w:pPr>
              <w:widowControl/>
              <w:adjustRightInd w:val="0"/>
              <w:snapToGrid w:val="0"/>
              <w:rPr>
                <w:rFonts w:ascii="Times New Roman" w:hAnsi="Times New Roman" w:eastAsia="宋体" w:cs="Times New Roman"/>
                <w:sz w:val="16"/>
                <w:szCs w:val="16"/>
              </w:rPr>
            </w:pPr>
          </w:p>
        </w:tc>
      </w:tr>
      <w:tr w14:paraId="627EA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6EFD861A">
            <w:pPr>
              <w:widowControl/>
              <w:adjustRightInd w:val="0"/>
              <w:snapToGrid w:val="0"/>
              <w:jc w:val="center"/>
              <w:rPr>
                <w:rFonts w:ascii="Times New Roman" w:hAnsi="Times New Roman" w:eastAsia="宋体" w:cs="Times New Roman"/>
                <w:sz w:val="16"/>
                <w:szCs w:val="16"/>
              </w:rPr>
            </w:pPr>
          </w:p>
        </w:tc>
        <w:tc>
          <w:tcPr>
            <w:tcW w:w="202" w:type="pct"/>
            <w:vMerge w:val="restart"/>
            <w:shd w:val="clear" w:color="auto" w:fill="auto"/>
            <w:noWrap/>
            <w:vAlign w:val="center"/>
          </w:tcPr>
          <w:p w14:paraId="0F0E7528">
            <w:pPr>
              <w:widowControl/>
              <w:adjustRightInd w:val="0"/>
              <w:snapToGrid w:val="0"/>
              <w:jc w:val="center"/>
              <w:rPr>
                <w:rFonts w:ascii="Times New Roman" w:hAnsi="Times New Roman" w:eastAsia="宋体" w:cs="Times New Roman"/>
                <w:sz w:val="16"/>
                <w:szCs w:val="16"/>
              </w:rPr>
            </w:pPr>
          </w:p>
        </w:tc>
        <w:tc>
          <w:tcPr>
            <w:tcW w:w="196" w:type="pct"/>
            <w:vMerge w:val="restart"/>
            <w:shd w:val="clear" w:color="auto" w:fill="auto"/>
            <w:vAlign w:val="center"/>
          </w:tcPr>
          <w:p w14:paraId="38B12D9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逆指标</w:t>
            </w:r>
          </w:p>
        </w:tc>
        <w:tc>
          <w:tcPr>
            <w:tcW w:w="187" w:type="pct"/>
            <w:vMerge w:val="restart"/>
            <w:shd w:val="clear" w:color="auto" w:fill="auto"/>
            <w:vAlign w:val="center"/>
          </w:tcPr>
          <w:p w14:paraId="002FAEB7">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w:t>
            </w:r>
            <w:r>
              <w:rPr>
                <w:rFonts w:hint="eastAsia" w:ascii="Times New Roman" w:hAnsi="Times New Roman" w:eastAsia="宋体" w:cs="Times New Roman"/>
                <w:kern w:val="0"/>
                <w:sz w:val="16"/>
                <w:szCs w:val="16"/>
                <w:lang w:bidi="ar"/>
              </w:rPr>
              <w:t>6</w:t>
            </w:r>
          </w:p>
        </w:tc>
        <w:tc>
          <w:tcPr>
            <w:tcW w:w="259" w:type="pct"/>
            <w:shd w:val="clear" w:color="auto" w:fill="auto"/>
            <w:vAlign w:val="center"/>
          </w:tcPr>
          <w:p w14:paraId="404E4B51">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概算超额率</w:t>
            </w:r>
          </w:p>
        </w:tc>
        <w:tc>
          <w:tcPr>
            <w:tcW w:w="200" w:type="pct"/>
            <w:shd w:val="clear" w:color="auto" w:fill="auto"/>
            <w:vAlign w:val="center"/>
          </w:tcPr>
          <w:p w14:paraId="16AC3C0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483" w:type="pct"/>
            <w:shd w:val="clear" w:color="auto" w:fill="auto"/>
            <w:vAlign w:val="center"/>
          </w:tcPr>
          <w:p w14:paraId="68883D26">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评价政府有关部门批准的概算投资额与实际完成的投资额比较情况，用以反映概算编制的科学性、准确性和合理性。</w:t>
            </w:r>
          </w:p>
        </w:tc>
        <w:tc>
          <w:tcPr>
            <w:tcW w:w="636" w:type="pct"/>
            <w:shd w:val="clear" w:color="auto" w:fill="auto"/>
            <w:vAlign w:val="center"/>
          </w:tcPr>
          <w:p w14:paraId="4D9EBBC3">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5D960353">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项目是否突破政府批准的投资概算；</w:t>
            </w:r>
          </w:p>
          <w:p w14:paraId="5F0A7F09">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突破概算时是否及时报告政府，还是事后补办手续。</w:t>
            </w:r>
          </w:p>
        </w:tc>
        <w:tc>
          <w:tcPr>
            <w:tcW w:w="369" w:type="pct"/>
            <w:shd w:val="clear" w:color="auto" w:fill="auto"/>
            <w:vAlign w:val="center"/>
          </w:tcPr>
          <w:p w14:paraId="30B86E1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概算超额率</w:t>
            </w:r>
          </w:p>
        </w:tc>
        <w:tc>
          <w:tcPr>
            <w:tcW w:w="186" w:type="pct"/>
            <w:shd w:val="clear" w:color="auto" w:fill="auto"/>
            <w:vAlign w:val="center"/>
          </w:tcPr>
          <w:p w14:paraId="2E64187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510B31D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35850B09">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项目是否突破政府批准的投资概算；突破概算时是否及时报告政府，还是事后补办手续。</w:t>
            </w:r>
          </w:p>
        </w:tc>
        <w:tc>
          <w:tcPr>
            <w:tcW w:w="569" w:type="pct"/>
            <w:shd w:val="clear" w:color="auto" w:fill="auto"/>
            <w:vAlign w:val="center"/>
          </w:tcPr>
          <w:p w14:paraId="4C0515A3">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7A1BDEFC">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2．对标要点：概算超额率大于10%的，扣2分。</w:t>
            </w:r>
          </w:p>
        </w:tc>
        <w:tc>
          <w:tcPr>
            <w:tcW w:w="224" w:type="pct"/>
            <w:shd w:val="clear" w:color="auto" w:fill="auto"/>
            <w:noWrap/>
            <w:vAlign w:val="center"/>
          </w:tcPr>
          <w:p w14:paraId="1A466269">
            <w:pPr>
              <w:widowControl/>
              <w:adjustRightInd w:val="0"/>
              <w:snapToGrid w:val="0"/>
              <w:jc w:val="center"/>
              <w:rPr>
                <w:rFonts w:ascii="Times New Roman" w:hAnsi="Times New Roman" w:eastAsia="宋体" w:cs="Times New Roman"/>
                <w:sz w:val="16"/>
                <w:szCs w:val="16"/>
              </w:rPr>
            </w:pPr>
          </w:p>
        </w:tc>
        <w:tc>
          <w:tcPr>
            <w:tcW w:w="592" w:type="pct"/>
            <w:shd w:val="clear" w:color="auto" w:fill="auto"/>
            <w:vAlign w:val="center"/>
          </w:tcPr>
          <w:p w14:paraId="193A092C">
            <w:pPr>
              <w:widowControl/>
              <w:adjustRightInd w:val="0"/>
              <w:snapToGrid w:val="0"/>
              <w:jc w:val="center"/>
              <w:rPr>
                <w:rFonts w:ascii="Times New Roman" w:hAnsi="Times New Roman" w:eastAsia="宋体" w:cs="Times New Roman"/>
                <w:sz w:val="16"/>
                <w:szCs w:val="16"/>
              </w:rPr>
            </w:pPr>
          </w:p>
        </w:tc>
      </w:tr>
      <w:tr w14:paraId="1F128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307B025F">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7A16C27C">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5630164B">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0DD40FD8">
            <w:pPr>
              <w:widowControl/>
              <w:adjustRightInd w:val="0"/>
              <w:snapToGrid w:val="0"/>
              <w:jc w:val="center"/>
              <w:rPr>
                <w:rFonts w:ascii="Times New Roman" w:hAnsi="Times New Roman" w:eastAsia="宋体" w:cs="Times New Roman"/>
                <w:sz w:val="16"/>
                <w:szCs w:val="16"/>
              </w:rPr>
            </w:pPr>
          </w:p>
        </w:tc>
        <w:tc>
          <w:tcPr>
            <w:tcW w:w="259" w:type="pct"/>
            <w:shd w:val="clear" w:color="auto" w:fill="auto"/>
            <w:vAlign w:val="center"/>
          </w:tcPr>
          <w:p w14:paraId="1B7087B8">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资源浪费</w:t>
            </w:r>
          </w:p>
        </w:tc>
        <w:tc>
          <w:tcPr>
            <w:tcW w:w="200" w:type="pct"/>
            <w:shd w:val="clear" w:color="auto" w:fill="auto"/>
            <w:vAlign w:val="center"/>
          </w:tcPr>
          <w:p w14:paraId="471364C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483" w:type="pct"/>
            <w:shd w:val="clear" w:color="auto" w:fill="auto"/>
            <w:vAlign w:val="center"/>
          </w:tcPr>
          <w:p w14:paraId="4E0EE6D6">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评价项目对资源节约管理的程度。</w:t>
            </w:r>
          </w:p>
        </w:tc>
        <w:tc>
          <w:tcPr>
            <w:tcW w:w="636" w:type="pct"/>
            <w:shd w:val="clear" w:color="auto" w:fill="auto"/>
            <w:vAlign w:val="center"/>
          </w:tcPr>
          <w:p w14:paraId="2CBA7BD5">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092D56ED">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变更工程是否存在浪费；</w:t>
            </w:r>
          </w:p>
          <w:p w14:paraId="2B6C6C95">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实际功能是否过剩；</w:t>
            </w:r>
          </w:p>
          <w:p w14:paraId="798E6997">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实际建设标准是否超标；</w:t>
            </w:r>
          </w:p>
          <w:p w14:paraId="6775C169">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④</w:t>
            </w:r>
            <w:r>
              <w:rPr>
                <w:rFonts w:ascii="Times New Roman" w:hAnsi="Times New Roman" w:eastAsia="宋体" w:cs="Times New Roman"/>
                <w:kern w:val="0"/>
                <w:sz w:val="16"/>
                <w:szCs w:val="16"/>
                <w:lang w:bidi="ar"/>
              </w:rPr>
              <w:t>道路设计等级是否过高；</w:t>
            </w:r>
          </w:p>
          <w:p w14:paraId="2B89C737">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⑤</w:t>
            </w:r>
            <w:r>
              <w:rPr>
                <w:rFonts w:ascii="Times New Roman" w:hAnsi="Times New Roman" w:eastAsia="宋体" w:cs="Times New Roman"/>
                <w:kern w:val="0"/>
                <w:sz w:val="16"/>
                <w:szCs w:val="16"/>
                <w:lang w:bidi="ar"/>
              </w:rPr>
              <w:t>预留用地是否过多等。</w:t>
            </w:r>
          </w:p>
        </w:tc>
        <w:tc>
          <w:tcPr>
            <w:tcW w:w="369" w:type="pct"/>
            <w:shd w:val="clear" w:color="auto" w:fill="auto"/>
            <w:vAlign w:val="center"/>
          </w:tcPr>
          <w:p w14:paraId="5FAC5C4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资源浪费程度</w:t>
            </w:r>
          </w:p>
        </w:tc>
        <w:tc>
          <w:tcPr>
            <w:tcW w:w="186" w:type="pct"/>
            <w:shd w:val="clear" w:color="auto" w:fill="auto"/>
            <w:vAlign w:val="center"/>
          </w:tcPr>
          <w:p w14:paraId="725DCF3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13E33146">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0DE5F837">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变更工程是否存在浪费；实际功能是否过剩；实际建设标准是否超标；道路设计等级是否过高；预留用地是否过多等。</w:t>
            </w:r>
          </w:p>
        </w:tc>
        <w:tc>
          <w:tcPr>
            <w:tcW w:w="569" w:type="pct"/>
            <w:shd w:val="clear" w:color="auto" w:fill="auto"/>
            <w:vAlign w:val="center"/>
          </w:tcPr>
          <w:p w14:paraId="4A7008C8">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470DC057">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2．对标要点：资源浪费较大，扣2分；其他情况酌情扣分。</w:t>
            </w:r>
          </w:p>
        </w:tc>
        <w:tc>
          <w:tcPr>
            <w:tcW w:w="224" w:type="pct"/>
            <w:shd w:val="clear" w:color="auto" w:fill="auto"/>
            <w:noWrap/>
            <w:vAlign w:val="center"/>
          </w:tcPr>
          <w:p w14:paraId="7598A1B8">
            <w:pPr>
              <w:widowControl/>
              <w:adjustRightInd w:val="0"/>
              <w:snapToGrid w:val="0"/>
              <w:jc w:val="center"/>
              <w:rPr>
                <w:rFonts w:ascii="Times New Roman" w:hAnsi="Times New Roman" w:eastAsia="宋体" w:cs="Times New Roman"/>
                <w:sz w:val="16"/>
                <w:szCs w:val="16"/>
              </w:rPr>
            </w:pPr>
          </w:p>
        </w:tc>
        <w:tc>
          <w:tcPr>
            <w:tcW w:w="592" w:type="pct"/>
            <w:shd w:val="clear" w:color="auto" w:fill="auto"/>
            <w:vAlign w:val="center"/>
          </w:tcPr>
          <w:p w14:paraId="7B81010F">
            <w:pPr>
              <w:widowControl/>
              <w:adjustRightInd w:val="0"/>
              <w:snapToGrid w:val="0"/>
              <w:jc w:val="center"/>
              <w:rPr>
                <w:rFonts w:ascii="Times New Roman" w:hAnsi="Times New Roman" w:eastAsia="宋体" w:cs="Times New Roman"/>
                <w:sz w:val="16"/>
                <w:szCs w:val="16"/>
              </w:rPr>
            </w:pPr>
          </w:p>
        </w:tc>
      </w:tr>
      <w:tr w14:paraId="3DCFA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24F7281C">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38CA8D0B">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4D91B4CA">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69D18265">
            <w:pPr>
              <w:widowControl/>
              <w:adjustRightInd w:val="0"/>
              <w:snapToGrid w:val="0"/>
              <w:jc w:val="center"/>
              <w:rPr>
                <w:rFonts w:ascii="Times New Roman" w:hAnsi="Times New Roman" w:eastAsia="宋体" w:cs="Times New Roman"/>
                <w:sz w:val="16"/>
                <w:szCs w:val="16"/>
              </w:rPr>
            </w:pPr>
          </w:p>
        </w:tc>
        <w:tc>
          <w:tcPr>
            <w:tcW w:w="259" w:type="pct"/>
            <w:shd w:val="clear" w:color="auto" w:fill="auto"/>
            <w:vAlign w:val="center"/>
          </w:tcPr>
          <w:p w14:paraId="258454C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完工结算及时性</w:t>
            </w:r>
          </w:p>
        </w:tc>
        <w:tc>
          <w:tcPr>
            <w:tcW w:w="200" w:type="pct"/>
            <w:shd w:val="clear" w:color="auto" w:fill="auto"/>
            <w:vAlign w:val="center"/>
          </w:tcPr>
          <w:p w14:paraId="60B61CD4">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483" w:type="pct"/>
            <w:shd w:val="clear" w:color="auto" w:fill="auto"/>
            <w:vAlign w:val="center"/>
          </w:tcPr>
          <w:p w14:paraId="457CE17C">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评价项目是否需要按有关规定开展结算工作，用以反映对项目结算进度控制程度。</w:t>
            </w:r>
          </w:p>
        </w:tc>
        <w:tc>
          <w:tcPr>
            <w:tcW w:w="636" w:type="pct"/>
            <w:shd w:val="clear" w:color="auto" w:fill="auto"/>
            <w:vAlign w:val="center"/>
          </w:tcPr>
          <w:p w14:paraId="62E31E2C">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3E096CCE">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项目是否需要按文件规定和合同约定开展结算；</w:t>
            </w:r>
          </w:p>
          <w:p w14:paraId="0A9FE71E">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结算是否按有关规定进度完成；</w:t>
            </w:r>
          </w:p>
          <w:p w14:paraId="337219EE">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结算争议是否得到及时解决；</w:t>
            </w:r>
          </w:p>
          <w:p w14:paraId="3B59837F">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④</w:t>
            </w:r>
            <w:r>
              <w:rPr>
                <w:rFonts w:ascii="Times New Roman" w:hAnsi="Times New Roman" w:eastAsia="宋体" w:cs="Times New Roman"/>
                <w:kern w:val="0"/>
                <w:sz w:val="16"/>
                <w:szCs w:val="16"/>
                <w:lang w:bidi="ar"/>
              </w:rPr>
              <w:t>结算程序是否符合政府规定的要求；</w:t>
            </w:r>
          </w:p>
          <w:p w14:paraId="74167647">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⑤</w:t>
            </w:r>
            <w:r>
              <w:rPr>
                <w:rFonts w:ascii="Times New Roman" w:hAnsi="Times New Roman" w:eastAsia="宋体" w:cs="Times New Roman"/>
                <w:kern w:val="0"/>
                <w:sz w:val="16"/>
                <w:szCs w:val="16"/>
                <w:lang w:bidi="ar"/>
              </w:rPr>
              <w:t>结算完毕后是否及时办理竣工财务决算手续。</w:t>
            </w:r>
          </w:p>
        </w:tc>
        <w:tc>
          <w:tcPr>
            <w:tcW w:w="369" w:type="pct"/>
            <w:shd w:val="clear" w:color="auto" w:fill="auto"/>
            <w:vAlign w:val="center"/>
          </w:tcPr>
          <w:p w14:paraId="1CC4652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完工结算及时性</w:t>
            </w:r>
          </w:p>
        </w:tc>
        <w:tc>
          <w:tcPr>
            <w:tcW w:w="186" w:type="pct"/>
            <w:shd w:val="clear" w:color="auto" w:fill="auto"/>
            <w:vAlign w:val="center"/>
          </w:tcPr>
          <w:p w14:paraId="35693740">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207960ED">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6B88334B">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项目是否需要按文件规定和合同约定开展结算；</w:t>
            </w:r>
          </w:p>
          <w:p w14:paraId="6324C439">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结算是否按有关规定进度完成；</w:t>
            </w:r>
          </w:p>
          <w:p w14:paraId="1488A1D7">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结算争议是否得到及时解决；</w:t>
            </w:r>
          </w:p>
          <w:p w14:paraId="58B5747E">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④</w:t>
            </w:r>
            <w:r>
              <w:rPr>
                <w:rFonts w:ascii="Times New Roman" w:hAnsi="Times New Roman" w:eastAsia="宋体" w:cs="Times New Roman"/>
                <w:kern w:val="0"/>
                <w:sz w:val="16"/>
                <w:szCs w:val="16"/>
                <w:lang w:bidi="ar"/>
              </w:rPr>
              <w:t>结算程序是否符合政府规定的要求；</w:t>
            </w:r>
          </w:p>
          <w:p w14:paraId="4442F93D">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⑤</w:t>
            </w:r>
            <w:r>
              <w:rPr>
                <w:rFonts w:ascii="Times New Roman" w:hAnsi="Times New Roman" w:eastAsia="宋体" w:cs="Times New Roman"/>
                <w:kern w:val="0"/>
                <w:sz w:val="16"/>
                <w:szCs w:val="16"/>
                <w:lang w:bidi="ar"/>
              </w:rPr>
              <w:t>结算完毕后是否及时办理竣工财务决算手续。</w:t>
            </w:r>
          </w:p>
        </w:tc>
        <w:tc>
          <w:tcPr>
            <w:tcW w:w="569" w:type="pct"/>
            <w:shd w:val="clear" w:color="auto" w:fill="auto"/>
            <w:vAlign w:val="center"/>
          </w:tcPr>
          <w:p w14:paraId="58606F7A">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06A17EC1">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2．对标要点：项目大部分合同没有按有关要求开展结算的，扣2分；约有一半没按有关要求开展结算的，扣1分；有小部分没按有关要求结算的，扣0.5—1分。</w:t>
            </w:r>
          </w:p>
        </w:tc>
        <w:tc>
          <w:tcPr>
            <w:tcW w:w="224" w:type="pct"/>
            <w:shd w:val="clear" w:color="auto" w:fill="auto"/>
            <w:noWrap/>
            <w:vAlign w:val="center"/>
          </w:tcPr>
          <w:p w14:paraId="7C886702">
            <w:pPr>
              <w:widowControl/>
              <w:adjustRightInd w:val="0"/>
              <w:snapToGrid w:val="0"/>
              <w:jc w:val="center"/>
              <w:rPr>
                <w:rFonts w:ascii="Times New Roman" w:hAnsi="Times New Roman" w:eastAsia="宋体" w:cs="Times New Roman"/>
                <w:sz w:val="16"/>
                <w:szCs w:val="16"/>
              </w:rPr>
            </w:pPr>
          </w:p>
        </w:tc>
        <w:tc>
          <w:tcPr>
            <w:tcW w:w="592" w:type="pct"/>
            <w:shd w:val="clear" w:color="auto" w:fill="auto"/>
            <w:vAlign w:val="center"/>
          </w:tcPr>
          <w:p w14:paraId="17E4C113">
            <w:pPr>
              <w:widowControl/>
              <w:adjustRightInd w:val="0"/>
              <w:snapToGrid w:val="0"/>
              <w:jc w:val="center"/>
              <w:rPr>
                <w:rFonts w:ascii="Times New Roman" w:hAnsi="Times New Roman" w:eastAsia="宋体" w:cs="Times New Roman"/>
                <w:sz w:val="16"/>
                <w:szCs w:val="16"/>
              </w:rPr>
            </w:pPr>
          </w:p>
        </w:tc>
      </w:tr>
      <w:tr w14:paraId="72790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restart"/>
            <w:shd w:val="clear" w:color="auto" w:fill="auto"/>
            <w:noWrap/>
            <w:textDirection w:val="tbRlV"/>
            <w:vAlign w:val="center"/>
          </w:tcPr>
          <w:p w14:paraId="62570345">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效果</w:t>
            </w:r>
          </w:p>
        </w:tc>
        <w:tc>
          <w:tcPr>
            <w:tcW w:w="202" w:type="pct"/>
            <w:vMerge w:val="restart"/>
            <w:shd w:val="clear" w:color="auto" w:fill="auto"/>
            <w:noWrap/>
            <w:vAlign w:val="center"/>
          </w:tcPr>
          <w:p w14:paraId="3F2565E1">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22</w:t>
            </w:r>
          </w:p>
        </w:tc>
        <w:tc>
          <w:tcPr>
            <w:tcW w:w="196" w:type="pct"/>
            <w:vMerge w:val="restart"/>
            <w:shd w:val="clear" w:color="auto" w:fill="auto"/>
            <w:vAlign w:val="center"/>
          </w:tcPr>
          <w:p w14:paraId="18C22D3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项目效果</w:t>
            </w:r>
          </w:p>
        </w:tc>
        <w:tc>
          <w:tcPr>
            <w:tcW w:w="187" w:type="pct"/>
            <w:vMerge w:val="restart"/>
            <w:shd w:val="clear" w:color="auto" w:fill="auto"/>
            <w:vAlign w:val="center"/>
          </w:tcPr>
          <w:p w14:paraId="6C4DBE4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22</w:t>
            </w:r>
          </w:p>
        </w:tc>
        <w:tc>
          <w:tcPr>
            <w:tcW w:w="259" w:type="pct"/>
            <w:vMerge w:val="restart"/>
            <w:shd w:val="clear" w:color="auto" w:fill="auto"/>
            <w:vAlign w:val="center"/>
          </w:tcPr>
          <w:p w14:paraId="7D8A343C">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经济效益</w:t>
            </w:r>
          </w:p>
        </w:tc>
        <w:tc>
          <w:tcPr>
            <w:tcW w:w="200" w:type="pct"/>
            <w:vMerge w:val="restart"/>
            <w:shd w:val="clear" w:color="auto" w:fill="auto"/>
            <w:vAlign w:val="center"/>
          </w:tcPr>
          <w:p w14:paraId="3A02DEB4">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6</w:t>
            </w:r>
          </w:p>
        </w:tc>
        <w:tc>
          <w:tcPr>
            <w:tcW w:w="483" w:type="pct"/>
            <w:vMerge w:val="restart"/>
            <w:shd w:val="clear" w:color="auto" w:fill="auto"/>
            <w:vAlign w:val="center"/>
          </w:tcPr>
          <w:p w14:paraId="1B267171">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评价项目实施对经济发展所带来的直接或间接影响情况。本指标适用于有经济效益产生的项目。</w:t>
            </w:r>
          </w:p>
        </w:tc>
        <w:tc>
          <w:tcPr>
            <w:tcW w:w="636" w:type="pct"/>
            <w:vMerge w:val="restart"/>
            <w:shd w:val="clear" w:color="auto" w:fill="auto"/>
            <w:vAlign w:val="center"/>
          </w:tcPr>
          <w:p w14:paraId="2CDAAB8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5BF44691">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对可行性研究报告预先设定的经济效益指标进行评价，评价项目实施对本地经济发展的实际贡献值。</w:t>
            </w:r>
          </w:p>
        </w:tc>
        <w:tc>
          <w:tcPr>
            <w:tcW w:w="369" w:type="pct"/>
            <w:shd w:val="clear" w:color="auto" w:fill="auto"/>
            <w:vAlign w:val="center"/>
          </w:tcPr>
          <w:p w14:paraId="45441CA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本地税收贡献率</w:t>
            </w:r>
          </w:p>
        </w:tc>
        <w:tc>
          <w:tcPr>
            <w:tcW w:w="186" w:type="pct"/>
            <w:shd w:val="clear" w:color="auto" w:fill="auto"/>
            <w:vAlign w:val="center"/>
          </w:tcPr>
          <w:p w14:paraId="610C867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3890565B">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144DBEF2">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施工单位是否在本地区成立合法的项目公司，项目是否在本地依法纳税。</w:t>
            </w:r>
          </w:p>
        </w:tc>
        <w:tc>
          <w:tcPr>
            <w:tcW w:w="569" w:type="pct"/>
            <w:shd w:val="clear" w:color="auto" w:fill="auto"/>
            <w:vAlign w:val="center"/>
          </w:tcPr>
          <w:p w14:paraId="05A3143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5C4C6F8E">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2．对标要点：依法足额纳税，得2分；其他情况酌情给分。</w:t>
            </w:r>
          </w:p>
        </w:tc>
        <w:tc>
          <w:tcPr>
            <w:tcW w:w="224" w:type="pct"/>
            <w:shd w:val="clear" w:color="auto" w:fill="auto"/>
            <w:noWrap/>
            <w:vAlign w:val="center"/>
          </w:tcPr>
          <w:p w14:paraId="7B607D0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592" w:type="pct"/>
            <w:shd w:val="clear" w:color="auto" w:fill="auto"/>
            <w:vAlign w:val="center"/>
          </w:tcPr>
          <w:p w14:paraId="3FA9DC66">
            <w:pPr>
              <w:widowControl/>
              <w:adjustRightInd w:val="0"/>
              <w:snapToGrid w:val="0"/>
              <w:rPr>
                <w:rFonts w:ascii="Times New Roman" w:hAnsi="Times New Roman" w:eastAsia="宋体" w:cs="Times New Roman"/>
                <w:sz w:val="16"/>
                <w:szCs w:val="16"/>
              </w:rPr>
            </w:pPr>
          </w:p>
        </w:tc>
      </w:tr>
      <w:tr w14:paraId="3B7A5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272690EB">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0D926004">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437A285C">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406B2006">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68B84E69">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01A4EFE2">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2F936D7F">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45DC640C">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32F70D92">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运输成本降低程度</w:t>
            </w:r>
          </w:p>
        </w:tc>
        <w:tc>
          <w:tcPr>
            <w:tcW w:w="186" w:type="pct"/>
            <w:shd w:val="clear" w:color="auto" w:fill="auto"/>
            <w:vAlign w:val="center"/>
          </w:tcPr>
          <w:p w14:paraId="4AD056B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359C22B8">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41ECBE11">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环城路项目建设是否可以改善东莞东部边缘沿线区域的交通出行条件、降低物流运输成本。</w:t>
            </w:r>
          </w:p>
        </w:tc>
        <w:tc>
          <w:tcPr>
            <w:tcW w:w="569" w:type="pct"/>
            <w:shd w:val="clear" w:color="auto" w:fill="auto"/>
            <w:vAlign w:val="center"/>
          </w:tcPr>
          <w:p w14:paraId="3244681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055B2DDB">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2．对标要点：有效降低，得2分；其他情况酌情给分。</w:t>
            </w:r>
          </w:p>
        </w:tc>
        <w:tc>
          <w:tcPr>
            <w:tcW w:w="224" w:type="pct"/>
            <w:shd w:val="clear" w:color="auto" w:fill="auto"/>
            <w:noWrap/>
            <w:vAlign w:val="center"/>
          </w:tcPr>
          <w:p w14:paraId="15FACDB4">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592" w:type="pct"/>
            <w:shd w:val="clear" w:color="auto" w:fill="auto"/>
            <w:vAlign w:val="center"/>
          </w:tcPr>
          <w:p w14:paraId="51B22D22">
            <w:pPr>
              <w:widowControl/>
              <w:adjustRightInd w:val="0"/>
              <w:snapToGrid w:val="0"/>
              <w:rPr>
                <w:rFonts w:ascii="Times New Roman" w:hAnsi="Times New Roman" w:eastAsia="宋体" w:cs="Times New Roman"/>
                <w:sz w:val="16"/>
                <w:szCs w:val="16"/>
              </w:rPr>
            </w:pPr>
          </w:p>
        </w:tc>
      </w:tr>
      <w:tr w14:paraId="5EE14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5FF94D92">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7A21CC9A">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7DB325BB">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5CBB6574">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1C2FE9FC">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75303007">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54AF6152">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67356C77">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078EFDB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完善城市基础设施，改善投资环境</w:t>
            </w:r>
          </w:p>
        </w:tc>
        <w:tc>
          <w:tcPr>
            <w:tcW w:w="186" w:type="pct"/>
            <w:shd w:val="clear" w:color="auto" w:fill="auto"/>
            <w:vAlign w:val="center"/>
          </w:tcPr>
          <w:p w14:paraId="13A8A303">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478266C8">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70ADE570">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环城路项目建设是否有利于改善城市基础设施、改善投资环境、促进城市发展、提高城市形象。</w:t>
            </w:r>
          </w:p>
        </w:tc>
        <w:tc>
          <w:tcPr>
            <w:tcW w:w="569" w:type="pct"/>
            <w:shd w:val="clear" w:color="auto" w:fill="auto"/>
            <w:vAlign w:val="center"/>
          </w:tcPr>
          <w:p w14:paraId="5A47F146">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14FFE060">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2．对标要点：作用显著，得2分；其他情况酌情给分。</w:t>
            </w:r>
          </w:p>
        </w:tc>
        <w:tc>
          <w:tcPr>
            <w:tcW w:w="224" w:type="pct"/>
            <w:shd w:val="clear" w:color="auto" w:fill="auto"/>
            <w:noWrap/>
            <w:vAlign w:val="center"/>
          </w:tcPr>
          <w:p w14:paraId="374F8377">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592" w:type="pct"/>
            <w:shd w:val="clear" w:color="auto" w:fill="auto"/>
            <w:vAlign w:val="center"/>
          </w:tcPr>
          <w:p w14:paraId="007335BD">
            <w:pPr>
              <w:widowControl/>
              <w:adjustRightInd w:val="0"/>
              <w:snapToGrid w:val="0"/>
              <w:rPr>
                <w:rFonts w:ascii="Times New Roman" w:hAnsi="Times New Roman" w:eastAsia="宋体" w:cs="Times New Roman"/>
                <w:sz w:val="16"/>
                <w:szCs w:val="16"/>
              </w:rPr>
            </w:pPr>
          </w:p>
        </w:tc>
      </w:tr>
      <w:tr w14:paraId="25B4C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0489AED9">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31056937">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37A2272B">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62C55B56">
            <w:pPr>
              <w:widowControl/>
              <w:adjustRightInd w:val="0"/>
              <w:snapToGrid w:val="0"/>
              <w:jc w:val="center"/>
              <w:rPr>
                <w:rFonts w:ascii="Times New Roman" w:hAnsi="Times New Roman" w:eastAsia="宋体" w:cs="Times New Roman"/>
                <w:sz w:val="16"/>
                <w:szCs w:val="16"/>
              </w:rPr>
            </w:pPr>
          </w:p>
        </w:tc>
        <w:tc>
          <w:tcPr>
            <w:tcW w:w="259" w:type="pct"/>
            <w:vMerge w:val="restart"/>
            <w:shd w:val="clear" w:color="auto" w:fill="auto"/>
            <w:vAlign w:val="center"/>
          </w:tcPr>
          <w:p w14:paraId="484DCD5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社会效益</w:t>
            </w:r>
          </w:p>
        </w:tc>
        <w:tc>
          <w:tcPr>
            <w:tcW w:w="200" w:type="pct"/>
            <w:vMerge w:val="restart"/>
            <w:shd w:val="clear" w:color="auto" w:fill="auto"/>
            <w:vAlign w:val="center"/>
          </w:tcPr>
          <w:p w14:paraId="6BCBF11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4</w:t>
            </w:r>
          </w:p>
        </w:tc>
        <w:tc>
          <w:tcPr>
            <w:tcW w:w="483" w:type="pct"/>
            <w:vMerge w:val="restart"/>
            <w:shd w:val="clear" w:color="auto" w:fill="auto"/>
            <w:vAlign w:val="center"/>
          </w:tcPr>
          <w:p w14:paraId="09ED5282">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评价项目实施对社会发展所带来的直接或间接影响情况。</w:t>
            </w:r>
          </w:p>
        </w:tc>
        <w:tc>
          <w:tcPr>
            <w:tcW w:w="636" w:type="pct"/>
            <w:vMerge w:val="restart"/>
            <w:shd w:val="clear" w:color="auto" w:fill="auto"/>
            <w:vAlign w:val="center"/>
          </w:tcPr>
          <w:p w14:paraId="7082F39B">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6AC86BDB">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对可行性研究报告、预先设定的绩效目标评价项目实际达到的社会效益，包括直接的、间接的。同时还需跟同类项目（标杆项目）对比的情况。以结果为导向论证可研报告或项目建议书的有关目标和指标的准确性、合理性和可行性。</w:t>
            </w:r>
          </w:p>
        </w:tc>
        <w:tc>
          <w:tcPr>
            <w:tcW w:w="369" w:type="pct"/>
            <w:shd w:val="clear" w:color="auto" w:fill="auto"/>
            <w:vAlign w:val="center"/>
          </w:tcPr>
          <w:p w14:paraId="25DE95C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居民出行条件改善程度</w:t>
            </w:r>
          </w:p>
        </w:tc>
        <w:tc>
          <w:tcPr>
            <w:tcW w:w="186" w:type="pct"/>
            <w:shd w:val="clear" w:color="auto" w:fill="auto"/>
            <w:vAlign w:val="center"/>
          </w:tcPr>
          <w:p w14:paraId="67252924">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17A84437">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2D4DA84E">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项目对于周边居民出行条件的影响情况。</w:t>
            </w:r>
          </w:p>
        </w:tc>
        <w:tc>
          <w:tcPr>
            <w:tcW w:w="569" w:type="pct"/>
            <w:shd w:val="clear" w:color="auto" w:fill="auto"/>
            <w:vAlign w:val="center"/>
          </w:tcPr>
          <w:p w14:paraId="173E8644">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54B18E95">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2．问卷调查；</w:t>
            </w:r>
          </w:p>
          <w:p w14:paraId="3AB7C697">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3．对标要点：得分=改善程度*权重。</w:t>
            </w:r>
          </w:p>
        </w:tc>
        <w:tc>
          <w:tcPr>
            <w:tcW w:w="224" w:type="pct"/>
            <w:shd w:val="clear" w:color="auto" w:fill="auto"/>
            <w:noWrap/>
            <w:vAlign w:val="center"/>
          </w:tcPr>
          <w:p w14:paraId="374A6E3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1.77</w:t>
            </w:r>
          </w:p>
        </w:tc>
        <w:tc>
          <w:tcPr>
            <w:tcW w:w="592" w:type="pct"/>
            <w:shd w:val="clear" w:color="auto" w:fill="auto"/>
            <w:vAlign w:val="center"/>
          </w:tcPr>
          <w:p w14:paraId="3D73FCC4">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根据问卷结果分析，居民出行条件改善程度88.33分，指标加权得分为1.77分。</w:t>
            </w:r>
          </w:p>
        </w:tc>
      </w:tr>
      <w:tr w14:paraId="1A043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23318615">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3DF1A753">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7AACF0DE">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57A16D0F">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66E1AE64">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7AEC1947">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4E92A8A9">
            <w:pPr>
              <w:widowControl/>
              <w:adjustRightInd w:val="0"/>
              <w:snapToGrid w:val="0"/>
              <w:jc w:val="left"/>
              <w:rPr>
                <w:rFonts w:ascii="Times New Roman" w:hAnsi="Times New Roman" w:eastAsia="宋体" w:cs="Times New Roman"/>
                <w:sz w:val="16"/>
                <w:szCs w:val="16"/>
              </w:rPr>
            </w:pPr>
          </w:p>
        </w:tc>
        <w:tc>
          <w:tcPr>
            <w:tcW w:w="636" w:type="pct"/>
            <w:vMerge w:val="continue"/>
            <w:shd w:val="clear" w:color="auto" w:fill="auto"/>
            <w:vAlign w:val="center"/>
          </w:tcPr>
          <w:p w14:paraId="6B5D3C93">
            <w:pPr>
              <w:widowControl/>
              <w:adjustRightInd w:val="0"/>
              <w:snapToGrid w:val="0"/>
              <w:jc w:val="left"/>
              <w:rPr>
                <w:rFonts w:ascii="Times New Roman" w:hAnsi="Times New Roman" w:eastAsia="宋体" w:cs="Times New Roman"/>
                <w:sz w:val="16"/>
                <w:szCs w:val="16"/>
              </w:rPr>
            </w:pPr>
          </w:p>
        </w:tc>
        <w:tc>
          <w:tcPr>
            <w:tcW w:w="369" w:type="pct"/>
            <w:shd w:val="clear" w:color="auto" w:fill="auto"/>
            <w:vAlign w:val="center"/>
          </w:tcPr>
          <w:p w14:paraId="72E9C3C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周边道路交通压力缓解程度</w:t>
            </w:r>
          </w:p>
        </w:tc>
        <w:tc>
          <w:tcPr>
            <w:tcW w:w="186" w:type="pct"/>
            <w:shd w:val="clear" w:color="auto" w:fill="auto"/>
            <w:vAlign w:val="center"/>
          </w:tcPr>
          <w:p w14:paraId="0D092E4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3440D9B8">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36ED3AB7">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环城路项目建设对周边道路交通压力、解决交通拥堵情况进行评价。</w:t>
            </w:r>
          </w:p>
        </w:tc>
        <w:tc>
          <w:tcPr>
            <w:tcW w:w="569" w:type="pct"/>
            <w:shd w:val="clear" w:color="auto" w:fill="auto"/>
            <w:vAlign w:val="center"/>
          </w:tcPr>
          <w:p w14:paraId="45F25446">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7C97DA71">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2．问卷调查；</w:t>
            </w:r>
          </w:p>
          <w:p w14:paraId="68A41929">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3．对标要点：得分=提升程度*权重。</w:t>
            </w:r>
          </w:p>
        </w:tc>
        <w:tc>
          <w:tcPr>
            <w:tcW w:w="224" w:type="pct"/>
            <w:shd w:val="clear" w:color="auto" w:fill="auto"/>
            <w:noWrap/>
            <w:vAlign w:val="center"/>
          </w:tcPr>
          <w:p w14:paraId="7A661A53">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1.77</w:t>
            </w:r>
          </w:p>
        </w:tc>
        <w:tc>
          <w:tcPr>
            <w:tcW w:w="592" w:type="pct"/>
            <w:shd w:val="clear" w:color="auto" w:fill="auto"/>
            <w:vAlign w:val="center"/>
          </w:tcPr>
          <w:p w14:paraId="3A0CD997">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根据问卷结果分析，周边道路交通压力缓解程度88.33分，指标加权得分为1.77分。</w:t>
            </w:r>
          </w:p>
        </w:tc>
      </w:tr>
      <w:tr w14:paraId="2D7EA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2FCBCFDC">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38F1EB70">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33E1EA3A">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7CE371EF">
            <w:pPr>
              <w:widowControl/>
              <w:adjustRightInd w:val="0"/>
              <w:snapToGrid w:val="0"/>
              <w:jc w:val="center"/>
              <w:rPr>
                <w:rFonts w:ascii="Times New Roman" w:hAnsi="Times New Roman" w:eastAsia="宋体" w:cs="Times New Roman"/>
                <w:sz w:val="16"/>
                <w:szCs w:val="16"/>
              </w:rPr>
            </w:pPr>
          </w:p>
        </w:tc>
        <w:tc>
          <w:tcPr>
            <w:tcW w:w="259" w:type="pct"/>
            <w:vMerge w:val="restart"/>
            <w:shd w:val="clear" w:color="auto" w:fill="auto"/>
            <w:vAlign w:val="center"/>
          </w:tcPr>
          <w:p w14:paraId="3C96C6E0">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生态效益</w:t>
            </w:r>
          </w:p>
        </w:tc>
        <w:tc>
          <w:tcPr>
            <w:tcW w:w="200" w:type="pct"/>
            <w:vMerge w:val="restart"/>
            <w:shd w:val="clear" w:color="auto" w:fill="auto"/>
            <w:vAlign w:val="center"/>
          </w:tcPr>
          <w:p w14:paraId="7F584C53">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4</w:t>
            </w:r>
          </w:p>
        </w:tc>
        <w:tc>
          <w:tcPr>
            <w:tcW w:w="483" w:type="pct"/>
            <w:vMerge w:val="restart"/>
            <w:shd w:val="clear" w:color="auto" w:fill="auto"/>
            <w:vAlign w:val="center"/>
          </w:tcPr>
          <w:p w14:paraId="7974FAE5">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评价项目实施对生态环境所带来的直接或间接影响情况。</w:t>
            </w:r>
          </w:p>
        </w:tc>
        <w:tc>
          <w:tcPr>
            <w:tcW w:w="636" w:type="pct"/>
            <w:vMerge w:val="restart"/>
            <w:shd w:val="clear" w:color="auto" w:fill="auto"/>
            <w:vAlign w:val="center"/>
          </w:tcPr>
          <w:p w14:paraId="17CA0F04">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3DAECE9E">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评价施工期间对环境影响程度。道路绿化景观是否满足初步设计要求的各项功能要求。</w:t>
            </w:r>
          </w:p>
        </w:tc>
        <w:tc>
          <w:tcPr>
            <w:tcW w:w="369" w:type="pct"/>
            <w:shd w:val="clear" w:color="auto" w:fill="auto"/>
            <w:vAlign w:val="center"/>
          </w:tcPr>
          <w:p w14:paraId="763945C8">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施工期间环境污染程度</w:t>
            </w:r>
          </w:p>
        </w:tc>
        <w:tc>
          <w:tcPr>
            <w:tcW w:w="186" w:type="pct"/>
            <w:shd w:val="clear" w:color="auto" w:fill="auto"/>
            <w:vAlign w:val="center"/>
          </w:tcPr>
          <w:p w14:paraId="0E370750">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70205310">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231F8633">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评价施工期间是否</w:t>
            </w:r>
            <w:r>
              <w:rPr>
                <w:rFonts w:hint="eastAsia" w:ascii="Times New Roman" w:hAnsi="Times New Roman" w:eastAsia="宋体" w:cs="Times New Roman"/>
                <w:kern w:val="0"/>
                <w:sz w:val="16"/>
                <w:szCs w:val="16"/>
                <w:lang w:bidi="ar"/>
              </w:rPr>
              <w:t>做好</w:t>
            </w:r>
            <w:r>
              <w:rPr>
                <w:rFonts w:ascii="Times New Roman" w:hAnsi="Times New Roman" w:eastAsia="宋体" w:cs="Times New Roman"/>
                <w:kern w:val="0"/>
                <w:sz w:val="16"/>
                <w:szCs w:val="16"/>
                <w:lang w:bidi="ar"/>
              </w:rPr>
              <w:t>环境保护措施，扬起的粉尘是否对环境造成污染，施工固废是否妥善处理，施工是否做好降低噪音的处理，是否破坏植被等。</w:t>
            </w:r>
          </w:p>
        </w:tc>
        <w:tc>
          <w:tcPr>
            <w:tcW w:w="569" w:type="pct"/>
            <w:shd w:val="clear" w:color="auto" w:fill="auto"/>
            <w:vAlign w:val="center"/>
          </w:tcPr>
          <w:p w14:paraId="0B6C0FE6">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4BAA94F7">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2．对标要点：做足环境保护措施，没有造成环境污染的，得2分；造成污染的，酌情扣分。</w:t>
            </w:r>
          </w:p>
        </w:tc>
        <w:tc>
          <w:tcPr>
            <w:tcW w:w="224" w:type="pct"/>
            <w:shd w:val="clear" w:color="auto" w:fill="auto"/>
            <w:noWrap/>
            <w:vAlign w:val="center"/>
          </w:tcPr>
          <w:p w14:paraId="6A219A39">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592" w:type="pct"/>
            <w:shd w:val="clear" w:color="auto" w:fill="auto"/>
            <w:vAlign w:val="center"/>
          </w:tcPr>
          <w:p w14:paraId="26267C63">
            <w:pPr>
              <w:widowControl/>
              <w:adjustRightInd w:val="0"/>
              <w:snapToGrid w:val="0"/>
              <w:rPr>
                <w:rFonts w:ascii="Times New Roman" w:hAnsi="Times New Roman" w:eastAsia="宋体" w:cs="Times New Roman"/>
                <w:sz w:val="16"/>
                <w:szCs w:val="16"/>
              </w:rPr>
            </w:pPr>
          </w:p>
        </w:tc>
      </w:tr>
      <w:tr w14:paraId="49EE7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6F2EBF94">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6F7882BB">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7D3C2469">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074DC051">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4CD793C1">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054C3307">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574E33D6">
            <w:pPr>
              <w:widowControl/>
              <w:adjustRightInd w:val="0"/>
              <w:snapToGrid w:val="0"/>
              <w:jc w:val="left"/>
              <w:rPr>
                <w:rFonts w:ascii="Times New Roman" w:hAnsi="Times New Roman" w:eastAsia="宋体" w:cs="Times New Roman"/>
                <w:sz w:val="16"/>
                <w:szCs w:val="16"/>
              </w:rPr>
            </w:pPr>
          </w:p>
        </w:tc>
        <w:tc>
          <w:tcPr>
            <w:tcW w:w="636" w:type="pct"/>
            <w:vMerge w:val="continue"/>
            <w:shd w:val="clear" w:color="auto" w:fill="auto"/>
            <w:vAlign w:val="center"/>
          </w:tcPr>
          <w:p w14:paraId="6E277D98">
            <w:pPr>
              <w:widowControl/>
              <w:adjustRightInd w:val="0"/>
              <w:snapToGrid w:val="0"/>
              <w:jc w:val="left"/>
              <w:rPr>
                <w:rFonts w:ascii="Times New Roman" w:hAnsi="Times New Roman" w:eastAsia="宋体" w:cs="Times New Roman"/>
                <w:sz w:val="16"/>
                <w:szCs w:val="16"/>
              </w:rPr>
            </w:pPr>
          </w:p>
        </w:tc>
        <w:tc>
          <w:tcPr>
            <w:tcW w:w="369" w:type="pct"/>
            <w:shd w:val="clear" w:color="auto" w:fill="auto"/>
            <w:vAlign w:val="center"/>
          </w:tcPr>
          <w:p w14:paraId="7C0A1CC9">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绿化面积达标率</w:t>
            </w:r>
          </w:p>
        </w:tc>
        <w:tc>
          <w:tcPr>
            <w:tcW w:w="186" w:type="pct"/>
            <w:shd w:val="clear" w:color="auto" w:fill="auto"/>
            <w:vAlign w:val="center"/>
          </w:tcPr>
          <w:p w14:paraId="2AFF52DE">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201ACE44">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3F67C259">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评价项目实施的绿化工程是否达到初步设计预先设定的绿化面积或绿化数量。</w:t>
            </w:r>
          </w:p>
        </w:tc>
        <w:tc>
          <w:tcPr>
            <w:tcW w:w="569" w:type="pct"/>
            <w:shd w:val="clear" w:color="auto" w:fill="auto"/>
            <w:vAlign w:val="center"/>
          </w:tcPr>
          <w:p w14:paraId="0A979A4A">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7506C712">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2．对标要点：达到或超过，得满分，未达到不得分。</w:t>
            </w:r>
          </w:p>
        </w:tc>
        <w:tc>
          <w:tcPr>
            <w:tcW w:w="224" w:type="pct"/>
            <w:shd w:val="clear" w:color="auto" w:fill="auto"/>
            <w:noWrap/>
            <w:vAlign w:val="center"/>
          </w:tcPr>
          <w:p w14:paraId="200FF49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592" w:type="pct"/>
            <w:shd w:val="clear" w:color="auto" w:fill="auto"/>
            <w:vAlign w:val="center"/>
          </w:tcPr>
          <w:p w14:paraId="1F27838D">
            <w:pPr>
              <w:widowControl/>
              <w:adjustRightInd w:val="0"/>
              <w:snapToGrid w:val="0"/>
              <w:rPr>
                <w:rFonts w:ascii="Times New Roman" w:hAnsi="Times New Roman" w:eastAsia="宋体" w:cs="Times New Roman"/>
                <w:sz w:val="16"/>
                <w:szCs w:val="16"/>
              </w:rPr>
            </w:pPr>
          </w:p>
        </w:tc>
      </w:tr>
      <w:tr w14:paraId="226F5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5C3BD176">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7DDF95FF">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058A5AB1">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27C5DFF1">
            <w:pPr>
              <w:widowControl/>
              <w:adjustRightInd w:val="0"/>
              <w:snapToGrid w:val="0"/>
              <w:jc w:val="center"/>
              <w:rPr>
                <w:rFonts w:ascii="Times New Roman" w:hAnsi="Times New Roman" w:eastAsia="宋体" w:cs="Times New Roman"/>
                <w:sz w:val="16"/>
                <w:szCs w:val="16"/>
              </w:rPr>
            </w:pPr>
          </w:p>
        </w:tc>
        <w:tc>
          <w:tcPr>
            <w:tcW w:w="259" w:type="pct"/>
            <w:vMerge w:val="restart"/>
            <w:shd w:val="clear" w:color="auto" w:fill="auto"/>
            <w:vAlign w:val="center"/>
          </w:tcPr>
          <w:p w14:paraId="6D2CD765">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可持续影响</w:t>
            </w:r>
          </w:p>
        </w:tc>
        <w:tc>
          <w:tcPr>
            <w:tcW w:w="200" w:type="pct"/>
            <w:vMerge w:val="restart"/>
            <w:shd w:val="clear" w:color="auto" w:fill="auto"/>
            <w:vAlign w:val="center"/>
          </w:tcPr>
          <w:p w14:paraId="6C503C65">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4</w:t>
            </w:r>
          </w:p>
        </w:tc>
        <w:tc>
          <w:tcPr>
            <w:tcW w:w="483" w:type="pct"/>
            <w:vMerge w:val="restart"/>
            <w:shd w:val="clear" w:color="auto" w:fill="auto"/>
            <w:vAlign w:val="center"/>
          </w:tcPr>
          <w:p w14:paraId="5D29CE86">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主要评价资产接受管理的主体是否合法及其管理能力如何；项目所规定的目标是否可以继续，项目是否可以持续发挥作用；现行管理体制能否满足长远发展需要，运行收入与成本费用有无严重倒挂，使运行难以为继而无法长远发展。</w:t>
            </w:r>
          </w:p>
        </w:tc>
        <w:tc>
          <w:tcPr>
            <w:tcW w:w="636" w:type="pct"/>
            <w:vMerge w:val="restart"/>
            <w:shd w:val="clear" w:color="auto" w:fill="auto"/>
            <w:vAlign w:val="center"/>
          </w:tcPr>
          <w:p w14:paraId="27E4D0CF">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102B5EC8">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项目是否能持续发挥良好的作用；后续各项管理是否得到落实；项目的运营维护费用是否高昂；</w:t>
            </w:r>
          </w:p>
          <w:p w14:paraId="6ADFE05E">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预测中修、大修的周期是否符合设计标准要求，是否可能存在提前大修、中修情况等。以结果为导向论证可研报告或项目建议书的有关目标和指标的准确性、合理性和可行性。</w:t>
            </w:r>
          </w:p>
        </w:tc>
        <w:tc>
          <w:tcPr>
            <w:tcW w:w="369" w:type="pct"/>
            <w:shd w:val="clear" w:color="auto" w:fill="auto"/>
            <w:vAlign w:val="center"/>
          </w:tcPr>
          <w:p w14:paraId="29AF5B74">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资产交付使用手续完备性</w:t>
            </w:r>
          </w:p>
        </w:tc>
        <w:tc>
          <w:tcPr>
            <w:tcW w:w="186" w:type="pct"/>
            <w:shd w:val="clear" w:color="auto" w:fill="auto"/>
            <w:vAlign w:val="center"/>
          </w:tcPr>
          <w:p w14:paraId="47543ACC">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05606CCB">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5F3A6290">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项目是否需要按文件规定办理资产交付使用手续；</w:t>
            </w:r>
          </w:p>
          <w:p w14:paraId="5DE41EB4">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项目是否做到及时办理移交使用手续；</w:t>
            </w:r>
          </w:p>
          <w:p w14:paraId="137ACAEA">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形成的资产是否及时造册入账；</w:t>
            </w:r>
          </w:p>
          <w:p w14:paraId="68C73F95">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④</w:t>
            </w:r>
            <w:r>
              <w:rPr>
                <w:rFonts w:ascii="Times New Roman" w:hAnsi="Times New Roman" w:eastAsia="宋体" w:cs="Times New Roman"/>
                <w:kern w:val="0"/>
                <w:sz w:val="16"/>
                <w:szCs w:val="16"/>
                <w:lang w:bidi="ar"/>
              </w:rPr>
              <w:t>资产保管责任是否落实到人。</w:t>
            </w:r>
          </w:p>
        </w:tc>
        <w:tc>
          <w:tcPr>
            <w:tcW w:w="569" w:type="pct"/>
            <w:shd w:val="clear" w:color="auto" w:fill="auto"/>
            <w:vAlign w:val="center"/>
          </w:tcPr>
          <w:p w14:paraId="3EDF2965">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1243E19C">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2．对标要点：</w:t>
            </w:r>
          </w:p>
          <w:p w14:paraId="5132CFF3">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办理资产移交手续，得1分，其他情况酌情给分。</w:t>
            </w:r>
          </w:p>
          <w:p w14:paraId="2560728C">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接收单位及时造册登记入账，得0.5分，否则不得分。</w:t>
            </w:r>
          </w:p>
          <w:p w14:paraId="00173377">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责任落实到人，得0.5分，否则不得分。</w:t>
            </w:r>
          </w:p>
        </w:tc>
        <w:tc>
          <w:tcPr>
            <w:tcW w:w="224" w:type="pct"/>
            <w:shd w:val="clear" w:color="auto" w:fill="auto"/>
            <w:noWrap/>
            <w:vAlign w:val="center"/>
          </w:tcPr>
          <w:p w14:paraId="151DFE1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1.5</w:t>
            </w:r>
          </w:p>
        </w:tc>
        <w:tc>
          <w:tcPr>
            <w:tcW w:w="592" w:type="pct"/>
            <w:shd w:val="clear" w:color="auto" w:fill="auto"/>
            <w:vAlign w:val="center"/>
          </w:tcPr>
          <w:p w14:paraId="3AA9E2D2">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项目未完全办理完移交手续。扣除0.5分。</w:t>
            </w:r>
          </w:p>
        </w:tc>
      </w:tr>
      <w:tr w14:paraId="4410A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253632E6">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2B4B6B5C">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07627F0B">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68B07B92">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5581812E">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6445A630">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5F056F87">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6E94840D">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529AEA25">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道路可使用年限</w:t>
            </w:r>
          </w:p>
        </w:tc>
        <w:tc>
          <w:tcPr>
            <w:tcW w:w="186" w:type="pct"/>
            <w:shd w:val="clear" w:color="auto" w:fill="auto"/>
            <w:vAlign w:val="center"/>
          </w:tcPr>
          <w:p w14:paraId="1C157E5C">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7F9D5EFE">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535232BA">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对新建道路使用年限进行评价。</w:t>
            </w:r>
          </w:p>
        </w:tc>
        <w:tc>
          <w:tcPr>
            <w:tcW w:w="569" w:type="pct"/>
            <w:shd w:val="clear" w:color="auto" w:fill="auto"/>
            <w:vAlign w:val="center"/>
          </w:tcPr>
          <w:p w14:paraId="1370FE89">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1．核实资料；</w:t>
            </w:r>
          </w:p>
          <w:p w14:paraId="70E195FF">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2．对标要点：根据道路设计类型，道路使用年限在15年以上，得2分。否则不得分。</w:t>
            </w:r>
          </w:p>
        </w:tc>
        <w:tc>
          <w:tcPr>
            <w:tcW w:w="224" w:type="pct"/>
            <w:shd w:val="clear" w:color="auto" w:fill="auto"/>
            <w:noWrap/>
            <w:vAlign w:val="center"/>
          </w:tcPr>
          <w:p w14:paraId="19445BB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592" w:type="pct"/>
            <w:shd w:val="clear" w:color="auto" w:fill="auto"/>
            <w:vAlign w:val="center"/>
          </w:tcPr>
          <w:p w14:paraId="6E801E20">
            <w:pPr>
              <w:widowControl/>
              <w:adjustRightInd w:val="0"/>
              <w:snapToGrid w:val="0"/>
              <w:jc w:val="center"/>
              <w:rPr>
                <w:rFonts w:ascii="Times New Roman" w:hAnsi="Times New Roman" w:eastAsia="宋体" w:cs="Times New Roman"/>
                <w:sz w:val="16"/>
                <w:szCs w:val="16"/>
              </w:rPr>
            </w:pPr>
          </w:p>
        </w:tc>
      </w:tr>
      <w:tr w14:paraId="0474D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4D1E9F62">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2AD5555C">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55386D55">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70C73795">
            <w:pPr>
              <w:widowControl/>
              <w:adjustRightInd w:val="0"/>
              <w:snapToGrid w:val="0"/>
              <w:jc w:val="center"/>
              <w:rPr>
                <w:rFonts w:ascii="Times New Roman" w:hAnsi="Times New Roman" w:eastAsia="宋体" w:cs="Times New Roman"/>
                <w:sz w:val="16"/>
                <w:szCs w:val="16"/>
              </w:rPr>
            </w:pPr>
          </w:p>
        </w:tc>
        <w:tc>
          <w:tcPr>
            <w:tcW w:w="259" w:type="pct"/>
            <w:vMerge w:val="restart"/>
            <w:shd w:val="clear" w:color="auto" w:fill="auto"/>
            <w:vAlign w:val="center"/>
          </w:tcPr>
          <w:p w14:paraId="25AC49F0">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社会评价</w:t>
            </w:r>
          </w:p>
        </w:tc>
        <w:tc>
          <w:tcPr>
            <w:tcW w:w="200" w:type="pct"/>
            <w:vMerge w:val="restart"/>
            <w:shd w:val="clear" w:color="auto" w:fill="auto"/>
            <w:vAlign w:val="center"/>
          </w:tcPr>
          <w:p w14:paraId="5D9D4AF0">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4</w:t>
            </w:r>
          </w:p>
        </w:tc>
        <w:tc>
          <w:tcPr>
            <w:tcW w:w="483" w:type="pct"/>
            <w:vMerge w:val="restart"/>
            <w:shd w:val="clear" w:color="auto" w:fill="auto"/>
            <w:vAlign w:val="center"/>
          </w:tcPr>
          <w:p w14:paraId="7650AF5A">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用以反映和考核社会公众或服务对象对项目实施效果的满意程度。</w:t>
            </w:r>
          </w:p>
        </w:tc>
        <w:tc>
          <w:tcPr>
            <w:tcW w:w="636" w:type="pct"/>
            <w:vMerge w:val="restart"/>
            <w:shd w:val="clear" w:color="auto" w:fill="auto"/>
            <w:vAlign w:val="center"/>
          </w:tcPr>
          <w:p w14:paraId="10640B8E">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691C03CD">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社会公众或服务对象对项目实施效果的反响，包括不同利益群体对项目的态度及参与度，各级组织对项目的态度和支持程度，地方文化状况对项目的适应程度。</w:t>
            </w:r>
          </w:p>
          <w:p w14:paraId="72CAB8AB">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以结果为导向论证可研报告或项目建议书的有关目标和指标的准确性、合理性和可行性。</w:t>
            </w:r>
          </w:p>
        </w:tc>
        <w:tc>
          <w:tcPr>
            <w:tcW w:w="369" w:type="pct"/>
            <w:shd w:val="clear" w:color="auto" w:fill="auto"/>
            <w:vAlign w:val="center"/>
          </w:tcPr>
          <w:p w14:paraId="661B7938">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社会公众满意度</w:t>
            </w:r>
          </w:p>
        </w:tc>
        <w:tc>
          <w:tcPr>
            <w:tcW w:w="186" w:type="pct"/>
            <w:shd w:val="clear" w:color="auto" w:fill="auto"/>
            <w:vAlign w:val="center"/>
          </w:tcPr>
          <w:p w14:paraId="47065859">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59782399">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70FA998B">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反映处于环城路项目实施范围内的周边居民、周边学习师生对项目建设的满意度情况。</w:t>
            </w:r>
          </w:p>
        </w:tc>
        <w:tc>
          <w:tcPr>
            <w:tcW w:w="569" w:type="pct"/>
            <w:vMerge w:val="restart"/>
            <w:shd w:val="clear" w:color="auto" w:fill="auto"/>
            <w:vAlign w:val="center"/>
          </w:tcPr>
          <w:p w14:paraId="58E15817">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1．问卷调查；</w:t>
            </w:r>
          </w:p>
          <w:p w14:paraId="57FD4817">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2．将满意度分为5个等级，采用5等分赋分赋权法计算满意度得分，最高分值为100分；</w:t>
            </w:r>
          </w:p>
          <w:p w14:paraId="2AC37D1D">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3．得分=满意度÷100×权重。</w:t>
            </w:r>
          </w:p>
        </w:tc>
        <w:tc>
          <w:tcPr>
            <w:tcW w:w="224" w:type="pct"/>
            <w:shd w:val="clear" w:color="auto" w:fill="auto"/>
            <w:noWrap/>
            <w:vAlign w:val="center"/>
          </w:tcPr>
          <w:p w14:paraId="28A38473">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1.7</w:t>
            </w:r>
          </w:p>
        </w:tc>
        <w:tc>
          <w:tcPr>
            <w:tcW w:w="592" w:type="pct"/>
            <w:shd w:val="clear" w:color="auto" w:fill="auto"/>
            <w:vAlign w:val="center"/>
          </w:tcPr>
          <w:p w14:paraId="241CEB1F">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行驶路线满意度86.66分，道路路面设计满意度88.33分，绿化建设85分，路灯建设88.33分，设计与周边环境协调性84.99分，道路网络完善效果88.33分，城市形象提升程度91.67分，使用效果90.01分，支持程度86.67分，项目施工管理规范程度79.99分，噪音影响程度71.67分，空气污染陈嘀咕78.33分，水污染程度81.66分，土地污染程度85分，生活影响程度90分。平均得分85.11分，指标加权得分为1.70分。</w:t>
            </w:r>
          </w:p>
        </w:tc>
      </w:tr>
      <w:tr w14:paraId="34808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vMerge w:val="continue"/>
            <w:shd w:val="clear" w:color="auto" w:fill="auto"/>
            <w:noWrap/>
            <w:textDirection w:val="tbRlV"/>
            <w:vAlign w:val="center"/>
          </w:tcPr>
          <w:p w14:paraId="11AA666F">
            <w:pPr>
              <w:widowControl/>
              <w:adjustRightInd w:val="0"/>
              <w:snapToGrid w:val="0"/>
              <w:jc w:val="center"/>
              <w:rPr>
                <w:rFonts w:ascii="Times New Roman" w:hAnsi="Times New Roman" w:eastAsia="宋体" w:cs="Times New Roman"/>
                <w:sz w:val="16"/>
                <w:szCs w:val="16"/>
              </w:rPr>
            </w:pPr>
          </w:p>
        </w:tc>
        <w:tc>
          <w:tcPr>
            <w:tcW w:w="202" w:type="pct"/>
            <w:vMerge w:val="continue"/>
            <w:shd w:val="clear" w:color="auto" w:fill="auto"/>
            <w:noWrap/>
            <w:vAlign w:val="center"/>
          </w:tcPr>
          <w:p w14:paraId="51285929">
            <w:pPr>
              <w:widowControl/>
              <w:adjustRightInd w:val="0"/>
              <w:snapToGrid w:val="0"/>
              <w:jc w:val="center"/>
              <w:rPr>
                <w:rFonts w:ascii="Times New Roman" w:hAnsi="Times New Roman" w:eastAsia="宋体" w:cs="Times New Roman"/>
                <w:sz w:val="16"/>
                <w:szCs w:val="16"/>
              </w:rPr>
            </w:pPr>
          </w:p>
        </w:tc>
        <w:tc>
          <w:tcPr>
            <w:tcW w:w="196" w:type="pct"/>
            <w:vMerge w:val="continue"/>
            <w:shd w:val="clear" w:color="auto" w:fill="auto"/>
            <w:vAlign w:val="center"/>
          </w:tcPr>
          <w:p w14:paraId="13F15383">
            <w:pPr>
              <w:widowControl/>
              <w:adjustRightInd w:val="0"/>
              <w:snapToGrid w:val="0"/>
              <w:jc w:val="center"/>
              <w:rPr>
                <w:rFonts w:ascii="Times New Roman" w:hAnsi="Times New Roman" w:eastAsia="宋体" w:cs="Times New Roman"/>
                <w:sz w:val="16"/>
                <w:szCs w:val="16"/>
              </w:rPr>
            </w:pPr>
          </w:p>
        </w:tc>
        <w:tc>
          <w:tcPr>
            <w:tcW w:w="187" w:type="pct"/>
            <w:vMerge w:val="continue"/>
            <w:shd w:val="clear" w:color="auto" w:fill="auto"/>
            <w:vAlign w:val="center"/>
          </w:tcPr>
          <w:p w14:paraId="2C1D855C">
            <w:pPr>
              <w:widowControl/>
              <w:adjustRightInd w:val="0"/>
              <w:snapToGrid w:val="0"/>
              <w:jc w:val="center"/>
              <w:rPr>
                <w:rFonts w:ascii="Times New Roman" w:hAnsi="Times New Roman" w:eastAsia="宋体" w:cs="Times New Roman"/>
                <w:sz w:val="16"/>
                <w:szCs w:val="16"/>
              </w:rPr>
            </w:pPr>
          </w:p>
        </w:tc>
        <w:tc>
          <w:tcPr>
            <w:tcW w:w="259" w:type="pct"/>
            <w:vMerge w:val="continue"/>
            <w:shd w:val="clear" w:color="auto" w:fill="auto"/>
            <w:vAlign w:val="center"/>
          </w:tcPr>
          <w:p w14:paraId="0391D9D1">
            <w:pPr>
              <w:widowControl/>
              <w:adjustRightInd w:val="0"/>
              <w:snapToGrid w:val="0"/>
              <w:jc w:val="center"/>
              <w:rPr>
                <w:rFonts w:ascii="Times New Roman" w:hAnsi="Times New Roman" w:eastAsia="宋体" w:cs="Times New Roman"/>
                <w:sz w:val="16"/>
                <w:szCs w:val="16"/>
              </w:rPr>
            </w:pPr>
          </w:p>
        </w:tc>
        <w:tc>
          <w:tcPr>
            <w:tcW w:w="200" w:type="pct"/>
            <w:vMerge w:val="continue"/>
            <w:shd w:val="clear" w:color="auto" w:fill="auto"/>
            <w:vAlign w:val="center"/>
          </w:tcPr>
          <w:p w14:paraId="0D5DCDAB">
            <w:pPr>
              <w:widowControl/>
              <w:adjustRightInd w:val="0"/>
              <w:snapToGrid w:val="0"/>
              <w:jc w:val="center"/>
              <w:rPr>
                <w:rFonts w:ascii="Times New Roman" w:hAnsi="Times New Roman" w:eastAsia="宋体" w:cs="Times New Roman"/>
                <w:sz w:val="16"/>
                <w:szCs w:val="16"/>
              </w:rPr>
            </w:pPr>
          </w:p>
        </w:tc>
        <w:tc>
          <w:tcPr>
            <w:tcW w:w="483" w:type="pct"/>
            <w:vMerge w:val="continue"/>
            <w:shd w:val="clear" w:color="auto" w:fill="auto"/>
            <w:vAlign w:val="center"/>
          </w:tcPr>
          <w:p w14:paraId="62A7C913">
            <w:pPr>
              <w:widowControl/>
              <w:adjustRightInd w:val="0"/>
              <w:snapToGrid w:val="0"/>
              <w:rPr>
                <w:rFonts w:ascii="Times New Roman" w:hAnsi="Times New Roman" w:eastAsia="宋体" w:cs="Times New Roman"/>
                <w:sz w:val="16"/>
                <w:szCs w:val="16"/>
              </w:rPr>
            </w:pPr>
          </w:p>
        </w:tc>
        <w:tc>
          <w:tcPr>
            <w:tcW w:w="636" w:type="pct"/>
            <w:vMerge w:val="continue"/>
            <w:shd w:val="clear" w:color="auto" w:fill="auto"/>
            <w:vAlign w:val="center"/>
          </w:tcPr>
          <w:p w14:paraId="59D9C155">
            <w:pPr>
              <w:widowControl/>
              <w:adjustRightInd w:val="0"/>
              <w:snapToGrid w:val="0"/>
              <w:rPr>
                <w:rFonts w:ascii="Times New Roman" w:hAnsi="Times New Roman" w:eastAsia="宋体" w:cs="Times New Roman"/>
                <w:sz w:val="16"/>
                <w:szCs w:val="16"/>
              </w:rPr>
            </w:pPr>
          </w:p>
        </w:tc>
        <w:tc>
          <w:tcPr>
            <w:tcW w:w="369" w:type="pct"/>
            <w:shd w:val="clear" w:color="auto" w:fill="auto"/>
            <w:vAlign w:val="center"/>
          </w:tcPr>
          <w:p w14:paraId="11DAB525">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管理单位满意度</w:t>
            </w:r>
          </w:p>
        </w:tc>
        <w:tc>
          <w:tcPr>
            <w:tcW w:w="186" w:type="pct"/>
            <w:shd w:val="clear" w:color="auto" w:fill="auto"/>
            <w:vAlign w:val="center"/>
          </w:tcPr>
          <w:p w14:paraId="0E640910">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2</w:t>
            </w:r>
          </w:p>
        </w:tc>
        <w:tc>
          <w:tcPr>
            <w:tcW w:w="689" w:type="pct"/>
            <w:shd w:val="clear" w:color="auto" w:fill="auto"/>
            <w:vAlign w:val="center"/>
          </w:tcPr>
          <w:p w14:paraId="2EBC5C44">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0B2C720D">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反映在谢岗工程建设中心对勘察、设计、监理、施工等单位工作过程的满意程度。</w:t>
            </w:r>
          </w:p>
        </w:tc>
        <w:tc>
          <w:tcPr>
            <w:tcW w:w="569" w:type="pct"/>
            <w:vMerge w:val="continue"/>
            <w:shd w:val="clear" w:color="auto" w:fill="auto"/>
            <w:vAlign w:val="center"/>
          </w:tcPr>
          <w:p w14:paraId="43200BED">
            <w:pPr>
              <w:widowControl/>
              <w:adjustRightInd w:val="0"/>
              <w:snapToGrid w:val="0"/>
              <w:jc w:val="left"/>
              <w:rPr>
                <w:rFonts w:ascii="Times New Roman" w:hAnsi="Times New Roman" w:eastAsia="宋体" w:cs="Times New Roman"/>
                <w:sz w:val="16"/>
                <w:szCs w:val="16"/>
              </w:rPr>
            </w:pPr>
          </w:p>
        </w:tc>
        <w:tc>
          <w:tcPr>
            <w:tcW w:w="224" w:type="pct"/>
            <w:shd w:val="clear" w:color="auto" w:fill="auto"/>
            <w:noWrap/>
            <w:vAlign w:val="center"/>
          </w:tcPr>
          <w:p w14:paraId="3F766D92">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1.57</w:t>
            </w:r>
          </w:p>
        </w:tc>
        <w:tc>
          <w:tcPr>
            <w:tcW w:w="592" w:type="pct"/>
            <w:shd w:val="clear" w:color="auto" w:fill="auto"/>
            <w:vAlign w:val="center"/>
          </w:tcPr>
          <w:p w14:paraId="3D565826">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可研报告编制满意度82.5分，勘察单位服务满意度80分，初步设计满意度80分，建设服务满意度77.5分，施工方式满意度77.5分，环境保护措施到位程度77.5分，质保期保修工作到位程度80分，图纸设计服务满意度82.5分，设计+施工总承包模式满意度72.5分，现场管理工作到位程度75分。平均得分78.5分，指标加权得分为1.57分。</w:t>
            </w:r>
          </w:p>
        </w:tc>
      </w:tr>
      <w:tr w14:paraId="57853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shd w:val="clear" w:color="auto" w:fill="auto"/>
            <w:noWrap/>
            <w:vAlign w:val="center"/>
          </w:tcPr>
          <w:p w14:paraId="4216194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总分</w:t>
            </w:r>
          </w:p>
        </w:tc>
        <w:tc>
          <w:tcPr>
            <w:tcW w:w="202" w:type="pct"/>
            <w:shd w:val="clear" w:color="auto" w:fill="auto"/>
            <w:noWrap/>
            <w:vAlign w:val="center"/>
          </w:tcPr>
          <w:p w14:paraId="64D5828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100</w:t>
            </w:r>
          </w:p>
        </w:tc>
        <w:tc>
          <w:tcPr>
            <w:tcW w:w="196" w:type="pct"/>
            <w:shd w:val="clear" w:color="auto" w:fill="auto"/>
            <w:noWrap/>
            <w:vAlign w:val="center"/>
          </w:tcPr>
          <w:p w14:paraId="6DFE446B">
            <w:pPr>
              <w:widowControl/>
              <w:adjustRightInd w:val="0"/>
              <w:snapToGrid w:val="0"/>
              <w:jc w:val="center"/>
              <w:rPr>
                <w:rFonts w:ascii="Times New Roman" w:hAnsi="Times New Roman" w:eastAsia="宋体" w:cs="Times New Roman"/>
                <w:sz w:val="16"/>
                <w:szCs w:val="16"/>
              </w:rPr>
            </w:pPr>
          </w:p>
        </w:tc>
        <w:tc>
          <w:tcPr>
            <w:tcW w:w="187" w:type="pct"/>
            <w:shd w:val="clear" w:color="auto" w:fill="auto"/>
            <w:noWrap/>
            <w:vAlign w:val="center"/>
          </w:tcPr>
          <w:p w14:paraId="4E93BDF9">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100</w:t>
            </w:r>
          </w:p>
        </w:tc>
        <w:tc>
          <w:tcPr>
            <w:tcW w:w="259" w:type="pct"/>
            <w:shd w:val="clear" w:color="auto" w:fill="auto"/>
            <w:noWrap/>
            <w:vAlign w:val="center"/>
          </w:tcPr>
          <w:p w14:paraId="14EBD21A">
            <w:pPr>
              <w:widowControl/>
              <w:adjustRightInd w:val="0"/>
              <w:snapToGrid w:val="0"/>
              <w:jc w:val="center"/>
              <w:rPr>
                <w:rFonts w:ascii="Times New Roman" w:hAnsi="Times New Roman" w:eastAsia="宋体" w:cs="Times New Roman"/>
                <w:sz w:val="16"/>
                <w:szCs w:val="16"/>
              </w:rPr>
            </w:pPr>
          </w:p>
        </w:tc>
        <w:tc>
          <w:tcPr>
            <w:tcW w:w="200" w:type="pct"/>
            <w:shd w:val="clear" w:color="auto" w:fill="auto"/>
            <w:noWrap/>
            <w:vAlign w:val="center"/>
          </w:tcPr>
          <w:p w14:paraId="35E7DE5A">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100</w:t>
            </w:r>
          </w:p>
        </w:tc>
        <w:tc>
          <w:tcPr>
            <w:tcW w:w="483" w:type="pct"/>
            <w:shd w:val="clear" w:color="auto" w:fill="auto"/>
            <w:noWrap/>
            <w:vAlign w:val="center"/>
          </w:tcPr>
          <w:p w14:paraId="1B49F14C">
            <w:pPr>
              <w:widowControl/>
              <w:adjustRightInd w:val="0"/>
              <w:snapToGrid w:val="0"/>
              <w:jc w:val="center"/>
              <w:rPr>
                <w:rFonts w:ascii="Times New Roman" w:hAnsi="Times New Roman" w:eastAsia="宋体" w:cs="Times New Roman"/>
                <w:sz w:val="16"/>
                <w:szCs w:val="16"/>
              </w:rPr>
            </w:pPr>
          </w:p>
        </w:tc>
        <w:tc>
          <w:tcPr>
            <w:tcW w:w="636" w:type="pct"/>
            <w:shd w:val="clear" w:color="auto" w:fill="auto"/>
            <w:noWrap/>
            <w:vAlign w:val="center"/>
          </w:tcPr>
          <w:p w14:paraId="7EBAB8D6">
            <w:pPr>
              <w:widowControl/>
              <w:adjustRightInd w:val="0"/>
              <w:snapToGrid w:val="0"/>
              <w:jc w:val="center"/>
              <w:rPr>
                <w:rFonts w:ascii="Times New Roman" w:hAnsi="Times New Roman" w:eastAsia="宋体" w:cs="Times New Roman"/>
                <w:sz w:val="16"/>
                <w:szCs w:val="16"/>
              </w:rPr>
            </w:pPr>
          </w:p>
        </w:tc>
        <w:tc>
          <w:tcPr>
            <w:tcW w:w="369" w:type="pct"/>
            <w:shd w:val="clear" w:color="auto" w:fill="auto"/>
            <w:noWrap/>
            <w:vAlign w:val="center"/>
          </w:tcPr>
          <w:p w14:paraId="5C51EDD7">
            <w:pPr>
              <w:widowControl/>
              <w:adjustRightInd w:val="0"/>
              <w:snapToGrid w:val="0"/>
              <w:jc w:val="center"/>
              <w:rPr>
                <w:rFonts w:ascii="Times New Roman" w:hAnsi="Times New Roman" w:eastAsia="宋体" w:cs="Times New Roman"/>
                <w:sz w:val="16"/>
                <w:szCs w:val="16"/>
              </w:rPr>
            </w:pPr>
          </w:p>
        </w:tc>
        <w:tc>
          <w:tcPr>
            <w:tcW w:w="186" w:type="pct"/>
            <w:shd w:val="clear" w:color="auto" w:fill="auto"/>
            <w:noWrap/>
            <w:vAlign w:val="center"/>
          </w:tcPr>
          <w:p w14:paraId="4E1E33EF">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100</w:t>
            </w:r>
          </w:p>
        </w:tc>
        <w:tc>
          <w:tcPr>
            <w:tcW w:w="689" w:type="pct"/>
            <w:shd w:val="clear" w:color="auto" w:fill="auto"/>
            <w:noWrap/>
            <w:vAlign w:val="center"/>
          </w:tcPr>
          <w:p w14:paraId="77BB4810">
            <w:pPr>
              <w:widowControl/>
              <w:adjustRightInd w:val="0"/>
              <w:snapToGrid w:val="0"/>
              <w:jc w:val="center"/>
              <w:rPr>
                <w:rFonts w:ascii="Times New Roman" w:hAnsi="Times New Roman" w:eastAsia="宋体" w:cs="Times New Roman"/>
                <w:color w:val="0000FF"/>
                <w:sz w:val="16"/>
                <w:szCs w:val="16"/>
              </w:rPr>
            </w:pPr>
          </w:p>
        </w:tc>
        <w:tc>
          <w:tcPr>
            <w:tcW w:w="569" w:type="pct"/>
            <w:shd w:val="clear" w:color="auto" w:fill="auto"/>
            <w:noWrap/>
            <w:vAlign w:val="center"/>
          </w:tcPr>
          <w:p w14:paraId="66C891C2">
            <w:pPr>
              <w:widowControl/>
              <w:adjustRightInd w:val="0"/>
              <w:snapToGrid w:val="0"/>
              <w:jc w:val="center"/>
              <w:rPr>
                <w:rFonts w:ascii="Times New Roman" w:hAnsi="Times New Roman" w:eastAsia="宋体" w:cs="Times New Roman"/>
                <w:color w:val="0000FF"/>
                <w:sz w:val="16"/>
                <w:szCs w:val="16"/>
              </w:rPr>
            </w:pPr>
          </w:p>
        </w:tc>
        <w:tc>
          <w:tcPr>
            <w:tcW w:w="224" w:type="pct"/>
            <w:shd w:val="clear" w:color="auto" w:fill="auto"/>
            <w:noWrap/>
            <w:vAlign w:val="center"/>
          </w:tcPr>
          <w:p w14:paraId="378CBABC">
            <w:pPr>
              <w:widowControl/>
              <w:adjustRightInd w:val="0"/>
              <w:snapToGrid w:val="0"/>
              <w:jc w:val="center"/>
              <w:textAlignment w:val="center"/>
              <w:rPr>
                <w:rFonts w:ascii="Times New Roman" w:hAnsi="Times New Roman" w:eastAsia="宋体" w:cs="Times New Roman"/>
                <w:color w:val="0000FF"/>
                <w:sz w:val="16"/>
                <w:szCs w:val="16"/>
              </w:rPr>
            </w:pPr>
            <w:r>
              <w:rPr>
                <w:rFonts w:ascii="Times New Roman" w:hAnsi="Times New Roman" w:eastAsia="宋体" w:cs="Times New Roman"/>
                <w:color w:val="000000" w:themeColor="text1"/>
                <w:kern w:val="0"/>
                <w:sz w:val="16"/>
                <w:szCs w:val="16"/>
                <w:lang w:bidi="ar"/>
                <w14:textFill>
                  <w14:solidFill>
                    <w14:schemeClr w14:val="tx1"/>
                  </w14:solidFill>
                </w14:textFill>
              </w:rPr>
              <w:t>83.39</w:t>
            </w:r>
          </w:p>
        </w:tc>
        <w:tc>
          <w:tcPr>
            <w:tcW w:w="592" w:type="pct"/>
            <w:shd w:val="clear" w:color="auto" w:fill="auto"/>
            <w:noWrap/>
            <w:vAlign w:val="center"/>
          </w:tcPr>
          <w:p w14:paraId="2CE4906B">
            <w:pPr>
              <w:widowControl/>
              <w:adjustRightInd w:val="0"/>
              <w:snapToGrid w:val="0"/>
              <w:jc w:val="center"/>
              <w:rPr>
                <w:rFonts w:ascii="Times New Roman" w:hAnsi="Times New Roman" w:eastAsia="宋体" w:cs="Times New Roman"/>
                <w:color w:val="0000FF"/>
                <w:sz w:val="16"/>
                <w:szCs w:val="16"/>
              </w:rPr>
            </w:pPr>
          </w:p>
        </w:tc>
      </w:tr>
      <w:tr w14:paraId="07807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shd w:val="clear" w:color="auto" w:fill="auto"/>
            <w:noWrap/>
            <w:textDirection w:val="tbRlV"/>
            <w:vAlign w:val="center"/>
          </w:tcPr>
          <w:p w14:paraId="2C6A3C9E">
            <w:pPr>
              <w:widowControl/>
              <w:adjustRightInd w:val="0"/>
              <w:snapToGrid w:val="0"/>
              <w:jc w:val="center"/>
              <w:rPr>
                <w:rFonts w:ascii="Times New Roman" w:hAnsi="Times New Roman" w:eastAsia="宋体" w:cs="Times New Roman"/>
                <w:sz w:val="16"/>
                <w:szCs w:val="16"/>
              </w:rPr>
            </w:pPr>
          </w:p>
        </w:tc>
        <w:tc>
          <w:tcPr>
            <w:tcW w:w="202" w:type="pct"/>
            <w:shd w:val="clear" w:color="auto" w:fill="auto"/>
            <w:noWrap/>
            <w:vAlign w:val="center"/>
          </w:tcPr>
          <w:p w14:paraId="02A44767">
            <w:pPr>
              <w:widowControl/>
              <w:adjustRightInd w:val="0"/>
              <w:snapToGrid w:val="0"/>
              <w:jc w:val="center"/>
              <w:rPr>
                <w:rFonts w:ascii="Times New Roman" w:hAnsi="Times New Roman" w:eastAsia="宋体" w:cs="Times New Roman"/>
                <w:sz w:val="16"/>
                <w:szCs w:val="16"/>
              </w:rPr>
            </w:pPr>
          </w:p>
        </w:tc>
        <w:tc>
          <w:tcPr>
            <w:tcW w:w="196" w:type="pct"/>
            <w:shd w:val="clear" w:color="auto" w:fill="auto"/>
            <w:vAlign w:val="center"/>
          </w:tcPr>
          <w:p w14:paraId="7353F143">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逆指标</w:t>
            </w:r>
          </w:p>
        </w:tc>
        <w:tc>
          <w:tcPr>
            <w:tcW w:w="187" w:type="pct"/>
            <w:shd w:val="clear" w:color="auto" w:fill="auto"/>
            <w:vAlign w:val="center"/>
          </w:tcPr>
          <w:p w14:paraId="765B960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降档指标</w:t>
            </w:r>
          </w:p>
        </w:tc>
        <w:tc>
          <w:tcPr>
            <w:tcW w:w="259" w:type="pct"/>
            <w:shd w:val="clear" w:color="auto" w:fill="auto"/>
            <w:vAlign w:val="center"/>
          </w:tcPr>
          <w:p w14:paraId="32981AC2">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评价资料真实性</w:t>
            </w:r>
          </w:p>
        </w:tc>
        <w:tc>
          <w:tcPr>
            <w:tcW w:w="200" w:type="pct"/>
            <w:shd w:val="clear" w:color="auto" w:fill="auto"/>
            <w:vAlign w:val="center"/>
          </w:tcPr>
          <w:p w14:paraId="10475A93">
            <w:pPr>
              <w:widowControl/>
              <w:adjustRightInd w:val="0"/>
              <w:snapToGrid w:val="0"/>
              <w:jc w:val="center"/>
              <w:rPr>
                <w:rFonts w:ascii="Times New Roman" w:hAnsi="Times New Roman" w:eastAsia="宋体" w:cs="Times New Roman"/>
                <w:sz w:val="16"/>
                <w:szCs w:val="16"/>
              </w:rPr>
            </w:pPr>
          </w:p>
        </w:tc>
        <w:tc>
          <w:tcPr>
            <w:tcW w:w="483" w:type="pct"/>
            <w:shd w:val="clear" w:color="auto" w:fill="auto"/>
            <w:vAlign w:val="center"/>
          </w:tcPr>
          <w:p w14:paraId="1C6A6191">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反映项目建设单位提供产出资料的真实性和可靠性。</w:t>
            </w:r>
          </w:p>
        </w:tc>
        <w:tc>
          <w:tcPr>
            <w:tcW w:w="636" w:type="pct"/>
            <w:shd w:val="clear" w:color="auto" w:fill="auto"/>
            <w:vAlign w:val="center"/>
          </w:tcPr>
          <w:p w14:paraId="382DB8F0">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4D1CB10B">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经抽查项目建设单位提供的评价资料是否有造假行为或故意提供不全的。</w:t>
            </w:r>
          </w:p>
        </w:tc>
        <w:tc>
          <w:tcPr>
            <w:tcW w:w="369" w:type="pct"/>
            <w:shd w:val="clear" w:color="auto" w:fill="auto"/>
            <w:vAlign w:val="center"/>
          </w:tcPr>
          <w:p w14:paraId="60C0D560">
            <w:pPr>
              <w:widowControl/>
              <w:adjustRightInd w:val="0"/>
              <w:snapToGrid w:val="0"/>
              <w:jc w:val="center"/>
              <w:rPr>
                <w:rFonts w:ascii="Times New Roman" w:hAnsi="Times New Roman" w:eastAsia="宋体" w:cs="Times New Roman"/>
                <w:sz w:val="16"/>
                <w:szCs w:val="16"/>
              </w:rPr>
            </w:pPr>
          </w:p>
        </w:tc>
        <w:tc>
          <w:tcPr>
            <w:tcW w:w="186" w:type="pct"/>
            <w:shd w:val="clear" w:color="auto" w:fill="auto"/>
            <w:vAlign w:val="center"/>
          </w:tcPr>
          <w:p w14:paraId="60C6B0AB">
            <w:pPr>
              <w:widowControl/>
              <w:adjustRightInd w:val="0"/>
              <w:snapToGrid w:val="0"/>
              <w:jc w:val="left"/>
              <w:rPr>
                <w:rFonts w:ascii="Times New Roman" w:hAnsi="Times New Roman" w:eastAsia="宋体" w:cs="Times New Roman"/>
                <w:sz w:val="16"/>
                <w:szCs w:val="16"/>
              </w:rPr>
            </w:pPr>
          </w:p>
        </w:tc>
        <w:tc>
          <w:tcPr>
            <w:tcW w:w="689" w:type="pct"/>
            <w:shd w:val="clear" w:color="auto" w:fill="auto"/>
            <w:vAlign w:val="center"/>
          </w:tcPr>
          <w:p w14:paraId="4174866F">
            <w:pPr>
              <w:widowControl/>
              <w:adjustRightInd w:val="0"/>
              <w:snapToGrid w:val="0"/>
              <w:jc w:val="left"/>
              <w:rPr>
                <w:rFonts w:ascii="Times New Roman" w:hAnsi="Times New Roman" w:eastAsia="宋体" w:cs="Times New Roman"/>
                <w:sz w:val="16"/>
                <w:szCs w:val="16"/>
              </w:rPr>
            </w:pPr>
          </w:p>
        </w:tc>
        <w:tc>
          <w:tcPr>
            <w:tcW w:w="569" w:type="pct"/>
            <w:shd w:val="clear" w:color="auto" w:fill="auto"/>
            <w:vAlign w:val="center"/>
          </w:tcPr>
          <w:p w14:paraId="2E5622E6">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经抽查项目建设单位提供的评价资料有造假行为或故意提供不全的，评价结果直接降低一个等次。</w:t>
            </w:r>
          </w:p>
        </w:tc>
        <w:tc>
          <w:tcPr>
            <w:tcW w:w="224" w:type="pct"/>
            <w:shd w:val="clear" w:color="auto" w:fill="auto"/>
            <w:noWrap/>
            <w:vAlign w:val="center"/>
          </w:tcPr>
          <w:p w14:paraId="39858B7A">
            <w:pPr>
              <w:widowControl/>
              <w:adjustRightInd w:val="0"/>
              <w:snapToGrid w:val="0"/>
              <w:jc w:val="center"/>
              <w:rPr>
                <w:rFonts w:ascii="Times New Roman" w:hAnsi="Times New Roman" w:eastAsia="宋体" w:cs="Times New Roman"/>
                <w:sz w:val="16"/>
                <w:szCs w:val="16"/>
              </w:rPr>
            </w:pPr>
          </w:p>
        </w:tc>
        <w:tc>
          <w:tcPr>
            <w:tcW w:w="592" w:type="pct"/>
            <w:shd w:val="clear" w:color="auto" w:fill="auto"/>
            <w:noWrap/>
            <w:vAlign w:val="center"/>
          </w:tcPr>
          <w:p w14:paraId="53448A75">
            <w:pPr>
              <w:widowControl/>
              <w:adjustRightInd w:val="0"/>
              <w:snapToGrid w:val="0"/>
              <w:jc w:val="center"/>
              <w:rPr>
                <w:rFonts w:ascii="Times New Roman" w:hAnsi="Times New Roman" w:eastAsia="宋体" w:cs="Times New Roman"/>
                <w:sz w:val="16"/>
                <w:szCs w:val="16"/>
              </w:rPr>
            </w:pPr>
          </w:p>
        </w:tc>
      </w:tr>
      <w:tr w14:paraId="1C0DD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shd w:val="clear" w:color="auto" w:fill="auto"/>
            <w:noWrap/>
            <w:textDirection w:val="tbRlV"/>
            <w:vAlign w:val="center"/>
          </w:tcPr>
          <w:p w14:paraId="66F20631">
            <w:pPr>
              <w:widowControl/>
              <w:adjustRightInd w:val="0"/>
              <w:snapToGrid w:val="0"/>
              <w:jc w:val="center"/>
              <w:rPr>
                <w:rFonts w:ascii="Times New Roman" w:hAnsi="Times New Roman" w:eastAsia="宋体" w:cs="Times New Roman"/>
                <w:sz w:val="16"/>
                <w:szCs w:val="16"/>
              </w:rPr>
            </w:pPr>
          </w:p>
        </w:tc>
        <w:tc>
          <w:tcPr>
            <w:tcW w:w="202" w:type="pct"/>
            <w:shd w:val="clear" w:color="auto" w:fill="auto"/>
            <w:noWrap/>
            <w:vAlign w:val="center"/>
          </w:tcPr>
          <w:p w14:paraId="6DE47BF6">
            <w:pPr>
              <w:widowControl/>
              <w:adjustRightInd w:val="0"/>
              <w:snapToGrid w:val="0"/>
              <w:jc w:val="center"/>
              <w:rPr>
                <w:rFonts w:ascii="Times New Roman" w:hAnsi="Times New Roman" w:eastAsia="宋体" w:cs="Times New Roman"/>
                <w:sz w:val="16"/>
                <w:szCs w:val="16"/>
              </w:rPr>
            </w:pPr>
          </w:p>
        </w:tc>
        <w:tc>
          <w:tcPr>
            <w:tcW w:w="196" w:type="pct"/>
            <w:shd w:val="clear" w:color="auto" w:fill="auto"/>
            <w:vAlign w:val="center"/>
          </w:tcPr>
          <w:p w14:paraId="7174775D">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逆指标</w:t>
            </w:r>
          </w:p>
        </w:tc>
        <w:tc>
          <w:tcPr>
            <w:tcW w:w="187" w:type="pct"/>
            <w:shd w:val="clear" w:color="auto" w:fill="auto"/>
            <w:vAlign w:val="center"/>
          </w:tcPr>
          <w:p w14:paraId="1C141350">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降档指标</w:t>
            </w:r>
          </w:p>
        </w:tc>
        <w:tc>
          <w:tcPr>
            <w:tcW w:w="259" w:type="pct"/>
            <w:shd w:val="clear" w:color="auto" w:fill="auto"/>
            <w:vAlign w:val="center"/>
          </w:tcPr>
          <w:p w14:paraId="4935A686">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违规建设</w:t>
            </w:r>
          </w:p>
        </w:tc>
        <w:tc>
          <w:tcPr>
            <w:tcW w:w="200" w:type="pct"/>
            <w:shd w:val="clear" w:color="auto" w:fill="auto"/>
            <w:vAlign w:val="center"/>
          </w:tcPr>
          <w:p w14:paraId="2A4240F1">
            <w:pPr>
              <w:widowControl/>
              <w:adjustRightInd w:val="0"/>
              <w:snapToGrid w:val="0"/>
              <w:jc w:val="center"/>
              <w:rPr>
                <w:rFonts w:ascii="Times New Roman" w:hAnsi="Times New Roman" w:eastAsia="宋体" w:cs="Times New Roman"/>
                <w:sz w:val="16"/>
                <w:szCs w:val="16"/>
              </w:rPr>
            </w:pPr>
          </w:p>
        </w:tc>
        <w:tc>
          <w:tcPr>
            <w:tcW w:w="483" w:type="pct"/>
            <w:shd w:val="clear" w:color="auto" w:fill="auto"/>
            <w:vAlign w:val="center"/>
          </w:tcPr>
          <w:p w14:paraId="4AC2245C">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反映项目是否按有关规定进行建设。</w:t>
            </w:r>
          </w:p>
        </w:tc>
        <w:tc>
          <w:tcPr>
            <w:tcW w:w="636" w:type="pct"/>
            <w:shd w:val="clear" w:color="auto" w:fill="auto"/>
            <w:vAlign w:val="center"/>
          </w:tcPr>
          <w:p w14:paraId="14F9A9DA">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48F5CE29">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是否发生没按规定进行建设，而曾经被有关部门处罚或通报批评。</w:t>
            </w:r>
          </w:p>
        </w:tc>
        <w:tc>
          <w:tcPr>
            <w:tcW w:w="369" w:type="pct"/>
            <w:shd w:val="clear" w:color="auto" w:fill="auto"/>
            <w:vAlign w:val="center"/>
          </w:tcPr>
          <w:p w14:paraId="18F2DD0E">
            <w:pPr>
              <w:widowControl/>
              <w:adjustRightInd w:val="0"/>
              <w:snapToGrid w:val="0"/>
              <w:jc w:val="center"/>
              <w:rPr>
                <w:rFonts w:ascii="Times New Roman" w:hAnsi="Times New Roman" w:eastAsia="宋体" w:cs="Times New Roman"/>
                <w:sz w:val="16"/>
                <w:szCs w:val="16"/>
              </w:rPr>
            </w:pPr>
          </w:p>
        </w:tc>
        <w:tc>
          <w:tcPr>
            <w:tcW w:w="186" w:type="pct"/>
            <w:shd w:val="clear" w:color="auto" w:fill="auto"/>
            <w:vAlign w:val="center"/>
          </w:tcPr>
          <w:p w14:paraId="3817139D">
            <w:pPr>
              <w:widowControl/>
              <w:adjustRightInd w:val="0"/>
              <w:snapToGrid w:val="0"/>
              <w:jc w:val="center"/>
              <w:rPr>
                <w:rFonts w:ascii="Times New Roman" w:hAnsi="Times New Roman" w:eastAsia="宋体" w:cs="Times New Roman"/>
                <w:sz w:val="16"/>
                <w:szCs w:val="16"/>
              </w:rPr>
            </w:pPr>
          </w:p>
        </w:tc>
        <w:tc>
          <w:tcPr>
            <w:tcW w:w="689" w:type="pct"/>
            <w:shd w:val="clear" w:color="auto" w:fill="auto"/>
            <w:vAlign w:val="center"/>
          </w:tcPr>
          <w:p w14:paraId="68584A58">
            <w:pPr>
              <w:widowControl/>
              <w:adjustRightInd w:val="0"/>
              <w:snapToGrid w:val="0"/>
              <w:jc w:val="left"/>
              <w:rPr>
                <w:rFonts w:ascii="Times New Roman" w:hAnsi="Times New Roman" w:eastAsia="宋体" w:cs="Times New Roman"/>
                <w:sz w:val="16"/>
                <w:szCs w:val="16"/>
              </w:rPr>
            </w:pPr>
          </w:p>
        </w:tc>
        <w:tc>
          <w:tcPr>
            <w:tcW w:w="569" w:type="pct"/>
            <w:shd w:val="clear" w:color="auto" w:fill="auto"/>
            <w:vAlign w:val="center"/>
          </w:tcPr>
          <w:p w14:paraId="1E2909C8">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如发生因违规建设被处理的，处理当年的评价等级则直接降下一个等级评价等级，其他年度的原则上不能为优良。</w:t>
            </w:r>
          </w:p>
        </w:tc>
        <w:tc>
          <w:tcPr>
            <w:tcW w:w="224" w:type="pct"/>
            <w:shd w:val="clear" w:color="auto" w:fill="auto"/>
            <w:noWrap/>
            <w:vAlign w:val="center"/>
          </w:tcPr>
          <w:p w14:paraId="27690224">
            <w:pPr>
              <w:widowControl/>
              <w:adjustRightInd w:val="0"/>
              <w:snapToGrid w:val="0"/>
              <w:jc w:val="center"/>
              <w:rPr>
                <w:rFonts w:ascii="Times New Roman" w:hAnsi="Times New Roman" w:eastAsia="宋体" w:cs="Times New Roman"/>
                <w:sz w:val="16"/>
                <w:szCs w:val="16"/>
              </w:rPr>
            </w:pPr>
          </w:p>
        </w:tc>
        <w:tc>
          <w:tcPr>
            <w:tcW w:w="592" w:type="pct"/>
            <w:shd w:val="clear" w:color="auto" w:fill="auto"/>
            <w:noWrap/>
            <w:vAlign w:val="center"/>
          </w:tcPr>
          <w:p w14:paraId="0283F9AC">
            <w:pPr>
              <w:widowControl/>
              <w:adjustRightInd w:val="0"/>
              <w:snapToGrid w:val="0"/>
              <w:jc w:val="center"/>
              <w:rPr>
                <w:rFonts w:ascii="Times New Roman" w:hAnsi="Times New Roman" w:eastAsia="宋体" w:cs="Times New Roman"/>
                <w:sz w:val="16"/>
                <w:szCs w:val="16"/>
              </w:rPr>
            </w:pPr>
          </w:p>
        </w:tc>
      </w:tr>
      <w:tr w14:paraId="5E131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shd w:val="clear" w:color="auto" w:fill="auto"/>
            <w:noWrap/>
            <w:textDirection w:val="tbRlV"/>
            <w:vAlign w:val="center"/>
          </w:tcPr>
          <w:p w14:paraId="5B4D9F4B">
            <w:pPr>
              <w:widowControl/>
              <w:adjustRightInd w:val="0"/>
              <w:snapToGrid w:val="0"/>
              <w:jc w:val="center"/>
              <w:rPr>
                <w:rFonts w:ascii="Times New Roman" w:hAnsi="Times New Roman" w:eastAsia="宋体" w:cs="Times New Roman"/>
                <w:sz w:val="16"/>
                <w:szCs w:val="16"/>
              </w:rPr>
            </w:pPr>
          </w:p>
        </w:tc>
        <w:tc>
          <w:tcPr>
            <w:tcW w:w="202" w:type="pct"/>
            <w:shd w:val="clear" w:color="auto" w:fill="auto"/>
            <w:noWrap/>
            <w:vAlign w:val="center"/>
          </w:tcPr>
          <w:p w14:paraId="4BE4E938">
            <w:pPr>
              <w:widowControl/>
              <w:adjustRightInd w:val="0"/>
              <w:snapToGrid w:val="0"/>
              <w:jc w:val="center"/>
              <w:rPr>
                <w:rFonts w:ascii="Times New Roman" w:hAnsi="Times New Roman" w:eastAsia="宋体" w:cs="Times New Roman"/>
                <w:sz w:val="16"/>
                <w:szCs w:val="16"/>
              </w:rPr>
            </w:pPr>
          </w:p>
        </w:tc>
        <w:tc>
          <w:tcPr>
            <w:tcW w:w="196" w:type="pct"/>
            <w:shd w:val="clear" w:color="auto" w:fill="auto"/>
            <w:vAlign w:val="center"/>
          </w:tcPr>
          <w:p w14:paraId="27D3F58B">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逆指标</w:t>
            </w:r>
          </w:p>
        </w:tc>
        <w:tc>
          <w:tcPr>
            <w:tcW w:w="187" w:type="pct"/>
            <w:shd w:val="clear" w:color="auto" w:fill="auto"/>
            <w:vAlign w:val="center"/>
          </w:tcPr>
          <w:p w14:paraId="097F9411">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降档指标</w:t>
            </w:r>
          </w:p>
        </w:tc>
        <w:tc>
          <w:tcPr>
            <w:tcW w:w="259" w:type="pct"/>
            <w:shd w:val="clear" w:color="auto" w:fill="auto"/>
            <w:vAlign w:val="center"/>
          </w:tcPr>
          <w:p w14:paraId="7E5FF6FC">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社会稳定风险</w:t>
            </w:r>
          </w:p>
        </w:tc>
        <w:tc>
          <w:tcPr>
            <w:tcW w:w="200" w:type="pct"/>
            <w:shd w:val="clear" w:color="auto" w:fill="auto"/>
            <w:vAlign w:val="center"/>
          </w:tcPr>
          <w:p w14:paraId="42932532">
            <w:pPr>
              <w:widowControl/>
              <w:adjustRightInd w:val="0"/>
              <w:snapToGrid w:val="0"/>
              <w:jc w:val="center"/>
              <w:rPr>
                <w:rFonts w:ascii="Times New Roman" w:hAnsi="Times New Roman" w:eastAsia="宋体" w:cs="Times New Roman"/>
                <w:sz w:val="16"/>
                <w:szCs w:val="16"/>
              </w:rPr>
            </w:pPr>
          </w:p>
        </w:tc>
        <w:tc>
          <w:tcPr>
            <w:tcW w:w="483" w:type="pct"/>
            <w:shd w:val="clear" w:color="auto" w:fill="auto"/>
            <w:vAlign w:val="center"/>
          </w:tcPr>
          <w:p w14:paraId="2206CE8D">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用以反映和考核项目施工期间是否发生安全生产事故或引发群体事件。</w:t>
            </w:r>
          </w:p>
        </w:tc>
        <w:tc>
          <w:tcPr>
            <w:tcW w:w="636" w:type="pct"/>
            <w:shd w:val="clear" w:color="auto" w:fill="auto"/>
            <w:vAlign w:val="center"/>
          </w:tcPr>
          <w:p w14:paraId="7A2EB376">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6CA7B791">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是否发生安全生产事故；</w:t>
            </w:r>
          </w:p>
          <w:p w14:paraId="793A1FB2">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媒体对该项目给予负面报道；</w:t>
            </w:r>
          </w:p>
          <w:p w14:paraId="45DEF0C4">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③</w:t>
            </w:r>
            <w:r>
              <w:rPr>
                <w:rFonts w:ascii="Times New Roman" w:hAnsi="Times New Roman" w:eastAsia="宋体" w:cs="Times New Roman"/>
                <w:kern w:val="0"/>
                <w:sz w:val="16"/>
                <w:szCs w:val="16"/>
                <w:lang w:bidi="ar"/>
              </w:rPr>
              <w:t>是否引发了群体事件；</w:t>
            </w:r>
          </w:p>
        </w:tc>
        <w:tc>
          <w:tcPr>
            <w:tcW w:w="369" w:type="pct"/>
            <w:shd w:val="clear" w:color="auto" w:fill="auto"/>
            <w:vAlign w:val="center"/>
          </w:tcPr>
          <w:p w14:paraId="14C767D9">
            <w:pPr>
              <w:widowControl/>
              <w:adjustRightInd w:val="0"/>
              <w:snapToGrid w:val="0"/>
              <w:jc w:val="center"/>
              <w:rPr>
                <w:rFonts w:ascii="Times New Roman" w:hAnsi="Times New Roman" w:eastAsia="宋体" w:cs="Times New Roman"/>
                <w:sz w:val="16"/>
                <w:szCs w:val="16"/>
              </w:rPr>
            </w:pPr>
          </w:p>
        </w:tc>
        <w:tc>
          <w:tcPr>
            <w:tcW w:w="186" w:type="pct"/>
            <w:shd w:val="clear" w:color="auto" w:fill="auto"/>
            <w:vAlign w:val="center"/>
          </w:tcPr>
          <w:p w14:paraId="40E79EBD">
            <w:pPr>
              <w:widowControl/>
              <w:adjustRightInd w:val="0"/>
              <w:snapToGrid w:val="0"/>
              <w:jc w:val="center"/>
              <w:rPr>
                <w:rFonts w:ascii="Times New Roman" w:hAnsi="Times New Roman" w:eastAsia="宋体" w:cs="Times New Roman"/>
                <w:sz w:val="16"/>
                <w:szCs w:val="16"/>
              </w:rPr>
            </w:pPr>
          </w:p>
        </w:tc>
        <w:tc>
          <w:tcPr>
            <w:tcW w:w="689" w:type="pct"/>
            <w:shd w:val="clear" w:color="auto" w:fill="auto"/>
            <w:vAlign w:val="center"/>
          </w:tcPr>
          <w:p w14:paraId="10C18743">
            <w:pPr>
              <w:widowControl/>
              <w:adjustRightInd w:val="0"/>
              <w:snapToGrid w:val="0"/>
              <w:jc w:val="left"/>
              <w:rPr>
                <w:rFonts w:ascii="Times New Roman" w:hAnsi="Times New Roman" w:eastAsia="宋体" w:cs="Times New Roman"/>
                <w:sz w:val="16"/>
                <w:szCs w:val="16"/>
              </w:rPr>
            </w:pPr>
          </w:p>
        </w:tc>
        <w:tc>
          <w:tcPr>
            <w:tcW w:w="569" w:type="pct"/>
            <w:shd w:val="clear" w:color="auto" w:fill="auto"/>
            <w:vAlign w:val="center"/>
          </w:tcPr>
          <w:p w14:paraId="6B6EDD92">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如项目实施发生安全事故、施工不当造成社会不良影响而引起纠纷、诉讼、信访、上访的，当年的评价等级则直接降下一个等级评价等级，其他年度的原则上不能为优良。</w:t>
            </w:r>
          </w:p>
        </w:tc>
        <w:tc>
          <w:tcPr>
            <w:tcW w:w="224" w:type="pct"/>
            <w:shd w:val="clear" w:color="auto" w:fill="auto"/>
            <w:noWrap/>
            <w:vAlign w:val="center"/>
          </w:tcPr>
          <w:p w14:paraId="173707C7">
            <w:pPr>
              <w:widowControl/>
              <w:adjustRightInd w:val="0"/>
              <w:snapToGrid w:val="0"/>
              <w:jc w:val="center"/>
              <w:rPr>
                <w:rFonts w:ascii="Times New Roman" w:hAnsi="Times New Roman" w:eastAsia="宋体" w:cs="Times New Roman"/>
                <w:sz w:val="16"/>
                <w:szCs w:val="16"/>
              </w:rPr>
            </w:pPr>
          </w:p>
        </w:tc>
        <w:tc>
          <w:tcPr>
            <w:tcW w:w="592" w:type="pct"/>
            <w:shd w:val="clear" w:color="auto" w:fill="auto"/>
            <w:noWrap/>
            <w:vAlign w:val="center"/>
          </w:tcPr>
          <w:p w14:paraId="353219C3">
            <w:pPr>
              <w:widowControl/>
              <w:adjustRightInd w:val="0"/>
              <w:snapToGrid w:val="0"/>
              <w:jc w:val="center"/>
              <w:rPr>
                <w:rFonts w:ascii="Times New Roman" w:hAnsi="Times New Roman" w:eastAsia="宋体" w:cs="Times New Roman"/>
                <w:sz w:val="16"/>
                <w:szCs w:val="16"/>
              </w:rPr>
            </w:pPr>
          </w:p>
        </w:tc>
      </w:tr>
      <w:tr w14:paraId="64605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shd w:val="clear" w:color="auto" w:fill="auto"/>
            <w:noWrap/>
            <w:textDirection w:val="tbRlV"/>
            <w:vAlign w:val="center"/>
          </w:tcPr>
          <w:p w14:paraId="1D81CB6E">
            <w:pPr>
              <w:widowControl/>
              <w:adjustRightInd w:val="0"/>
              <w:snapToGrid w:val="0"/>
              <w:jc w:val="center"/>
              <w:rPr>
                <w:rFonts w:ascii="Times New Roman" w:hAnsi="Times New Roman" w:eastAsia="宋体" w:cs="Times New Roman"/>
                <w:sz w:val="16"/>
                <w:szCs w:val="16"/>
              </w:rPr>
            </w:pPr>
          </w:p>
        </w:tc>
        <w:tc>
          <w:tcPr>
            <w:tcW w:w="202" w:type="pct"/>
            <w:shd w:val="clear" w:color="auto" w:fill="auto"/>
            <w:noWrap/>
            <w:vAlign w:val="center"/>
          </w:tcPr>
          <w:p w14:paraId="17660FC8">
            <w:pPr>
              <w:widowControl/>
              <w:adjustRightInd w:val="0"/>
              <w:snapToGrid w:val="0"/>
              <w:jc w:val="center"/>
              <w:rPr>
                <w:rFonts w:ascii="Times New Roman" w:hAnsi="Times New Roman" w:eastAsia="宋体" w:cs="Times New Roman"/>
                <w:sz w:val="16"/>
                <w:szCs w:val="16"/>
              </w:rPr>
            </w:pPr>
          </w:p>
        </w:tc>
        <w:tc>
          <w:tcPr>
            <w:tcW w:w="196" w:type="pct"/>
            <w:shd w:val="clear" w:color="auto" w:fill="auto"/>
            <w:vAlign w:val="center"/>
          </w:tcPr>
          <w:p w14:paraId="417836CF">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逆指标</w:t>
            </w:r>
          </w:p>
        </w:tc>
        <w:tc>
          <w:tcPr>
            <w:tcW w:w="187" w:type="pct"/>
            <w:shd w:val="clear" w:color="auto" w:fill="auto"/>
            <w:vAlign w:val="center"/>
          </w:tcPr>
          <w:p w14:paraId="3BDB8428">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一票否决</w:t>
            </w:r>
          </w:p>
        </w:tc>
        <w:tc>
          <w:tcPr>
            <w:tcW w:w="259" w:type="pct"/>
            <w:shd w:val="clear" w:color="auto" w:fill="auto"/>
            <w:vAlign w:val="center"/>
          </w:tcPr>
          <w:p w14:paraId="6F69CE04">
            <w:pPr>
              <w:widowControl/>
              <w:adjustRightInd w:val="0"/>
              <w:snapToGrid w:val="0"/>
              <w:jc w:val="center"/>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违法违纪行为</w:t>
            </w:r>
          </w:p>
        </w:tc>
        <w:tc>
          <w:tcPr>
            <w:tcW w:w="200" w:type="pct"/>
            <w:shd w:val="clear" w:color="auto" w:fill="auto"/>
            <w:vAlign w:val="center"/>
          </w:tcPr>
          <w:p w14:paraId="49116757">
            <w:pPr>
              <w:widowControl/>
              <w:adjustRightInd w:val="0"/>
              <w:snapToGrid w:val="0"/>
              <w:jc w:val="center"/>
              <w:rPr>
                <w:rFonts w:ascii="Times New Roman" w:hAnsi="Times New Roman" w:eastAsia="宋体" w:cs="Times New Roman"/>
                <w:sz w:val="16"/>
                <w:szCs w:val="16"/>
              </w:rPr>
            </w:pPr>
          </w:p>
        </w:tc>
        <w:tc>
          <w:tcPr>
            <w:tcW w:w="483" w:type="pct"/>
            <w:shd w:val="clear" w:color="auto" w:fill="auto"/>
            <w:vAlign w:val="center"/>
          </w:tcPr>
          <w:p w14:paraId="3BB6400F">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用以反映和考核项目实施过程中相关人员和单位是否严格执行国家有关法律法规和廉政建设的规定。</w:t>
            </w:r>
          </w:p>
        </w:tc>
        <w:tc>
          <w:tcPr>
            <w:tcW w:w="636" w:type="pct"/>
            <w:shd w:val="clear" w:color="auto" w:fill="auto"/>
            <w:vAlign w:val="center"/>
          </w:tcPr>
          <w:p w14:paraId="59C455EA">
            <w:pPr>
              <w:widowControl/>
              <w:adjustRightInd w:val="0"/>
              <w:snapToGrid w:val="0"/>
              <w:jc w:val="left"/>
              <w:textAlignment w:val="center"/>
              <w:rPr>
                <w:rFonts w:ascii="Times New Roman" w:hAnsi="Times New Roman" w:eastAsia="宋体" w:cs="Times New Roman"/>
                <w:kern w:val="0"/>
                <w:sz w:val="16"/>
                <w:szCs w:val="16"/>
                <w:lang w:bidi="ar"/>
              </w:rPr>
            </w:pPr>
            <w:r>
              <w:rPr>
                <w:rFonts w:ascii="Times New Roman" w:hAnsi="Times New Roman" w:eastAsia="宋体" w:cs="Times New Roman"/>
                <w:kern w:val="0"/>
                <w:sz w:val="16"/>
                <w:szCs w:val="16"/>
                <w:lang w:bidi="ar"/>
              </w:rPr>
              <w:t>评价要点：</w:t>
            </w:r>
          </w:p>
          <w:p w14:paraId="5C20E35F">
            <w:pPr>
              <w:widowControl/>
              <w:adjustRightInd w:val="0"/>
              <w:snapToGrid w:val="0"/>
              <w:jc w:val="left"/>
              <w:textAlignment w:val="center"/>
              <w:rPr>
                <w:rFonts w:ascii="Times New Roman" w:hAnsi="Times New Roman" w:eastAsia="宋体" w:cs="Times New Roman"/>
                <w:kern w:val="0"/>
                <w:sz w:val="16"/>
                <w:szCs w:val="16"/>
                <w:lang w:bidi="ar"/>
              </w:rPr>
            </w:pPr>
            <w:r>
              <w:rPr>
                <w:rFonts w:hint="eastAsia" w:ascii="宋体" w:hAnsi="宋体" w:eastAsia="宋体" w:cs="宋体"/>
                <w:kern w:val="0"/>
                <w:sz w:val="16"/>
                <w:szCs w:val="16"/>
                <w:lang w:bidi="ar"/>
              </w:rPr>
              <w:t>①</w:t>
            </w:r>
            <w:r>
              <w:rPr>
                <w:rFonts w:ascii="Times New Roman" w:hAnsi="Times New Roman" w:eastAsia="宋体" w:cs="Times New Roman"/>
                <w:kern w:val="0"/>
                <w:sz w:val="16"/>
                <w:szCs w:val="16"/>
                <w:lang w:bidi="ar"/>
              </w:rPr>
              <w:t>有关单位和人员是否违反国家廉政建设的有关规定，被有关纪检监察部门处理；</w:t>
            </w:r>
          </w:p>
          <w:p w14:paraId="74BFACE5">
            <w:pPr>
              <w:widowControl/>
              <w:adjustRightInd w:val="0"/>
              <w:snapToGrid w:val="0"/>
              <w:jc w:val="left"/>
              <w:textAlignment w:val="center"/>
              <w:rPr>
                <w:rFonts w:ascii="Times New Roman" w:hAnsi="Times New Roman" w:eastAsia="宋体" w:cs="Times New Roman"/>
                <w:sz w:val="16"/>
                <w:szCs w:val="16"/>
              </w:rPr>
            </w:pPr>
            <w:r>
              <w:rPr>
                <w:rFonts w:hint="eastAsia" w:ascii="宋体" w:hAnsi="宋体" w:eastAsia="宋体" w:cs="宋体"/>
                <w:kern w:val="0"/>
                <w:sz w:val="16"/>
                <w:szCs w:val="16"/>
                <w:lang w:bidi="ar"/>
              </w:rPr>
              <w:t>②</w:t>
            </w:r>
            <w:r>
              <w:rPr>
                <w:rFonts w:ascii="Times New Roman" w:hAnsi="Times New Roman" w:eastAsia="宋体" w:cs="Times New Roman"/>
                <w:kern w:val="0"/>
                <w:sz w:val="16"/>
                <w:szCs w:val="16"/>
                <w:lang w:bidi="ar"/>
              </w:rPr>
              <w:t>是否发生没按有关规定实施，而曾经被有关部门处罚或通报批评。</w:t>
            </w:r>
          </w:p>
        </w:tc>
        <w:tc>
          <w:tcPr>
            <w:tcW w:w="369" w:type="pct"/>
            <w:shd w:val="clear" w:color="auto" w:fill="auto"/>
            <w:vAlign w:val="center"/>
          </w:tcPr>
          <w:p w14:paraId="7858B0EB">
            <w:pPr>
              <w:widowControl/>
              <w:adjustRightInd w:val="0"/>
              <w:snapToGrid w:val="0"/>
              <w:jc w:val="center"/>
              <w:rPr>
                <w:rFonts w:ascii="Times New Roman" w:hAnsi="Times New Roman" w:eastAsia="宋体" w:cs="Times New Roman"/>
                <w:sz w:val="16"/>
                <w:szCs w:val="16"/>
              </w:rPr>
            </w:pPr>
          </w:p>
        </w:tc>
        <w:tc>
          <w:tcPr>
            <w:tcW w:w="186" w:type="pct"/>
            <w:shd w:val="clear" w:color="auto" w:fill="auto"/>
            <w:vAlign w:val="center"/>
          </w:tcPr>
          <w:p w14:paraId="7D881E94">
            <w:pPr>
              <w:widowControl/>
              <w:adjustRightInd w:val="0"/>
              <w:snapToGrid w:val="0"/>
              <w:jc w:val="center"/>
              <w:rPr>
                <w:rFonts w:ascii="Times New Roman" w:hAnsi="Times New Roman" w:eastAsia="宋体" w:cs="Times New Roman"/>
                <w:sz w:val="16"/>
                <w:szCs w:val="16"/>
              </w:rPr>
            </w:pPr>
          </w:p>
        </w:tc>
        <w:tc>
          <w:tcPr>
            <w:tcW w:w="689" w:type="pct"/>
            <w:shd w:val="clear" w:color="auto" w:fill="auto"/>
            <w:vAlign w:val="center"/>
          </w:tcPr>
          <w:p w14:paraId="6A0A13AA">
            <w:pPr>
              <w:widowControl/>
              <w:adjustRightInd w:val="0"/>
              <w:snapToGrid w:val="0"/>
              <w:jc w:val="left"/>
              <w:rPr>
                <w:rFonts w:ascii="Times New Roman" w:hAnsi="Times New Roman" w:eastAsia="宋体" w:cs="Times New Roman"/>
                <w:sz w:val="16"/>
                <w:szCs w:val="16"/>
              </w:rPr>
            </w:pPr>
          </w:p>
        </w:tc>
        <w:tc>
          <w:tcPr>
            <w:tcW w:w="569" w:type="pct"/>
            <w:shd w:val="clear" w:color="auto" w:fill="auto"/>
            <w:vAlign w:val="center"/>
          </w:tcPr>
          <w:p w14:paraId="1FA1635C">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有关单位和人员违规实施或违反国家廉政建设的有关规定，被有关部门处理的，当年则直接评为低等次以下。其他年度的评价等级原则上不能为优良。</w:t>
            </w:r>
          </w:p>
        </w:tc>
        <w:tc>
          <w:tcPr>
            <w:tcW w:w="224" w:type="pct"/>
            <w:shd w:val="clear" w:color="auto" w:fill="auto"/>
            <w:noWrap/>
            <w:vAlign w:val="center"/>
          </w:tcPr>
          <w:p w14:paraId="0D6D8AE7">
            <w:pPr>
              <w:widowControl/>
              <w:adjustRightInd w:val="0"/>
              <w:snapToGrid w:val="0"/>
              <w:jc w:val="center"/>
              <w:rPr>
                <w:rFonts w:ascii="Times New Roman" w:hAnsi="Times New Roman" w:eastAsia="宋体" w:cs="Times New Roman"/>
                <w:sz w:val="16"/>
                <w:szCs w:val="16"/>
              </w:rPr>
            </w:pPr>
          </w:p>
        </w:tc>
        <w:tc>
          <w:tcPr>
            <w:tcW w:w="592" w:type="pct"/>
            <w:shd w:val="clear" w:color="auto" w:fill="auto"/>
            <w:noWrap/>
            <w:vAlign w:val="center"/>
          </w:tcPr>
          <w:p w14:paraId="3E768886">
            <w:pPr>
              <w:widowControl/>
              <w:adjustRightInd w:val="0"/>
              <w:snapToGrid w:val="0"/>
              <w:jc w:val="center"/>
              <w:rPr>
                <w:rFonts w:ascii="Times New Roman" w:hAnsi="Times New Roman" w:eastAsia="宋体" w:cs="Times New Roman"/>
                <w:sz w:val="16"/>
                <w:szCs w:val="16"/>
              </w:rPr>
            </w:pPr>
          </w:p>
        </w:tc>
      </w:tr>
      <w:tr w14:paraId="020EA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0" w:type="pct"/>
            <w:shd w:val="clear" w:color="auto" w:fill="auto"/>
            <w:noWrap/>
            <w:vAlign w:val="center"/>
          </w:tcPr>
          <w:p w14:paraId="5EF25D57">
            <w:pPr>
              <w:widowControl/>
              <w:adjustRightInd w:val="0"/>
              <w:snapToGrid w:val="0"/>
              <w:jc w:val="left"/>
              <w:textAlignment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评价等级</w:t>
            </w:r>
          </w:p>
        </w:tc>
        <w:tc>
          <w:tcPr>
            <w:tcW w:w="202" w:type="pct"/>
            <w:shd w:val="clear" w:color="auto" w:fill="auto"/>
            <w:noWrap/>
            <w:vAlign w:val="center"/>
          </w:tcPr>
          <w:p w14:paraId="12F3BDC2">
            <w:pPr>
              <w:widowControl/>
              <w:adjustRightInd w:val="0"/>
              <w:snapToGrid w:val="0"/>
              <w:jc w:val="center"/>
              <w:rPr>
                <w:rFonts w:ascii="Times New Roman" w:hAnsi="Times New Roman" w:eastAsia="宋体" w:cs="Times New Roman"/>
                <w:sz w:val="16"/>
                <w:szCs w:val="16"/>
              </w:rPr>
            </w:pPr>
          </w:p>
        </w:tc>
        <w:tc>
          <w:tcPr>
            <w:tcW w:w="4589" w:type="pct"/>
            <w:gridSpan w:val="12"/>
            <w:shd w:val="clear" w:color="auto" w:fill="auto"/>
            <w:noWrap/>
            <w:vAlign w:val="center"/>
          </w:tcPr>
          <w:p w14:paraId="2BC36537">
            <w:pPr>
              <w:widowControl/>
              <w:adjustRightInd w:val="0"/>
              <w:snapToGrid w:val="0"/>
              <w:jc w:val="center"/>
              <w:rPr>
                <w:rFonts w:ascii="Times New Roman" w:hAnsi="Times New Roman" w:eastAsia="宋体" w:cs="Times New Roman"/>
                <w:sz w:val="16"/>
                <w:szCs w:val="16"/>
              </w:rPr>
            </w:pPr>
            <w:r>
              <w:rPr>
                <w:rFonts w:ascii="Times New Roman" w:hAnsi="Times New Roman" w:eastAsia="宋体" w:cs="Times New Roman"/>
                <w:kern w:val="0"/>
                <w:sz w:val="16"/>
                <w:szCs w:val="16"/>
                <w:lang w:bidi="ar"/>
              </w:rPr>
              <w:t>良</w:t>
            </w:r>
          </w:p>
        </w:tc>
      </w:tr>
    </w:tbl>
    <w:p w14:paraId="077B08AB">
      <w:pPr>
        <w:rPr>
          <w:rFonts w:ascii="Times New Roman" w:hAnsi="Times New Roman" w:cs="Times New Roman"/>
        </w:rPr>
      </w:pPr>
    </w:p>
    <w:sectPr>
      <w:pgSz w:w="16838" w:h="11906" w:orient="landscape"/>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B4B4DF9-44B6-43EC-B058-2CE0FAED9AB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B698CB81-225C-48D8-BA0A-A2D15A3CB6E3}"/>
  </w:font>
  <w:font w:name="楷体_GB2312">
    <w:panose1 w:val="02010609030101010101"/>
    <w:charset w:val="86"/>
    <w:family w:val="modern"/>
    <w:pitch w:val="default"/>
    <w:sig w:usb0="00000001" w:usb1="080E0000" w:usb2="00000000" w:usb3="00000000" w:csb0="00040000" w:csb1="00000000"/>
    <w:embedRegular r:id="rId3" w:fontKey="{2819E889-724E-4CC7-8989-02D1FDCAC307}"/>
  </w:font>
  <w:font w:name="仿宋">
    <w:panose1 w:val="02010609060101010101"/>
    <w:charset w:val="86"/>
    <w:family w:val="modern"/>
    <w:pitch w:val="default"/>
    <w:sig w:usb0="800002BF" w:usb1="38CF7CFA" w:usb2="00000016" w:usb3="00000000" w:csb0="00040001" w:csb1="00000000"/>
    <w:embedRegular r:id="rId4" w:fontKey="{E0257D86-C1AA-41FD-BF8F-00CB13812184}"/>
  </w:font>
  <w:font w:name="Calibri Light">
    <w:panose1 w:val="020F0302020204030204"/>
    <w:charset w:val="00"/>
    <w:family w:val="swiss"/>
    <w:pitch w:val="default"/>
    <w:sig w:usb0="A00002EF" w:usb1="4000207B" w:usb2="00000000" w:usb3="00000000" w:csb0="2000019F" w:csb1="00000000"/>
  </w:font>
  <w:font w:name="方正小标宋简体">
    <w:panose1 w:val="02000000000000000000"/>
    <w:charset w:val="86"/>
    <w:family w:val="script"/>
    <w:pitch w:val="default"/>
    <w:sig w:usb0="A00002BF" w:usb1="184F6CFA" w:usb2="00000012" w:usb3="00000000" w:csb0="00040001" w:csb1="00000000"/>
    <w:embedRegular r:id="rId5" w:fontKey="{4A8E1121-928D-4F06-A4D7-54F0902187BE}"/>
  </w:font>
  <w:font w:name="方正小标宋_GBK">
    <w:panose1 w:val="03000509000000000000"/>
    <w:charset w:val="86"/>
    <w:family w:val="script"/>
    <w:pitch w:val="default"/>
    <w:sig w:usb0="00000001" w:usb1="080E0000" w:usb2="00000000" w:usb3="00000000" w:csb0="00040000" w:csb1="00000000"/>
    <w:embedRegular r:id="rId6" w:fontKey="{6DF93B5B-DC48-4EAC-ADDA-31A6058B3DCE}"/>
  </w:font>
  <w:font w:name="华康简标题宋">
    <w:panose1 w:val="02010609000101010101"/>
    <w:charset w:val="86"/>
    <w:family w:val="modern"/>
    <w:pitch w:val="default"/>
    <w:sig w:usb0="00000000" w:usb1="00000000" w:usb2="00000000" w:usb3="00000000" w:csb0="00000000" w:csb1="00000000"/>
    <w:embedRegular r:id="rId7" w:fontKey="{2F2519AA-FD2E-4A58-A91C-EEFC7D272F8D}"/>
  </w:font>
  <w:font w:name="仿宋_GB2312">
    <w:panose1 w:val="02010609030101010101"/>
    <w:charset w:val="86"/>
    <w:family w:val="modern"/>
    <w:pitch w:val="default"/>
    <w:sig w:usb0="00000001" w:usb1="080E0000" w:usb2="00000000" w:usb3="00000000" w:csb0="00040000" w:csb1="00000000"/>
    <w:embedRegular r:id="rId8" w:fontKey="{01126D6A-0747-424A-BA7D-F2F44A76C09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3422557"/>
    </w:sdtPr>
    <w:sdtEndPr>
      <w:rPr>
        <w:rFonts w:ascii="Times New Roman" w:hAnsi="Times New Roman" w:cs="Times New Roman"/>
        <w:sz w:val="28"/>
        <w:szCs w:val="28"/>
      </w:rPr>
    </w:sdtEndPr>
    <w:sdtContent>
      <w:p w14:paraId="1CB38E24">
        <w:pPr>
          <w:pStyle w:val="8"/>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p>
    </w:sdtContent>
  </w:sdt>
  <w:p w14:paraId="2F60BFF0">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8709134"/>
    </w:sdtPr>
    <w:sdtEndPr>
      <w:rPr>
        <w:rFonts w:ascii="Times New Roman" w:hAnsi="Times New Roman" w:cs="Times New Roman"/>
        <w:sz w:val="28"/>
        <w:szCs w:val="28"/>
      </w:rPr>
    </w:sdtEndPr>
    <w:sdtContent>
      <w:p w14:paraId="5B5E6700">
        <w:pPr>
          <w:pStyle w:val="8"/>
          <w:jc w:val="right"/>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p>
    </w:sdtContent>
  </w:sdt>
  <w:p w14:paraId="4FA2436A">
    <w:pPr>
      <w:pStyle w:val="8"/>
      <w:jc w:val="center"/>
      <w:rPr>
        <w:rFonts w:ascii="Times New Roman" w:hAnsi="Times New Roman"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79825599"/>
    </w:sdtPr>
    <w:sdtContent>
      <w:p w14:paraId="093E78C3">
        <w:pPr>
          <w:pStyle w:val="8"/>
          <w:jc w:val="right"/>
        </w:pP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p>
    </w:sdtContent>
  </w:sdt>
  <w:p w14:paraId="3CAB97F3">
    <w:pPr>
      <w:pStyle w:val="8"/>
      <w:jc w:val="center"/>
      <w:rPr>
        <w:rFonts w:ascii="Times New Roman" w:hAnsi="Times New Roman" w:cs="Times New Roma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7098600"/>
      <w:docPartObj>
        <w:docPartGallery w:val="autotext"/>
      </w:docPartObj>
    </w:sdtPr>
    <w:sdtEndPr>
      <w:rPr>
        <w:rFonts w:ascii="Times New Roman" w:hAnsi="Times New Roman" w:cs="Times New Roman"/>
        <w:sz w:val="28"/>
        <w:szCs w:val="28"/>
      </w:rPr>
    </w:sdtEndPr>
    <w:sdtContent>
      <w:p w14:paraId="42AE9CD3">
        <w:pPr>
          <w:pStyle w:val="8"/>
          <w:jc w:val="right"/>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1607697C">
      <w:pPr>
        <w:pStyle w:val="11"/>
        <w:adjustRightInd w:val="0"/>
        <w:rPr>
          <w:rFonts w:hint="eastAsia" w:asciiTheme="minorEastAsia" w:hAnsiTheme="minorEastAsia" w:cstheme="minorEastAsia"/>
          <w:sz w:val="21"/>
          <w:szCs w:val="21"/>
        </w:rPr>
      </w:pPr>
      <w:r>
        <w:rPr>
          <w:rStyle w:val="21"/>
          <w:rFonts w:hint="eastAsia" w:asciiTheme="minorEastAsia" w:hAnsiTheme="minorEastAsia" w:cstheme="minorEastAsia"/>
          <w:sz w:val="21"/>
          <w:szCs w:val="21"/>
        </w:rPr>
        <w:footnoteRef/>
      </w:r>
      <w:r>
        <w:rPr>
          <w:rFonts w:hint="eastAsia" w:asciiTheme="minorEastAsia" w:hAnsiTheme="minorEastAsia" w:cstheme="minorEastAsia"/>
          <w:sz w:val="21"/>
          <w:szCs w:val="21"/>
        </w:rPr>
        <w:t xml:space="preserve"> “（1）合同工程竣工证书签发后三个月内，承包人向业主递交竣工结算报告及完整的结算资料。（5）承包人如未在规定时间内提供完整的工程竣工结算资料，经业主书面催促后14天内仍未提供或书面明确答复的，业主有权根据已有资料进行审查，所产生的法律责任由承包单位负责。（6）承包人对业主和镇财政有关部门出具的工程竣工结算审核书应在10天给予确认或提出修改意见。”</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hiYzQ1OTE0ODMyY2U3OGViZjIyNGRmN2UwYjI3NWEifQ=="/>
  </w:docVars>
  <w:rsids>
    <w:rsidRoot w:val="2E877524"/>
    <w:rsid w:val="00001561"/>
    <w:rsid w:val="00006938"/>
    <w:rsid w:val="00010C40"/>
    <w:rsid w:val="0002147B"/>
    <w:rsid w:val="00033A90"/>
    <w:rsid w:val="00054134"/>
    <w:rsid w:val="000722AE"/>
    <w:rsid w:val="000729C5"/>
    <w:rsid w:val="00092FCF"/>
    <w:rsid w:val="000A3C80"/>
    <w:rsid w:val="000C55DC"/>
    <w:rsid w:val="000D79A3"/>
    <w:rsid w:val="000F147F"/>
    <w:rsid w:val="00114D49"/>
    <w:rsid w:val="00135BAB"/>
    <w:rsid w:val="001B2DFD"/>
    <w:rsid w:val="001E2897"/>
    <w:rsid w:val="002226EC"/>
    <w:rsid w:val="002C5203"/>
    <w:rsid w:val="002C6B0D"/>
    <w:rsid w:val="00323197"/>
    <w:rsid w:val="00332880"/>
    <w:rsid w:val="00367ABB"/>
    <w:rsid w:val="00392E37"/>
    <w:rsid w:val="003958F6"/>
    <w:rsid w:val="003B784F"/>
    <w:rsid w:val="003D4C53"/>
    <w:rsid w:val="003E4672"/>
    <w:rsid w:val="0045364D"/>
    <w:rsid w:val="00455B14"/>
    <w:rsid w:val="004605EC"/>
    <w:rsid w:val="0047704D"/>
    <w:rsid w:val="004A65C6"/>
    <w:rsid w:val="004B15AC"/>
    <w:rsid w:val="004B587C"/>
    <w:rsid w:val="004E543A"/>
    <w:rsid w:val="005002EC"/>
    <w:rsid w:val="00512097"/>
    <w:rsid w:val="00524280"/>
    <w:rsid w:val="0053122F"/>
    <w:rsid w:val="00531AE9"/>
    <w:rsid w:val="00567732"/>
    <w:rsid w:val="00582D9B"/>
    <w:rsid w:val="005A49A4"/>
    <w:rsid w:val="005A683F"/>
    <w:rsid w:val="00604874"/>
    <w:rsid w:val="0064737C"/>
    <w:rsid w:val="006711F3"/>
    <w:rsid w:val="00672B3A"/>
    <w:rsid w:val="00672D40"/>
    <w:rsid w:val="0068271A"/>
    <w:rsid w:val="006B0C04"/>
    <w:rsid w:val="00742A71"/>
    <w:rsid w:val="007676EC"/>
    <w:rsid w:val="00773B84"/>
    <w:rsid w:val="00777D37"/>
    <w:rsid w:val="007A2BEC"/>
    <w:rsid w:val="007B7986"/>
    <w:rsid w:val="007E3BB1"/>
    <w:rsid w:val="00836F04"/>
    <w:rsid w:val="008562B3"/>
    <w:rsid w:val="008633CC"/>
    <w:rsid w:val="00870F0D"/>
    <w:rsid w:val="00873323"/>
    <w:rsid w:val="00882F68"/>
    <w:rsid w:val="008A039B"/>
    <w:rsid w:val="008D3C08"/>
    <w:rsid w:val="008E641B"/>
    <w:rsid w:val="00936926"/>
    <w:rsid w:val="00942881"/>
    <w:rsid w:val="0096150C"/>
    <w:rsid w:val="009724A1"/>
    <w:rsid w:val="009863BB"/>
    <w:rsid w:val="009A23BD"/>
    <w:rsid w:val="009E2ED6"/>
    <w:rsid w:val="009F2D11"/>
    <w:rsid w:val="009F323B"/>
    <w:rsid w:val="00A12946"/>
    <w:rsid w:val="00A51147"/>
    <w:rsid w:val="00A72691"/>
    <w:rsid w:val="00A72E84"/>
    <w:rsid w:val="00A821F8"/>
    <w:rsid w:val="00AB3272"/>
    <w:rsid w:val="00AB4F31"/>
    <w:rsid w:val="00AB67ED"/>
    <w:rsid w:val="00AD7FBA"/>
    <w:rsid w:val="00B74509"/>
    <w:rsid w:val="00BE71EC"/>
    <w:rsid w:val="00C07B3B"/>
    <w:rsid w:val="00C22FD3"/>
    <w:rsid w:val="00C471F4"/>
    <w:rsid w:val="00C7592C"/>
    <w:rsid w:val="00CB5929"/>
    <w:rsid w:val="00CF6E62"/>
    <w:rsid w:val="00D06CCC"/>
    <w:rsid w:val="00D30338"/>
    <w:rsid w:val="00D807D9"/>
    <w:rsid w:val="00DA6B37"/>
    <w:rsid w:val="00DB2675"/>
    <w:rsid w:val="00DB6EC7"/>
    <w:rsid w:val="00E00DDE"/>
    <w:rsid w:val="00E13DD5"/>
    <w:rsid w:val="00E37B4D"/>
    <w:rsid w:val="00E62A1C"/>
    <w:rsid w:val="00E94B2F"/>
    <w:rsid w:val="00EC1667"/>
    <w:rsid w:val="00EC674E"/>
    <w:rsid w:val="00EE11AE"/>
    <w:rsid w:val="00F7339B"/>
    <w:rsid w:val="00F81D08"/>
    <w:rsid w:val="00FB20B7"/>
    <w:rsid w:val="01022950"/>
    <w:rsid w:val="01621E2C"/>
    <w:rsid w:val="01A53D20"/>
    <w:rsid w:val="01FC78D1"/>
    <w:rsid w:val="03457CFC"/>
    <w:rsid w:val="035D3297"/>
    <w:rsid w:val="036D1000"/>
    <w:rsid w:val="043F2378"/>
    <w:rsid w:val="063876A4"/>
    <w:rsid w:val="06B2043A"/>
    <w:rsid w:val="074B506A"/>
    <w:rsid w:val="08411C7F"/>
    <w:rsid w:val="084F5E8C"/>
    <w:rsid w:val="087C44EA"/>
    <w:rsid w:val="09280DA2"/>
    <w:rsid w:val="092C5685"/>
    <w:rsid w:val="09BA028A"/>
    <w:rsid w:val="0A68475A"/>
    <w:rsid w:val="0AD35995"/>
    <w:rsid w:val="0ADB4305"/>
    <w:rsid w:val="0AEF054D"/>
    <w:rsid w:val="0B6E3B68"/>
    <w:rsid w:val="0D074274"/>
    <w:rsid w:val="0D464D9C"/>
    <w:rsid w:val="0D831B5C"/>
    <w:rsid w:val="0E19600D"/>
    <w:rsid w:val="0E7B6CC7"/>
    <w:rsid w:val="0F9639A1"/>
    <w:rsid w:val="10A0144C"/>
    <w:rsid w:val="126C729B"/>
    <w:rsid w:val="13040AA6"/>
    <w:rsid w:val="134702A2"/>
    <w:rsid w:val="145A112D"/>
    <w:rsid w:val="14787422"/>
    <w:rsid w:val="159863B1"/>
    <w:rsid w:val="15D1779D"/>
    <w:rsid w:val="15FE0691"/>
    <w:rsid w:val="16926E9F"/>
    <w:rsid w:val="16934733"/>
    <w:rsid w:val="16D0115F"/>
    <w:rsid w:val="1726179A"/>
    <w:rsid w:val="17A0154D"/>
    <w:rsid w:val="17BA3ECC"/>
    <w:rsid w:val="18452B6C"/>
    <w:rsid w:val="18837C3A"/>
    <w:rsid w:val="18875DD9"/>
    <w:rsid w:val="18A706B9"/>
    <w:rsid w:val="1900237F"/>
    <w:rsid w:val="19557D16"/>
    <w:rsid w:val="196D0992"/>
    <w:rsid w:val="19726F19"/>
    <w:rsid w:val="19990B19"/>
    <w:rsid w:val="19AA66B3"/>
    <w:rsid w:val="1BFE6842"/>
    <w:rsid w:val="1C601FDA"/>
    <w:rsid w:val="1CB3587E"/>
    <w:rsid w:val="1D5B5FF7"/>
    <w:rsid w:val="1DC81B2F"/>
    <w:rsid w:val="1E124827"/>
    <w:rsid w:val="1E914718"/>
    <w:rsid w:val="1FB931AC"/>
    <w:rsid w:val="209A691B"/>
    <w:rsid w:val="21BE6903"/>
    <w:rsid w:val="21F928FB"/>
    <w:rsid w:val="221B63A0"/>
    <w:rsid w:val="23817832"/>
    <w:rsid w:val="24137B3E"/>
    <w:rsid w:val="241D5390"/>
    <w:rsid w:val="24336690"/>
    <w:rsid w:val="244E1F35"/>
    <w:rsid w:val="24CA7C09"/>
    <w:rsid w:val="24D53F0F"/>
    <w:rsid w:val="261060BD"/>
    <w:rsid w:val="274E3B02"/>
    <w:rsid w:val="27B51DC7"/>
    <w:rsid w:val="284847D7"/>
    <w:rsid w:val="2979112F"/>
    <w:rsid w:val="2A287665"/>
    <w:rsid w:val="2AF95523"/>
    <w:rsid w:val="2B4B5034"/>
    <w:rsid w:val="2B9B40AD"/>
    <w:rsid w:val="2DA0223E"/>
    <w:rsid w:val="2E501DCC"/>
    <w:rsid w:val="2E877524"/>
    <w:rsid w:val="2FED49A5"/>
    <w:rsid w:val="30132AC0"/>
    <w:rsid w:val="309061AB"/>
    <w:rsid w:val="30C25F6E"/>
    <w:rsid w:val="30EE4C7F"/>
    <w:rsid w:val="31012C04"/>
    <w:rsid w:val="31BA3269"/>
    <w:rsid w:val="327F079D"/>
    <w:rsid w:val="32A970B0"/>
    <w:rsid w:val="32B93820"/>
    <w:rsid w:val="333F13BC"/>
    <w:rsid w:val="338B7FD0"/>
    <w:rsid w:val="33AA0442"/>
    <w:rsid w:val="33C53E8E"/>
    <w:rsid w:val="33CA6701"/>
    <w:rsid w:val="344713B1"/>
    <w:rsid w:val="347A09A5"/>
    <w:rsid w:val="347D07F4"/>
    <w:rsid w:val="35003502"/>
    <w:rsid w:val="35727C2D"/>
    <w:rsid w:val="358B2296"/>
    <w:rsid w:val="36961574"/>
    <w:rsid w:val="36AD0103"/>
    <w:rsid w:val="370B1F2F"/>
    <w:rsid w:val="37B37ABA"/>
    <w:rsid w:val="37BE35FD"/>
    <w:rsid w:val="37C130EE"/>
    <w:rsid w:val="38CB34F3"/>
    <w:rsid w:val="3A3A140D"/>
    <w:rsid w:val="3A3F02FA"/>
    <w:rsid w:val="3A414F2A"/>
    <w:rsid w:val="3B4E1A06"/>
    <w:rsid w:val="3C951AAB"/>
    <w:rsid w:val="3C992C21"/>
    <w:rsid w:val="3CED668A"/>
    <w:rsid w:val="3D5E263C"/>
    <w:rsid w:val="3DBF1CD5"/>
    <w:rsid w:val="3E026C88"/>
    <w:rsid w:val="3E442382"/>
    <w:rsid w:val="3E815385"/>
    <w:rsid w:val="401C51BE"/>
    <w:rsid w:val="40303F56"/>
    <w:rsid w:val="40304404"/>
    <w:rsid w:val="404D4669"/>
    <w:rsid w:val="40512B35"/>
    <w:rsid w:val="40765DA0"/>
    <w:rsid w:val="412A4A46"/>
    <w:rsid w:val="4131653D"/>
    <w:rsid w:val="41D26C8D"/>
    <w:rsid w:val="421D7D2F"/>
    <w:rsid w:val="42560F7A"/>
    <w:rsid w:val="43014CE6"/>
    <w:rsid w:val="432307B8"/>
    <w:rsid w:val="433F3028"/>
    <w:rsid w:val="43452E25"/>
    <w:rsid w:val="43C53E42"/>
    <w:rsid w:val="44940FA2"/>
    <w:rsid w:val="453343AB"/>
    <w:rsid w:val="459B7C3D"/>
    <w:rsid w:val="47E7231D"/>
    <w:rsid w:val="48DD58AD"/>
    <w:rsid w:val="4A7E09CA"/>
    <w:rsid w:val="4C531B9D"/>
    <w:rsid w:val="4C8217C5"/>
    <w:rsid w:val="4D7B7443"/>
    <w:rsid w:val="4DAB41CC"/>
    <w:rsid w:val="4DE74FE7"/>
    <w:rsid w:val="4DF30C68"/>
    <w:rsid w:val="4E82530F"/>
    <w:rsid w:val="4F251D5C"/>
    <w:rsid w:val="4F2E74CC"/>
    <w:rsid w:val="4F53428E"/>
    <w:rsid w:val="50365B50"/>
    <w:rsid w:val="50526B81"/>
    <w:rsid w:val="51984A67"/>
    <w:rsid w:val="524A7AF3"/>
    <w:rsid w:val="54134879"/>
    <w:rsid w:val="55741372"/>
    <w:rsid w:val="559B4B26"/>
    <w:rsid w:val="55B41D2B"/>
    <w:rsid w:val="55E06FAE"/>
    <w:rsid w:val="56FE536D"/>
    <w:rsid w:val="57F66044"/>
    <w:rsid w:val="58594D25"/>
    <w:rsid w:val="58BB43F4"/>
    <w:rsid w:val="59945B14"/>
    <w:rsid w:val="5A5A2114"/>
    <w:rsid w:val="5A673229"/>
    <w:rsid w:val="5A8E4C59"/>
    <w:rsid w:val="5B057127"/>
    <w:rsid w:val="5B12588A"/>
    <w:rsid w:val="5B2C16AD"/>
    <w:rsid w:val="5B476E16"/>
    <w:rsid w:val="5BB65925"/>
    <w:rsid w:val="5C212DD9"/>
    <w:rsid w:val="5CCF6E51"/>
    <w:rsid w:val="5D2B35FF"/>
    <w:rsid w:val="5DBD2F24"/>
    <w:rsid w:val="5DC50992"/>
    <w:rsid w:val="5DCA4672"/>
    <w:rsid w:val="5DE30E18"/>
    <w:rsid w:val="5DEC10C2"/>
    <w:rsid w:val="5F222C52"/>
    <w:rsid w:val="5F91350F"/>
    <w:rsid w:val="5F9525E6"/>
    <w:rsid w:val="5FAD7930"/>
    <w:rsid w:val="60025ECE"/>
    <w:rsid w:val="60604DF2"/>
    <w:rsid w:val="625E13B5"/>
    <w:rsid w:val="625F70C2"/>
    <w:rsid w:val="63632E08"/>
    <w:rsid w:val="638B442C"/>
    <w:rsid w:val="63E1229E"/>
    <w:rsid w:val="642301C1"/>
    <w:rsid w:val="648A3299"/>
    <w:rsid w:val="65F00576"/>
    <w:rsid w:val="66647A7C"/>
    <w:rsid w:val="66D168F8"/>
    <w:rsid w:val="66F12DA6"/>
    <w:rsid w:val="674C3ED2"/>
    <w:rsid w:val="677C61C6"/>
    <w:rsid w:val="67A41618"/>
    <w:rsid w:val="68104F00"/>
    <w:rsid w:val="68167F74"/>
    <w:rsid w:val="68BC6EFB"/>
    <w:rsid w:val="69780FAF"/>
    <w:rsid w:val="6A625249"/>
    <w:rsid w:val="6B3E3B32"/>
    <w:rsid w:val="6C010C01"/>
    <w:rsid w:val="6CCB3F99"/>
    <w:rsid w:val="6CCB4CA2"/>
    <w:rsid w:val="6DC742B3"/>
    <w:rsid w:val="6E5F44BF"/>
    <w:rsid w:val="70063363"/>
    <w:rsid w:val="701A337E"/>
    <w:rsid w:val="71107D1F"/>
    <w:rsid w:val="71F65166"/>
    <w:rsid w:val="724040AD"/>
    <w:rsid w:val="724F2AC9"/>
    <w:rsid w:val="72FA0C86"/>
    <w:rsid w:val="73816CB2"/>
    <w:rsid w:val="73DD4830"/>
    <w:rsid w:val="74084EAC"/>
    <w:rsid w:val="74895A91"/>
    <w:rsid w:val="74947BDB"/>
    <w:rsid w:val="758A1A95"/>
    <w:rsid w:val="764222BD"/>
    <w:rsid w:val="7704350D"/>
    <w:rsid w:val="77A77963"/>
    <w:rsid w:val="77C65D3C"/>
    <w:rsid w:val="78E63CCB"/>
    <w:rsid w:val="79701CA2"/>
    <w:rsid w:val="797479F1"/>
    <w:rsid w:val="7A5F6CAC"/>
    <w:rsid w:val="7A8F2F30"/>
    <w:rsid w:val="7AC70D10"/>
    <w:rsid w:val="7B113416"/>
    <w:rsid w:val="7B9B4692"/>
    <w:rsid w:val="7BF1603E"/>
    <w:rsid w:val="7DB15F2A"/>
    <w:rsid w:val="7FF1619B"/>
    <w:rsid w:val="7FFE1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widowControl/>
      <w:spacing w:before="340" w:after="330" w:line="578" w:lineRule="auto"/>
      <w:outlineLvl w:val="0"/>
    </w:pPr>
    <w:rPr>
      <w:rFonts w:ascii="Calibri" w:hAnsi="Calibri" w:eastAsia="宋体" w:cs="Times New Roman"/>
      <w:b/>
      <w:bCs/>
      <w:kern w:val="44"/>
      <w:sz w:val="44"/>
      <w:szCs w:val="44"/>
    </w:rPr>
  </w:style>
  <w:style w:type="paragraph" w:styleId="3">
    <w:name w:val="heading 2"/>
    <w:basedOn w:val="2"/>
    <w:next w:val="1"/>
    <w:unhideWhenUsed/>
    <w:qFormat/>
    <w:uiPriority w:val="0"/>
    <w:pPr>
      <w:keepNext w:val="0"/>
      <w:keepLines w:val="0"/>
      <w:widowControl w:val="0"/>
      <w:adjustRightInd w:val="0"/>
      <w:snapToGrid w:val="0"/>
      <w:spacing w:before="0" w:after="0" w:line="579" w:lineRule="exact"/>
      <w:ind w:firstLine="640" w:firstLineChars="200"/>
      <w:outlineLvl w:val="1"/>
    </w:pPr>
    <w:rPr>
      <w:rFonts w:ascii="Times New Roman" w:hAnsi="Times New Roman" w:eastAsia="楷体_GB2312"/>
      <w:b w:val="0"/>
      <w:bCs w:val="0"/>
      <w:sz w:val="32"/>
      <w:szCs w:val="32"/>
    </w:rPr>
  </w:style>
  <w:style w:type="paragraph" w:styleId="4">
    <w:name w:val="heading 3"/>
    <w:basedOn w:val="1"/>
    <w:next w:val="1"/>
    <w:link w:val="31"/>
    <w:semiHidden/>
    <w:unhideWhenUsed/>
    <w:qFormat/>
    <w:uiPriority w:val="0"/>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4"/>
    <w:qFormat/>
    <w:uiPriority w:val="0"/>
    <w:pPr>
      <w:jc w:val="left"/>
    </w:pPr>
  </w:style>
  <w:style w:type="paragraph" w:styleId="6">
    <w:name w:val="Body Text"/>
    <w:basedOn w:val="1"/>
    <w:autoRedefine/>
    <w:semiHidden/>
    <w:qFormat/>
    <w:uiPriority w:val="0"/>
    <w:rPr>
      <w:rFonts w:ascii="仿宋" w:hAnsi="仿宋" w:eastAsia="仿宋" w:cs="仿宋"/>
      <w:sz w:val="36"/>
      <w:szCs w:val="36"/>
      <w:lang w:eastAsia="en-US"/>
    </w:rPr>
  </w:style>
  <w:style w:type="paragraph" w:styleId="7">
    <w:name w:val="toc 3"/>
    <w:basedOn w:val="1"/>
    <w:next w:val="1"/>
    <w:autoRedefine/>
    <w:unhideWhenUsed/>
    <w:qFormat/>
    <w:uiPriority w:val="39"/>
    <w:pPr>
      <w:ind w:left="840" w:leftChars="400"/>
    </w:pPr>
  </w:style>
  <w:style w:type="paragraph" w:styleId="8">
    <w:name w:val="footer"/>
    <w:basedOn w:val="1"/>
    <w:link w:val="29"/>
    <w:autoRedefine/>
    <w:unhideWhenUsed/>
    <w:qFormat/>
    <w:uiPriority w:val="99"/>
    <w:pPr>
      <w:tabs>
        <w:tab w:val="center" w:pos="4153"/>
        <w:tab w:val="right" w:pos="8306"/>
      </w:tabs>
      <w:snapToGrid w:val="0"/>
      <w:jc w:val="left"/>
    </w:pPr>
    <w:rPr>
      <w:sz w:val="18"/>
      <w:szCs w:val="18"/>
    </w:rPr>
  </w:style>
  <w:style w:type="paragraph" w:styleId="9">
    <w:name w:val="header"/>
    <w:basedOn w:val="1"/>
    <w:link w:val="28"/>
    <w:autoRedefine/>
    <w:qFormat/>
    <w:uiPriority w:val="0"/>
    <w:pPr>
      <w:tabs>
        <w:tab w:val="center" w:pos="4153"/>
        <w:tab w:val="right" w:pos="8306"/>
      </w:tabs>
      <w:snapToGrid w:val="0"/>
      <w:jc w:val="center"/>
    </w:pPr>
    <w:rPr>
      <w:sz w:val="18"/>
      <w:szCs w:val="18"/>
    </w:rPr>
  </w:style>
  <w:style w:type="paragraph" w:styleId="10">
    <w:name w:val="toc 1"/>
    <w:basedOn w:val="1"/>
    <w:next w:val="1"/>
    <w:autoRedefine/>
    <w:unhideWhenUsed/>
    <w:qFormat/>
    <w:uiPriority w:val="39"/>
  </w:style>
  <w:style w:type="paragraph" w:styleId="11">
    <w:name w:val="footnote text"/>
    <w:basedOn w:val="1"/>
    <w:link w:val="30"/>
    <w:qFormat/>
    <w:uiPriority w:val="0"/>
    <w:pPr>
      <w:snapToGrid w:val="0"/>
      <w:jc w:val="left"/>
    </w:pPr>
    <w:rPr>
      <w:sz w:val="18"/>
      <w:szCs w:val="18"/>
    </w:rPr>
  </w:style>
  <w:style w:type="paragraph" w:styleId="12">
    <w:name w:val="toc 2"/>
    <w:basedOn w:val="1"/>
    <w:next w:val="1"/>
    <w:autoRedefine/>
    <w:unhideWhenUsed/>
    <w:qFormat/>
    <w:uiPriority w:val="39"/>
    <w:pPr>
      <w:tabs>
        <w:tab w:val="right" w:leader="dot" w:pos="8835"/>
      </w:tabs>
      <w:ind w:left="420" w:leftChars="200"/>
    </w:pPr>
    <w:rPr>
      <w:rFonts w:ascii="楷体_GB2312" w:eastAsia="楷体_GB2312"/>
      <w:sz w:val="28"/>
      <w:szCs w:val="28"/>
    </w:rPr>
  </w:style>
  <w:style w:type="paragraph" w:styleId="13">
    <w:name w:val="Normal (Web)"/>
    <w:basedOn w:val="1"/>
    <w:autoRedefine/>
    <w:qFormat/>
    <w:uiPriority w:val="0"/>
    <w:pPr>
      <w:spacing w:beforeAutospacing="1" w:afterAutospacing="1"/>
      <w:jc w:val="left"/>
    </w:pPr>
    <w:rPr>
      <w:rFonts w:cs="Times New Roman"/>
      <w:kern w:val="0"/>
      <w:sz w:val="24"/>
    </w:rPr>
  </w:style>
  <w:style w:type="paragraph" w:styleId="14">
    <w:name w:val="annotation subject"/>
    <w:basedOn w:val="5"/>
    <w:next w:val="5"/>
    <w:link w:val="35"/>
    <w:qFormat/>
    <w:uiPriority w:val="0"/>
    <w:rPr>
      <w:b/>
      <w:bCs/>
    </w:rPr>
  </w:style>
  <w:style w:type="table" w:styleId="16">
    <w:name w:val="Table Grid"/>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autoRedefine/>
    <w:qFormat/>
    <w:uiPriority w:val="0"/>
    <w:rPr>
      <w:b/>
    </w:rPr>
  </w:style>
  <w:style w:type="character" w:styleId="19">
    <w:name w:val="Hyperlink"/>
    <w:basedOn w:val="17"/>
    <w:unhideWhenUsed/>
    <w:qFormat/>
    <w:uiPriority w:val="99"/>
    <w:rPr>
      <w:color w:val="0026E5" w:themeColor="hyperlink"/>
      <w:u w:val="single"/>
      <w14:textFill>
        <w14:solidFill>
          <w14:schemeClr w14:val="hlink"/>
        </w14:solidFill>
      </w14:textFill>
    </w:rPr>
  </w:style>
  <w:style w:type="character" w:styleId="20">
    <w:name w:val="annotation reference"/>
    <w:basedOn w:val="17"/>
    <w:qFormat/>
    <w:uiPriority w:val="0"/>
    <w:rPr>
      <w:sz w:val="21"/>
      <w:szCs w:val="21"/>
    </w:rPr>
  </w:style>
  <w:style w:type="character" w:styleId="21">
    <w:name w:val="footnote reference"/>
    <w:basedOn w:val="17"/>
    <w:qFormat/>
    <w:uiPriority w:val="0"/>
    <w:rPr>
      <w:vertAlign w:val="superscript"/>
    </w:rPr>
  </w:style>
  <w:style w:type="paragraph" w:customStyle="1" w:styleId="22">
    <w:name w:val="TOC 标题1"/>
    <w:basedOn w:val="2"/>
    <w:next w:val="1"/>
    <w:autoRedefine/>
    <w:unhideWhenUsed/>
    <w:qFormat/>
    <w:uiPriority w:val="39"/>
    <w:pPr>
      <w:spacing w:before="240" w:after="0" w:line="579" w:lineRule="exact"/>
      <w:jc w:val="center"/>
      <w:outlineLvl w:val="9"/>
    </w:pPr>
    <w:rPr>
      <w:rFonts w:asciiTheme="majorHAnsi" w:hAnsiTheme="majorHAnsi" w:eastAsiaTheme="majorEastAsia" w:cstheme="majorBidi"/>
      <w:b w:val="0"/>
      <w:bCs w:val="0"/>
      <w:color w:val="2E54A1" w:themeColor="accent1" w:themeShade="BF"/>
      <w:kern w:val="0"/>
      <w:sz w:val="32"/>
      <w:szCs w:val="32"/>
    </w:rPr>
  </w:style>
  <w:style w:type="paragraph" w:customStyle="1" w:styleId="23">
    <w:name w:val="正文1"/>
    <w:autoRedefine/>
    <w:qFormat/>
    <w:uiPriority w:val="0"/>
    <w:pPr>
      <w:jc w:val="both"/>
    </w:pPr>
    <w:rPr>
      <w:rFonts w:ascii="Times New Roman" w:hAnsi="Times New Roman" w:eastAsia="宋体" w:cs="Times New Roman"/>
      <w:kern w:val="2"/>
      <w:sz w:val="21"/>
      <w:szCs w:val="21"/>
      <w:lang w:val="en-US" w:eastAsia="zh-CN" w:bidi="ar-SA"/>
    </w:rPr>
  </w:style>
  <w:style w:type="table" w:customStyle="1" w:styleId="24">
    <w:name w:val="网格型1"/>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5">
    <w:name w:val="font31"/>
    <w:basedOn w:val="17"/>
    <w:autoRedefine/>
    <w:qFormat/>
    <w:uiPriority w:val="0"/>
    <w:rPr>
      <w:rFonts w:hint="eastAsia" w:ascii="宋体" w:hAnsi="宋体" w:eastAsia="宋体" w:cs="宋体"/>
      <w:color w:val="000000"/>
      <w:sz w:val="24"/>
      <w:szCs w:val="24"/>
      <w:u w:val="none"/>
    </w:rPr>
  </w:style>
  <w:style w:type="paragraph" w:customStyle="1" w:styleId="26">
    <w:name w:val="Table Text"/>
    <w:basedOn w:val="1"/>
    <w:autoRedefine/>
    <w:semiHidden/>
    <w:qFormat/>
    <w:uiPriority w:val="0"/>
    <w:rPr>
      <w:rFonts w:ascii="宋体" w:hAnsi="宋体" w:eastAsia="宋体" w:cs="宋体"/>
      <w:sz w:val="24"/>
      <w:szCs w:val="24"/>
      <w:lang w:eastAsia="en-US"/>
    </w:rPr>
  </w:style>
  <w:style w:type="table" w:customStyle="1" w:styleId="27">
    <w:name w:val="Table Normal"/>
    <w:autoRedefine/>
    <w:semiHidden/>
    <w:unhideWhenUsed/>
    <w:qFormat/>
    <w:uiPriority w:val="0"/>
    <w:tblPr>
      <w:tblCellMar>
        <w:top w:w="0" w:type="dxa"/>
        <w:left w:w="0" w:type="dxa"/>
        <w:bottom w:w="0" w:type="dxa"/>
        <w:right w:w="0" w:type="dxa"/>
      </w:tblCellMar>
    </w:tblPr>
  </w:style>
  <w:style w:type="character" w:customStyle="1" w:styleId="28">
    <w:name w:val="页眉 字符"/>
    <w:basedOn w:val="17"/>
    <w:link w:val="9"/>
    <w:autoRedefine/>
    <w:qFormat/>
    <w:uiPriority w:val="0"/>
    <w:rPr>
      <w:rFonts w:asciiTheme="minorHAnsi" w:hAnsiTheme="minorHAnsi" w:eastAsiaTheme="minorEastAsia" w:cstheme="minorBidi"/>
      <w:kern w:val="2"/>
      <w:sz w:val="18"/>
      <w:szCs w:val="18"/>
    </w:rPr>
  </w:style>
  <w:style w:type="character" w:customStyle="1" w:styleId="29">
    <w:name w:val="页脚 字符"/>
    <w:basedOn w:val="17"/>
    <w:link w:val="8"/>
    <w:autoRedefine/>
    <w:qFormat/>
    <w:uiPriority w:val="99"/>
    <w:rPr>
      <w:rFonts w:asciiTheme="minorHAnsi" w:hAnsiTheme="minorHAnsi" w:eastAsiaTheme="minorEastAsia" w:cstheme="minorBidi"/>
      <w:kern w:val="2"/>
      <w:sz w:val="18"/>
      <w:szCs w:val="18"/>
    </w:rPr>
  </w:style>
  <w:style w:type="character" w:customStyle="1" w:styleId="30">
    <w:name w:val="脚注文本 字符"/>
    <w:basedOn w:val="17"/>
    <w:link w:val="11"/>
    <w:qFormat/>
    <w:uiPriority w:val="0"/>
    <w:rPr>
      <w:rFonts w:asciiTheme="minorHAnsi" w:hAnsiTheme="minorHAnsi" w:eastAsiaTheme="minorEastAsia" w:cstheme="minorBidi"/>
      <w:kern w:val="2"/>
      <w:sz w:val="18"/>
      <w:szCs w:val="18"/>
    </w:rPr>
  </w:style>
  <w:style w:type="character" w:customStyle="1" w:styleId="31">
    <w:name w:val="标题 3 字符"/>
    <w:basedOn w:val="17"/>
    <w:link w:val="4"/>
    <w:semiHidden/>
    <w:qFormat/>
    <w:uiPriority w:val="0"/>
    <w:rPr>
      <w:rFonts w:asciiTheme="minorHAnsi" w:hAnsiTheme="minorHAnsi" w:eastAsiaTheme="minorEastAsia" w:cstheme="minorBidi"/>
      <w:b/>
      <w:bCs/>
      <w:kern w:val="2"/>
      <w:sz w:val="32"/>
      <w:szCs w:val="32"/>
    </w:rPr>
  </w:style>
  <w:style w:type="paragraph" w:customStyle="1" w:styleId="32">
    <w:name w:val="修订1"/>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33">
    <w:name w:val="Revision"/>
    <w:hidden/>
    <w:unhideWhenUsed/>
    <w:qFormat/>
    <w:uiPriority w:val="99"/>
    <w:rPr>
      <w:rFonts w:asciiTheme="minorHAnsi" w:hAnsiTheme="minorHAnsi" w:eastAsiaTheme="minorEastAsia" w:cstheme="minorBidi"/>
      <w:kern w:val="2"/>
      <w:sz w:val="21"/>
      <w:szCs w:val="22"/>
      <w:lang w:val="en-US" w:eastAsia="zh-CN" w:bidi="ar-SA"/>
    </w:rPr>
  </w:style>
  <w:style w:type="character" w:customStyle="1" w:styleId="34">
    <w:name w:val="批注文字 字符"/>
    <w:basedOn w:val="17"/>
    <w:link w:val="5"/>
    <w:qFormat/>
    <w:uiPriority w:val="0"/>
    <w:rPr>
      <w:rFonts w:asciiTheme="minorHAnsi" w:hAnsiTheme="minorHAnsi" w:eastAsiaTheme="minorEastAsia" w:cstheme="minorBidi"/>
      <w:kern w:val="2"/>
      <w:sz w:val="21"/>
      <w:szCs w:val="22"/>
    </w:rPr>
  </w:style>
  <w:style w:type="character" w:customStyle="1" w:styleId="35">
    <w:name w:val="批注主题 字符"/>
    <w:basedOn w:val="34"/>
    <w:link w:val="14"/>
    <w:qFormat/>
    <w:uiPriority w:val="0"/>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49</Pages>
  <Words>7032</Words>
  <Characters>7856</Characters>
  <Lines>243</Lines>
  <Paragraphs>68</Paragraphs>
  <TotalTime>147</TotalTime>
  <ScaleCrop>false</ScaleCrop>
  <LinksUpToDate>false</LinksUpToDate>
  <CharactersWithSpaces>8085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2024-07-17T08:46:00Z</dcterms:created>
  <dc:creator>跳跳虎</dc:creator>
  <cp:lastModifiedBy>黄敏怡</cp:lastModifiedBy>
  <cp:lastPrinted>2024-10-24T06:20:00Z</cp:lastPrinted>
  <dcterms:modified xsi:type="dcterms:W3CDTF">2024-11-21T07:14:26Z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AF72743EC66A4DA2AE6D5D50DD0BDBDF_13</vt:lpwstr>
  </property>
</Properties>
</file>