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东莞市人民政府国有资产监督管理委员会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年度重大行政决策事项目录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4"/>
        <w:tblW w:w="959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5693"/>
        <w:gridCol w:w="26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38" w:hRule="atLeast"/>
          <w:jc w:val="center"/>
        </w:trPr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569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</w:rPr>
              <w:t>决策事项名称</w:t>
            </w:r>
          </w:p>
        </w:tc>
        <w:tc>
          <w:tcPr>
            <w:tcW w:w="265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责任科室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</w:rPr>
              <w:t>1</w:t>
            </w:r>
          </w:p>
        </w:tc>
        <w:tc>
          <w:tcPr>
            <w:tcW w:w="5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Times New Roman" w:hAnsi="Times New Roman" w:cs="仿宋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研究制定</w:t>
            </w:r>
            <w:r>
              <w:rPr>
                <w:rFonts w:hint="eastAsia" w:ascii="Times New Roman" w:hAnsi="Times New Roman" w:cs="仿宋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东莞市市属企业内部审计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管理办法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仿宋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考核监督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研究制定</w:t>
            </w:r>
            <w:r>
              <w:rPr>
                <w:rFonts w:hint="eastAsia" w:ascii="Times New Roman" w:hAnsi="Times New Roman" w:cs="仿宋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东莞市高质量发展基金体系下市属企业市场型产业基金管理办法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仿宋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规划发展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A29B3"/>
    <w:rsid w:val="2B2A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2024-07-03T06:26:00Z</dcterms:created>
  <dc:creator>Administrator</dc:creator>
  <cp:lastModifiedBy>Administrator</cp:lastModifiedBy>
  <dcterms:modified xsi:type="dcterms:W3CDTF">2024-07-03T06:31:00Z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