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type="textWrapping"/>
      </w:r>
      <w:r>
        <w:br w:type="textWrapping"/>
      </w:r>
      <w:r>
        <w:br w:type="textWrapping"/>
      </w:r>
      <w:r>
        <w:br w:type="textWrapping"/>
      </w:r>
      <w:r>
        <w:br w:type="textWrapping"/>
      </w:r>
    </w:p>
    <w:p>
      <w:pPr>
        <w:jc w:val="center"/>
      </w:pPr>
      <w:r>
        <w:rPr>
          <w:b/>
          <w:sz w:val="48"/>
        </w:rPr>
        <w:t>广东省政府采购</w:t>
      </w:r>
    </w:p>
    <w:p/>
    <w:p>
      <w:pPr>
        <w:jc w:val="center"/>
      </w:pPr>
      <w:r>
        <w:rPr>
          <w:b/>
          <w:sz w:val="48"/>
        </w:rPr>
        <w:t>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采购计划编号：441900030-2023-00575</w:t>
      </w:r>
    </w:p>
    <w:p>
      <w:pPr>
        <w:jc w:val="center"/>
      </w:pPr>
      <w:r>
        <w:rPr>
          <w:b/>
          <w:sz w:val="24"/>
        </w:rPr>
        <w:t>采购项目编号：441900030-2023-00575</w:t>
      </w:r>
    </w:p>
    <w:p>
      <w:pPr>
        <w:jc w:val="center"/>
      </w:pPr>
      <w:r>
        <w:rPr>
          <w:b/>
          <w:sz w:val="24"/>
        </w:rPr>
        <w:t>项目名称：东莞市沙田镇专职消防队码头分站消防车采购项目</w:t>
      </w:r>
    </w:p>
    <w:p>
      <w:pPr>
        <w:jc w:val="center"/>
      </w:pPr>
      <w:r>
        <w:rPr>
          <w:b/>
          <w:sz w:val="24"/>
        </w:rPr>
        <w:t>采购人：东莞市沙田镇专职消防队</w:t>
      </w:r>
    </w:p>
    <w:p>
      <w:pPr>
        <w:jc w:val="center"/>
      </w:pPr>
      <w:r>
        <w:rPr>
          <w:b/>
          <w:sz w:val="24"/>
        </w:rPr>
        <w:t>采购代理机构：广东正德招标有限公司</w:t>
      </w:r>
    </w:p>
    <w:p>
      <w:pPr>
        <w:ind w:firstLine="480"/>
      </w:pPr>
    </w:p>
    <w:p>
      <w:r>
        <w:t xml:space="preserve"> </w:t>
      </w:r>
    </w:p>
    <w:p/>
    <w:p>
      <w:pPr>
        <w:jc w:val="center"/>
      </w:pPr>
      <w:r>
        <w:rPr>
          <w:b/>
          <w:sz w:val="36"/>
        </w:rPr>
        <w:t>第一章投标邀请</w:t>
      </w:r>
    </w:p>
    <w:p>
      <w:pPr>
        <w:ind w:firstLine="480"/>
      </w:pPr>
      <w:r>
        <w:t>广东正德招标有限公司受东莞市沙田镇专职消防队的委托，采用公开招标方式组织采购东莞市沙田镇专职消防队码头分站消防车采购项目。欢迎符合资格条件的国内供应商参加投标。</w:t>
      </w:r>
    </w:p>
    <w:p>
      <w:r>
        <w:rPr>
          <w:b/>
          <w:sz w:val="28"/>
        </w:rPr>
        <w:t>一.项目概述</w:t>
      </w:r>
    </w:p>
    <w:p>
      <w:r>
        <w:rPr>
          <w:b/>
          <w:sz w:val="24"/>
        </w:rPr>
        <w:t>1.名称与编号</w:t>
      </w:r>
    </w:p>
    <w:p>
      <w:pPr>
        <w:ind w:firstLine="480"/>
      </w:pPr>
      <w:r>
        <w:t>项目名称：东莞市沙田镇专职消防队码头分站消防车采购项目</w:t>
      </w:r>
    </w:p>
    <w:p>
      <w:pPr>
        <w:ind w:firstLine="480"/>
      </w:pPr>
      <w:r>
        <w:t>采购计划编号：441900030-2023-00575</w:t>
      </w:r>
    </w:p>
    <w:p>
      <w:pPr>
        <w:ind w:firstLine="480"/>
      </w:pPr>
      <w:r>
        <w:t>采购项目编号：441900030-2023-00575</w:t>
      </w:r>
    </w:p>
    <w:p>
      <w:pPr>
        <w:ind w:firstLine="480"/>
      </w:pPr>
      <w:r>
        <w:t>采购方式：公开招标</w:t>
      </w:r>
    </w:p>
    <w:p>
      <w:pPr>
        <w:ind w:firstLine="480"/>
      </w:pPr>
      <w:r>
        <w:t>预算金额：5,580,000.00元</w:t>
      </w:r>
    </w:p>
    <w:p>
      <w:r>
        <w:rPr>
          <w:b/>
          <w:sz w:val="24"/>
        </w:rPr>
        <w:t>2.项目内容及需求情况（采购项目技术规格、参数及要求）</w:t>
      </w:r>
    </w:p>
    <w:p>
      <w:pPr>
        <w:ind w:firstLine="480"/>
      </w:pPr>
    </w:p>
    <w:p/>
    <w:p>
      <w:r>
        <w:t>采购包1(举高喷射消防车):</w:t>
      </w:r>
    </w:p>
    <w:p>
      <w:r>
        <w:t>采购包预算金额：3,100,000.00元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品目号</w:t>
            </w:r>
          </w:p>
        </w:tc>
        <w:tc>
          <w:tcPr>
            <w:tcW w:w="1424" w:type="dxa"/>
          </w:tcPr>
          <w:p>
            <w:r>
              <w:t>品目名称</w:t>
            </w:r>
          </w:p>
        </w:tc>
        <w:tc>
          <w:tcPr>
            <w:tcW w:w="2136" w:type="dxa"/>
          </w:tcPr>
          <w:p>
            <w:r>
              <w:t>采购标的</w:t>
            </w:r>
          </w:p>
        </w:tc>
        <w:tc>
          <w:tcPr>
            <w:tcW w:w="1187" w:type="dxa"/>
          </w:tcPr>
          <w:p>
            <w:r>
              <w:t>数量（单位）</w:t>
            </w:r>
          </w:p>
        </w:tc>
        <w:tc>
          <w:tcPr>
            <w:tcW w:w="1187" w:type="dxa"/>
          </w:tcPr>
          <w:p>
            <w:r>
              <w:t>技术规格、参数及要求</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1-1</w:t>
            </w:r>
          </w:p>
        </w:tc>
        <w:tc>
          <w:tcPr>
            <w:tcW w:w="1424" w:type="dxa"/>
          </w:tcPr>
          <w:p>
            <w:r>
              <w:t>消防车</w:t>
            </w:r>
          </w:p>
        </w:tc>
        <w:tc>
          <w:tcPr>
            <w:tcW w:w="2136" w:type="dxa"/>
          </w:tcPr>
          <w:p>
            <w:r>
              <w:t>举高喷射消防车</w:t>
            </w:r>
          </w:p>
        </w:tc>
        <w:tc>
          <w:tcPr>
            <w:tcW w:w="1187" w:type="dxa"/>
          </w:tcPr>
          <w:p>
            <w:r>
              <w:t>1.00(辆)</w:t>
            </w:r>
          </w:p>
        </w:tc>
        <w:tc>
          <w:tcPr>
            <w:tcW w:w="1187" w:type="dxa"/>
          </w:tcPr>
          <w:p>
            <w:r>
              <w:t>详见第二章</w:t>
            </w:r>
          </w:p>
        </w:tc>
        <w:tc>
          <w:tcPr>
            <w:tcW w:w="1187" w:type="dxa"/>
          </w:tcPr>
          <w:p>
            <w:r>
              <w:t>否</w:t>
            </w:r>
          </w:p>
        </w:tc>
      </w:tr>
    </w:tbl>
    <w:p/>
    <w:p>
      <w:r>
        <w:t>本采购包不接受联合体投标</w:t>
      </w:r>
    </w:p>
    <w:p/>
    <w:p>
      <w:r>
        <w:t>合同履行期限：自合同签订生效之日起180天内完成交货及安装调试。</w:t>
      </w:r>
    </w:p>
    <w:p/>
    <w:p>
      <w:r>
        <w:t>采购包2(城市主战消防车):</w:t>
      </w:r>
    </w:p>
    <w:p>
      <w:r>
        <w:t>采购包预算金额：2,480,000.00元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品目号</w:t>
            </w:r>
          </w:p>
        </w:tc>
        <w:tc>
          <w:tcPr>
            <w:tcW w:w="1424" w:type="dxa"/>
          </w:tcPr>
          <w:p>
            <w:r>
              <w:t>品目名称</w:t>
            </w:r>
          </w:p>
        </w:tc>
        <w:tc>
          <w:tcPr>
            <w:tcW w:w="2136" w:type="dxa"/>
          </w:tcPr>
          <w:p>
            <w:r>
              <w:t>采购标的</w:t>
            </w:r>
          </w:p>
        </w:tc>
        <w:tc>
          <w:tcPr>
            <w:tcW w:w="1187" w:type="dxa"/>
          </w:tcPr>
          <w:p>
            <w:r>
              <w:t>数量（单位）</w:t>
            </w:r>
          </w:p>
        </w:tc>
        <w:tc>
          <w:tcPr>
            <w:tcW w:w="1187" w:type="dxa"/>
          </w:tcPr>
          <w:p>
            <w:r>
              <w:t>技术规格、参数及要求</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2-1</w:t>
            </w:r>
          </w:p>
        </w:tc>
        <w:tc>
          <w:tcPr>
            <w:tcW w:w="1424" w:type="dxa"/>
          </w:tcPr>
          <w:p>
            <w:r>
              <w:t>消防车</w:t>
            </w:r>
          </w:p>
        </w:tc>
        <w:tc>
          <w:tcPr>
            <w:tcW w:w="2136" w:type="dxa"/>
          </w:tcPr>
          <w:p>
            <w:r>
              <w:t>城市主战消防车</w:t>
            </w:r>
          </w:p>
        </w:tc>
        <w:tc>
          <w:tcPr>
            <w:tcW w:w="1187" w:type="dxa"/>
          </w:tcPr>
          <w:p>
            <w:r>
              <w:t>1.00(辆)</w:t>
            </w:r>
          </w:p>
        </w:tc>
        <w:tc>
          <w:tcPr>
            <w:tcW w:w="1187" w:type="dxa"/>
          </w:tcPr>
          <w:p>
            <w:r>
              <w:t>详见第二章</w:t>
            </w:r>
          </w:p>
        </w:tc>
        <w:tc>
          <w:tcPr>
            <w:tcW w:w="1187" w:type="dxa"/>
          </w:tcPr>
          <w:p>
            <w:r>
              <w:t>否</w:t>
            </w:r>
          </w:p>
        </w:tc>
      </w:tr>
    </w:tbl>
    <w:p/>
    <w:p>
      <w:r>
        <w:t>本采购包不接受联合体投标</w:t>
      </w:r>
    </w:p>
    <w:p/>
    <w:p>
      <w:r>
        <w:t>合同履行期限：自合同签订生效之日起180天内完成交货及安装调试。</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1）具有独立承担民事责任的能力：在中华人民共和国境内注册的法人或其他组织或自然人，投标（响应）时提交有效的营业执照（或事业法人登记证或身份证等相关证明）复印件。</w:t>
      </w:r>
    </w:p>
    <w:p/>
    <w:p>
      <w:r>
        <w:t>2）有依法缴纳税收和社会保障资金的良好记录：提供投标截止日前6个月内任意1个月依法缴纳税收和社会保障资金的相关材料（或提供资格条件承诺函）。如依法免税或不需要缴纳社会保障资金的，提供相应证明材料。</w:t>
      </w:r>
    </w:p>
    <w:p/>
    <w:p>
      <w:r>
        <w:t>3）具有良好的商业信誉和健全的财务会计制度：供应商必须具有良好的商业信誉和健全的财务会计制度（提供2022年度财务状况报告或基本开户行出具的资信证明）（或提供资格条件承诺函）。</w:t>
      </w:r>
    </w:p>
    <w:p/>
    <w:p>
      <w:r>
        <w:t>4）履行合同所必需的设备和专业技术能力：按投标（响应）文件格式填报设备及专业技术能力情况（或提供资格条件承诺函）。</w:t>
      </w:r>
    </w:p>
    <w:p/>
    <w:p>
      <w:r>
        <w:t>5）参加采购活动前3年内，在经营活动中没有重大违法记录：参照投标（报价）函相关承诺格式内容（或提供资格条件承诺函）。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t>采购包1（举高喷射消防车）：本项目不属于专门面向中小企业采购。</w:t>
      </w:r>
    </w:p>
    <w:p>
      <w:pPr>
        <w:jc w:val="left"/>
      </w:pPr>
    </w:p>
    <w:p>
      <w:r>
        <w:t>采购包2（城市主战消防车）：本项目不属于专门面向中小企业采购。</w:t>
      </w:r>
    </w:p>
    <w:p/>
    <w:p>
      <w:r>
        <w:rPr>
          <w:b/>
          <w:sz w:val="24"/>
        </w:rPr>
        <w:t>3.本项目特定的资格要求：</w:t>
      </w:r>
    </w:p>
    <w:p>
      <w:pPr>
        <w:ind w:firstLine="480"/>
      </w:pPr>
    </w:p>
    <w:p/>
    <w:p>
      <w:r>
        <w:t>采购包1（举高喷射消防车）：</w:t>
      </w:r>
    </w:p>
    <w:p/>
    <w:p>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t>采购包2（城市主战消防车）：</w:t>
      </w:r>
    </w:p>
    <w:p/>
    <w:p>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w:t>
      </w:r>
      <w:bookmarkStart w:id="0" w:name="_GoBack"/>
      <w:bookmarkEnd w:id="0"/>
      <w:r>
        <w:t>广东正德招标有限公司网站；中国东莞沙田频道（http://www.dg.gov.cn/shatian/）</w:t>
      </w:r>
    </w:p>
    <w:p>
      <w:r>
        <w:rPr>
          <w:b/>
          <w:sz w:val="28"/>
        </w:rPr>
        <w:t>六.本项目联系方式：</w:t>
      </w:r>
    </w:p>
    <w:p>
      <w:r>
        <w:rPr>
          <w:b/>
          <w:sz w:val="24"/>
        </w:rPr>
        <w:t>1.采购人信息</w:t>
      </w:r>
    </w:p>
    <w:p>
      <w:pPr>
        <w:ind w:firstLine="480"/>
      </w:pPr>
      <w:r>
        <w:t>名称：东莞市沙田镇专职消防队</w:t>
      </w:r>
    </w:p>
    <w:p>
      <w:pPr>
        <w:ind w:firstLine="480"/>
      </w:pPr>
      <w:r>
        <w:t>地址：东莞市沙田镇沿河路149号消防大队</w:t>
      </w:r>
    </w:p>
    <w:p>
      <w:pPr>
        <w:ind w:firstLine="480"/>
      </w:pPr>
      <w:r>
        <w:t>联系方式：0769-88663119</w:t>
      </w:r>
    </w:p>
    <w:p>
      <w:r>
        <w:rPr>
          <w:b/>
          <w:sz w:val="24"/>
        </w:rPr>
        <w:t>2.采购代理机构信息</w:t>
      </w:r>
    </w:p>
    <w:p>
      <w:pPr>
        <w:ind w:firstLine="480"/>
      </w:pPr>
      <w:r>
        <w:t>名称：广东正德招标有限公司</w:t>
      </w:r>
    </w:p>
    <w:p>
      <w:pPr>
        <w:ind w:firstLine="480"/>
      </w:pPr>
      <w:r>
        <w:t>地址：东莞市南城街道西平社区下手新村一巷17号</w:t>
      </w:r>
    </w:p>
    <w:p>
      <w:pPr>
        <w:ind w:firstLine="480"/>
      </w:pPr>
      <w:r>
        <w:t>联系方式：0769-22682666</w:t>
      </w:r>
    </w:p>
    <w:p>
      <w:r>
        <w:rPr>
          <w:b/>
          <w:sz w:val="24"/>
        </w:rPr>
        <w:t>3.项目联系方式</w:t>
      </w:r>
    </w:p>
    <w:p>
      <w:pPr>
        <w:ind w:firstLine="480"/>
      </w:pPr>
      <w:r>
        <w:t>项目联系人：李先生</w:t>
      </w:r>
    </w:p>
    <w:p>
      <w:pPr>
        <w:ind w:firstLine="480"/>
      </w:pPr>
      <w:r>
        <w:t>电话：0769-22682666</w:t>
      </w:r>
    </w:p>
    <w:p>
      <w:r>
        <w:rPr>
          <w:b/>
          <w:sz w:val="24"/>
        </w:rPr>
        <w:t>4.技术支持联系方式</w:t>
      </w:r>
    </w:p>
    <w:p>
      <w:pPr>
        <w:ind w:firstLine="480"/>
      </w:pPr>
      <w:r>
        <w:t>云平台联系方式：020-88696588</w:t>
      </w:r>
    </w:p>
    <w:p>
      <w:r>
        <w:t>采购代理机构：广东正德招标有限公司</w:t>
      </w:r>
    </w:p>
    <w:p>
      <w:pPr>
        <w:ind w:firstLine="480"/>
      </w:pPr>
    </w:p>
    <w:p>
      <w:r>
        <w:t xml:space="preserve"> </w:t>
      </w:r>
    </w:p>
    <w:p/>
    <w:p>
      <w:pPr>
        <w:jc w:val="center"/>
      </w:pPr>
      <w:r>
        <w:rPr>
          <w:b/>
          <w:sz w:val="36"/>
        </w:rPr>
        <w:t>第二章 采购需求</w:t>
      </w:r>
    </w:p>
    <w:p>
      <w:r>
        <w:rPr>
          <w:b/>
          <w:sz w:val="28"/>
        </w:rPr>
        <w:t>一、项目概况：</w:t>
      </w:r>
    </w:p>
    <w:p>
      <w:pPr>
        <w:ind w:firstLine="480"/>
      </w:pPr>
    </w:p>
    <w:p/>
    <w:p>
      <w:r>
        <w:rPr>
          <w:sz w:val="22"/>
        </w:rPr>
        <w:t>东莞市沙田镇专职消防队现需采购码头分站消防车两辆。</w:t>
      </w:r>
    </w:p>
    <w:p/>
    <w:p>
      <w:pPr>
        <w:ind w:firstLine="480"/>
      </w:pPr>
    </w:p>
    <w:p/>
    <w:p>
      <w:r>
        <w:t>采购包1（举高喷射消防车）</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★自合同签订生效之日起180天内完成交货及安装调试。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r>
              <w:t>标的提供的地点</w:t>
            </w:r>
          </w:p>
        </w:tc>
        <w:tc>
          <w:tcPr>
            <w:tcW w:w="4153" w:type="dxa"/>
          </w:tcPr>
          <w:p/>
          <w:p>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p>
            <w:r>
              <w:t>1期：支付比例30%,合同签订后15个工作日内，采购人向中标人支付合同总价的30%。</w:t>
            </w:r>
          </w:p>
          <w:p/>
          <w:p>
            <w:r>
              <w:t>2期：支付比例70%,车辆交付完成并通过验收合格后15个工作日内，采购人向中标人支付合同总价的70%。因采购单位使用的是财政资金，采购人在前款规定的付款时间内向支付部门提出办理支付申请手续（不含部门审核的时间），在规定时间内提出支付申请手续后即视为采购单位已经按期支付。如因审核进度问题而推迟支付时双方免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p/>
          <w:p/>
          <w:p>
            <w:r>
              <w:t>1期：1、货物按照《消防车 第1部分：通用技术条件》及投标文件验收，为原制造商制造的全新产品，整机无污染，无侵权行为、表面无划损、无任何缺陷隐患，在中国境内可依常规安全合法使用。  2、设备运送到采购人现场后，采购人按照中标人的“产品交接清单”进行验收。验收完毕后双方在“产品交接清单”上签字盖章。如有异议，须书面形式提出。 3、中标人提供的机械及所有部件、随机备件及随机工具必须是全新的。  ★4、中标人必须保证车辆符合国家相关规定，提供机动车销售统一发票、车辆合格证、工信部公告，并协助采购人办理车辆上牌等手续。（投标人须在投标文件中附上单独书面承诺函并加盖投标人公章） 5、涉及备用胎的车辆，备用胎必须安装在科学、合理的位置，且不影响车辆行驶及各项操作。 6、各类仪表必须采用国际单位且齐全，并在车辆适当位置采用不锈钢等金属板材明显标注车辆操作完整流程图及使用操作、维护保养注意事项，且图示、中文字体不易过小。 7、车辆电器线路、电器接地装置、各类接口（含油、水、电、气接口）必须符合中国标准，并能与广东省消防救援总队现有车辆的各类接口配套使用，操作说明等字体全部采用中文。 8、交货时随车一起提供一份完整的配件目录中文手册、底盘使用说明书及光盘（中文）、整车操作维修手册（中文）、底盘操作维修手册（中文）、底盘质量保修卡、整车合格证、发动机号码拓印件、底盘号码拓印件、随车装备清单、消防车跟踪服务卡（内含售后服务电话）、消防车交接清单。 9、个别功能配件可能在技术需求专用要求中未列出，但投标人不得以此作为拒配理由。交货验收时，车辆功能配件（如接口、开关、扳手等）必须齐全，确保采购人无需另行增加任何功能配件即可正常使用。 10、验收时中标人须根据采购人要求实施验收，消防认证产品提供身份信息明码查询结果。当验收发生异议时，货物由采购人委托有资质的第三方检测机构进行检测判定，所需费用由中标人承担。 ★11、采购人组织对中标人交付的所有货物按中标人响应的技术参数逐条进行验收，如第一次验收不合格时，采购人有权按照合同金额5%的违约金对中标人进行扣除；如第二次验收不合格时，采购人有权按照合同金额10%的违约金对中标人进行扣除；如第三次验收依然不合格时，采购人有权拒收货物并单方面解除合同，由此产生的一切费用由中标人承担。（投标人须在投标文件中附上单独书面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p/>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p/>
          <w:p>
            <w:r>
              <w:t>一、售后服务，★1、质保期：自验收合格后一年。 2、质保期内中标人对所供货物实行包修、包换、包退、包维护保养，期满后可同时提供终身（有偿）维修保养服务。质保期内采购人对中标人享有追索权。 3、质保期内，如设备或零部件非人为因素出现故障而造成短期停用时，则质保期和免费维修期相应顺延。如货物因自身故障致停用时间累计超过30天时，则质保期在状态恢复正常时归零重新计算或对故障设备予以重新更换。 4、质保期内提供周期上门免费服务：无论有无报修记录，确保定期回访。包括至少每月一次的电话回访，每3个月一次的上门巡查，保持经常性沟通，了解设备使用过程中的问题，并及时提供解决方案。 5、中标人负责向采购人提供现场安全操作及必要的维护保养培训。 6、中标人设有长期稳定可靠的售后服务部门，并提供常设服务专线和长期的免费技术支持。 7、其他售后服务补充内容： （1）在质量保证期内，本次采购的货物出现非用户方责任造成的故障的，中标人无偿为用户维修或更换相应货物，并保证用户的正常使用。响应时间：采购人反馈产品质量、故障、事故问题时，30分钟内予以响应，需到现场维修时，4小时内到达现场维修，一般情况在24小时内须排除故障，特殊情况需与采购人说明情况，并提供代用货物，保证用户的正常工作使用。 （2）中标人须为采购人进行相关操作系统及备份系统的安装调试工作。中标人应提供包括但不限于满足货物安装、使用、专用安装维修工具、日常维修工具和维护的技术文件，如货物和附件装箱清单、产品合格证、产品检验报告、保修服务卡、使用说明（原版正本）、中文维护手册等。</w:t>
            </w:r>
          </w:p>
          <w:p/>
          <w:p>
            <w:r>
              <w:t>二、培训要求，1、培训地点：采购人指定地点。 2、中标人负责免费提供有关货物功能、安装、操作、维护等培训。安装调试完成并交付使用后一星期内提供由工程师授课的技术培训和提供书面培训资料。 3、技术人员经过培训后，需要能充分了解货物的运作原理和流程，能熟练地掌握操作方法，并能懂得及时排除部分货物故障。</w:t>
            </w:r>
          </w:p>
        </w:tc>
      </w:tr>
    </w:tbl>
    <w:p>
      <w:r>
        <w:rPr>
          <w:b/>
        </w:rPr>
        <w:t>2.技术标准与要求</w:t>
      </w:r>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2"/>
        <w:gridCol w:w="1022"/>
        <w:gridCol w:w="682"/>
        <w:gridCol w:w="682"/>
        <w:gridCol w:w="682"/>
        <w:gridCol w:w="742"/>
        <w:gridCol w:w="1332"/>
        <w:gridCol w:w="1332"/>
        <w:gridCol w:w="683"/>
        <w:gridCol w:w="6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序号</w:t>
            </w:r>
          </w:p>
        </w:tc>
        <w:tc>
          <w:tcPr>
            <w:tcW w:w="831" w:type="dxa"/>
          </w:tcPr>
          <w:p>
            <w:pPr>
              <w:jc w:val="center"/>
            </w:pPr>
            <w:r>
              <w:t>核心产品要求（“△”）</w:t>
            </w:r>
          </w:p>
        </w:tc>
        <w:tc>
          <w:tcPr>
            <w:tcW w:w="831" w:type="dxa"/>
          </w:tcPr>
          <w:p>
            <w:pPr>
              <w:jc w:val="center"/>
            </w:pPr>
            <w:r>
              <w:t>品目名称</w:t>
            </w:r>
          </w:p>
        </w:tc>
        <w:tc>
          <w:tcPr>
            <w:tcW w:w="831" w:type="dxa"/>
          </w:tcPr>
          <w:p>
            <w:pPr>
              <w:jc w:val="center"/>
            </w:pPr>
            <w:r>
              <w:t>标的名称</w:t>
            </w:r>
          </w:p>
        </w:tc>
        <w:tc>
          <w:tcPr>
            <w:tcW w:w="831" w:type="dxa"/>
          </w:tcPr>
          <w:p>
            <w:pPr>
              <w:jc w:val="center"/>
            </w:pPr>
            <w:r>
              <w:t>单位</w:t>
            </w:r>
          </w:p>
        </w:tc>
        <w:tc>
          <w:tcPr>
            <w:tcW w:w="831" w:type="dxa"/>
          </w:tcPr>
          <w:p>
            <w:pPr>
              <w:jc w:val="center"/>
            </w:pPr>
            <w:r>
              <w:t>数量</w:t>
            </w:r>
          </w:p>
        </w:tc>
        <w:tc>
          <w:tcPr>
            <w:tcW w:w="831" w:type="dxa"/>
          </w:tcPr>
          <w:p>
            <w:pPr>
              <w:jc w:val="center"/>
            </w:pPr>
            <w:r>
              <w:t>分项预算单价（元）</w:t>
            </w:r>
          </w:p>
        </w:tc>
        <w:tc>
          <w:tcPr>
            <w:tcW w:w="831" w:type="dxa"/>
          </w:tcPr>
          <w:p>
            <w:pPr>
              <w:jc w:val="center"/>
            </w:pPr>
            <w:r>
              <w:t>分项预算总价（元）</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1</w:t>
            </w:r>
          </w:p>
        </w:tc>
        <w:tc>
          <w:tcPr>
            <w:tcW w:w="831" w:type="dxa"/>
          </w:tcPr>
          <w:p>
            <w:pPr>
              <w:jc w:val="center"/>
            </w:pPr>
          </w:p>
        </w:tc>
        <w:tc>
          <w:tcPr>
            <w:tcW w:w="831" w:type="dxa"/>
          </w:tcPr>
          <w:p>
            <w:pPr>
              <w:jc w:val="left"/>
            </w:pPr>
            <w:r>
              <w:t>消防车</w:t>
            </w:r>
          </w:p>
        </w:tc>
        <w:tc>
          <w:tcPr>
            <w:tcW w:w="831" w:type="dxa"/>
          </w:tcPr>
          <w:p>
            <w:pPr>
              <w:jc w:val="left"/>
            </w:pPr>
            <w:r>
              <w:t>举高喷射消防车</w:t>
            </w:r>
          </w:p>
        </w:tc>
        <w:tc>
          <w:tcPr>
            <w:tcW w:w="831" w:type="dxa"/>
          </w:tcPr>
          <w:p>
            <w:pPr>
              <w:jc w:val="left"/>
            </w:pPr>
            <w:r>
              <w:t>辆</w:t>
            </w:r>
          </w:p>
        </w:tc>
        <w:tc>
          <w:tcPr>
            <w:tcW w:w="831" w:type="dxa"/>
          </w:tcPr>
          <w:p>
            <w:pPr>
              <w:jc w:val="right"/>
            </w:pPr>
            <w:r>
              <w:t>1.00</w:t>
            </w:r>
          </w:p>
        </w:tc>
        <w:tc>
          <w:tcPr>
            <w:tcW w:w="831" w:type="dxa"/>
          </w:tcPr>
          <w:p>
            <w:pPr>
              <w:jc w:val="right"/>
            </w:pPr>
            <w:r>
              <w:t>3,100,000.00</w:t>
            </w:r>
          </w:p>
        </w:tc>
        <w:tc>
          <w:tcPr>
            <w:tcW w:w="831" w:type="dxa"/>
          </w:tcPr>
          <w:p>
            <w:pPr>
              <w:jc w:val="right"/>
            </w:pPr>
            <w:r>
              <w:t>3,100,000.00</w:t>
            </w:r>
          </w:p>
        </w:tc>
        <w:tc>
          <w:tcPr>
            <w:tcW w:w="831" w:type="dxa"/>
          </w:tcPr>
          <w:p>
            <w:r>
              <w:t>工业</w:t>
            </w:r>
          </w:p>
        </w:tc>
        <w:tc>
          <w:tcPr>
            <w:tcW w:w="831" w:type="dxa"/>
          </w:tcPr>
          <w:p>
            <w:r>
              <w:t>详见附表一</w:t>
            </w:r>
          </w:p>
        </w:tc>
      </w:tr>
    </w:tbl>
    <w:p/>
    <w:p>
      <w:r>
        <w:rPr>
          <w:b/>
        </w:rPr>
        <w:t>附表一：举高喷射消防车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
            <w:r>
              <w:rPr>
                <w:sz w:val="18"/>
              </w:rPr>
              <w:t>一、重要说明：</w:t>
            </w:r>
          </w:p>
          <w:p>
            <w:r>
              <w:rPr>
                <w:sz w:val="18"/>
              </w:rPr>
              <w:t>1、标注“★”号条款为实质性条款，若有任何一条负偏离或不满足则导致投标无效。</w:t>
            </w:r>
          </w:p>
          <w:p>
            <w:r>
              <w:rPr>
                <w:sz w:val="18"/>
              </w:rPr>
              <w:t>2、标注“▲”号条款为重要技术参数，若未响应或不满足，将根据评审要求扣分。</w:t>
            </w:r>
          </w:p>
          <w:p>
            <w:r>
              <w:rPr>
                <w:sz w:val="18"/>
              </w:rPr>
              <w:t>3、标注“△”号为核心产品，投标人应在投标文件中清晰列明所投产品名称、规格型号、品牌、数量、单价。</w:t>
            </w:r>
          </w:p>
          <w:p>
            <w:r>
              <w:rPr>
                <w:sz w:val="18"/>
              </w:rPr>
              <w:t>4、采购需求中的材料、技术参数及其性能（配置）仅起参考作用，投标人可选用其他技术替代，但这些替代的技术实质上应相当于或优于其技术参数性能（配置）要求。</w:t>
            </w:r>
          </w:p>
          <w:p>
            <w:r>
              <w:rPr>
                <w:sz w:val="18"/>
              </w:rPr>
              <w:t>5、投标人应在投标文件如实提供真实的材料和响应，如提供虚假材料谋取中标的，将上报政府采购监督管理部门进行处理。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2</w:t>
            </w:r>
          </w:p>
        </w:tc>
        <w:tc>
          <w:tcPr>
            <w:tcW w:w="5814" w:type="dxa"/>
          </w:tcPr>
          <w:p>
            <w:pPr>
              <w:jc w:val="both"/>
            </w:pPr>
            <w:r>
              <w:rPr>
                <w:sz w:val="18"/>
              </w:rPr>
              <w:t>二、</w:t>
            </w:r>
            <w:r>
              <w:rPr>
                <w:sz w:val="17"/>
              </w:rPr>
              <w:t>技术参数要求：</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single" w:color="000000" w:sz="4" w:space="0"/>
                    <w:left w:val="single" w:color="000000" w:sz="4" w:space="0"/>
                    <w:bottom w:val="single" w:color="000000" w:sz="4" w:space="0"/>
                    <w:right w:val="single" w:color="000000" w:sz="4" w:space="0"/>
                  </w:tcBorders>
                  <w:vAlign w:val="top"/>
                </w:tcPr>
                <w:p>
                  <w:pPr>
                    <w:ind w:firstLine="378"/>
                    <w:jc w:val="center"/>
                  </w:pPr>
                  <w:r>
                    <w:rPr>
                      <w:sz w:val="18"/>
                    </w:rPr>
                    <w:t>△</w:t>
                  </w:r>
                  <w:r>
                    <w:rPr>
                      <w:sz w:val="17"/>
                    </w:rPr>
                    <w:t>举高喷射消防车（25米以上）（1辆）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（一）底盘：</w:t>
                  </w:r>
                </w:p>
                <w:p>
                  <w:pPr>
                    <w:jc w:val="both"/>
                  </w:pPr>
                  <w:r>
                    <w:rPr>
                      <w:sz w:val="17"/>
                    </w:rPr>
                    <w:t>▲1、外形尺寸：≤（11000×2550×3800）mm。（提供第三方检测机构出具的带有CNAS和CMA标志的检验（检测）报告复印件加盖投标人公章）</w:t>
                  </w:r>
                </w:p>
                <w:p>
                  <w:pPr>
                    <w:jc w:val="both"/>
                  </w:pPr>
                  <w:r>
                    <w:rPr>
                      <w:sz w:val="17"/>
                    </w:rPr>
                    <w:t>2、底盘驱动形式：6×4。</w:t>
                  </w:r>
                </w:p>
                <w:p>
                  <w:pPr>
                    <w:jc w:val="both"/>
                  </w:pPr>
                  <w:r>
                    <w:rPr>
                      <w:sz w:val="17"/>
                    </w:rPr>
                    <w:t>3、型式：直列水冷涡轮增压，中冷。</w:t>
                  </w:r>
                </w:p>
                <w:p>
                  <w:pPr>
                    <w:jc w:val="both"/>
                  </w:pPr>
                  <w:r>
                    <w:rPr>
                      <w:sz w:val="17"/>
                    </w:rPr>
                    <w:t>▲4、发动机功率：≥340kW。（提供第三方检测机构出具的带有CNAS和CMA标志的检验（检测）报告复印件加盖投标人公章）</w:t>
                  </w:r>
                </w:p>
                <w:p>
                  <w:pPr>
                    <w:jc w:val="both"/>
                  </w:pPr>
                  <w:r>
                    <w:rPr>
                      <w:sz w:val="17"/>
                    </w:rPr>
                    <w:t>5、发动机控制：电子控制燃油喷射发动机。</w:t>
                  </w:r>
                </w:p>
                <w:p>
                  <w:pPr>
                    <w:jc w:val="both"/>
                  </w:pPr>
                  <w:r>
                    <w:rPr>
                      <w:sz w:val="17"/>
                    </w:rPr>
                    <w:t>6、轴距： ≤（4900+1370）mm。</w:t>
                  </w:r>
                </w:p>
                <w:p>
                  <w:pPr>
                    <w:jc w:val="both"/>
                  </w:pPr>
                  <w:r>
                    <w:rPr>
                      <w:sz w:val="17"/>
                    </w:rPr>
                    <w:t>7、排放：国六。</w:t>
                  </w:r>
                </w:p>
                <w:p>
                  <w:pPr>
                    <w:jc w:val="both"/>
                  </w:pPr>
                  <w:r>
                    <w:rPr>
                      <w:sz w:val="17"/>
                    </w:rPr>
                    <w:t>8、变速箱：自动。</w:t>
                  </w:r>
                </w:p>
                <w:p>
                  <w:pPr>
                    <w:jc w:val="both"/>
                  </w:pPr>
                  <w:r>
                    <w:rPr>
                      <w:sz w:val="17"/>
                    </w:rPr>
                    <w:t>9、电气系统：发电机：≥150A；蓄电池：≥2×12V/225Ah。</w:t>
                  </w:r>
                </w:p>
                <w:p>
                  <w:pPr>
                    <w:jc w:val="both"/>
                  </w:pPr>
                  <w:r>
                    <w:rPr>
                      <w:sz w:val="17"/>
                    </w:rPr>
                    <w:t>10、制动系统：制动操作：压缩空气式，前后桥独立双回路，盘式制动，驱动桥安装感载阀，钢制储气罐，空气干燥罐和制动消音器，自动制动调节，ABS/EBS。驻车制动：弹簧加载驻车制动作用于后桥。辅助制动：发动机排气制动（VEB+）。</w:t>
                  </w:r>
                </w:p>
                <w:p>
                  <w:pPr>
                    <w:jc w:val="both"/>
                  </w:pPr>
                  <w:r>
                    <w:rPr>
                      <w:sz w:val="17"/>
                    </w:rPr>
                    <w:t>11、安装火场通信车载台，配备360°全景行车记录仪和定位、导航等多功能一体的智能终端，配备开放式智能物联网管理终端，能与总队装备物联网云无缝对接，终端具备车辆定位、实时工况（底盘、上装等主要部件工作状态等）、保养情况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（二）上装、臂架：</w:t>
                  </w:r>
                </w:p>
                <w:p>
                  <w:pPr>
                    <w:jc w:val="both"/>
                  </w:pPr>
                  <w:r>
                    <w:rPr>
                      <w:sz w:val="17"/>
                    </w:rPr>
                    <w:t>1、臂架操作方式：≥30米有线遥控+手柄无级控制；电控强制操作；手动强制操作。</w:t>
                  </w:r>
                </w:p>
                <w:p>
                  <w:pPr>
                    <w:jc w:val="both"/>
                  </w:pPr>
                  <w:r>
                    <w:rPr>
                      <w:sz w:val="17"/>
                    </w:rPr>
                    <w:t>2、转台：±360°回转。</w:t>
                  </w:r>
                </w:p>
                <w:p>
                  <w:pPr>
                    <w:jc w:val="both"/>
                  </w:pPr>
                  <w:r>
                    <w:rPr>
                      <w:sz w:val="17"/>
                    </w:rPr>
                    <w:t>★3、最大工作高度：≥25m。</w:t>
                  </w:r>
                </w:p>
                <w:p>
                  <w:pPr>
                    <w:jc w:val="both"/>
                  </w:pPr>
                  <w:r>
                    <w:rPr>
                      <w:sz w:val="17"/>
                    </w:rPr>
                    <w:t>▲4、最大作业幅度：≥15m。（提供第三方检测机构出具的带有CNAS和CMA标志的检验（检测）报告复印件加盖投标人公章）</w:t>
                  </w:r>
                </w:p>
                <w:p>
                  <w:pPr>
                    <w:jc w:val="both"/>
                  </w:pPr>
                  <w:r>
                    <w:rPr>
                      <w:sz w:val="17"/>
                    </w:rPr>
                    <w:t>▲5、臂架举升时间：≤60S。（提供第三方检测机构出具的带有CNAS和CMA标志的检验（检测）报告复印件加盖投标人公章）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（三）支腿：</w:t>
                  </w:r>
                </w:p>
                <w:p>
                  <w:pPr>
                    <w:jc w:val="both"/>
                  </w:pPr>
                  <w:r>
                    <w:rPr>
                      <w:sz w:val="17"/>
                    </w:rPr>
                    <w:t>▲1、纵横向跨距：≤6300mm×3700mm。（提供第三方检测机构出具的带有CNAS和CMA标志的检验（检测）报告复印件加盖投标人公章）</w:t>
                  </w:r>
                </w:p>
                <w:p>
                  <w:pPr>
                    <w:jc w:val="both"/>
                  </w:pPr>
                  <w:r>
                    <w:rPr>
                      <w:sz w:val="17"/>
                    </w:rPr>
                    <w:t>2、支腿操作方式：自动展开调平和自动收拢；电控+手动式；手动强制式。</w:t>
                  </w:r>
                </w:p>
                <w:p>
                  <w:pPr>
                    <w:jc w:val="both"/>
                  </w:pPr>
                  <w:r>
                    <w:rPr>
                      <w:sz w:val="17"/>
                    </w:rPr>
                    <w:t>▲3、支腿展开时间：≤30S。（提供第三方检测机构出具的带有CNAS和CMA标志的检验（检测）报告复印件加盖投标人公章）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（四）取力装置：</w:t>
                  </w:r>
                </w:p>
                <w:p>
                  <w:pPr>
                    <w:jc w:val="both"/>
                  </w:pPr>
                  <w:r>
                    <w:rPr>
                      <w:sz w:val="17"/>
                    </w:rPr>
                    <w:t>1、水泵取力：底盘断轴取力。</w:t>
                  </w:r>
                </w:p>
                <w:p>
                  <w:pPr>
                    <w:jc w:val="both"/>
                  </w:pPr>
                  <w:r>
                    <w:rPr>
                      <w:sz w:val="17"/>
                    </w:rPr>
                    <w:t>2、油泵取力器：机械式。</w:t>
                  </w:r>
                </w:p>
                <w:p>
                  <w:pPr>
                    <w:jc w:val="both"/>
                  </w:pPr>
                  <w:r>
                    <w:rPr>
                      <w:sz w:val="17"/>
                    </w:rPr>
                    <w:t>3、取力操纵方式：电气控制。</w:t>
                  </w:r>
                </w:p>
                <w:p>
                  <w:pPr>
                    <w:jc w:val="both"/>
                  </w:pPr>
                  <w:r>
                    <w:rPr>
                      <w:sz w:val="17"/>
                    </w:rPr>
                    <w:t>4、位置：水泵取力器位于发动机和后桥传动轴之间，油泵取力器位于变速箱右下部。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（五）水路系统</w:t>
                  </w:r>
                </w:p>
                <w:p>
                  <w:pPr>
                    <w:jc w:val="both"/>
                  </w:pPr>
                  <w:r>
                    <w:rPr>
                      <w:sz w:val="17"/>
                    </w:rPr>
                    <w:t>▲1、消防泵车载系统流量：≥4200@1.5(L/min@MPa)。（提供第三方检测机构出具的带有CNAS和CMA标志的检验（检测）报告复印件加盖投标人公章）</w:t>
                  </w:r>
                </w:p>
                <w:p>
                  <w:pPr>
                    <w:jc w:val="both"/>
                  </w:pPr>
                  <w:r>
                    <w:rPr>
                      <w:sz w:val="17"/>
                    </w:rPr>
                    <w:t>▲2、消防炮最大流量：≥4200@0.9(L/min@MPa)。（提供第三方检测机构出具的带有CNAS和CMA标志的检验（检测）报告复印件加盖投标人公章）</w:t>
                  </w:r>
                </w:p>
                <w:p>
                  <w:pPr>
                    <w:jc w:val="both"/>
                  </w:pPr>
                  <w:r>
                    <w:rPr>
                      <w:sz w:val="17"/>
                    </w:rPr>
                    <w:t>▲3、消防炮混合液最大流量：≥4200@0.9(L/min@MPa)。（提供第三方检测机构出具的带有CNAS和CMA标志的检验（检测）报告复印件加盖投标人公章）</w:t>
                  </w:r>
                </w:p>
                <w:p>
                  <w:pPr>
                    <w:jc w:val="both"/>
                  </w:pPr>
                  <w:r>
                    <w:rPr>
                      <w:sz w:val="17"/>
                    </w:rPr>
                    <w:t>▲4、消防炮额定射程：≥70m(水)，≥65m(泡沫)。（提供第三方检测机构出具的带有CNAS和CMA标志的检验（检测）报告复印件加盖投标人公章）</w:t>
                  </w:r>
                </w:p>
                <w:p>
                  <w:pPr>
                    <w:jc w:val="both"/>
                  </w:pPr>
                  <w:r>
                    <w:rPr>
                      <w:sz w:val="17"/>
                    </w:rPr>
                    <w:t>▲5、消防炮回转角度：≥-45°～+45°。（提供第三方检测机构出具的带有CNAS和CMA标志的检验（检测）报告复印件加盖投标人公章）</w:t>
                  </w:r>
                </w:p>
                <w:p>
                  <w:pPr>
                    <w:jc w:val="both"/>
                  </w:pPr>
                  <w:r>
                    <w:rPr>
                      <w:sz w:val="17"/>
                    </w:rPr>
                    <w:t>▲6、消防炮俯仰角：俯角</w:t>
                  </w:r>
                  <w:r>
                    <w:rPr>
                      <w:color w:val="333333"/>
                      <w:sz w:val="17"/>
                    </w:rPr>
                    <w:t>≤-60°、仰角</w:t>
                  </w:r>
                  <w:r>
                    <w:rPr>
                      <w:sz w:val="17"/>
                    </w:rPr>
                    <w:t>≥</w:t>
                  </w:r>
                  <w:r>
                    <w:rPr>
                      <w:color w:val="333333"/>
                      <w:sz w:val="17"/>
                    </w:rPr>
                    <w:t>+30°。</w:t>
                  </w:r>
                  <w:r>
                    <w:rPr>
                      <w:sz w:val="17"/>
                    </w:rPr>
                    <w:t>（提供第三方检测机构出具的带有CNAS和CMA标志的检验（检测）报告复印件加盖投标人公章）</w:t>
                  </w:r>
                </w:p>
                <w:p>
                  <w:pPr>
                    <w:jc w:val="both"/>
                  </w:pPr>
                  <w:r>
                    <w:rPr>
                      <w:sz w:val="17"/>
                    </w:rPr>
                    <w:t>7、水罐容积：≥9000L。</w:t>
                  </w:r>
                </w:p>
                <w:p>
                  <w:pPr>
                    <w:jc w:val="both"/>
                  </w:pPr>
                  <w:r>
                    <w:rPr>
                      <w:sz w:val="17"/>
                    </w:rPr>
                    <w:t>8、泡沫罐容积：≥3000L。</w:t>
                  </w:r>
                </w:p>
                <w:p>
                  <w:pPr>
                    <w:jc w:val="both"/>
                  </w:pPr>
                  <w:r>
                    <w:rPr>
                      <w:sz w:val="17"/>
                    </w:rPr>
                    <w:t>9、罐体材质：优质304不锈钢，底板厚度≥5mm，侧板厚度≥4mm，顶板≥3mm。</w:t>
                  </w:r>
                </w:p>
                <w:p>
                  <w:pPr>
                    <w:jc w:val="both"/>
                  </w:pPr>
                  <w:r>
                    <w:rPr>
                      <w:sz w:val="17"/>
                    </w:rPr>
                    <w:t>10、水路接口：</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22"/>
                    <w:gridCol w:w="1926"/>
                    <w:gridCol w:w="138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3" w:type="dxa"/>
                        <w:tcBorders>
                          <w:top w:val="single" w:color="000000" w:sz="4" w:space="0"/>
                          <w:left w:val="single" w:color="000000" w:sz="4" w:space="0"/>
                          <w:bottom w:val="single" w:color="000000" w:sz="4" w:space="0"/>
                          <w:right w:val="single" w:color="000000" w:sz="4" w:space="0"/>
                        </w:tcBorders>
                      </w:tcPr>
                      <w:p>
                        <w:pPr>
                          <w:jc w:val="center"/>
                        </w:pPr>
                        <w:r>
                          <w:rPr>
                            <w:sz w:val="17"/>
                          </w:rPr>
                          <w:t>功能</w:t>
                        </w:r>
                      </w:p>
                    </w:tc>
                    <w:tc>
                      <w:tcPr>
                        <w:tcW w:w="1943" w:type="dxa"/>
                        <w:tcBorders>
                          <w:top w:val="single" w:color="000000" w:sz="4" w:space="0"/>
                          <w:left w:val="nil"/>
                          <w:bottom w:val="single" w:color="000000" w:sz="4" w:space="0"/>
                          <w:right w:val="single" w:color="000000" w:sz="4" w:space="0"/>
                        </w:tcBorders>
                      </w:tcPr>
                      <w:p>
                        <w:pPr>
                          <w:jc w:val="center"/>
                        </w:pPr>
                        <w:r>
                          <w:rPr>
                            <w:sz w:val="17"/>
                          </w:rPr>
                          <w:t>规格</w:t>
                        </w:r>
                      </w:p>
                    </w:tc>
                    <w:tc>
                      <w:tcPr>
                        <w:tcW w:w="1403" w:type="dxa"/>
                        <w:tcBorders>
                          <w:top w:val="single" w:color="000000" w:sz="4" w:space="0"/>
                          <w:left w:val="nil"/>
                          <w:bottom w:val="single" w:color="000000" w:sz="4" w:space="0"/>
                          <w:right w:val="single" w:color="000000" w:sz="4" w:space="0"/>
                        </w:tcBorders>
                      </w:tcPr>
                      <w:p>
                        <w:pPr>
                          <w:jc w:val="center"/>
                        </w:pPr>
                        <w:r>
                          <w:rPr>
                            <w:sz w:val="17"/>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3" w:type="dxa"/>
                        <w:tcBorders>
                          <w:top w:val="nil"/>
                          <w:left w:val="single" w:color="000000" w:sz="4" w:space="0"/>
                          <w:bottom w:val="single" w:color="000000" w:sz="4" w:space="0"/>
                          <w:right w:val="single" w:color="000000" w:sz="4" w:space="0"/>
                        </w:tcBorders>
                      </w:tcPr>
                      <w:p>
                        <w:pPr>
                          <w:jc w:val="center"/>
                        </w:pPr>
                        <w:r>
                          <w:rPr>
                            <w:sz w:val="17"/>
                          </w:rPr>
                          <w:t>吸水口</w:t>
                        </w:r>
                      </w:p>
                    </w:tc>
                    <w:tc>
                      <w:tcPr>
                        <w:tcW w:w="1943" w:type="dxa"/>
                        <w:tcBorders>
                          <w:top w:val="nil"/>
                          <w:left w:val="nil"/>
                          <w:bottom w:val="single" w:color="000000" w:sz="4" w:space="0"/>
                          <w:right w:val="single" w:color="000000" w:sz="4" w:space="0"/>
                        </w:tcBorders>
                      </w:tcPr>
                      <w:p>
                        <w:pPr>
                          <w:jc w:val="center"/>
                        </w:pPr>
                        <w:r>
                          <w:rPr>
                            <w:sz w:val="17"/>
                          </w:rPr>
                          <w:t>DN150</w:t>
                        </w:r>
                      </w:p>
                    </w:tc>
                    <w:tc>
                      <w:tcPr>
                        <w:tcW w:w="1403" w:type="dxa"/>
                        <w:tcBorders>
                          <w:top w:val="nil"/>
                          <w:left w:val="nil"/>
                          <w:bottom w:val="single" w:color="000000" w:sz="4" w:space="0"/>
                          <w:right w:val="single" w:color="000000" w:sz="4" w:space="0"/>
                        </w:tcBorders>
                      </w:tcPr>
                      <w:p>
                        <w:pPr>
                          <w:jc w:val="center"/>
                        </w:pPr>
                        <w:r>
                          <w:rPr>
                            <w:sz w:val="17"/>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3" w:type="dxa"/>
                        <w:tcBorders>
                          <w:top w:val="nil"/>
                          <w:left w:val="single" w:color="000000" w:sz="4" w:space="0"/>
                          <w:bottom w:val="single" w:color="000000" w:sz="4" w:space="0"/>
                          <w:right w:val="single" w:color="000000" w:sz="4" w:space="0"/>
                        </w:tcBorders>
                      </w:tcPr>
                      <w:p>
                        <w:pPr>
                          <w:jc w:val="center"/>
                        </w:pPr>
                        <w:r>
                          <w:rPr>
                            <w:sz w:val="17"/>
                          </w:rPr>
                          <w:t>注水口</w:t>
                        </w:r>
                      </w:p>
                    </w:tc>
                    <w:tc>
                      <w:tcPr>
                        <w:tcW w:w="1943" w:type="dxa"/>
                        <w:tcBorders>
                          <w:top w:val="nil"/>
                          <w:left w:val="nil"/>
                          <w:bottom w:val="single" w:color="000000" w:sz="4" w:space="0"/>
                          <w:right w:val="single" w:color="000000" w:sz="4" w:space="0"/>
                        </w:tcBorders>
                      </w:tcPr>
                      <w:p>
                        <w:pPr>
                          <w:jc w:val="center"/>
                        </w:pPr>
                        <w:r>
                          <w:rPr>
                            <w:sz w:val="17"/>
                          </w:rPr>
                          <w:t>DN80</w:t>
                        </w:r>
                      </w:p>
                    </w:tc>
                    <w:tc>
                      <w:tcPr>
                        <w:tcW w:w="1403"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3" w:type="dxa"/>
                        <w:tcBorders>
                          <w:top w:val="nil"/>
                          <w:left w:val="single" w:color="000000" w:sz="4" w:space="0"/>
                          <w:bottom w:val="single" w:color="000000" w:sz="4" w:space="0"/>
                          <w:right w:val="single" w:color="000000" w:sz="4" w:space="0"/>
                        </w:tcBorders>
                      </w:tcPr>
                      <w:p>
                        <w:pPr>
                          <w:jc w:val="center"/>
                        </w:pPr>
                        <w:r>
                          <w:rPr>
                            <w:sz w:val="17"/>
                          </w:rPr>
                          <w:t>供水口</w:t>
                        </w:r>
                      </w:p>
                    </w:tc>
                    <w:tc>
                      <w:tcPr>
                        <w:tcW w:w="1943" w:type="dxa"/>
                        <w:tcBorders>
                          <w:top w:val="nil"/>
                          <w:left w:val="nil"/>
                          <w:bottom w:val="single" w:color="000000" w:sz="4" w:space="0"/>
                          <w:right w:val="single" w:color="000000" w:sz="4" w:space="0"/>
                        </w:tcBorders>
                      </w:tcPr>
                      <w:p>
                        <w:pPr>
                          <w:jc w:val="center"/>
                        </w:pPr>
                        <w:r>
                          <w:rPr>
                            <w:sz w:val="17"/>
                          </w:rPr>
                          <w:t>DN80</w:t>
                        </w:r>
                      </w:p>
                    </w:tc>
                    <w:tc>
                      <w:tcPr>
                        <w:tcW w:w="1403"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3" w:type="dxa"/>
                        <w:tcBorders>
                          <w:top w:val="nil"/>
                          <w:left w:val="single" w:color="000000" w:sz="4" w:space="0"/>
                          <w:bottom w:val="single" w:color="000000" w:sz="4" w:space="0"/>
                          <w:right w:val="single" w:color="000000" w:sz="4" w:space="0"/>
                        </w:tcBorders>
                      </w:tcPr>
                      <w:p>
                        <w:pPr>
                          <w:jc w:val="center"/>
                        </w:pPr>
                        <w:r>
                          <w:rPr>
                            <w:sz w:val="17"/>
                          </w:rPr>
                          <w:t>外吸泡沫口</w:t>
                        </w:r>
                      </w:p>
                    </w:tc>
                    <w:tc>
                      <w:tcPr>
                        <w:tcW w:w="1943" w:type="dxa"/>
                        <w:tcBorders>
                          <w:top w:val="nil"/>
                          <w:left w:val="nil"/>
                          <w:bottom w:val="single" w:color="000000" w:sz="4" w:space="0"/>
                          <w:right w:val="single" w:color="000000" w:sz="4" w:space="0"/>
                        </w:tcBorders>
                      </w:tcPr>
                      <w:p>
                        <w:pPr>
                          <w:jc w:val="center"/>
                        </w:pPr>
                        <w:r>
                          <w:rPr>
                            <w:sz w:val="17"/>
                          </w:rPr>
                          <w:t>DN50</w:t>
                        </w:r>
                      </w:p>
                    </w:tc>
                    <w:tc>
                      <w:tcPr>
                        <w:tcW w:w="1403" w:type="dxa"/>
                        <w:tcBorders>
                          <w:top w:val="nil"/>
                          <w:left w:val="nil"/>
                          <w:bottom w:val="single" w:color="000000" w:sz="4" w:space="0"/>
                          <w:right w:val="single" w:color="000000" w:sz="4" w:space="0"/>
                        </w:tcBorders>
                      </w:tcPr>
                      <w:p>
                        <w:pPr>
                          <w:jc w:val="center"/>
                        </w:pPr>
                        <w:r>
                          <w:rPr>
                            <w:sz w:val="17"/>
                          </w:rPr>
                          <w:t>1</w:t>
                        </w:r>
                      </w:p>
                    </w:tc>
                  </w:tr>
                </w:tbl>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（六）电气系统：</w:t>
                  </w:r>
                </w:p>
                <w:p>
                  <w:pPr>
                    <w:jc w:val="both"/>
                  </w:pPr>
                  <w:r>
                    <w:rPr>
                      <w:sz w:val="17"/>
                    </w:rPr>
                    <w:t>1、控制系统：基于CAN总线的智能控制系统（控制器+显示屏+控制程序）。</w:t>
                  </w:r>
                </w:p>
                <w:p>
                  <w:pPr>
                    <w:jc w:val="both"/>
                  </w:pPr>
                  <w:r>
                    <w:rPr>
                      <w:sz w:val="17"/>
                    </w:rPr>
                    <w:t>2、操作台：车上转台，车辆尾部操作面板。</w:t>
                  </w:r>
                </w:p>
                <w:p>
                  <w:pPr>
                    <w:jc w:val="both"/>
                  </w:pPr>
                  <w:r>
                    <w:rPr>
                      <w:sz w:val="17"/>
                    </w:rPr>
                    <w:t>3、灯光照明系统：臂架顶端带一个不低于70W探照灯；臂架配置高亮度照明灯；各操作仪表台配置仪表照明灯；器材箱配置照明灯；支腿配置警示灯；支腿配置照明灯用于照射支腿支撑底面。</w:t>
                  </w:r>
                </w:p>
                <w:p>
                  <w:pPr>
                    <w:jc w:val="both"/>
                  </w:pPr>
                  <w:r>
                    <w:rPr>
                      <w:sz w:val="17"/>
                    </w:rPr>
                    <w:t>4、警灯警报器系统：驾驶室顶一个长排警灯；车身左右上部长方形红色频闪警灯；车尾左右方形红色频闪警灯；警灯警报器在驾驶室内集成操作；警报器具备消防警报声、警笛声、对外喊话等多种功能。</w:t>
                  </w:r>
                </w:p>
                <w:p>
                  <w:pPr>
                    <w:jc w:val="both"/>
                  </w:pPr>
                  <w:r>
                    <w:rPr>
                      <w:sz w:val="17"/>
                    </w:rPr>
                    <w:t>5、电缆及接插件:采用防水性能达到≥IP67的接插件。</w:t>
                  </w:r>
                </w:p>
                <w:p>
                  <w:pPr>
                    <w:jc w:val="both"/>
                  </w:pPr>
                  <w:r>
                    <w:rPr>
                      <w:sz w:val="17"/>
                    </w:rPr>
                    <w:t>6、自动分离式充电装置：可使用220V市电对蓄电池充电，消防车启动时充电插头自动脱落。</w:t>
                  </w:r>
                </w:p>
                <w:p>
                  <w:pPr>
                    <w:jc w:val="both"/>
                  </w:pPr>
                  <w:r>
                    <w:rPr>
                      <w:sz w:val="17"/>
                    </w:rPr>
                    <w:t>7、倒车辅助系统：带倒车雷达、倒车摄像头和驾驶室内监视器。</w:t>
                  </w:r>
                </w:p>
                <w:p>
                  <w:pPr>
                    <w:jc w:val="both"/>
                  </w:pPr>
                  <w:r>
                    <w:rPr>
                      <w:sz w:val="17"/>
                    </w:rPr>
                    <w:t>8、臂架智能操作：臂架一键展开到预设状态；臂架一键任意姿态回收到行驶状态。</w:t>
                  </w:r>
                </w:p>
                <w:p>
                  <w:pPr>
                    <w:jc w:val="both"/>
                  </w:pPr>
                  <w:r>
                    <w:rPr>
                      <w:sz w:val="17"/>
                    </w:rPr>
                    <w:t>9、支腿任意支撑：支腿在任意展开跨距下支撑时，臂架按对应幅度展开进行灭火作业，不受场地限制。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（七）安全保护系统：</w:t>
                  </w:r>
                </w:p>
                <w:p>
                  <w:pPr>
                    <w:jc w:val="left"/>
                  </w:pPr>
                  <w:r>
                    <w:rPr>
                      <w:sz w:val="17"/>
                    </w:rPr>
                    <w:t>1、臂架的缓冲保护：极限位置以及突然操作手柄，系统能自动实现加减速。</w:t>
                  </w:r>
                </w:p>
                <w:p>
                  <w:pPr>
                    <w:jc w:val="left"/>
                  </w:pPr>
                  <w:r>
                    <w:rPr>
                      <w:sz w:val="17"/>
                    </w:rPr>
                    <w:t>2、臂架限幅保护：臂架接近极限幅度时，能自动缓慢停止。</w:t>
                  </w:r>
                </w:p>
                <w:p>
                  <w:pPr>
                    <w:jc w:val="left"/>
                  </w:pPr>
                  <w:r>
                    <w:rPr>
                      <w:sz w:val="17"/>
                    </w:rPr>
                    <w:t>3、臂架回转限位保护：当臂架回转到短支腿侧时切断往危险方向的回转动作。</w:t>
                  </w:r>
                </w:p>
                <w:p>
                  <w:pPr>
                    <w:jc w:val="left"/>
                  </w:pPr>
                  <w:r>
                    <w:rPr>
                      <w:sz w:val="17"/>
                    </w:rPr>
                    <w:t>4、回转缓冲保护：回转突然停止，系统能够有效实现缓冲。</w:t>
                  </w:r>
                </w:p>
                <w:p>
                  <w:pPr>
                    <w:jc w:val="left"/>
                  </w:pPr>
                  <w:r>
                    <w:rPr>
                      <w:sz w:val="17"/>
                    </w:rPr>
                    <w:t>5、回转对中：回转在接近中位时，自动降速，确保中位精确对准。</w:t>
                  </w:r>
                </w:p>
                <w:p>
                  <w:pPr>
                    <w:jc w:val="left"/>
                  </w:pPr>
                  <w:r>
                    <w:rPr>
                      <w:sz w:val="17"/>
                    </w:rPr>
                    <w:t>6、车身防碰撞：臂架在小角度变幅回转时，为了防止梯架碰撞车身，回转到一定方位时，自动停止危险方向的回转。</w:t>
                  </w:r>
                </w:p>
                <w:p>
                  <w:pPr>
                    <w:jc w:val="left"/>
                  </w:pPr>
                  <w:r>
                    <w:rPr>
                      <w:sz w:val="17"/>
                    </w:rPr>
                    <w:t>7、上下车互锁：支腿未展开，臂架不能动作；臂架离开支架，支腿不能动作。</w:t>
                  </w:r>
                </w:p>
                <w:p>
                  <w:pPr>
                    <w:jc w:val="left"/>
                  </w:pPr>
                  <w:r>
                    <w:rPr>
                      <w:sz w:val="17"/>
                    </w:rPr>
                    <w:t>8、应急功能：上车操作阀和支腿操作阀都带有应急手动操作；系统带有应急动力单元，发动机或油泵出现故障时，用于收拢梯架和支腿。</w:t>
                  </w:r>
                </w:p>
                <w:p>
                  <w:pPr>
                    <w:jc w:val="left"/>
                  </w:pPr>
                  <w:r>
                    <w:rPr>
                      <w:sz w:val="17"/>
                    </w:rPr>
                    <w:t>9、支腿动作报警：支腿动作时，声光自动报警，防止触碰伤人。</w:t>
                  </w:r>
                </w:p>
                <w:p>
                  <w:pPr>
                    <w:jc w:val="both"/>
                  </w:pPr>
                  <w:r>
                    <w:rPr>
                      <w:sz w:val="17"/>
                    </w:rPr>
                    <w:t>10、软腿保护：当臂架在动作过程中，支腿出现虚腿，自动切断危险方向的动作。</w:t>
                  </w:r>
                </w:p>
                <w:p>
                  <w:pPr>
                    <w:jc w:val="both"/>
                  </w:pPr>
                  <w:r>
                    <w:rPr>
                      <w:sz w:val="17"/>
                    </w:rPr>
                    <w:t>11、支腿未缩提示：如支腿未缩到位，光自动报警，防止行车发生事故。</w:t>
                  </w:r>
                </w:p>
                <w:p>
                  <w:pPr>
                    <w:jc w:val="both"/>
                  </w:pPr>
                  <w:r>
                    <w:rPr>
                      <w:sz w:val="17"/>
                    </w:rPr>
                    <w:t>12、水路超压保护：当水炮入口压力超过额定值时，报警并限制发动机继续加速。水路超过压力时，安全阀溢流。</w:t>
                  </w:r>
                </w:p>
                <w:p>
                  <w:pPr>
                    <w:jc w:val="both"/>
                  </w:pPr>
                  <w:r>
                    <w:rPr>
                      <w:sz w:val="17"/>
                    </w:rPr>
                    <w:t>13、水罐涨罐保护：除了设置足够大孔径的溢水口，还设置罐口压力溢流装置，水罐补水时，防止意外超压。</w:t>
                  </w:r>
                </w:p>
                <w:p>
                  <w:pPr>
                    <w:jc w:val="both"/>
                  </w:pPr>
                  <w:r>
                    <w:rPr>
                      <w:sz w:val="17"/>
                    </w:rPr>
                    <w:t>14、发动机限速：臂架动作时，自动限制发动机转速；当水泵工作时，防止水路超压或水泵超速，自动限制发动机转速。</w:t>
                  </w:r>
                </w:p>
                <w:p>
                  <w:pPr>
                    <w:jc w:val="both"/>
                  </w:pPr>
                  <w:r>
                    <w:rPr>
                      <w:sz w:val="17"/>
                    </w:rPr>
                    <w:t>15、超风速报警：当风速超过≥12.5米/秒时，声光自动报警。</w:t>
                  </w:r>
                </w:p>
                <w:p>
                  <w:pPr>
                    <w:jc w:val="both"/>
                  </w:pPr>
                  <w:r>
                    <w:rPr>
                      <w:sz w:val="17"/>
                    </w:rPr>
                    <w:t>16、器材箱门未关提示：如器材箱门未关，光自动报警，防止行车发生事故。</w:t>
                  </w:r>
                </w:p>
                <w:p>
                  <w:pPr>
                    <w:jc w:val="both"/>
                  </w:pPr>
                  <w:r>
                    <w:rPr>
                      <w:sz w:val="17"/>
                    </w:rPr>
                    <w:t>17、滤芯堵塞保护：滤芯堵塞时，光报警提示。</w:t>
                  </w:r>
                </w:p>
                <w:p>
                  <w:pPr>
                    <w:jc w:val="both"/>
                  </w:pPr>
                  <w:r>
                    <w:rPr>
                      <w:sz w:val="17"/>
                    </w:rPr>
                    <w:t>18、液压油超温保护：温度超高时，自动启动散热器，防止油温过高。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（八）液压系统：</w:t>
                  </w:r>
                </w:p>
                <w:p>
                  <w:pPr>
                    <w:jc w:val="both"/>
                  </w:pPr>
                  <w:r>
                    <w:rPr>
                      <w:sz w:val="17"/>
                    </w:rPr>
                    <w:t>1、液压系统概述：变量泵+比例阀负载敏感系统。</w:t>
                  </w:r>
                </w:p>
                <w:p>
                  <w:pPr>
                    <w:jc w:val="both"/>
                  </w:pPr>
                  <w:r>
                    <w:rPr>
                      <w:sz w:val="17"/>
                    </w:rPr>
                    <w:t>2、臂架操作阀：液压先导高性能电磁比例阀；臂架动作时，发动机转速自动调节。</w:t>
                  </w:r>
                </w:p>
                <w:p>
                  <w:pPr>
                    <w:jc w:val="both"/>
                  </w:pPr>
                  <w:r>
                    <w:rPr>
                      <w:sz w:val="17"/>
                    </w:rPr>
                    <w:t>3、支腿阀：电磁比例阀；支腿自动动作时，发动机转速自动升高。</w:t>
                  </w:r>
                </w:p>
                <w:p>
                  <w:pPr>
                    <w:jc w:val="both"/>
                  </w:pPr>
                  <w:r>
                    <w:rPr>
                      <w:sz w:val="17"/>
                    </w:rPr>
                    <w:t>4、车身概述：车身运用多种高强度专用铝型材搭接骨架、翻门重量轻，承重大，防腐性能佳。蒙皮采用航空粘接剂，粘接强度高，减振降噪。</w:t>
                  </w:r>
                </w:p>
                <w:p>
                  <w:pPr>
                    <w:jc w:val="both"/>
                  </w:pPr>
                  <w:r>
                    <w:rPr>
                      <w:sz w:val="17"/>
                    </w:rPr>
                    <w:t>5、结构：车身骨架采用高强度铝合金型材内藏式搭接技术搭建；车身蒙皮采用高强度结构用粘结胶粘结。</w:t>
                  </w:r>
                </w:p>
                <w:p>
                  <w:pPr>
                    <w:jc w:val="both"/>
                  </w:pPr>
                  <w:r>
                    <w:rPr>
                      <w:sz w:val="17"/>
                    </w:rPr>
                    <w:t>6、爬梯：全铝合金防腐蚀折叠爬梯。</w:t>
                  </w:r>
                </w:p>
                <w:p>
                  <w:pPr>
                    <w:jc w:val="both"/>
                  </w:pPr>
                  <w:r>
                    <w:rPr>
                      <w:sz w:val="17"/>
                    </w:rPr>
                    <w:t>7、整车油漆：车身外露表面消防红油漆；水箱外露面美纹漆；车身顶部采用防滑防腐蚀铝合金花纹板。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（九）其它：</w:t>
                  </w:r>
                </w:p>
                <w:p>
                  <w:pPr>
                    <w:jc w:val="both"/>
                  </w:pPr>
                  <w:r>
                    <w:rPr>
                      <w:sz w:val="17"/>
                    </w:rPr>
                    <w:t>水路接口型式：</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20"/>
                    <w:gridCol w:w="211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52" w:type="dxa"/>
                        <w:tcBorders>
                          <w:top w:val="single" w:color="000000" w:sz="4" w:space="0"/>
                          <w:left w:val="single" w:color="000000" w:sz="4" w:space="0"/>
                          <w:bottom w:val="single" w:color="000000" w:sz="4" w:space="0"/>
                          <w:right w:val="single" w:color="000000" w:sz="4" w:space="0"/>
                        </w:tcBorders>
                      </w:tcPr>
                      <w:p>
                        <w:pPr>
                          <w:jc w:val="center"/>
                        </w:pPr>
                        <w:r>
                          <w:rPr>
                            <w:sz w:val="17"/>
                          </w:rPr>
                          <w:t>功能</w:t>
                        </w:r>
                      </w:p>
                    </w:tc>
                    <w:tc>
                      <w:tcPr>
                        <w:tcW w:w="2137" w:type="dxa"/>
                        <w:tcBorders>
                          <w:top w:val="single" w:color="000000" w:sz="4" w:space="0"/>
                          <w:left w:val="nil"/>
                          <w:bottom w:val="single" w:color="000000" w:sz="4" w:space="0"/>
                          <w:right w:val="single" w:color="000000" w:sz="4" w:space="0"/>
                        </w:tcBorders>
                      </w:tcPr>
                      <w:p>
                        <w:pPr>
                          <w:jc w:val="center"/>
                        </w:pPr>
                        <w:r>
                          <w:rPr>
                            <w:sz w:val="17"/>
                          </w:rPr>
                          <w:t>型式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52" w:type="dxa"/>
                        <w:tcBorders>
                          <w:top w:val="nil"/>
                          <w:left w:val="single" w:color="000000" w:sz="4" w:space="0"/>
                          <w:bottom w:val="single" w:color="000000" w:sz="4" w:space="0"/>
                          <w:right w:val="single" w:color="000000" w:sz="4" w:space="0"/>
                        </w:tcBorders>
                      </w:tcPr>
                      <w:p>
                        <w:pPr>
                          <w:jc w:val="center"/>
                        </w:pPr>
                        <w:r>
                          <w:rPr>
                            <w:sz w:val="17"/>
                          </w:rPr>
                          <w:t>吸水口</w:t>
                        </w:r>
                      </w:p>
                    </w:tc>
                    <w:tc>
                      <w:tcPr>
                        <w:tcW w:w="2137" w:type="dxa"/>
                        <w:tcBorders>
                          <w:top w:val="nil"/>
                          <w:left w:val="nil"/>
                          <w:bottom w:val="single" w:color="000000" w:sz="4" w:space="0"/>
                          <w:right w:val="single" w:color="000000" w:sz="4" w:space="0"/>
                        </w:tcBorders>
                      </w:tcPr>
                      <w:p>
                        <w:pPr>
                          <w:jc w:val="center"/>
                        </w:pPr>
                        <w:r>
                          <w:rPr>
                            <w:sz w:val="17"/>
                          </w:rPr>
                          <w:t>内扣式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52" w:type="dxa"/>
                        <w:tcBorders>
                          <w:top w:val="nil"/>
                          <w:left w:val="single" w:color="000000" w:sz="4" w:space="0"/>
                          <w:bottom w:val="single" w:color="000000" w:sz="4" w:space="0"/>
                          <w:right w:val="single" w:color="000000" w:sz="4" w:space="0"/>
                        </w:tcBorders>
                      </w:tcPr>
                      <w:p>
                        <w:pPr>
                          <w:jc w:val="center"/>
                        </w:pPr>
                        <w:r>
                          <w:rPr>
                            <w:sz w:val="17"/>
                          </w:rPr>
                          <w:t>注水口</w:t>
                        </w:r>
                      </w:p>
                    </w:tc>
                    <w:tc>
                      <w:tcPr>
                        <w:tcW w:w="2137" w:type="dxa"/>
                        <w:tcBorders>
                          <w:top w:val="nil"/>
                          <w:left w:val="nil"/>
                          <w:bottom w:val="single" w:color="000000" w:sz="4" w:space="0"/>
                          <w:right w:val="single" w:color="000000" w:sz="4" w:space="0"/>
                        </w:tcBorders>
                      </w:tcPr>
                      <w:p>
                        <w:pPr>
                          <w:jc w:val="center"/>
                        </w:pPr>
                        <w:r>
                          <w:rPr>
                            <w:sz w:val="17"/>
                          </w:rPr>
                          <w:t>卡式雄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52" w:type="dxa"/>
                        <w:tcBorders>
                          <w:top w:val="nil"/>
                          <w:left w:val="single" w:color="000000" w:sz="4" w:space="0"/>
                          <w:bottom w:val="single" w:color="000000" w:sz="4" w:space="0"/>
                          <w:right w:val="single" w:color="000000" w:sz="4" w:space="0"/>
                        </w:tcBorders>
                      </w:tcPr>
                      <w:p>
                        <w:pPr>
                          <w:jc w:val="center"/>
                        </w:pPr>
                        <w:r>
                          <w:rPr>
                            <w:sz w:val="17"/>
                          </w:rPr>
                          <w:t>供水口</w:t>
                        </w:r>
                      </w:p>
                    </w:tc>
                    <w:tc>
                      <w:tcPr>
                        <w:tcW w:w="2137" w:type="dxa"/>
                        <w:tcBorders>
                          <w:top w:val="nil"/>
                          <w:left w:val="nil"/>
                          <w:bottom w:val="single" w:color="000000" w:sz="4" w:space="0"/>
                          <w:right w:val="single" w:color="000000" w:sz="4" w:space="0"/>
                        </w:tcBorders>
                      </w:tcPr>
                      <w:p>
                        <w:pPr>
                          <w:jc w:val="center"/>
                        </w:pPr>
                        <w:r>
                          <w:rPr>
                            <w:sz w:val="17"/>
                          </w:rPr>
                          <w:t>卡式雌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52" w:type="dxa"/>
                        <w:tcBorders>
                          <w:top w:val="nil"/>
                          <w:left w:val="single" w:color="000000" w:sz="4" w:space="0"/>
                          <w:bottom w:val="single" w:color="000000" w:sz="4" w:space="0"/>
                          <w:right w:val="single" w:color="000000" w:sz="4" w:space="0"/>
                        </w:tcBorders>
                      </w:tcPr>
                      <w:p>
                        <w:pPr>
                          <w:jc w:val="center"/>
                        </w:pPr>
                        <w:r>
                          <w:rPr>
                            <w:sz w:val="17"/>
                          </w:rPr>
                          <w:t>泡沫外吸口</w:t>
                        </w:r>
                      </w:p>
                    </w:tc>
                    <w:tc>
                      <w:tcPr>
                        <w:tcW w:w="2137" w:type="dxa"/>
                        <w:tcBorders>
                          <w:top w:val="nil"/>
                          <w:left w:val="nil"/>
                          <w:bottom w:val="single" w:color="000000" w:sz="4" w:space="0"/>
                          <w:right w:val="single" w:color="000000" w:sz="4" w:space="0"/>
                        </w:tcBorders>
                      </w:tcPr>
                      <w:p>
                        <w:pPr>
                          <w:jc w:val="center"/>
                        </w:pPr>
                        <w:r>
                          <w:rPr>
                            <w:sz w:val="17"/>
                          </w:rPr>
                          <w:t>内扣式</w:t>
                        </w:r>
                      </w:p>
                    </w:tc>
                  </w:tr>
                </w:tbl>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（十）随车文件清单：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7"/>
                    <w:gridCol w:w="2403"/>
                    <w:gridCol w:w="149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single" w:color="000000" w:sz="4" w:space="0"/>
                          <w:left w:val="single" w:color="000000" w:sz="4" w:space="0"/>
                          <w:bottom w:val="single" w:color="000000" w:sz="4" w:space="0"/>
                          <w:right w:val="single" w:color="000000" w:sz="4" w:space="0"/>
                        </w:tcBorders>
                      </w:tcPr>
                      <w:p>
                        <w:pPr>
                          <w:jc w:val="center"/>
                        </w:pPr>
                        <w:r>
                          <w:rPr>
                            <w:sz w:val="17"/>
                          </w:rPr>
                          <w:t>序号</w:t>
                        </w:r>
                      </w:p>
                    </w:tc>
                    <w:tc>
                      <w:tcPr>
                        <w:tcW w:w="2429" w:type="dxa"/>
                        <w:tcBorders>
                          <w:top w:val="single" w:color="000000" w:sz="4" w:space="0"/>
                          <w:left w:val="nil"/>
                          <w:bottom w:val="single" w:color="000000" w:sz="4" w:space="0"/>
                          <w:right w:val="single" w:color="000000" w:sz="4" w:space="0"/>
                        </w:tcBorders>
                      </w:tcPr>
                      <w:p>
                        <w:pPr>
                          <w:jc w:val="center"/>
                        </w:pPr>
                        <w:r>
                          <w:rPr>
                            <w:sz w:val="17"/>
                          </w:rPr>
                          <w:t>名称</w:t>
                        </w:r>
                      </w:p>
                    </w:tc>
                    <w:tc>
                      <w:tcPr>
                        <w:tcW w:w="1511" w:type="dxa"/>
                        <w:tcBorders>
                          <w:top w:val="single" w:color="000000" w:sz="4" w:space="0"/>
                          <w:left w:val="nil"/>
                          <w:bottom w:val="single" w:color="000000" w:sz="4" w:space="0"/>
                          <w:right w:val="single" w:color="000000" w:sz="4" w:space="0"/>
                        </w:tcBorders>
                      </w:tcPr>
                      <w:p>
                        <w:pPr>
                          <w:jc w:val="center"/>
                        </w:pPr>
                        <w:r>
                          <w:rPr>
                            <w:sz w:val="17"/>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1</w:t>
                        </w:r>
                      </w:p>
                    </w:tc>
                    <w:tc>
                      <w:tcPr>
                        <w:tcW w:w="2429" w:type="dxa"/>
                        <w:tcBorders>
                          <w:top w:val="nil"/>
                          <w:left w:val="nil"/>
                          <w:bottom w:val="single" w:color="000000" w:sz="4" w:space="0"/>
                          <w:right w:val="single" w:color="000000" w:sz="4" w:space="0"/>
                        </w:tcBorders>
                      </w:tcPr>
                      <w:p>
                        <w:pPr>
                          <w:jc w:val="center"/>
                        </w:pPr>
                        <w:r>
                          <w:rPr>
                            <w:sz w:val="17"/>
                          </w:rPr>
                          <w:t>使用说明书</w:t>
                        </w:r>
                      </w:p>
                    </w:tc>
                    <w:tc>
                      <w:tcPr>
                        <w:tcW w:w="1511" w:type="dxa"/>
                        <w:tcBorders>
                          <w:top w:val="nil"/>
                          <w:left w:val="nil"/>
                          <w:bottom w:val="single" w:color="000000" w:sz="4" w:space="0"/>
                          <w:right w:val="single" w:color="000000" w:sz="4" w:space="0"/>
                        </w:tcBorders>
                      </w:tcPr>
                      <w:p>
                        <w:pPr>
                          <w:jc w:val="center"/>
                        </w:pPr>
                        <w:r>
                          <w:rPr>
                            <w:sz w:val="17"/>
                          </w:rPr>
                          <w:t>2份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2</w:t>
                        </w:r>
                      </w:p>
                    </w:tc>
                    <w:tc>
                      <w:tcPr>
                        <w:tcW w:w="2429" w:type="dxa"/>
                        <w:tcBorders>
                          <w:top w:val="nil"/>
                          <w:left w:val="nil"/>
                          <w:bottom w:val="single" w:color="000000" w:sz="4" w:space="0"/>
                          <w:right w:val="single" w:color="000000" w:sz="4" w:space="0"/>
                        </w:tcBorders>
                      </w:tcPr>
                      <w:p>
                        <w:pPr>
                          <w:jc w:val="center"/>
                        </w:pPr>
                        <w:r>
                          <w:rPr>
                            <w:sz w:val="17"/>
                          </w:rPr>
                          <w:t>随车工具清单</w:t>
                        </w:r>
                      </w:p>
                    </w:tc>
                    <w:tc>
                      <w:tcPr>
                        <w:tcW w:w="1511" w:type="dxa"/>
                        <w:tcBorders>
                          <w:top w:val="nil"/>
                          <w:left w:val="nil"/>
                          <w:bottom w:val="single" w:color="000000" w:sz="4" w:space="0"/>
                          <w:right w:val="single" w:color="000000" w:sz="4" w:space="0"/>
                        </w:tcBorders>
                      </w:tcPr>
                      <w:p>
                        <w:pPr>
                          <w:jc w:val="center"/>
                        </w:pPr>
                        <w:r>
                          <w:rPr>
                            <w:sz w:val="17"/>
                          </w:rPr>
                          <w:t>1份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3</w:t>
                        </w:r>
                      </w:p>
                    </w:tc>
                    <w:tc>
                      <w:tcPr>
                        <w:tcW w:w="2429" w:type="dxa"/>
                        <w:tcBorders>
                          <w:top w:val="nil"/>
                          <w:left w:val="nil"/>
                          <w:bottom w:val="single" w:color="000000" w:sz="4" w:space="0"/>
                          <w:right w:val="single" w:color="000000" w:sz="4" w:space="0"/>
                        </w:tcBorders>
                      </w:tcPr>
                      <w:p>
                        <w:pPr>
                          <w:jc w:val="center"/>
                        </w:pPr>
                        <w:r>
                          <w:rPr>
                            <w:sz w:val="17"/>
                          </w:rPr>
                          <w:t>随车附件清单</w:t>
                        </w:r>
                      </w:p>
                    </w:tc>
                    <w:tc>
                      <w:tcPr>
                        <w:tcW w:w="1511" w:type="dxa"/>
                        <w:tcBorders>
                          <w:top w:val="nil"/>
                          <w:left w:val="nil"/>
                          <w:bottom w:val="single" w:color="000000" w:sz="4" w:space="0"/>
                          <w:right w:val="single" w:color="000000" w:sz="4" w:space="0"/>
                        </w:tcBorders>
                      </w:tcPr>
                      <w:p>
                        <w:pPr>
                          <w:jc w:val="center"/>
                        </w:pPr>
                        <w:r>
                          <w:rPr>
                            <w:sz w:val="17"/>
                          </w:rPr>
                          <w:t>1份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4</w:t>
                        </w:r>
                      </w:p>
                    </w:tc>
                    <w:tc>
                      <w:tcPr>
                        <w:tcW w:w="2429" w:type="dxa"/>
                        <w:tcBorders>
                          <w:top w:val="nil"/>
                          <w:left w:val="nil"/>
                          <w:bottom w:val="single" w:color="000000" w:sz="4" w:space="0"/>
                          <w:right w:val="single" w:color="000000" w:sz="4" w:space="0"/>
                        </w:tcBorders>
                      </w:tcPr>
                      <w:p>
                        <w:pPr>
                          <w:jc w:val="center"/>
                        </w:pPr>
                        <w:r>
                          <w:rPr>
                            <w:sz w:val="17"/>
                          </w:rPr>
                          <w:t>易损件清单</w:t>
                        </w:r>
                      </w:p>
                    </w:tc>
                    <w:tc>
                      <w:tcPr>
                        <w:tcW w:w="1511" w:type="dxa"/>
                        <w:tcBorders>
                          <w:top w:val="nil"/>
                          <w:left w:val="nil"/>
                          <w:bottom w:val="single" w:color="000000" w:sz="4" w:space="0"/>
                          <w:right w:val="single" w:color="000000" w:sz="4" w:space="0"/>
                        </w:tcBorders>
                      </w:tcPr>
                      <w:p>
                        <w:pPr>
                          <w:jc w:val="center"/>
                        </w:pPr>
                        <w:r>
                          <w:rPr>
                            <w:sz w:val="17"/>
                          </w:rPr>
                          <w:t>1份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5</w:t>
                        </w:r>
                      </w:p>
                    </w:tc>
                    <w:tc>
                      <w:tcPr>
                        <w:tcW w:w="2429" w:type="dxa"/>
                        <w:tcBorders>
                          <w:top w:val="nil"/>
                          <w:left w:val="nil"/>
                          <w:bottom w:val="single" w:color="000000" w:sz="4" w:space="0"/>
                          <w:right w:val="single" w:color="000000" w:sz="4" w:space="0"/>
                        </w:tcBorders>
                      </w:tcPr>
                      <w:p>
                        <w:pPr>
                          <w:jc w:val="center"/>
                        </w:pPr>
                        <w:r>
                          <w:rPr>
                            <w:sz w:val="17"/>
                          </w:rPr>
                          <w:t>底盘随车文件</w:t>
                        </w:r>
                      </w:p>
                    </w:tc>
                    <w:tc>
                      <w:tcPr>
                        <w:tcW w:w="1511" w:type="dxa"/>
                        <w:tcBorders>
                          <w:top w:val="nil"/>
                          <w:left w:val="nil"/>
                          <w:bottom w:val="single" w:color="000000" w:sz="4" w:space="0"/>
                          <w:right w:val="single" w:color="000000" w:sz="4" w:space="0"/>
                        </w:tcBorders>
                      </w:tcPr>
                      <w:p>
                        <w:pPr>
                          <w:jc w:val="center"/>
                        </w:pPr>
                        <w:r>
                          <w:rPr>
                            <w:sz w:val="17"/>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6</w:t>
                        </w:r>
                      </w:p>
                    </w:tc>
                    <w:tc>
                      <w:tcPr>
                        <w:tcW w:w="2429" w:type="dxa"/>
                        <w:tcBorders>
                          <w:top w:val="nil"/>
                          <w:left w:val="nil"/>
                          <w:bottom w:val="single" w:color="000000" w:sz="4" w:space="0"/>
                          <w:right w:val="single" w:color="000000" w:sz="4" w:space="0"/>
                        </w:tcBorders>
                      </w:tcPr>
                      <w:p>
                        <w:pPr>
                          <w:jc w:val="center"/>
                        </w:pPr>
                        <w:r>
                          <w:rPr>
                            <w:sz w:val="17"/>
                          </w:rPr>
                          <w:t>产品合格证</w:t>
                        </w:r>
                      </w:p>
                    </w:tc>
                    <w:tc>
                      <w:tcPr>
                        <w:tcW w:w="1511" w:type="dxa"/>
                        <w:tcBorders>
                          <w:top w:val="nil"/>
                          <w:left w:val="nil"/>
                          <w:bottom w:val="single" w:color="000000" w:sz="4" w:space="0"/>
                          <w:right w:val="single" w:color="000000" w:sz="4" w:space="0"/>
                        </w:tcBorders>
                      </w:tcPr>
                      <w:p>
                        <w:pPr>
                          <w:jc w:val="center"/>
                        </w:pPr>
                        <w:r>
                          <w:rPr>
                            <w:sz w:val="17"/>
                          </w:rPr>
                          <w:t>1份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9" w:type="dxa"/>
                        <w:tcBorders>
                          <w:top w:val="nil"/>
                          <w:left w:val="single" w:color="000000" w:sz="4" w:space="0"/>
                          <w:bottom w:val="single" w:color="000000" w:sz="4" w:space="0"/>
                          <w:right w:val="single" w:color="000000" w:sz="4" w:space="0"/>
                        </w:tcBorders>
                      </w:tcPr>
                      <w:p>
                        <w:pPr>
                          <w:jc w:val="center"/>
                        </w:pPr>
                        <w:r>
                          <w:rPr>
                            <w:sz w:val="17"/>
                          </w:rPr>
                          <w:t>7</w:t>
                        </w:r>
                      </w:p>
                    </w:tc>
                    <w:tc>
                      <w:tcPr>
                        <w:tcW w:w="2429" w:type="dxa"/>
                        <w:tcBorders>
                          <w:top w:val="nil"/>
                          <w:left w:val="nil"/>
                          <w:bottom w:val="single" w:color="000000" w:sz="4" w:space="0"/>
                          <w:right w:val="single" w:color="000000" w:sz="4" w:space="0"/>
                        </w:tcBorders>
                      </w:tcPr>
                      <w:p>
                        <w:pPr>
                          <w:jc w:val="center"/>
                        </w:pPr>
                        <w:r>
                          <w:rPr>
                            <w:sz w:val="17"/>
                          </w:rPr>
                          <w:t>装箱单</w:t>
                        </w:r>
                      </w:p>
                    </w:tc>
                    <w:tc>
                      <w:tcPr>
                        <w:tcW w:w="1511" w:type="dxa"/>
                        <w:tcBorders>
                          <w:top w:val="nil"/>
                          <w:left w:val="nil"/>
                          <w:bottom w:val="single" w:color="000000" w:sz="4" w:space="0"/>
                          <w:right w:val="single" w:color="000000" w:sz="4" w:space="0"/>
                        </w:tcBorders>
                      </w:tcPr>
                      <w:p>
                        <w:pPr>
                          <w:jc w:val="center"/>
                        </w:pPr>
                        <w:r>
                          <w:rPr>
                            <w:sz w:val="17"/>
                          </w:rPr>
                          <w:t>1份</w:t>
                        </w:r>
                      </w:p>
                    </w:tc>
                  </w:tr>
                </w:tbl>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（十一）随车附件清单：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7"/>
                    <w:gridCol w:w="1914"/>
                    <w:gridCol w:w="1396"/>
                    <w:gridCol w:w="748"/>
                    <w:gridCol w:w="64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single" w:color="000000" w:sz="4" w:space="0"/>
                          <w:left w:val="single" w:color="000000" w:sz="4" w:space="0"/>
                          <w:bottom w:val="single" w:color="000000" w:sz="4" w:space="0"/>
                          <w:right w:val="single" w:color="000000" w:sz="4" w:space="0"/>
                        </w:tcBorders>
                      </w:tcPr>
                      <w:p>
                        <w:pPr>
                          <w:jc w:val="center"/>
                        </w:pPr>
                        <w:r>
                          <w:rPr>
                            <w:sz w:val="17"/>
                          </w:rPr>
                          <w:t>序号</w:t>
                        </w:r>
                      </w:p>
                    </w:tc>
                    <w:tc>
                      <w:tcPr>
                        <w:tcW w:w="1943" w:type="dxa"/>
                        <w:tcBorders>
                          <w:top w:val="single" w:color="000000" w:sz="4" w:space="0"/>
                          <w:left w:val="nil"/>
                          <w:bottom w:val="single" w:color="000000" w:sz="4" w:space="0"/>
                          <w:right w:val="single" w:color="000000" w:sz="4" w:space="0"/>
                        </w:tcBorders>
                      </w:tcPr>
                      <w:p>
                        <w:pPr>
                          <w:jc w:val="center"/>
                        </w:pPr>
                        <w:r>
                          <w:rPr>
                            <w:sz w:val="17"/>
                          </w:rPr>
                          <w:t>名称</w:t>
                        </w:r>
                      </w:p>
                    </w:tc>
                    <w:tc>
                      <w:tcPr>
                        <w:tcW w:w="1403" w:type="dxa"/>
                        <w:tcBorders>
                          <w:top w:val="single" w:color="000000" w:sz="4" w:space="0"/>
                          <w:left w:val="nil"/>
                          <w:bottom w:val="single" w:color="000000" w:sz="4" w:space="0"/>
                          <w:right w:val="single" w:color="000000" w:sz="4" w:space="0"/>
                        </w:tcBorders>
                      </w:tcPr>
                      <w:p>
                        <w:pPr>
                          <w:jc w:val="center"/>
                        </w:pPr>
                        <w:r>
                          <w:rPr>
                            <w:sz w:val="17"/>
                          </w:rPr>
                          <w:t>代号/规格</w:t>
                        </w:r>
                      </w:p>
                    </w:tc>
                    <w:tc>
                      <w:tcPr>
                        <w:tcW w:w="756" w:type="dxa"/>
                        <w:tcBorders>
                          <w:top w:val="single" w:color="000000" w:sz="4" w:space="0"/>
                          <w:left w:val="nil"/>
                          <w:bottom w:val="single" w:color="000000" w:sz="4" w:space="0"/>
                          <w:right w:val="single" w:color="000000" w:sz="4" w:space="0"/>
                        </w:tcBorders>
                      </w:tcPr>
                      <w:p>
                        <w:pPr>
                          <w:jc w:val="center"/>
                        </w:pPr>
                        <w:r>
                          <w:rPr>
                            <w:sz w:val="17"/>
                          </w:rPr>
                          <w:t>单位</w:t>
                        </w:r>
                      </w:p>
                    </w:tc>
                    <w:tc>
                      <w:tcPr>
                        <w:tcW w:w="648" w:type="dxa"/>
                        <w:tcBorders>
                          <w:top w:val="single" w:color="000000" w:sz="4" w:space="0"/>
                          <w:left w:val="nil"/>
                          <w:bottom w:val="single" w:color="000000" w:sz="4" w:space="0"/>
                          <w:right w:val="single" w:color="000000" w:sz="4" w:space="0"/>
                        </w:tcBorders>
                      </w:tcPr>
                      <w:p>
                        <w:pPr>
                          <w:jc w:val="center"/>
                        </w:pPr>
                        <w:r>
                          <w:rPr>
                            <w:sz w:val="17"/>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w:t>
                        </w:r>
                      </w:p>
                    </w:tc>
                    <w:tc>
                      <w:tcPr>
                        <w:tcW w:w="1943" w:type="dxa"/>
                        <w:tcBorders>
                          <w:top w:val="nil"/>
                          <w:left w:val="nil"/>
                          <w:bottom w:val="single" w:color="000000" w:sz="4" w:space="0"/>
                          <w:right w:val="single" w:color="000000" w:sz="4" w:space="0"/>
                        </w:tcBorders>
                      </w:tcPr>
                      <w:p>
                        <w:pPr>
                          <w:jc w:val="center"/>
                        </w:pPr>
                        <w:r>
                          <w:rPr>
                            <w:sz w:val="17"/>
                          </w:rPr>
                          <w:t>消防水带（卡式）</w:t>
                        </w:r>
                      </w:p>
                    </w:tc>
                    <w:tc>
                      <w:tcPr>
                        <w:tcW w:w="1403" w:type="dxa"/>
                        <w:tcBorders>
                          <w:top w:val="nil"/>
                          <w:left w:val="nil"/>
                          <w:bottom w:val="single" w:color="000000" w:sz="4" w:space="0"/>
                          <w:right w:val="single" w:color="000000" w:sz="4" w:space="0"/>
                        </w:tcBorders>
                      </w:tcPr>
                      <w:p>
                        <w:pPr>
                          <w:jc w:val="center"/>
                        </w:pPr>
                        <w:r>
                          <w:rPr>
                            <w:sz w:val="17"/>
                          </w:rPr>
                          <w:t>20-80-20</w:t>
                        </w:r>
                      </w:p>
                    </w:tc>
                    <w:tc>
                      <w:tcPr>
                        <w:tcW w:w="756" w:type="dxa"/>
                        <w:tcBorders>
                          <w:top w:val="nil"/>
                          <w:left w:val="nil"/>
                          <w:bottom w:val="single" w:color="000000" w:sz="4" w:space="0"/>
                          <w:right w:val="single" w:color="000000" w:sz="4" w:space="0"/>
                        </w:tcBorders>
                      </w:tcPr>
                      <w:p>
                        <w:pPr>
                          <w:jc w:val="center"/>
                        </w:pPr>
                        <w:r>
                          <w:rPr>
                            <w:sz w:val="17"/>
                          </w:rPr>
                          <w:t>盘</w:t>
                        </w:r>
                      </w:p>
                    </w:tc>
                    <w:tc>
                      <w:tcPr>
                        <w:tcW w:w="648"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2</w:t>
                        </w:r>
                      </w:p>
                    </w:tc>
                    <w:tc>
                      <w:tcPr>
                        <w:tcW w:w="1943" w:type="dxa"/>
                        <w:tcBorders>
                          <w:top w:val="nil"/>
                          <w:left w:val="nil"/>
                          <w:bottom w:val="single" w:color="000000" w:sz="4" w:space="0"/>
                          <w:right w:val="single" w:color="000000" w:sz="4" w:space="0"/>
                        </w:tcBorders>
                      </w:tcPr>
                      <w:p>
                        <w:pPr>
                          <w:jc w:val="center"/>
                        </w:pPr>
                        <w:r>
                          <w:rPr>
                            <w:sz w:val="17"/>
                          </w:rPr>
                          <w:t>异型快速接口（内扣转螺纹）</w:t>
                        </w:r>
                      </w:p>
                    </w:tc>
                    <w:tc>
                      <w:tcPr>
                        <w:tcW w:w="1403" w:type="dxa"/>
                        <w:tcBorders>
                          <w:top w:val="nil"/>
                          <w:left w:val="nil"/>
                          <w:bottom w:val="single" w:color="000000" w:sz="4" w:space="0"/>
                          <w:right w:val="single" w:color="000000" w:sz="4" w:space="0"/>
                        </w:tcBorders>
                      </w:tcPr>
                      <w:p>
                        <w:pPr>
                          <w:jc w:val="center"/>
                        </w:pPr>
                        <w:r>
                          <w:rPr>
                            <w:sz w:val="17"/>
                          </w:rPr>
                          <w:t>KD150/100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3</w:t>
                        </w:r>
                      </w:p>
                    </w:tc>
                    <w:tc>
                      <w:tcPr>
                        <w:tcW w:w="1943" w:type="dxa"/>
                        <w:tcBorders>
                          <w:top w:val="nil"/>
                          <w:left w:val="nil"/>
                          <w:bottom w:val="single" w:color="000000" w:sz="4" w:space="0"/>
                          <w:right w:val="single" w:color="000000" w:sz="4" w:space="0"/>
                        </w:tcBorders>
                      </w:tcPr>
                      <w:p>
                        <w:pPr>
                          <w:jc w:val="center"/>
                        </w:pPr>
                        <w:r>
                          <w:rPr>
                            <w:sz w:val="17"/>
                          </w:rPr>
                          <w:t>吸水管（内扣）</w:t>
                        </w:r>
                      </w:p>
                    </w:tc>
                    <w:tc>
                      <w:tcPr>
                        <w:tcW w:w="1403" w:type="dxa"/>
                        <w:tcBorders>
                          <w:top w:val="nil"/>
                          <w:left w:val="nil"/>
                          <w:bottom w:val="single" w:color="000000" w:sz="4" w:space="0"/>
                          <w:right w:val="single" w:color="000000" w:sz="4" w:space="0"/>
                        </w:tcBorders>
                      </w:tcPr>
                      <w:p>
                        <w:pPr>
                          <w:jc w:val="center"/>
                        </w:pPr>
                        <w:r>
                          <w:rPr>
                            <w:sz w:val="17"/>
                          </w:rPr>
                          <w:t>φ150×2000</w:t>
                        </w:r>
                      </w:p>
                    </w:tc>
                    <w:tc>
                      <w:tcPr>
                        <w:tcW w:w="756" w:type="dxa"/>
                        <w:tcBorders>
                          <w:top w:val="nil"/>
                          <w:left w:val="nil"/>
                          <w:bottom w:val="single" w:color="000000" w:sz="4" w:space="0"/>
                          <w:right w:val="single" w:color="000000" w:sz="4" w:space="0"/>
                        </w:tcBorders>
                      </w:tcPr>
                      <w:p>
                        <w:pPr>
                          <w:jc w:val="center"/>
                        </w:pPr>
                        <w:r>
                          <w:rPr>
                            <w:sz w:val="17"/>
                          </w:rPr>
                          <w:t>根</w:t>
                        </w:r>
                      </w:p>
                    </w:tc>
                    <w:tc>
                      <w:tcPr>
                        <w:tcW w:w="648"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4</w:t>
                        </w:r>
                      </w:p>
                    </w:tc>
                    <w:tc>
                      <w:tcPr>
                        <w:tcW w:w="1943" w:type="dxa"/>
                        <w:tcBorders>
                          <w:top w:val="nil"/>
                          <w:left w:val="nil"/>
                          <w:bottom w:val="single" w:color="000000" w:sz="4" w:space="0"/>
                          <w:right w:val="single" w:color="000000" w:sz="4" w:space="0"/>
                        </w:tcBorders>
                      </w:tcPr>
                      <w:p>
                        <w:pPr>
                          <w:jc w:val="center"/>
                        </w:pPr>
                        <w:r>
                          <w:rPr>
                            <w:sz w:val="17"/>
                          </w:rPr>
                          <w:t>吸水管扳手</w:t>
                        </w:r>
                      </w:p>
                    </w:tc>
                    <w:tc>
                      <w:tcPr>
                        <w:tcW w:w="1403" w:type="dxa"/>
                        <w:tcBorders>
                          <w:top w:val="nil"/>
                          <w:left w:val="nil"/>
                          <w:bottom w:val="single" w:color="000000" w:sz="4" w:space="0"/>
                          <w:right w:val="single" w:color="000000" w:sz="4" w:space="0"/>
                        </w:tcBorders>
                      </w:tcPr>
                      <w:p>
                        <w:pPr>
                          <w:jc w:val="center"/>
                        </w:pPr>
                        <w:r>
                          <w:rPr>
                            <w:sz w:val="17"/>
                          </w:rPr>
                          <w:t>6"</w:t>
                        </w:r>
                      </w:p>
                    </w:tc>
                    <w:tc>
                      <w:tcPr>
                        <w:tcW w:w="756" w:type="dxa"/>
                        <w:tcBorders>
                          <w:top w:val="nil"/>
                          <w:left w:val="nil"/>
                          <w:bottom w:val="single" w:color="000000" w:sz="4" w:space="0"/>
                          <w:right w:val="single" w:color="000000" w:sz="4" w:space="0"/>
                        </w:tcBorders>
                      </w:tcPr>
                      <w:p>
                        <w:pPr>
                          <w:jc w:val="center"/>
                        </w:pPr>
                        <w:r>
                          <w:rPr>
                            <w:sz w:val="17"/>
                          </w:rPr>
                          <w:t>把</w:t>
                        </w:r>
                      </w:p>
                    </w:tc>
                    <w:tc>
                      <w:tcPr>
                        <w:tcW w:w="648" w:type="dxa"/>
                        <w:tcBorders>
                          <w:top w:val="nil"/>
                          <w:left w:val="nil"/>
                          <w:bottom w:val="single" w:color="000000" w:sz="4" w:space="0"/>
                          <w:right w:val="single" w:color="000000" w:sz="4" w:space="0"/>
                        </w:tcBorders>
                      </w:tcPr>
                      <w:p>
                        <w:pPr>
                          <w:jc w:val="center"/>
                        </w:pPr>
                        <w:r>
                          <w:rPr>
                            <w:sz w:val="17"/>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5</w:t>
                        </w:r>
                      </w:p>
                    </w:tc>
                    <w:tc>
                      <w:tcPr>
                        <w:tcW w:w="1943" w:type="dxa"/>
                        <w:tcBorders>
                          <w:top w:val="nil"/>
                          <w:left w:val="nil"/>
                          <w:bottom w:val="single" w:color="000000" w:sz="4" w:space="0"/>
                          <w:right w:val="single" w:color="000000" w:sz="4" w:space="0"/>
                        </w:tcBorders>
                      </w:tcPr>
                      <w:p>
                        <w:pPr>
                          <w:jc w:val="center"/>
                        </w:pPr>
                        <w:r>
                          <w:rPr>
                            <w:sz w:val="17"/>
                          </w:rPr>
                          <w:t>滤水器（内扣）</w:t>
                        </w:r>
                      </w:p>
                    </w:tc>
                    <w:tc>
                      <w:tcPr>
                        <w:tcW w:w="1403" w:type="dxa"/>
                        <w:tcBorders>
                          <w:top w:val="nil"/>
                          <w:left w:val="nil"/>
                          <w:bottom w:val="single" w:color="000000" w:sz="4" w:space="0"/>
                          <w:right w:val="single" w:color="000000" w:sz="4" w:space="0"/>
                        </w:tcBorders>
                      </w:tcPr>
                      <w:p>
                        <w:pPr>
                          <w:jc w:val="center"/>
                        </w:pPr>
                        <w:r>
                          <w:rPr>
                            <w:sz w:val="17"/>
                          </w:rPr>
                          <w:t>FLF150</w:t>
                        </w:r>
                      </w:p>
                    </w:tc>
                    <w:tc>
                      <w:tcPr>
                        <w:tcW w:w="756" w:type="dxa"/>
                        <w:tcBorders>
                          <w:top w:val="nil"/>
                          <w:left w:val="nil"/>
                          <w:bottom w:val="single" w:color="000000" w:sz="4" w:space="0"/>
                          <w:right w:val="single" w:color="000000" w:sz="4" w:space="0"/>
                        </w:tcBorders>
                      </w:tcPr>
                      <w:p>
                        <w:pPr>
                          <w:jc w:val="center"/>
                        </w:pPr>
                        <w:r>
                          <w:rPr>
                            <w:sz w:val="17"/>
                          </w:rPr>
                          <w:t>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6</w:t>
                        </w:r>
                      </w:p>
                    </w:tc>
                    <w:tc>
                      <w:tcPr>
                        <w:tcW w:w="1943" w:type="dxa"/>
                        <w:tcBorders>
                          <w:top w:val="nil"/>
                          <w:left w:val="nil"/>
                          <w:bottom w:val="single" w:color="000000" w:sz="4" w:space="0"/>
                          <w:right w:val="single" w:color="000000" w:sz="4" w:space="0"/>
                        </w:tcBorders>
                      </w:tcPr>
                      <w:p>
                        <w:pPr>
                          <w:jc w:val="center"/>
                        </w:pPr>
                        <w:r>
                          <w:rPr>
                            <w:sz w:val="17"/>
                          </w:rPr>
                          <w:t>异型接口</w:t>
                        </w:r>
                      </w:p>
                    </w:tc>
                    <w:tc>
                      <w:tcPr>
                        <w:tcW w:w="1403" w:type="dxa"/>
                        <w:tcBorders>
                          <w:top w:val="nil"/>
                          <w:left w:val="nil"/>
                          <w:bottom w:val="single" w:color="000000" w:sz="4" w:space="0"/>
                          <w:right w:val="single" w:color="000000" w:sz="4" w:space="0"/>
                        </w:tcBorders>
                      </w:tcPr>
                      <w:p>
                        <w:pPr>
                          <w:jc w:val="center"/>
                        </w:pPr>
                        <w:r>
                          <w:rPr>
                            <w:sz w:val="17"/>
                          </w:rPr>
                          <w:t>KXK65内扣/80雌</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7</w:t>
                        </w:r>
                      </w:p>
                    </w:tc>
                    <w:tc>
                      <w:tcPr>
                        <w:tcW w:w="1943" w:type="dxa"/>
                        <w:tcBorders>
                          <w:top w:val="nil"/>
                          <w:left w:val="nil"/>
                          <w:bottom w:val="single" w:color="000000" w:sz="4" w:space="0"/>
                          <w:right w:val="single" w:color="000000" w:sz="4" w:space="0"/>
                        </w:tcBorders>
                      </w:tcPr>
                      <w:p>
                        <w:pPr>
                          <w:jc w:val="center"/>
                        </w:pPr>
                        <w:r>
                          <w:rPr>
                            <w:sz w:val="17"/>
                          </w:rPr>
                          <w:t>水带包布</w:t>
                        </w:r>
                      </w:p>
                    </w:tc>
                    <w:tc>
                      <w:tcPr>
                        <w:tcW w:w="1403" w:type="dxa"/>
                        <w:tcBorders>
                          <w:top w:val="nil"/>
                          <w:left w:val="nil"/>
                          <w:bottom w:val="single" w:color="000000" w:sz="4" w:space="0"/>
                          <w:right w:val="single" w:color="000000" w:sz="4" w:space="0"/>
                        </w:tcBorders>
                      </w:tcPr>
                      <w:p>
                        <w:pPr>
                          <w:jc w:val="center"/>
                        </w:pPr>
                        <w:r>
                          <w:rPr>
                            <w:sz w:val="17"/>
                          </w:rPr>
                          <w:t>QH16044X</w:t>
                        </w:r>
                      </w:p>
                    </w:tc>
                    <w:tc>
                      <w:tcPr>
                        <w:tcW w:w="756" w:type="dxa"/>
                        <w:tcBorders>
                          <w:top w:val="nil"/>
                          <w:left w:val="nil"/>
                          <w:bottom w:val="single" w:color="000000" w:sz="4" w:space="0"/>
                          <w:right w:val="single" w:color="000000" w:sz="4" w:space="0"/>
                        </w:tcBorders>
                      </w:tcPr>
                      <w:p>
                        <w:pPr>
                          <w:jc w:val="center"/>
                        </w:pPr>
                        <w:r>
                          <w:rPr>
                            <w:sz w:val="17"/>
                          </w:rPr>
                          <w:t>件</w:t>
                        </w:r>
                      </w:p>
                    </w:tc>
                    <w:tc>
                      <w:tcPr>
                        <w:tcW w:w="648"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8</w:t>
                        </w:r>
                      </w:p>
                    </w:tc>
                    <w:tc>
                      <w:tcPr>
                        <w:tcW w:w="1943" w:type="dxa"/>
                        <w:tcBorders>
                          <w:top w:val="nil"/>
                          <w:left w:val="nil"/>
                          <w:bottom w:val="single" w:color="000000" w:sz="4" w:space="0"/>
                          <w:right w:val="single" w:color="000000" w:sz="4" w:space="0"/>
                        </w:tcBorders>
                      </w:tcPr>
                      <w:p>
                        <w:pPr>
                          <w:jc w:val="center"/>
                        </w:pPr>
                        <w:r>
                          <w:rPr>
                            <w:sz w:val="17"/>
                          </w:rPr>
                          <w:t>地上消火栓扳手</w:t>
                        </w:r>
                      </w:p>
                    </w:tc>
                    <w:tc>
                      <w:tcPr>
                        <w:tcW w:w="1403" w:type="dxa"/>
                        <w:tcBorders>
                          <w:top w:val="nil"/>
                          <w:left w:val="nil"/>
                          <w:bottom w:val="single" w:color="000000" w:sz="4" w:space="0"/>
                          <w:right w:val="single" w:color="000000" w:sz="4" w:space="0"/>
                        </w:tcBorders>
                      </w:tcPr>
                      <w:p>
                        <w:pPr>
                          <w:jc w:val="center"/>
                        </w:pPr>
                        <w:r>
                          <w:rPr>
                            <w:sz w:val="17"/>
                          </w:rPr>
                          <w:t>FB450</w:t>
                        </w:r>
                      </w:p>
                    </w:tc>
                    <w:tc>
                      <w:tcPr>
                        <w:tcW w:w="756" w:type="dxa"/>
                        <w:tcBorders>
                          <w:top w:val="nil"/>
                          <w:left w:val="nil"/>
                          <w:bottom w:val="single" w:color="000000" w:sz="4" w:space="0"/>
                          <w:right w:val="single" w:color="000000" w:sz="4" w:space="0"/>
                        </w:tcBorders>
                      </w:tcPr>
                      <w:p>
                        <w:pPr>
                          <w:jc w:val="center"/>
                        </w:pPr>
                        <w:r>
                          <w:rPr>
                            <w:sz w:val="17"/>
                          </w:rPr>
                          <w:t>件</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9</w:t>
                        </w:r>
                      </w:p>
                    </w:tc>
                    <w:tc>
                      <w:tcPr>
                        <w:tcW w:w="1943" w:type="dxa"/>
                        <w:tcBorders>
                          <w:top w:val="nil"/>
                          <w:left w:val="nil"/>
                          <w:bottom w:val="single" w:color="000000" w:sz="4" w:space="0"/>
                          <w:right w:val="single" w:color="000000" w:sz="4" w:space="0"/>
                        </w:tcBorders>
                      </w:tcPr>
                      <w:p>
                        <w:pPr>
                          <w:jc w:val="center"/>
                        </w:pPr>
                        <w:r>
                          <w:rPr>
                            <w:sz w:val="17"/>
                          </w:rPr>
                          <w:t>地下消火栓扳手</w:t>
                        </w:r>
                      </w:p>
                    </w:tc>
                    <w:tc>
                      <w:tcPr>
                        <w:tcW w:w="1403" w:type="dxa"/>
                        <w:tcBorders>
                          <w:top w:val="nil"/>
                          <w:left w:val="nil"/>
                          <w:bottom w:val="single" w:color="000000" w:sz="4" w:space="0"/>
                          <w:right w:val="single" w:color="000000" w:sz="4" w:space="0"/>
                        </w:tcBorders>
                      </w:tcPr>
                      <w:p>
                        <w:pPr>
                          <w:jc w:val="center"/>
                        </w:pPr>
                        <w:r>
                          <w:rPr>
                            <w:sz w:val="17"/>
                          </w:rPr>
                          <w:t>FBA800</w:t>
                        </w:r>
                      </w:p>
                    </w:tc>
                    <w:tc>
                      <w:tcPr>
                        <w:tcW w:w="756" w:type="dxa"/>
                        <w:tcBorders>
                          <w:top w:val="nil"/>
                          <w:left w:val="nil"/>
                          <w:bottom w:val="single" w:color="000000" w:sz="4" w:space="0"/>
                          <w:right w:val="single" w:color="000000" w:sz="4" w:space="0"/>
                        </w:tcBorders>
                      </w:tcPr>
                      <w:p>
                        <w:pPr>
                          <w:jc w:val="center"/>
                        </w:pPr>
                        <w:r>
                          <w:rPr>
                            <w:sz w:val="17"/>
                          </w:rPr>
                          <w:t>件</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10</w:t>
                        </w:r>
                      </w:p>
                    </w:tc>
                    <w:tc>
                      <w:tcPr>
                        <w:tcW w:w="1943" w:type="dxa"/>
                        <w:tcBorders>
                          <w:top w:val="nil"/>
                          <w:left w:val="nil"/>
                          <w:bottom w:val="single" w:color="000000" w:sz="4" w:space="0"/>
                          <w:right w:val="single" w:color="000000" w:sz="4" w:space="0"/>
                        </w:tcBorders>
                      </w:tcPr>
                      <w:p>
                        <w:pPr>
                          <w:jc w:val="center"/>
                        </w:pPr>
                        <w:r>
                          <w:rPr>
                            <w:sz w:val="17"/>
                          </w:rPr>
                          <w:t>支腿垫板</w:t>
                        </w:r>
                      </w:p>
                    </w:tc>
                    <w:tc>
                      <w:tcPr>
                        <w:tcW w:w="1403" w:type="dxa"/>
                        <w:tcBorders>
                          <w:top w:val="nil"/>
                          <w:left w:val="nil"/>
                          <w:bottom w:val="single" w:color="000000" w:sz="4" w:space="0"/>
                          <w:right w:val="single" w:color="000000" w:sz="4" w:space="0"/>
                        </w:tcBorders>
                      </w:tcPr>
                      <w:p>
                        <w:pPr>
                          <w:jc w:val="center"/>
                        </w:pPr>
                        <w:r>
                          <w:rPr>
                            <w:sz w:val="17"/>
                          </w:rPr>
                          <w:t>50×500×500</w:t>
                        </w:r>
                      </w:p>
                    </w:tc>
                    <w:tc>
                      <w:tcPr>
                        <w:tcW w:w="756" w:type="dxa"/>
                        <w:tcBorders>
                          <w:top w:val="nil"/>
                          <w:left w:val="nil"/>
                          <w:bottom w:val="single" w:color="000000" w:sz="4" w:space="0"/>
                          <w:right w:val="single" w:color="000000" w:sz="4" w:space="0"/>
                        </w:tcBorders>
                      </w:tcPr>
                      <w:p>
                        <w:pPr>
                          <w:jc w:val="center"/>
                        </w:pPr>
                        <w:r>
                          <w:rPr>
                            <w:sz w:val="17"/>
                          </w:rPr>
                          <w:t>件</w:t>
                        </w:r>
                      </w:p>
                    </w:tc>
                    <w:tc>
                      <w:tcPr>
                        <w:tcW w:w="648" w:type="dxa"/>
                        <w:tcBorders>
                          <w:top w:val="nil"/>
                          <w:left w:val="nil"/>
                          <w:bottom w:val="single" w:color="000000" w:sz="4" w:space="0"/>
                          <w:right w:val="single" w:color="000000" w:sz="4" w:space="0"/>
                        </w:tcBorders>
                      </w:tcPr>
                      <w:p>
                        <w:pPr>
                          <w:jc w:val="center"/>
                        </w:pPr>
                        <w:r>
                          <w:rPr>
                            <w:sz w:val="17"/>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11</w:t>
                        </w:r>
                      </w:p>
                    </w:tc>
                    <w:tc>
                      <w:tcPr>
                        <w:tcW w:w="1943" w:type="dxa"/>
                        <w:tcBorders>
                          <w:top w:val="nil"/>
                          <w:left w:val="nil"/>
                          <w:bottom w:val="single" w:color="000000" w:sz="4" w:space="0"/>
                          <w:right w:val="single" w:color="000000" w:sz="4" w:space="0"/>
                        </w:tcBorders>
                      </w:tcPr>
                      <w:p>
                        <w:pPr>
                          <w:jc w:val="center"/>
                        </w:pPr>
                        <w:r>
                          <w:rPr>
                            <w:sz w:val="17"/>
                          </w:rPr>
                          <w:t>灭火器</w:t>
                        </w:r>
                      </w:p>
                    </w:tc>
                    <w:tc>
                      <w:tcPr>
                        <w:tcW w:w="1403" w:type="dxa"/>
                        <w:tcBorders>
                          <w:top w:val="nil"/>
                          <w:left w:val="nil"/>
                          <w:bottom w:val="single" w:color="000000" w:sz="4" w:space="0"/>
                          <w:right w:val="single" w:color="000000" w:sz="4" w:space="0"/>
                        </w:tcBorders>
                      </w:tcPr>
                      <w:p>
                        <w:pPr>
                          <w:jc w:val="center"/>
                        </w:pPr>
                        <w:r>
                          <w:rPr>
                            <w:sz w:val="17"/>
                          </w:rPr>
                          <w:t>MFCZ/ABC3</w:t>
                        </w:r>
                      </w:p>
                    </w:tc>
                    <w:tc>
                      <w:tcPr>
                        <w:tcW w:w="756" w:type="dxa"/>
                        <w:tcBorders>
                          <w:top w:val="nil"/>
                          <w:left w:val="nil"/>
                          <w:bottom w:val="single" w:color="000000" w:sz="4" w:space="0"/>
                          <w:right w:val="single" w:color="000000" w:sz="4" w:space="0"/>
                        </w:tcBorders>
                      </w:tcPr>
                      <w:p>
                        <w:pPr>
                          <w:jc w:val="center"/>
                        </w:pPr>
                        <w:r>
                          <w:rPr>
                            <w:sz w:val="17"/>
                          </w:rPr>
                          <w:t>具</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12</w:t>
                        </w:r>
                      </w:p>
                    </w:tc>
                    <w:tc>
                      <w:tcPr>
                        <w:tcW w:w="1943" w:type="dxa"/>
                        <w:tcBorders>
                          <w:top w:val="nil"/>
                          <w:left w:val="nil"/>
                          <w:bottom w:val="single" w:color="000000" w:sz="4" w:space="0"/>
                          <w:right w:val="single" w:color="000000" w:sz="4" w:space="0"/>
                        </w:tcBorders>
                      </w:tcPr>
                      <w:p>
                        <w:pPr>
                          <w:jc w:val="center"/>
                        </w:pPr>
                        <w:r>
                          <w:rPr>
                            <w:sz w:val="17"/>
                          </w:rPr>
                          <w:t>泡沫外吸管（内扣）</w:t>
                        </w:r>
                      </w:p>
                    </w:tc>
                    <w:tc>
                      <w:tcPr>
                        <w:tcW w:w="1403" w:type="dxa"/>
                        <w:tcBorders>
                          <w:top w:val="nil"/>
                          <w:left w:val="nil"/>
                          <w:bottom w:val="single" w:color="000000" w:sz="4" w:space="0"/>
                          <w:right w:val="single" w:color="000000" w:sz="4" w:space="0"/>
                        </w:tcBorders>
                      </w:tcPr>
                      <w:p>
                        <w:pPr>
                          <w:jc w:val="center"/>
                        </w:pPr>
                        <w:r>
                          <w:rPr>
                            <w:sz w:val="17"/>
                          </w:rPr>
                          <w:t>DN50</w:t>
                        </w:r>
                      </w:p>
                    </w:tc>
                    <w:tc>
                      <w:tcPr>
                        <w:tcW w:w="756" w:type="dxa"/>
                        <w:tcBorders>
                          <w:top w:val="nil"/>
                          <w:left w:val="nil"/>
                          <w:bottom w:val="single" w:color="000000" w:sz="4" w:space="0"/>
                          <w:right w:val="single" w:color="000000" w:sz="4" w:space="0"/>
                        </w:tcBorders>
                      </w:tcPr>
                      <w:p>
                        <w:pPr>
                          <w:jc w:val="center"/>
                        </w:pPr>
                        <w:r>
                          <w:rPr>
                            <w:sz w:val="17"/>
                          </w:rPr>
                          <w:t>根</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13</w:t>
                        </w:r>
                      </w:p>
                    </w:tc>
                    <w:tc>
                      <w:tcPr>
                        <w:tcW w:w="1943" w:type="dxa"/>
                        <w:tcBorders>
                          <w:top w:val="nil"/>
                          <w:left w:val="nil"/>
                          <w:bottom w:val="single" w:color="000000" w:sz="4" w:space="0"/>
                          <w:right w:val="single" w:color="000000" w:sz="4" w:space="0"/>
                        </w:tcBorders>
                      </w:tcPr>
                      <w:p>
                        <w:pPr>
                          <w:jc w:val="center"/>
                        </w:pPr>
                        <w:r>
                          <w:rPr>
                            <w:sz w:val="17"/>
                          </w:rPr>
                          <w:t>泡沫炮头</w:t>
                        </w:r>
                      </w:p>
                    </w:tc>
                    <w:tc>
                      <w:tcPr>
                        <w:tcW w:w="1403" w:type="dxa"/>
                        <w:tcBorders>
                          <w:top w:val="nil"/>
                          <w:left w:val="nil"/>
                          <w:bottom w:val="single" w:color="000000" w:sz="4" w:space="0"/>
                          <w:right w:val="single" w:color="000000" w:sz="4" w:space="0"/>
                        </w:tcBorders>
                      </w:tcPr>
                      <w:p>
                        <w:pPr>
                          <w:jc w:val="center"/>
                        </w:pPr>
                        <w:r>
                          <w:rPr>
                            <w:sz w:val="17"/>
                          </w:rPr>
                          <w:t>FPG80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bl>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05" w:type="dxa"/>
                  <w:tcBorders>
                    <w:top w:val="nil"/>
                    <w:left w:val="single" w:color="000000" w:sz="4" w:space="0"/>
                    <w:bottom w:val="single" w:color="000000" w:sz="4" w:space="0"/>
                    <w:right w:val="single" w:color="000000" w:sz="4" w:space="0"/>
                  </w:tcBorders>
                  <w:vAlign w:val="top"/>
                </w:tcPr>
                <w:p>
                  <w:pPr>
                    <w:jc w:val="both"/>
                  </w:pPr>
                  <w:r>
                    <w:rPr>
                      <w:sz w:val="17"/>
                    </w:rPr>
                    <w:t>（十二）易损件清单：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1830"/>
                    <w:gridCol w:w="1536"/>
                    <w:gridCol w:w="722"/>
                    <w:gridCol w:w="62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single" w:color="000000" w:sz="4" w:space="0"/>
                          <w:left w:val="single" w:color="000000" w:sz="4" w:space="0"/>
                          <w:bottom w:val="single" w:color="000000" w:sz="4" w:space="0"/>
                          <w:right w:val="single" w:color="000000" w:sz="4" w:space="0"/>
                        </w:tcBorders>
                      </w:tcPr>
                      <w:p>
                        <w:pPr>
                          <w:jc w:val="center"/>
                        </w:pPr>
                        <w:r>
                          <w:rPr>
                            <w:sz w:val="17"/>
                          </w:rPr>
                          <w:t>序号</w:t>
                        </w:r>
                      </w:p>
                    </w:tc>
                    <w:tc>
                      <w:tcPr>
                        <w:tcW w:w="1943" w:type="dxa"/>
                        <w:tcBorders>
                          <w:top w:val="single" w:color="000000" w:sz="4" w:space="0"/>
                          <w:left w:val="nil"/>
                          <w:bottom w:val="single" w:color="000000" w:sz="4" w:space="0"/>
                          <w:right w:val="single" w:color="000000" w:sz="4" w:space="0"/>
                        </w:tcBorders>
                      </w:tcPr>
                      <w:p>
                        <w:pPr>
                          <w:jc w:val="center"/>
                        </w:pPr>
                        <w:r>
                          <w:rPr>
                            <w:sz w:val="17"/>
                          </w:rPr>
                          <w:t>名称</w:t>
                        </w:r>
                      </w:p>
                    </w:tc>
                    <w:tc>
                      <w:tcPr>
                        <w:tcW w:w="1403" w:type="dxa"/>
                        <w:tcBorders>
                          <w:top w:val="single" w:color="000000" w:sz="4" w:space="0"/>
                          <w:left w:val="nil"/>
                          <w:bottom w:val="single" w:color="000000" w:sz="4" w:space="0"/>
                          <w:right w:val="single" w:color="000000" w:sz="4" w:space="0"/>
                        </w:tcBorders>
                      </w:tcPr>
                      <w:p>
                        <w:pPr>
                          <w:jc w:val="center"/>
                        </w:pPr>
                        <w:r>
                          <w:rPr>
                            <w:sz w:val="17"/>
                          </w:rPr>
                          <w:t>规格</w:t>
                        </w:r>
                      </w:p>
                    </w:tc>
                    <w:tc>
                      <w:tcPr>
                        <w:tcW w:w="756" w:type="dxa"/>
                        <w:tcBorders>
                          <w:top w:val="single" w:color="000000" w:sz="4" w:space="0"/>
                          <w:left w:val="nil"/>
                          <w:bottom w:val="single" w:color="000000" w:sz="4" w:space="0"/>
                          <w:right w:val="single" w:color="000000" w:sz="4" w:space="0"/>
                        </w:tcBorders>
                      </w:tcPr>
                      <w:p>
                        <w:pPr>
                          <w:jc w:val="center"/>
                        </w:pPr>
                        <w:r>
                          <w:rPr>
                            <w:sz w:val="17"/>
                          </w:rPr>
                          <w:t>单位</w:t>
                        </w:r>
                      </w:p>
                    </w:tc>
                    <w:tc>
                      <w:tcPr>
                        <w:tcW w:w="648" w:type="dxa"/>
                        <w:tcBorders>
                          <w:top w:val="single" w:color="000000" w:sz="4" w:space="0"/>
                          <w:left w:val="nil"/>
                          <w:bottom w:val="single" w:color="000000" w:sz="4" w:space="0"/>
                          <w:right w:val="single" w:color="000000" w:sz="4" w:space="0"/>
                        </w:tcBorders>
                      </w:tcPr>
                      <w:p>
                        <w:pPr>
                          <w:jc w:val="center"/>
                        </w:pPr>
                        <w:r>
                          <w:rPr>
                            <w:sz w:val="17"/>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w:t>
                        </w:r>
                      </w:p>
                    </w:tc>
                    <w:tc>
                      <w:tcPr>
                        <w:tcW w:w="1943" w:type="dxa"/>
                        <w:tcBorders>
                          <w:top w:val="nil"/>
                          <w:left w:val="nil"/>
                          <w:bottom w:val="single" w:color="000000" w:sz="4" w:space="0"/>
                          <w:right w:val="single" w:color="000000" w:sz="4" w:space="0"/>
                        </w:tcBorders>
                      </w:tcPr>
                      <w:p>
                        <w:pPr>
                          <w:jc w:val="center"/>
                        </w:pPr>
                        <w:r>
                          <w:rPr>
                            <w:sz w:val="17"/>
                          </w:rPr>
                          <w:t>片式熔断器</w:t>
                        </w:r>
                      </w:p>
                    </w:tc>
                    <w:tc>
                      <w:tcPr>
                        <w:tcW w:w="1403" w:type="dxa"/>
                        <w:tcBorders>
                          <w:top w:val="nil"/>
                          <w:left w:val="nil"/>
                          <w:bottom w:val="single" w:color="000000" w:sz="4" w:space="0"/>
                          <w:right w:val="single" w:color="000000" w:sz="4" w:space="0"/>
                        </w:tcBorders>
                      </w:tcPr>
                      <w:p>
                        <w:pPr>
                          <w:jc w:val="center"/>
                        </w:pPr>
                        <w:r>
                          <w:rPr>
                            <w:sz w:val="17"/>
                          </w:rPr>
                          <w:t>BK/ATM-10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2</w:t>
                        </w:r>
                      </w:p>
                    </w:tc>
                    <w:tc>
                      <w:tcPr>
                        <w:tcW w:w="1943" w:type="dxa"/>
                        <w:tcBorders>
                          <w:top w:val="nil"/>
                          <w:left w:val="nil"/>
                          <w:bottom w:val="single" w:color="000000" w:sz="4" w:space="0"/>
                          <w:right w:val="single" w:color="000000" w:sz="4" w:space="0"/>
                        </w:tcBorders>
                      </w:tcPr>
                      <w:p>
                        <w:pPr>
                          <w:jc w:val="center"/>
                        </w:pPr>
                        <w:r>
                          <w:rPr>
                            <w:sz w:val="17"/>
                          </w:rPr>
                          <w:t>片式熔断器</w:t>
                        </w:r>
                      </w:p>
                    </w:tc>
                    <w:tc>
                      <w:tcPr>
                        <w:tcW w:w="1403" w:type="dxa"/>
                        <w:tcBorders>
                          <w:top w:val="nil"/>
                          <w:left w:val="nil"/>
                          <w:bottom w:val="single" w:color="000000" w:sz="4" w:space="0"/>
                          <w:right w:val="single" w:color="000000" w:sz="4" w:space="0"/>
                        </w:tcBorders>
                      </w:tcPr>
                      <w:p>
                        <w:pPr>
                          <w:jc w:val="center"/>
                        </w:pPr>
                        <w:r>
                          <w:rPr>
                            <w:sz w:val="17"/>
                          </w:rPr>
                          <w:t>BK/ATM-20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3</w:t>
                        </w:r>
                      </w:p>
                    </w:tc>
                    <w:tc>
                      <w:tcPr>
                        <w:tcW w:w="1943" w:type="dxa"/>
                        <w:tcBorders>
                          <w:top w:val="nil"/>
                          <w:left w:val="nil"/>
                          <w:bottom w:val="single" w:color="000000" w:sz="4" w:space="0"/>
                          <w:right w:val="single" w:color="000000" w:sz="4" w:space="0"/>
                        </w:tcBorders>
                      </w:tcPr>
                      <w:p>
                        <w:pPr>
                          <w:jc w:val="center"/>
                        </w:pPr>
                        <w:r>
                          <w:rPr>
                            <w:sz w:val="17"/>
                          </w:rPr>
                          <w:t>片式熔断器</w:t>
                        </w:r>
                      </w:p>
                    </w:tc>
                    <w:tc>
                      <w:tcPr>
                        <w:tcW w:w="1403" w:type="dxa"/>
                        <w:tcBorders>
                          <w:top w:val="nil"/>
                          <w:left w:val="nil"/>
                          <w:bottom w:val="single" w:color="000000" w:sz="4" w:space="0"/>
                          <w:right w:val="single" w:color="000000" w:sz="4" w:space="0"/>
                        </w:tcBorders>
                      </w:tcPr>
                      <w:p>
                        <w:pPr>
                          <w:jc w:val="center"/>
                        </w:pPr>
                        <w:r>
                          <w:rPr>
                            <w:sz w:val="17"/>
                          </w:rPr>
                          <w:t>BK/ATM-30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4</w:t>
                        </w:r>
                      </w:p>
                    </w:tc>
                    <w:tc>
                      <w:tcPr>
                        <w:tcW w:w="1943" w:type="dxa"/>
                        <w:tcBorders>
                          <w:top w:val="nil"/>
                          <w:left w:val="nil"/>
                          <w:bottom w:val="single" w:color="000000" w:sz="4" w:space="0"/>
                          <w:right w:val="single" w:color="000000" w:sz="4" w:space="0"/>
                        </w:tcBorders>
                      </w:tcPr>
                      <w:p>
                        <w:pPr>
                          <w:jc w:val="center"/>
                        </w:pPr>
                        <w:r>
                          <w:rPr>
                            <w:sz w:val="17"/>
                          </w:rPr>
                          <w:t>片式熔断器</w:t>
                        </w:r>
                      </w:p>
                    </w:tc>
                    <w:tc>
                      <w:tcPr>
                        <w:tcW w:w="1403" w:type="dxa"/>
                        <w:tcBorders>
                          <w:top w:val="nil"/>
                          <w:left w:val="nil"/>
                          <w:bottom w:val="single" w:color="000000" w:sz="4" w:space="0"/>
                          <w:right w:val="single" w:color="000000" w:sz="4" w:space="0"/>
                        </w:tcBorders>
                      </w:tcPr>
                      <w:p>
                        <w:pPr>
                          <w:jc w:val="center"/>
                        </w:pPr>
                        <w:r>
                          <w:rPr>
                            <w:sz w:val="17"/>
                          </w:rPr>
                          <w:t>BK/ATM-40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5</w:t>
                        </w:r>
                      </w:p>
                    </w:tc>
                    <w:tc>
                      <w:tcPr>
                        <w:tcW w:w="1943" w:type="dxa"/>
                        <w:tcBorders>
                          <w:top w:val="nil"/>
                          <w:left w:val="nil"/>
                          <w:bottom w:val="single" w:color="000000" w:sz="4" w:space="0"/>
                          <w:right w:val="single" w:color="000000" w:sz="4" w:space="0"/>
                        </w:tcBorders>
                      </w:tcPr>
                      <w:p>
                        <w:pPr>
                          <w:jc w:val="center"/>
                        </w:pPr>
                        <w:r>
                          <w:rPr>
                            <w:sz w:val="17"/>
                          </w:rPr>
                          <w:t>自复位旋钮</w:t>
                        </w:r>
                      </w:p>
                    </w:tc>
                    <w:tc>
                      <w:tcPr>
                        <w:tcW w:w="1403" w:type="dxa"/>
                        <w:tcBorders>
                          <w:top w:val="nil"/>
                          <w:left w:val="nil"/>
                          <w:bottom w:val="single" w:color="000000" w:sz="4" w:space="0"/>
                          <w:right w:val="single" w:color="000000" w:sz="4" w:space="0"/>
                        </w:tcBorders>
                      </w:tcPr>
                      <w:p>
                        <w:pPr>
                          <w:jc w:val="center"/>
                        </w:pPr>
                        <w:r>
                          <w:rPr>
                            <w:sz w:val="17"/>
                          </w:rPr>
                          <w:t>M22-WLK3/K20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6</w:t>
                        </w:r>
                      </w:p>
                    </w:tc>
                    <w:tc>
                      <w:tcPr>
                        <w:tcW w:w="1943" w:type="dxa"/>
                        <w:tcBorders>
                          <w:top w:val="nil"/>
                          <w:left w:val="nil"/>
                          <w:bottom w:val="single" w:color="000000" w:sz="4" w:space="0"/>
                          <w:right w:val="single" w:color="000000" w:sz="4" w:space="0"/>
                        </w:tcBorders>
                      </w:tcPr>
                      <w:p>
                        <w:pPr>
                          <w:jc w:val="center"/>
                        </w:pPr>
                        <w:r>
                          <w:rPr>
                            <w:sz w:val="17"/>
                          </w:rPr>
                          <w:t>常开触点</w:t>
                        </w:r>
                      </w:p>
                    </w:tc>
                    <w:tc>
                      <w:tcPr>
                        <w:tcW w:w="1403" w:type="dxa"/>
                        <w:tcBorders>
                          <w:top w:val="nil"/>
                          <w:left w:val="nil"/>
                          <w:bottom w:val="single" w:color="000000" w:sz="4" w:space="0"/>
                          <w:right w:val="single" w:color="000000" w:sz="4" w:space="0"/>
                        </w:tcBorders>
                      </w:tcPr>
                      <w:p>
                        <w:pPr>
                          <w:jc w:val="center"/>
                        </w:pPr>
                        <w:r>
                          <w:rPr>
                            <w:sz w:val="17"/>
                          </w:rPr>
                          <w:t>M22-K10</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7</w:t>
                        </w:r>
                      </w:p>
                    </w:tc>
                    <w:tc>
                      <w:tcPr>
                        <w:tcW w:w="1943" w:type="dxa"/>
                        <w:tcBorders>
                          <w:top w:val="nil"/>
                          <w:left w:val="nil"/>
                          <w:bottom w:val="single" w:color="000000" w:sz="4" w:space="0"/>
                          <w:right w:val="single" w:color="000000" w:sz="4" w:space="0"/>
                        </w:tcBorders>
                      </w:tcPr>
                      <w:p>
                        <w:pPr>
                          <w:jc w:val="center"/>
                        </w:pPr>
                        <w:r>
                          <w:rPr>
                            <w:sz w:val="17"/>
                          </w:rPr>
                          <w:t>常闭触点</w:t>
                        </w:r>
                      </w:p>
                    </w:tc>
                    <w:tc>
                      <w:tcPr>
                        <w:tcW w:w="1403" w:type="dxa"/>
                        <w:tcBorders>
                          <w:top w:val="nil"/>
                          <w:left w:val="nil"/>
                          <w:bottom w:val="single" w:color="000000" w:sz="4" w:space="0"/>
                          <w:right w:val="single" w:color="000000" w:sz="4" w:space="0"/>
                        </w:tcBorders>
                      </w:tcPr>
                      <w:p>
                        <w:pPr>
                          <w:jc w:val="center"/>
                        </w:pPr>
                        <w:r>
                          <w:rPr>
                            <w:sz w:val="17"/>
                          </w:rPr>
                          <w:t>M22-K01</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8</w:t>
                        </w:r>
                      </w:p>
                    </w:tc>
                    <w:tc>
                      <w:tcPr>
                        <w:tcW w:w="1943" w:type="dxa"/>
                        <w:tcBorders>
                          <w:top w:val="nil"/>
                          <w:left w:val="nil"/>
                          <w:bottom w:val="single" w:color="000000" w:sz="4" w:space="0"/>
                          <w:right w:val="single" w:color="000000" w:sz="4" w:space="0"/>
                        </w:tcBorders>
                      </w:tcPr>
                      <w:p>
                        <w:pPr>
                          <w:jc w:val="center"/>
                        </w:pPr>
                        <w:r>
                          <w:rPr>
                            <w:sz w:val="17"/>
                          </w:rPr>
                          <w:t>红指示灯</w:t>
                        </w:r>
                      </w:p>
                    </w:tc>
                    <w:tc>
                      <w:tcPr>
                        <w:tcW w:w="1403" w:type="dxa"/>
                        <w:tcBorders>
                          <w:top w:val="nil"/>
                          <w:left w:val="nil"/>
                          <w:bottom w:val="single" w:color="000000" w:sz="4" w:space="0"/>
                          <w:right w:val="single" w:color="000000" w:sz="4" w:space="0"/>
                        </w:tcBorders>
                      </w:tcPr>
                      <w:p>
                        <w:pPr>
                          <w:jc w:val="center"/>
                        </w:pPr>
                        <w:r>
                          <w:rPr>
                            <w:sz w:val="17"/>
                          </w:rPr>
                          <w:t>M22-L-R</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9</w:t>
                        </w:r>
                      </w:p>
                    </w:tc>
                    <w:tc>
                      <w:tcPr>
                        <w:tcW w:w="1943" w:type="dxa"/>
                        <w:tcBorders>
                          <w:top w:val="nil"/>
                          <w:left w:val="nil"/>
                          <w:bottom w:val="single" w:color="000000" w:sz="4" w:space="0"/>
                          <w:right w:val="single" w:color="000000" w:sz="4" w:space="0"/>
                        </w:tcBorders>
                      </w:tcPr>
                      <w:p>
                        <w:pPr>
                          <w:jc w:val="center"/>
                        </w:pPr>
                        <w:r>
                          <w:rPr>
                            <w:sz w:val="17"/>
                          </w:rPr>
                          <w:t>接近开关</w:t>
                        </w:r>
                      </w:p>
                    </w:tc>
                    <w:tc>
                      <w:tcPr>
                        <w:tcW w:w="1403" w:type="dxa"/>
                        <w:tcBorders>
                          <w:top w:val="nil"/>
                          <w:left w:val="nil"/>
                          <w:bottom w:val="single" w:color="000000" w:sz="4" w:space="0"/>
                          <w:right w:val="single" w:color="000000" w:sz="4" w:space="0"/>
                        </w:tcBorders>
                      </w:tcPr>
                      <w:p>
                        <w:pPr>
                          <w:jc w:val="center"/>
                        </w:pPr>
                        <w:r>
                          <w:rPr>
                            <w:sz w:val="17"/>
                          </w:rPr>
                          <w:t>NBB5-18GM50-E2</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10</w:t>
                        </w:r>
                      </w:p>
                    </w:tc>
                    <w:tc>
                      <w:tcPr>
                        <w:tcW w:w="1943" w:type="dxa"/>
                        <w:tcBorders>
                          <w:top w:val="nil"/>
                          <w:left w:val="nil"/>
                          <w:bottom w:val="single" w:color="000000" w:sz="4" w:space="0"/>
                          <w:right w:val="single" w:color="000000" w:sz="4" w:space="0"/>
                        </w:tcBorders>
                      </w:tcPr>
                      <w:p>
                        <w:pPr>
                          <w:jc w:val="center"/>
                        </w:pPr>
                        <w:r>
                          <w:rPr>
                            <w:sz w:val="17"/>
                          </w:rPr>
                          <w:t>翻门闪烁灯（短）</w:t>
                        </w:r>
                      </w:p>
                    </w:tc>
                    <w:tc>
                      <w:tcPr>
                        <w:tcW w:w="1403" w:type="dxa"/>
                        <w:tcBorders>
                          <w:top w:val="nil"/>
                          <w:left w:val="nil"/>
                          <w:bottom w:val="single" w:color="000000" w:sz="4" w:space="0"/>
                          <w:right w:val="single" w:color="000000" w:sz="4" w:space="0"/>
                        </w:tcBorders>
                      </w:tcPr>
                      <w:p>
                        <w:pPr>
                          <w:jc w:val="center"/>
                        </w:pPr>
                        <w:r>
                          <w:rPr>
                            <w:sz w:val="17"/>
                          </w:rPr>
                          <w:t>SMT 24V</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11</w:t>
                        </w:r>
                      </w:p>
                    </w:tc>
                    <w:tc>
                      <w:tcPr>
                        <w:tcW w:w="1943" w:type="dxa"/>
                        <w:tcBorders>
                          <w:top w:val="nil"/>
                          <w:left w:val="nil"/>
                          <w:bottom w:val="single" w:color="000000" w:sz="4" w:space="0"/>
                          <w:right w:val="single" w:color="000000" w:sz="4" w:space="0"/>
                        </w:tcBorders>
                      </w:tcPr>
                      <w:p>
                        <w:pPr>
                          <w:jc w:val="center"/>
                        </w:pPr>
                        <w:r>
                          <w:rPr>
                            <w:sz w:val="17"/>
                          </w:rPr>
                          <w:t>限位开关-头部</w:t>
                        </w:r>
                      </w:p>
                    </w:tc>
                    <w:tc>
                      <w:tcPr>
                        <w:tcW w:w="1403" w:type="dxa"/>
                        <w:tcBorders>
                          <w:top w:val="nil"/>
                          <w:left w:val="nil"/>
                          <w:bottom w:val="single" w:color="000000" w:sz="4" w:space="0"/>
                          <w:right w:val="single" w:color="000000" w:sz="4" w:space="0"/>
                        </w:tcBorders>
                      </w:tcPr>
                      <w:p>
                        <w:pPr>
                          <w:jc w:val="center"/>
                        </w:pPr>
                        <w:r>
                          <w:rPr>
                            <w:sz w:val="17"/>
                          </w:rPr>
                          <w:t>ZCE02</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40" w:type="dxa"/>
                        <w:tcBorders>
                          <w:top w:val="nil"/>
                          <w:left w:val="single" w:color="000000" w:sz="4" w:space="0"/>
                          <w:bottom w:val="single" w:color="000000" w:sz="4" w:space="0"/>
                          <w:right w:val="single" w:color="000000" w:sz="4" w:space="0"/>
                        </w:tcBorders>
                      </w:tcPr>
                      <w:p>
                        <w:pPr>
                          <w:jc w:val="center"/>
                        </w:pPr>
                        <w:r>
                          <w:rPr>
                            <w:sz w:val="17"/>
                          </w:rPr>
                          <w:t>12</w:t>
                        </w:r>
                      </w:p>
                    </w:tc>
                    <w:tc>
                      <w:tcPr>
                        <w:tcW w:w="1943" w:type="dxa"/>
                        <w:tcBorders>
                          <w:top w:val="nil"/>
                          <w:left w:val="nil"/>
                          <w:bottom w:val="single" w:color="000000" w:sz="4" w:space="0"/>
                          <w:right w:val="single" w:color="000000" w:sz="4" w:space="0"/>
                        </w:tcBorders>
                      </w:tcPr>
                      <w:p>
                        <w:pPr>
                          <w:jc w:val="center"/>
                        </w:pPr>
                        <w:r>
                          <w:rPr>
                            <w:sz w:val="17"/>
                          </w:rPr>
                          <w:t>气弹簧</w:t>
                        </w:r>
                      </w:p>
                    </w:tc>
                    <w:tc>
                      <w:tcPr>
                        <w:tcW w:w="1403" w:type="dxa"/>
                        <w:tcBorders>
                          <w:top w:val="nil"/>
                          <w:left w:val="nil"/>
                          <w:bottom w:val="single" w:color="000000" w:sz="4" w:space="0"/>
                          <w:right w:val="single" w:color="000000" w:sz="4" w:space="0"/>
                        </w:tcBorders>
                      </w:tcPr>
                      <w:p>
                        <w:pPr>
                          <w:jc w:val="center"/>
                        </w:pPr>
                        <w:r>
                          <w:rPr>
                            <w:sz w:val="17"/>
                          </w:rPr>
                          <w:t>YQ10-290-90-400N</w:t>
                        </w:r>
                      </w:p>
                    </w:tc>
                    <w:tc>
                      <w:tcPr>
                        <w:tcW w:w="756" w:type="dxa"/>
                        <w:tcBorders>
                          <w:top w:val="nil"/>
                          <w:left w:val="nil"/>
                          <w:bottom w:val="single" w:color="000000" w:sz="4" w:space="0"/>
                          <w:right w:val="single" w:color="000000" w:sz="4" w:space="0"/>
                        </w:tcBorders>
                      </w:tcPr>
                      <w:p>
                        <w:pPr>
                          <w:jc w:val="center"/>
                        </w:pPr>
                        <w:r>
                          <w:rPr>
                            <w:sz w:val="17"/>
                          </w:rPr>
                          <w:t>个</w:t>
                        </w:r>
                      </w:p>
                    </w:tc>
                    <w:tc>
                      <w:tcPr>
                        <w:tcW w:w="648" w:type="dxa"/>
                        <w:tcBorders>
                          <w:top w:val="nil"/>
                          <w:left w:val="nil"/>
                          <w:bottom w:val="single" w:color="000000" w:sz="4" w:space="0"/>
                          <w:right w:val="single" w:color="000000" w:sz="4" w:space="0"/>
                        </w:tcBorders>
                      </w:tcPr>
                      <w:p>
                        <w:pPr>
                          <w:jc w:val="center"/>
                        </w:pPr>
                        <w:r>
                          <w:rPr>
                            <w:sz w:val="17"/>
                          </w:rPr>
                          <w:t>1</w:t>
                        </w:r>
                      </w:p>
                    </w:tc>
                  </w:tr>
                </w:tbl>
                <w:p>
                  <w:pPr>
                    <w:jc w:val="both"/>
                  </w:pP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r>
        <w:t>采购包2（城市主战消防车）</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★自合同签订生效之日起180天内完成交货及安装调试。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r>
              <w:t>标的提供的地点</w:t>
            </w:r>
          </w:p>
        </w:tc>
        <w:tc>
          <w:tcPr>
            <w:tcW w:w="4153" w:type="dxa"/>
          </w:tcPr>
          <w:p/>
          <w:p>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p>
            <w:r>
              <w:t>1期：支付比例30%,合同签订后15个工作日内，采购人向中标人支付合同总价的30%。</w:t>
            </w:r>
          </w:p>
          <w:p/>
          <w:p>
            <w:r>
              <w:t>2期：支付比例70%,车辆交付完成并通过验收合格后15个工作日内，采购人向中标人支付合同总价的70%。因采购单位使用的是财政资金，采购人在前款规定的付款时间内向支付部门提出办理支付申请手续（不含部门审核的时间），在规定时间内提出支付申请手续后即视为采购单位已经按期支付。如因审核进度问题而推迟支付时双方免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p/>
          <w:p/>
          <w:p>
            <w:r>
              <w:t>1期：1、货物按照《消防车 第1部分：通用技术条件》及投标文件验收，为原制造商制造的全新产品，整机无污染，无侵权行为、表面无划损、无任何缺陷隐患，在中国境内可依常规安全合法使用。  2、设备运送到采购人现场后，采购人按照中标人的“产品交接清单”进行验收。验收完毕后双方在“产品交接清单”上签字盖章。如有异议，须书面形式提出。 3、中标人提供的机械及所有部件、随机备件及随机工具必须是全新的。  ★4、中标人必须保证车辆符合国家相关规定，提供机动车销售统一发票、车辆合格证、工信部公告，并协助采购人办理车辆上牌等手续。（投标人须在投标文件中附上单独书面承诺函并加盖投标人公章） 5、涉及备用胎的车辆，备用胎必须安装在科学、合理的位置，且不影响车辆行驶及各项操作。 6、各类仪表必须采用国际单位且齐全，并在车辆适当位置采用不锈钢等金属板材明显标注车辆操作完整流程图及使用操作、维护保养注意事项，且图示、中文字体不易过小。 7、车辆电器线路、电器接地装置、各类接口（含油、水、电、气接口）必须符合中国标准，并能与广东省消防救援总队现有车辆的各类接口配套使用，操作说明等字体全部采用中文。 8、交货时随车一起提供一份完整的配件目录中文手册、底盘使用说明书及光盘（中文）、整车操作维修手册（中文）、底盘操作维修手册（中文）、底盘质量保修卡、整车合格证、发动机号码拓印件、底盘号码拓印件、随车装备清单、消防车跟踪服务卡（内含售后服务电话）、消防车交接清单。 9、个别功能配件可能在技术需求专用要求中未列出，但投标人不得以此作为拒配理由。交货验收时，车辆功能配件（如接口、开关、扳手等）必须齐全，确保采购人无需另行增加任何功能配件即可正常使用。 10、验收时中标人须根据采购人要求实施验收，消防认证产品提供身份信息明码查询结果。当验收发生异议时，货物由采购人委托有资质的第三方检测机构进行检测判定，所需费用由中标人承担。 ★11、采购人组织对中标人交付的所有货物按中标人响应的技术参数逐条进行验收，如第一次验收不合格时，采购人有权按照合同金额5%的违约金对中标人进行扣除；如第二次验收不合格时，采购人有权按照合同金额10%的违约金对中标人进行扣除；如第三次验收依然不合格时，采购人有权拒收货物并单方面解除合同，由此产生的一切费用由中标人承担。（投标人须在投标文件中附上单独书面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p/>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p/>
          <w:p>
            <w:r>
              <w:t>一、售后服务，★1、质保期：自验收合格后一年。 2、质保期内中标人对所供货物实行包修、包换、包退、包维护保养，期满后可同时提供终身（有偿）维修保养服务。质保期内采购人对中标人享有追索权。 3、质保期内，如设备或零部件非人为因素出现故障而造成短期停用时，则质保期和免费维修期相应顺延。如货物因自身故障致停用时间累计超过30天时，则质保期在状态恢复正常时归零重新计算或对故障设备予以重新更换。 4、质保期内提供周期上门免费服务：无论有无报修记录，确保定期回访。包括至少每月一次的电话回访，每3个月一次的上门巡查，保持经常性沟通，了解设备使用过程中的问题，并及时提供解决方案。 5、中标人负责向采购人提供现场安全操作及必要的维护保养培训。 6、中标人设有长期稳定可靠的售后服务部门，并提供常设服务专线和长期的免费技术支持。 7、其他售后服务补充内容： （1）在质量保证期内，本次采购的货物出现非用户方责任造成的故障的，中标人无偿为用户维修或更换相应货物，并保证用户的正常使用。响应时间：采购人反馈产品质量、故障、事故问题时，30分钟内予以响应，需到现场维修时，4小时内到达现场维修，一般情况在24小时内须排除故障，特殊情况需与采购人说明情况，并提供代用货物，保证用户的正常工作使用。 （2）中标人须为采购人进行相关操作系统及备份系统的安装调试工作。中标人应提供包括但不限于满足货物安装、使用、专用安装维修工具、日常维修工具和维护的技术文件，如货物和附件装箱清单、产品合格证、产品检验报告、保修服务卡、使用说明（原版正本）、中文维护手册等。</w:t>
            </w:r>
          </w:p>
          <w:p/>
          <w:p>
            <w:r>
              <w:t>二、培训要求，1、培训地点：采购人指定地点。 2、中标人负责免费提供有关货物功能、安装、操作、维护等培训。安装调试完成并交付使用后一星期内提供由工程师授课的技术培训和提供书面培训资料。 3、技术人员经过培训后，需要能充分了解货物的运作原理和流程，能熟练地掌握操作方法，并能懂得及时排除部分货物故障。</w:t>
            </w:r>
          </w:p>
        </w:tc>
      </w:tr>
    </w:tbl>
    <w:p>
      <w:r>
        <w:rPr>
          <w:b/>
        </w:rPr>
        <w:t>2.技术标准与要求</w:t>
      </w:r>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2"/>
        <w:gridCol w:w="1022"/>
        <w:gridCol w:w="682"/>
        <w:gridCol w:w="682"/>
        <w:gridCol w:w="682"/>
        <w:gridCol w:w="742"/>
        <w:gridCol w:w="1332"/>
        <w:gridCol w:w="1332"/>
        <w:gridCol w:w="683"/>
        <w:gridCol w:w="6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序号</w:t>
            </w:r>
          </w:p>
        </w:tc>
        <w:tc>
          <w:tcPr>
            <w:tcW w:w="831" w:type="dxa"/>
          </w:tcPr>
          <w:p>
            <w:pPr>
              <w:jc w:val="center"/>
            </w:pPr>
            <w:r>
              <w:t>核心产品要求（“△”）</w:t>
            </w:r>
          </w:p>
        </w:tc>
        <w:tc>
          <w:tcPr>
            <w:tcW w:w="831" w:type="dxa"/>
          </w:tcPr>
          <w:p>
            <w:pPr>
              <w:jc w:val="center"/>
            </w:pPr>
            <w:r>
              <w:t>品目名称</w:t>
            </w:r>
          </w:p>
        </w:tc>
        <w:tc>
          <w:tcPr>
            <w:tcW w:w="831" w:type="dxa"/>
          </w:tcPr>
          <w:p>
            <w:pPr>
              <w:jc w:val="center"/>
            </w:pPr>
            <w:r>
              <w:t>标的名称</w:t>
            </w:r>
          </w:p>
        </w:tc>
        <w:tc>
          <w:tcPr>
            <w:tcW w:w="831" w:type="dxa"/>
          </w:tcPr>
          <w:p>
            <w:pPr>
              <w:jc w:val="center"/>
            </w:pPr>
            <w:r>
              <w:t>单位</w:t>
            </w:r>
          </w:p>
        </w:tc>
        <w:tc>
          <w:tcPr>
            <w:tcW w:w="831" w:type="dxa"/>
          </w:tcPr>
          <w:p>
            <w:pPr>
              <w:jc w:val="center"/>
            </w:pPr>
            <w:r>
              <w:t>数量</w:t>
            </w:r>
          </w:p>
        </w:tc>
        <w:tc>
          <w:tcPr>
            <w:tcW w:w="831" w:type="dxa"/>
          </w:tcPr>
          <w:p>
            <w:pPr>
              <w:jc w:val="center"/>
            </w:pPr>
            <w:r>
              <w:t>分项预算单价（元）</w:t>
            </w:r>
          </w:p>
        </w:tc>
        <w:tc>
          <w:tcPr>
            <w:tcW w:w="831" w:type="dxa"/>
          </w:tcPr>
          <w:p>
            <w:pPr>
              <w:jc w:val="center"/>
            </w:pPr>
            <w:r>
              <w:t>分项预算总价（元）</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1</w:t>
            </w:r>
          </w:p>
        </w:tc>
        <w:tc>
          <w:tcPr>
            <w:tcW w:w="831" w:type="dxa"/>
          </w:tcPr>
          <w:p>
            <w:pPr>
              <w:jc w:val="center"/>
            </w:pPr>
          </w:p>
        </w:tc>
        <w:tc>
          <w:tcPr>
            <w:tcW w:w="831" w:type="dxa"/>
          </w:tcPr>
          <w:p>
            <w:pPr>
              <w:jc w:val="left"/>
            </w:pPr>
            <w:r>
              <w:t>消防车</w:t>
            </w:r>
          </w:p>
        </w:tc>
        <w:tc>
          <w:tcPr>
            <w:tcW w:w="831" w:type="dxa"/>
          </w:tcPr>
          <w:p>
            <w:pPr>
              <w:jc w:val="left"/>
            </w:pPr>
            <w:r>
              <w:t>城市主战消防车</w:t>
            </w:r>
          </w:p>
        </w:tc>
        <w:tc>
          <w:tcPr>
            <w:tcW w:w="831" w:type="dxa"/>
          </w:tcPr>
          <w:p>
            <w:pPr>
              <w:jc w:val="left"/>
            </w:pPr>
            <w:r>
              <w:t>辆</w:t>
            </w:r>
          </w:p>
        </w:tc>
        <w:tc>
          <w:tcPr>
            <w:tcW w:w="831" w:type="dxa"/>
          </w:tcPr>
          <w:p>
            <w:pPr>
              <w:jc w:val="right"/>
            </w:pPr>
            <w:r>
              <w:t>1.00</w:t>
            </w:r>
          </w:p>
        </w:tc>
        <w:tc>
          <w:tcPr>
            <w:tcW w:w="831" w:type="dxa"/>
          </w:tcPr>
          <w:p>
            <w:pPr>
              <w:jc w:val="right"/>
            </w:pPr>
            <w:r>
              <w:t>2,480,000.00</w:t>
            </w:r>
          </w:p>
        </w:tc>
        <w:tc>
          <w:tcPr>
            <w:tcW w:w="831" w:type="dxa"/>
          </w:tcPr>
          <w:p>
            <w:pPr>
              <w:jc w:val="right"/>
            </w:pPr>
            <w:r>
              <w:t>2,480,000.00</w:t>
            </w:r>
          </w:p>
        </w:tc>
        <w:tc>
          <w:tcPr>
            <w:tcW w:w="831" w:type="dxa"/>
          </w:tcPr>
          <w:p>
            <w:r>
              <w:t>工业</w:t>
            </w:r>
          </w:p>
        </w:tc>
        <w:tc>
          <w:tcPr>
            <w:tcW w:w="831" w:type="dxa"/>
          </w:tcPr>
          <w:p>
            <w:r>
              <w:t>详见附表一</w:t>
            </w:r>
          </w:p>
        </w:tc>
      </w:tr>
    </w:tbl>
    <w:p/>
    <w:p>
      <w:r>
        <w:rPr>
          <w:b/>
        </w:rPr>
        <w:t>附表一：城市主战消防车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
            <w:r>
              <w:rPr>
                <w:sz w:val="18"/>
              </w:rPr>
              <w:t>一、重要说明：</w:t>
            </w:r>
          </w:p>
          <w:p>
            <w:r>
              <w:rPr>
                <w:sz w:val="18"/>
              </w:rPr>
              <w:t>1、标注“★”号条款为实质性条款，若有任何一条负偏离或不满足则导致投标无效。</w:t>
            </w:r>
          </w:p>
          <w:p>
            <w:r>
              <w:rPr>
                <w:sz w:val="18"/>
              </w:rPr>
              <w:t>2、标注“▲”号条款为重要技术参数，若未响应或不满足，将根据评审要求扣分。</w:t>
            </w:r>
          </w:p>
          <w:p>
            <w:r>
              <w:rPr>
                <w:sz w:val="18"/>
              </w:rPr>
              <w:t>3、标注“△”号为核心产品，投标人应在投标文件中清晰列明所投产品名称、规格型号、品牌、数量、单价。</w:t>
            </w:r>
          </w:p>
          <w:p>
            <w:r>
              <w:rPr>
                <w:sz w:val="18"/>
              </w:rPr>
              <w:t>4、采购需求中的材料、技术参数及其性能（配置）仅起参考作用，投标人可选用其他技术替代，但这些替代的技术实质上应相当于或优于其技术参数性能（配置）要求。</w:t>
            </w:r>
          </w:p>
          <w:p>
            <w:r>
              <w:rPr>
                <w:sz w:val="18"/>
              </w:rPr>
              <w:t>5、投标人应在投标文件如实提供真实的材料和响应，如提供虚假材料谋取中标的，将上报政府采购监督管理部门进行处理。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2</w:t>
            </w:r>
          </w:p>
        </w:tc>
        <w:tc>
          <w:tcPr>
            <w:tcW w:w="5814" w:type="dxa"/>
          </w:tcPr>
          <w:p>
            <w:pPr>
              <w:jc w:val="both"/>
            </w:pPr>
            <w:r>
              <w:rPr>
                <w:sz w:val="18"/>
              </w:rPr>
              <w:t>二、</w:t>
            </w:r>
            <w:r>
              <w:rPr>
                <w:sz w:val="17"/>
              </w:rPr>
              <w:t>技术参数要求：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single" w:color="000000" w:sz="4" w:space="0"/>
                    <w:left w:val="single" w:color="000000" w:sz="4" w:space="0"/>
                    <w:bottom w:val="single" w:color="000000" w:sz="4" w:space="0"/>
                    <w:right w:val="single" w:color="000000" w:sz="4" w:space="0"/>
                  </w:tcBorders>
                  <w:vAlign w:val="top"/>
                </w:tcPr>
                <w:p>
                  <w:pPr>
                    <w:jc w:val="center"/>
                  </w:pPr>
                  <w:r>
                    <w:rPr>
                      <w:sz w:val="17"/>
                    </w:rPr>
                    <w:t>△城市主战消防车（1辆）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（一）底盘：</w:t>
                  </w:r>
                </w:p>
                <w:p>
                  <w:pPr>
                    <w:jc w:val="left"/>
                  </w:pPr>
                  <w:r>
                    <w:rPr>
                      <w:color w:val="000000"/>
                      <w:sz w:val="17"/>
                    </w:rPr>
                    <w:t>1、驱动型式：4×2。</w:t>
                  </w:r>
                </w:p>
                <w:p>
                  <w:pPr>
                    <w:jc w:val="left"/>
                  </w:pPr>
                  <w:r>
                    <w:rPr>
                      <w:color w:val="000000"/>
                      <w:sz w:val="17"/>
                    </w:rPr>
                    <w:t>2、整车比功率：≥12kW/t。</w:t>
                  </w:r>
                </w:p>
                <w:p>
                  <w:pPr>
                    <w:jc w:val="both"/>
                  </w:pPr>
                  <w:r>
                    <w:rPr>
                      <w:color w:val="000000"/>
                      <w:sz w:val="17"/>
                    </w:rPr>
                    <w:t>▲3、发动机额定功率：≥250kW。（提供第三方检测机构出具的带有CNAS和CMA标志的检验（检测）报告复印件加盖投标人公章）</w:t>
                  </w:r>
                </w:p>
                <w:p>
                  <w:pPr>
                    <w:jc w:val="left"/>
                  </w:pPr>
                  <w:r>
                    <w:rPr>
                      <w:color w:val="000000"/>
                      <w:sz w:val="17"/>
                    </w:rPr>
                    <w:t>4、排放标准：国Ⅵ。</w:t>
                  </w:r>
                </w:p>
                <w:p>
                  <w:pPr>
                    <w:jc w:val="left"/>
                  </w:pPr>
                  <w:r>
                    <w:rPr>
                      <w:sz w:val="17"/>
                    </w:rPr>
                    <w:t>5、</w:t>
                  </w:r>
                  <w:r>
                    <w:rPr>
                      <w:color w:val="000000"/>
                      <w:sz w:val="17"/>
                    </w:rPr>
                    <w:t>整车总质量：≤19000kg。</w:t>
                  </w:r>
                </w:p>
                <w:p>
                  <w:pPr>
                    <w:jc w:val="left"/>
                  </w:pPr>
                  <w:r>
                    <w:rPr>
                      <w:color w:val="000000"/>
                      <w:sz w:val="17"/>
                    </w:rPr>
                    <w:t>6、整车整备质量：≤13500kg。</w:t>
                  </w:r>
                </w:p>
                <w:p>
                  <w:pPr>
                    <w:jc w:val="left"/>
                  </w:pPr>
                  <w:r>
                    <w:rPr>
                      <w:sz w:val="17"/>
                    </w:rPr>
                    <w:t>7、</w:t>
                  </w:r>
                  <w:r>
                    <w:rPr>
                      <w:color w:val="000000"/>
                      <w:sz w:val="17"/>
                    </w:rPr>
                    <w:t>变速箱：手动变速箱。</w:t>
                  </w:r>
                </w:p>
                <w:p>
                  <w:pPr>
                    <w:jc w:val="left"/>
                  </w:pPr>
                  <w:r>
                    <w:rPr>
                      <w:color w:val="000000"/>
                      <w:sz w:val="17"/>
                    </w:rPr>
                    <w:t>8、整车尺寸：≤9400mm×2550mm×3650mm。</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（二）驾驶室：</w:t>
                  </w:r>
                </w:p>
                <w:p>
                  <w:pPr>
                    <w:jc w:val="left"/>
                  </w:pPr>
                  <w:r>
                    <w:rPr>
                      <w:color w:val="000000"/>
                      <w:sz w:val="17"/>
                    </w:rPr>
                    <w:t>1、开门设置：原装双排座或原装单排加独立乘员室结构。</w:t>
                  </w:r>
                </w:p>
                <w:p>
                  <w:pPr>
                    <w:jc w:val="left"/>
                  </w:pPr>
                  <w:r>
                    <w:rPr>
                      <w:sz w:val="17"/>
                    </w:rPr>
                    <w:t>2、</w:t>
                  </w:r>
                  <w:r>
                    <w:rPr>
                      <w:color w:val="000000"/>
                      <w:sz w:val="17"/>
                    </w:rPr>
                    <w:t>座位设置：≥6人。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（三）升降照明系统：</w:t>
                  </w:r>
                </w:p>
                <w:p>
                  <w:pPr>
                    <w:jc w:val="left"/>
                  </w:pPr>
                  <w:r>
                    <w:rPr>
                      <w:color w:val="000000"/>
                      <w:sz w:val="17"/>
                    </w:rPr>
                    <w:t>1、发电机额定功率：≥8kW。</w:t>
                  </w:r>
                </w:p>
                <w:p>
                  <w:pPr>
                    <w:jc w:val="both"/>
                  </w:pPr>
                  <w:r>
                    <w:rPr>
                      <w:color w:val="000000"/>
                      <w:sz w:val="17"/>
                    </w:rPr>
                    <w:t>▲</w:t>
                  </w:r>
                  <w:r>
                    <w:rPr>
                      <w:sz w:val="17"/>
                    </w:rPr>
                    <w:t>2、</w:t>
                  </w:r>
                  <w:r>
                    <w:rPr>
                      <w:color w:val="000000"/>
                      <w:sz w:val="17"/>
                    </w:rPr>
                    <w:t>主照明灯功率：≥4kW。（提供第三方检测机构出具的带有CNAS和CMA标志的检验（检测）报告复印件加盖投标人公章）</w:t>
                  </w:r>
                </w:p>
                <w:p>
                  <w:pPr>
                    <w:jc w:val="both"/>
                  </w:pPr>
                  <w:r>
                    <w:rPr>
                      <w:sz w:val="17"/>
                    </w:rPr>
                    <w:t>3、</w:t>
                  </w:r>
                  <w:r>
                    <w:rPr>
                      <w:color w:val="000000"/>
                      <w:sz w:val="17"/>
                    </w:rPr>
                    <w:t>升降杆：电控气压式。</w:t>
                  </w:r>
                </w:p>
                <w:p>
                  <w:pPr>
                    <w:jc w:val="left"/>
                  </w:pPr>
                  <w:r>
                    <w:rPr>
                      <w:color w:val="000000"/>
                      <w:sz w:val="17"/>
                    </w:rPr>
                    <w:t>4、离地高度：≥7.5m。</w:t>
                  </w:r>
                </w:p>
                <w:p>
                  <w:pPr>
                    <w:jc w:val="both"/>
                  </w:pPr>
                  <w:r>
                    <w:rPr>
                      <w:color w:val="000000"/>
                      <w:sz w:val="17"/>
                    </w:rPr>
                    <w:t>▲5、上升时间：≤60s。（提供第三方检测机构出具的带有CNAS和CMA标志的检验（检测）报告复印件加盖投标人公章）</w:t>
                  </w:r>
                </w:p>
                <w:p>
                  <w:pPr>
                    <w:jc w:val="left"/>
                  </w:pPr>
                  <w:r>
                    <w:rPr>
                      <w:color w:val="000000"/>
                      <w:sz w:val="17"/>
                    </w:rPr>
                    <w:t>6、回转角度：≥360°。</w:t>
                  </w:r>
                </w:p>
                <w:p>
                  <w:pPr>
                    <w:jc w:val="left"/>
                  </w:pPr>
                  <w:r>
                    <w:rPr>
                      <w:color w:val="000000"/>
                      <w:sz w:val="17"/>
                    </w:rPr>
                    <w:t>7、水平回转时间：≤40s。</w:t>
                  </w:r>
                </w:p>
                <w:p>
                  <w:pPr>
                    <w:jc w:val="left"/>
                  </w:pPr>
                  <w:r>
                    <w:rPr>
                      <w:color w:val="000000"/>
                      <w:sz w:val="17"/>
                    </w:rPr>
                    <w:t>8、俯仰回转角：俯角≤-90°，仰角≥200°。</w:t>
                  </w:r>
                </w:p>
                <w:p>
                  <w:pPr>
                    <w:jc w:val="left"/>
                  </w:pPr>
                  <w:r>
                    <w:rPr>
                      <w:color w:val="000000"/>
                      <w:sz w:val="17"/>
                    </w:rPr>
                    <w:t>9、电缆线盘：220V/≥30m、220V/≥50m各一盘。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（四）牵引绞盘系统：</w:t>
                  </w:r>
                </w:p>
                <w:p>
                  <w:pPr>
                    <w:jc w:val="left"/>
                  </w:pPr>
                  <w:r>
                    <w:rPr>
                      <w:color w:val="000000"/>
                      <w:sz w:val="17"/>
                    </w:rPr>
                    <w:t>1、驱动形式：电动或液压。</w:t>
                  </w:r>
                </w:p>
                <w:p>
                  <w:pPr>
                    <w:jc w:val="left"/>
                  </w:pPr>
                  <w:r>
                    <w:rPr>
                      <w:color w:val="000000"/>
                      <w:sz w:val="17"/>
                    </w:rPr>
                    <w:t>2、工作长度：≥35m。</w:t>
                  </w:r>
                </w:p>
                <w:p>
                  <w:pPr>
                    <w:jc w:val="both"/>
                  </w:pPr>
                  <w:r>
                    <w:rPr>
                      <w:color w:val="000000"/>
                      <w:sz w:val="17"/>
                    </w:rPr>
                    <w:t>▲</w:t>
                  </w:r>
                  <w:r>
                    <w:rPr>
                      <w:sz w:val="17"/>
                    </w:rPr>
                    <w:t>3、</w:t>
                  </w:r>
                  <w:r>
                    <w:rPr>
                      <w:color w:val="000000"/>
                      <w:sz w:val="17"/>
                    </w:rPr>
                    <w:t>牵引力：≥50kN。（提供第三方检测机构出具的带有CNAS和CMA标志的检验（检测）报告复印件加盖投标人公章）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（五）消防泵：</w:t>
                  </w:r>
                </w:p>
                <w:p>
                  <w:pPr>
                    <w:jc w:val="both"/>
                  </w:pPr>
                  <w:r>
                    <w:rPr>
                      <w:color w:val="000000"/>
                      <w:sz w:val="17"/>
                    </w:rPr>
                    <w:t>▲1、额定流量：≥60L/s。（提供第三方检测机构出具的带有CNAS和CMA标志的检验（检测）报告复印件加盖投标人公章）</w:t>
                  </w:r>
                </w:p>
                <w:p>
                  <w:pPr>
                    <w:jc w:val="left"/>
                  </w:pPr>
                  <w:r>
                    <w:rPr>
                      <w:color w:val="000000"/>
                      <w:sz w:val="17"/>
                    </w:rPr>
                    <w:t>2、额定压力：≥1.0Mpa。</w:t>
                  </w:r>
                </w:p>
                <w:p>
                  <w:pPr>
                    <w:jc w:val="left"/>
                  </w:pPr>
                  <w:r>
                    <w:rPr>
                      <w:color w:val="000000"/>
                      <w:sz w:val="17"/>
                    </w:rPr>
                    <w:t>3、真空泵形式：电动刮片式。</w:t>
                  </w:r>
                </w:p>
                <w:p>
                  <w:pPr>
                    <w:jc w:val="left"/>
                  </w:pPr>
                  <w:r>
                    <w:rPr>
                      <w:color w:val="000000"/>
                      <w:sz w:val="17"/>
                    </w:rPr>
                    <w:t>4、引水深度：≥7m。</w:t>
                  </w:r>
                </w:p>
                <w:p>
                  <w:pPr>
                    <w:jc w:val="both"/>
                  </w:pPr>
                  <w:r>
                    <w:rPr>
                      <w:color w:val="000000"/>
                      <w:sz w:val="17"/>
                    </w:rPr>
                    <w:t>▲5、引水时间：≤40s。（提供第三方检测机构出具的带有CNAS和CMA标志的检验（检测）报告复印件加盖投标人公章）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（六）泡沫比例混合系统：</w:t>
                  </w:r>
                </w:p>
                <w:p>
                  <w:pPr>
                    <w:jc w:val="left"/>
                  </w:pPr>
                  <w:r>
                    <w:rPr>
                      <w:color w:val="000000"/>
                      <w:sz w:val="17"/>
                    </w:rPr>
                    <w:t>1、型式：负压环泵式。</w:t>
                  </w:r>
                </w:p>
                <w:p>
                  <w:pPr>
                    <w:jc w:val="left"/>
                  </w:pPr>
                  <w:r>
                    <w:rPr>
                      <w:color w:val="000000"/>
                      <w:sz w:val="17"/>
                    </w:rPr>
                    <w:t>2、混合比：1%-10%。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（七）压缩空气系统：</w:t>
                  </w:r>
                </w:p>
                <w:p>
                  <w:pPr>
                    <w:jc w:val="both"/>
                  </w:pPr>
                  <w:r>
                    <w:rPr>
                      <w:color w:val="000000"/>
                      <w:sz w:val="17"/>
                    </w:rPr>
                    <w:t>▲1、额定流量：≥70L/s。（提供第三方检测机构出具的带有CNAS和CMA标志的检验（检测）报告复印件加盖投标人公章）</w:t>
                  </w:r>
                </w:p>
                <w:p>
                  <w:pPr>
                    <w:jc w:val="left"/>
                  </w:pPr>
                  <w:r>
                    <w:rPr>
                      <w:color w:val="000000"/>
                      <w:sz w:val="17"/>
                    </w:rPr>
                    <w:t>2、工作压力：0.8±0.05Mpa。</w:t>
                  </w:r>
                </w:p>
                <w:p>
                  <w:pPr>
                    <w:jc w:val="left"/>
                  </w:pPr>
                  <w:r>
                    <w:rPr>
                      <w:color w:val="000000"/>
                      <w:sz w:val="17"/>
                    </w:rPr>
                    <w:t>3、比例调节范围：0.1%-1%。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（八）压缩空气泡沫喷射性能：</w:t>
                  </w:r>
                </w:p>
                <w:p>
                  <w:pPr>
                    <w:jc w:val="left"/>
                  </w:pPr>
                  <w:r>
                    <w:rPr>
                      <w:color w:val="000000"/>
                      <w:sz w:val="17"/>
                    </w:rPr>
                    <w:t>1、射程：干泡沫≥15m，湿泡沫≥20m。</w:t>
                  </w:r>
                </w:p>
                <w:p>
                  <w:pPr>
                    <w:jc w:val="left"/>
                  </w:pPr>
                  <w:r>
                    <w:rPr>
                      <w:color w:val="000000"/>
                      <w:sz w:val="17"/>
                    </w:rPr>
                    <w:t>2、混合液流量：干泡沫≥1.7L/s，湿泡沫≥3.4L/s。</w:t>
                  </w:r>
                </w:p>
                <w:p>
                  <w:pPr>
                    <w:jc w:val="left"/>
                  </w:pPr>
                  <w:r>
                    <w:rPr>
                      <w:color w:val="000000"/>
                      <w:sz w:val="17"/>
                    </w:rPr>
                    <w:t>3、发泡倍数：干泡沫≥10，湿泡沫≥5。</w:t>
                  </w:r>
                </w:p>
                <w:p>
                  <w:pPr>
                    <w:jc w:val="left"/>
                  </w:pPr>
                  <w:r>
                    <w:rPr>
                      <w:color w:val="000000"/>
                      <w:sz w:val="17"/>
                    </w:rPr>
                    <w:t>4、25%析液时间：≥3.5min。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（九）消防炮：</w:t>
                  </w:r>
                </w:p>
                <w:p>
                  <w:pPr>
                    <w:jc w:val="left"/>
                  </w:pPr>
                  <w:r>
                    <w:rPr>
                      <w:color w:val="000000"/>
                      <w:sz w:val="17"/>
                    </w:rPr>
                    <w:t>1、水炮功能：电控水泡沫两用炮。</w:t>
                  </w:r>
                </w:p>
                <w:p>
                  <w:pPr>
                    <w:jc w:val="left"/>
                  </w:pPr>
                  <w:r>
                    <w:rPr>
                      <w:color w:val="000000"/>
                      <w:sz w:val="17"/>
                    </w:rPr>
                    <w:t>2、额定流量：≥48L/s。</w:t>
                  </w:r>
                </w:p>
                <w:p>
                  <w:pPr>
                    <w:jc w:val="left"/>
                  </w:pPr>
                  <w:r>
                    <w:rPr>
                      <w:color w:val="000000"/>
                      <w:sz w:val="17"/>
                    </w:rPr>
                    <w:t>3、射程：水≥70m，泡沫≥60m。</w:t>
                  </w:r>
                </w:p>
                <w:p>
                  <w:pPr>
                    <w:jc w:val="left"/>
                  </w:pPr>
                  <w:r>
                    <w:rPr>
                      <w:color w:val="000000"/>
                      <w:sz w:val="17"/>
                    </w:rPr>
                    <w:t>4、水平回转角：≥350°。</w:t>
                  </w:r>
                </w:p>
                <w:p>
                  <w:pPr>
                    <w:jc w:val="both"/>
                  </w:pPr>
                  <w:r>
                    <w:rPr>
                      <w:color w:val="000000"/>
                      <w:sz w:val="17"/>
                    </w:rPr>
                    <w:t>5、消防炮俯仰角：最小俯角≤-10°，最大仰角≥70°。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both"/>
                  </w:pPr>
                  <w:r>
                    <w:rPr>
                      <w:color w:val="000000"/>
                      <w:sz w:val="17"/>
                    </w:rPr>
                    <w:t>（十）消防容罐：</w:t>
                  </w:r>
                </w:p>
                <w:p>
                  <w:pPr>
                    <w:jc w:val="both"/>
                  </w:pPr>
                  <w:r>
                    <w:rPr>
                      <w:color w:val="000000"/>
                      <w:sz w:val="17"/>
                    </w:rPr>
                    <w:t>▲1、容积：含水罐、A类泡沫液罐、B类泡沫液罐，三种罐体总共总容积：≥4200L。（提供第三方检测机构出具的带有CNAS和CMA标志的检验（检测）报告复印件加盖投标人公章）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both"/>
                  </w:pPr>
                  <w:r>
                    <w:rPr>
                      <w:color w:val="000000"/>
                      <w:sz w:val="17"/>
                    </w:rPr>
                    <w:t>（十一）其他：</w:t>
                  </w:r>
                </w:p>
                <w:p>
                  <w:pPr>
                    <w:jc w:val="both"/>
                  </w:pPr>
                  <w:r>
                    <w:rPr>
                      <w:color w:val="000000"/>
                      <w:sz w:val="17"/>
                    </w:rPr>
                    <w:t>1、随车器材：满足GB7956.6-2015标准中表5《器材配备表》（不含18至19项）要求。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center"/>
                  </w:pPr>
                  <w:r>
                    <w:rPr>
                      <w:color w:val="000000"/>
                      <w:sz w:val="17"/>
                    </w:rPr>
                    <w:t>液压破拆工具组（1套）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nil"/>
                    <w:left w:val="single" w:color="000000" w:sz="4" w:space="0"/>
                    <w:bottom w:val="single" w:color="000000" w:sz="4" w:space="0"/>
                    <w:right w:val="single" w:color="000000" w:sz="4" w:space="0"/>
                  </w:tcBorders>
                </w:tcPr>
                <w:p>
                  <w:pPr>
                    <w:jc w:val="left"/>
                  </w:pPr>
                  <w:r>
                    <w:rPr>
                      <w:color w:val="000000"/>
                      <w:sz w:val="17"/>
                    </w:rPr>
                    <w:t>（一）液压动力泵（1套）：</w:t>
                  </w:r>
                </w:p>
                <w:p>
                  <w:pPr>
                    <w:jc w:val="left"/>
                  </w:pPr>
                  <w:r>
                    <w:rPr>
                      <w:color w:val="000000"/>
                      <w:sz w:val="17"/>
                    </w:rPr>
                    <w:t>1、动力：四冲程汽油发动机；功率≥2.2kw。</w:t>
                  </w:r>
                </w:p>
                <w:p>
                  <w:pPr>
                    <w:jc w:val="left"/>
                  </w:pPr>
                  <w:r>
                    <w:rPr>
                      <w:color w:val="000000"/>
                      <w:sz w:val="17"/>
                    </w:rPr>
                    <w:t>2、可连接和驱动救援工具≥2台，带一组双倍流量功能；带DIN框架和≥20米油用管卷盘，工作压力≥700巴。</w:t>
                  </w:r>
                </w:p>
                <w:p>
                  <w:pPr>
                    <w:jc w:val="left"/>
                  </w:pPr>
                  <w:r>
                    <w:rPr>
                      <w:color w:val="000000"/>
                      <w:sz w:val="17"/>
                    </w:rPr>
                    <w:t>3、液压油流量：低压≥2*3.1L/min，高压≥2*0.7L/min；双倍流量模式低压流量≥1*5.8L/min，双倍流量模式高压流量≥1*1.35L/min。</w:t>
                  </w:r>
                </w:p>
                <w:p>
                  <w:pPr>
                    <w:jc w:val="left"/>
                  </w:pPr>
                  <w:r>
                    <w:rPr>
                      <w:color w:val="000000"/>
                      <w:sz w:val="17"/>
                    </w:rPr>
                    <w:t>4、有效油量≥5L；尺寸≤（440×440×445）mm，重量≤72.5kg。</w:t>
                  </w:r>
                </w:p>
                <w:p>
                  <w:pPr>
                    <w:jc w:val="left"/>
                  </w:pPr>
                  <w:r>
                    <w:rPr>
                      <w:color w:val="000000"/>
                      <w:sz w:val="17"/>
                    </w:rPr>
                    <w:t>（二）扩张器（1套）：</w:t>
                  </w:r>
                </w:p>
                <w:p>
                  <w:pPr>
                    <w:jc w:val="left"/>
                  </w:pPr>
                  <w:r>
                    <w:rPr>
                      <w:color w:val="000000"/>
                      <w:sz w:val="17"/>
                    </w:rPr>
                    <w:t>1、工具头采用有带刺点菱形颗粒结构的“鲨鱼牙齿”扩张头，四排尖齿形设计可紧锁目标不易脱落。挤压板和工具头形成一体化设计。可配撕裂扩张头，工具头可拆卸更换；采用流线单接口快速连接头，断开可自动泄压不漏油。</w:t>
                  </w:r>
                </w:p>
                <w:p>
                  <w:pPr>
                    <w:jc w:val="left"/>
                  </w:pPr>
                  <w:r>
                    <w:rPr>
                      <w:color w:val="000000"/>
                      <w:sz w:val="17"/>
                    </w:rPr>
                    <w:t>2、接头可360度旋转，控制阀门为星形手柄，仅需单手拇指即可操作。</w:t>
                  </w:r>
                </w:p>
                <w:p>
                  <w:pPr>
                    <w:jc w:val="left"/>
                  </w:pPr>
                  <w:r>
                    <w:rPr>
                      <w:color w:val="000000"/>
                      <w:sz w:val="17"/>
                    </w:rPr>
                    <w:t>3、工作压力≥700巴。</w:t>
                  </w:r>
                </w:p>
                <w:p>
                  <w:pPr>
                    <w:jc w:val="left"/>
                  </w:pPr>
                  <w:r>
                    <w:rPr>
                      <w:color w:val="000000"/>
                      <w:sz w:val="17"/>
                    </w:rPr>
                    <w:t>▲4、最大扩张力≥86kN；扩张距离≥600mm。（提供第三方检测机构出具的带有CNAS和CMA标志的检验（检测）报告复印件加盖投标人公章）</w:t>
                  </w:r>
                </w:p>
                <w:p>
                  <w:pPr>
                    <w:jc w:val="left"/>
                  </w:pPr>
                  <w:r>
                    <w:rPr>
                      <w:color w:val="000000"/>
                      <w:sz w:val="17"/>
                    </w:rPr>
                    <w:t>5、牵拉力≥56KN；牵引距离≥440mm。</w:t>
                  </w:r>
                </w:p>
                <w:p>
                  <w:pPr>
                    <w:jc w:val="left"/>
                  </w:pPr>
                  <w:r>
                    <w:rPr>
                      <w:color w:val="000000"/>
                      <w:sz w:val="17"/>
                    </w:rPr>
                    <w:t>6、挤压力≥56KN。</w:t>
                  </w:r>
                </w:p>
                <w:p>
                  <w:pPr>
                    <w:jc w:val="left"/>
                  </w:pPr>
                  <w:r>
                    <w:rPr>
                      <w:color w:val="000000"/>
                      <w:sz w:val="17"/>
                    </w:rPr>
                    <w:t>7、需油量≤150cm³。</w:t>
                  </w:r>
                </w:p>
                <w:p>
                  <w:pPr>
                    <w:jc w:val="left"/>
                  </w:pPr>
                  <w:r>
                    <w:rPr>
                      <w:color w:val="000000"/>
                      <w:sz w:val="17"/>
                    </w:rPr>
                    <w:t>8、尺寸≤（725×290×205）mm。</w:t>
                  </w:r>
                </w:p>
                <w:p>
                  <w:pPr>
                    <w:jc w:val="left"/>
                  </w:pPr>
                  <w:r>
                    <w:rPr>
                      <w:color w:val="000000"/>
                      <w:sz w:val="17"/>
                    </w:rPr>
                    <w:t>▲9、重量≤13.5kg。（提供第三方检测机构出具的带有CNAS和CMA标志的检验（检测）报告复印件加盖投标人公章）</w:t>
                  </w:r>
                </w:p>
                <w:p>
                  <w:pPr>
                    <w:jc w:val="left"/>
                  </w:pPr>
                  <w:r>
                    <w:rPr>
                      <w:color w:val="000000"/>
                      <w:sz w:val="17"/>
                    </w:rPr>
                    <w:t>（三）液压救援顶杆（单级）（1套）：</w:t>
                  </w:r>
                </w:p>
                <w:p>
                  <w:pPr>
                    <w:jc w:val="left"/>
                  </w:pPr>
                  <w:r>
                    <w:rPr>
                      <w:color w:val="000000"/>
                      <w:sz w:val="17"/>
                    </w:rPr>
                    <w:t>1、采用流线单接口快速连接方式，在单接口相互断开时，高压管内自动泄压，加快救援速度，单接头可360度旋转，不缠绕打结。</w:t>
                  </w:r>
                </w:p>
                <w:p>
                  <w:pPr>
                    <w:jc w:val="left"/>
                  </w:pPr>
                  <w:r>
                    <w:rPr>
                      <w:color w:val="000000"/>
                      <w:sz w:val="17"/>
                    </w:rPr>
                    <w:t>2、控制阀为星形手柄，带上手套单手在各个角度都可仅使用拇指即可操作。</w:t>
                  </w:r>
                </w:p>
                <w:p>
                  <w:pPr>
                    <w:jc w:val="left"/>
                  </w:pPr>
                  <w:r>
                    <w:rPr>
                      <w:color w:val="000000"/>
                      <w:sz w:val="17"/>
                    </w:rPr>
                    <w:t>3、活塞杆末端配有防滑齿，在斜坡或平滑的地面更容易掌握，防滑齿能够在360度范围内任意旋转。</w:t>
                  </w:r>
                </w:p>
                <w:p>
                  <w:pPr>
                    <w:jc w:val="left"/>
                  </w:pPr>
                  <w:r>
                    <w:rPr>
                      <w:color w:val="000000"/>
                      <w:sz w:val="17"/>
                    </w:rPr>
                    <w:t>4、工作压力≥700巴，撑顶力≥120KN。</w:t>
                  </w:r>
                </w:p>
                <w:p>
                  <w:pPr>
                    <w:jc w:val="left"/>
                  </w:pPr>
                  <w:r>
                    <w:rPr>
                      <w:color w:val="000000"/>
                      <w:sz w:val="17"/>
                    </w:rPr>
                    <w:t>5、活塞行程≥700mm。</w:t>
                  </w:r>
                </w:p>
                <w:p>
                  <w:pPr>
                    <w:jc w:val="left"/>
                  </w:pPr>
                  <w:r>
                    <w:rPr>
                      <w:color w:val="000000"/>
                      <w:sz w:val="17"/>
                    </w:rPr>
                    <w:t>6、收回长度≥900mm；伸出长度≥1600mm。</w:t>
                  </w:r>
                </w:p>
                <w:p>
                  <w:pPr>
                    <w:jc w:val="left"/>
                  </w:pPr>
                  <w:r>
                    <w:rPr>
                      <w:color w:val="000000"/>
                      <w:sz w:val="17"/>
                    </w:rPr>
                    <w:t>7、需油量≤1115cm³。</w:t>
                  </w:r>
                </w:p>
                <w:p>
                  <w:pPr>
                    <w:jc w:val="left"/>
                  </w:pPr>
                  <w:r>
                    <w:rPr>
                      <w:color w:val="000000"/>
                      <w:sz w:val="17"/>
                    </w:rPr>
                    <w:t>8、尺寸≤（90×175）mm。</w:t>
                  </w:r>
                </w:p>
                <w:p>
                  <w:pPr>
                    <w:jc w:val="left"/>
                  </w:pPr>
                  <w:r>
                    <w:rPr>
                      <w:color w:val="000000"/>
                      <w:sz w:val="17"/>
                    </w:rPr>
                    <w:t>9、重量≤24.5kg。</w:t>
                  </w:r>
                </w:p>
                <w:p>
                  <w:pPr>
                    <w:jc w:val="left"/>
                  </w:pPr>
                  <w:r>
                    <w:rPr>
                      <w:color w:val="000000"/>
                      <w:sz w:val="17"/>
                    </w:rPr>
                    <w:t>（四）液压剪切器（1套）：</w:t>
                  </w:r>
                </w:p>
                <w:p>
                  <w:pPr>
                    <w:jc w:val="left"/>
                  </w:pPr>
                  <w:r>
                    <w:rPr>
                      <w:color w:val="000000"/>
                      <w:sz w:val="17"/>
                    </w:rPr>
                    <w:t>1、采用流线单接口快速连接头，断开可自动泄压不漏油，接头可360度旋转。</w:t>
                  </w:r>
                </w:p>
                <w:p>
                  <w:pPr>
                    <w:jc w:val="left"/>
                  </w:pPr>
                  <w:r>
                    <w:rPr>
                      <w:color w:val="000000"/>
                      <w:sz w:val="17"/>
                    </w:rPr>
                    <w:t>2、控制阀门为星形手柄，仅需单手拇指即可操作。</w:t>
                  </w:r>
                </w:p>
                <w:p>
                  <w:pPr>
                    <w:jc w:val="left"/>
                  </w:pPr>
                  <w:r>
                    <w:rPr>
                      <w:color w:val="000000"/>
                      <w:sz w:val="17"/>
                    </w:rPr>
                    <w:t>3、刀头为人体工程学原理的C形设计，采用四级热处理锻造工艺，中心硬化处理设计，防止崩溅。</w:t>
                  </w:r>
                </w:p>
                <w:p>
                  <w:pPr>
                    <w:jc w:val="left"/>
                  </w:pPr>
                  <w:r>
                    <w:rPr>
                      <w:color w:val="000000"/>
                      <w:sz w:val="17"/>
                    </w:rPr>
                    <w:t>4、工作压力≥700巴。</w:t>
                  </w:r>
                </w:p>
                <w:p>
                  <w:pPr>
                    <w:jc w:val="left"/>
                  </w:pPr>
                  <w:r>
                    <w:rPr>
                      <w:color w:val="000000"/>
                      <w:sz w:val="17"/>
                    </w:rPr>
                    <w:t>5、剪切力≥680KN。</w:t>
                  </w:r>
                </w:p>
                <w:p>
                  <w:pPr>
                    <w:jc w:val="left"/>
                  </w:pPr>
                  <w:r>
                    <w:rPr>
                      <w:color w:val="000000"/>
                      <w:sz w:val="17"/>
                    </w:rPr>
                    <w:t>6、剪切能力：能一次剪断直径≥35mm的Q235A圆钢；能一次剪断宽度≥50mm、厚度≥20mm的Q235A板材。</w:t>
                  </w:r>
                </w:p>
                <w:p>
                  <w:pPr>
                    <w:jc w:val="left"/>
                  </w:pPr>
                  <w:r>
                    <w:rPr>
                      <w:color w:val="000000"/>
                      <w:sz w:val="17"/>
                    </w:rPr>
                    <w:t>▲7、开口距离≥160mm。（提供第三方检测机构出具的带有CNAS和CMA标志的检验（检测）报告复印件加盖投标人公章）</w:t>
                  </w:r>
                </w:p>
                <w:p>
                  <w:pPr>
                    <w:jc w:val="left"/>
                  </w:pPr>
                  <w:r>
                    <w:rPr>
                      <w:color w:val="000000"/>
                      <w:sz w:val="17"/>
                    </w:rPr>
                    <w:t>8、需油量≤110cm³。</w:t>
                  </w:r>
                </w:p>
                <w:p>
                  <w:pPr>
                    <w:jc w:val="left"/>
                  </w:pPr>
                  <w:r>
                    <w:rPr>
                      <w:color w:val="000000"/>
                      <w:sz w:val="17"/>
                    </w:rPr>
                    <w:t>9、尺寸≤（725×230×175）mm。</w:t>
                  </w:r>
                </w:p>
                <w:p>
                  <w:pPr>
                    <w:jc w:val="left"/>
                  </w:pPr>
                  <w:r>
                    <w:rPr>
                      <w:color w:val="000000"/>
                      <w:sz w:val="17"/>
                    </w:rPr>
                    <w:t>▲10、重量≤14.5kg。（提供第三方检测机构出具的带有CNAS和CMA标志的检验（检测）报告复印件加盖投标人公章）</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pPr>
        <w:ind w:firstLine="480"/>
      </w:pPr>
    </w:p>
    <w:p>
      <w:r>
        <w:t xml:space="preserve"> </w:t>
      </w:r>
    </w:p>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1.采购代理机构：本项目是指广东正德招标有限公司，负责整个采购活动的组织，依法负责编制和发布招标文件，对招标文件拥有最终的解释权，不以任何身份出任评标委员会成员。</w:t>
      </w:r>
    </w:p>
    <w:p>
      <w:pPr>
        <w:ind w:firstLine="480"/>
      </w:pPr>
      <w:r>
        <w:t>2.采购人：本项目是指东莞市沙田镇专职消防队，是采购活动当事人之一，负责项目的整体规划、技术方案可行性设计论证与实施，作为合同采购方（用户）的主体承担质疑回复、履行合同、验收与评价等义务。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本项目共2个采购包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p>
            <w:r>
              <w:t>采购包2：综合评分法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p>
            <w:r>
              <w:t>采购包1：总价</w:t>
            </w:r>
          </w:p>
          <w:p/>
          <w:p>
            <w:r>
              <w:t>采购包2：总价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采购包1：保证金人民币：0.00元整。采购包2：保证金人民币：0.00元整。</w:t>
            </w:r>
          </w:p>
          <w:p>
            <w:r>
              <w:t>开户单位：无</w:t>
            </w:r>
          </w:p>
          <w:p>
            <w:r>
              <w:t>开户账号：无</w:t>
            </w:r>
          </w:p>
          <w:p>
            <w:r>
              <w:t>开户银行：无</w:t>
            </w:r>
          </w:p>
          <w:p>
            <w:r>
              <w:t>支票提交方式：无</w:t>
            </w:r>
          </w:p>
          <w:p>
            <w:r>
              <w:t>汇票、本票提交方式：无</w:t>
            </w:r>
          </w:p>
          <w:p/>
          <w:p>
            <w:pPr>
              <w:ind w:firstLine="480"/>
            </w:pPr>
            <w:r>
              <w:t>投标保证金有效期∶与投标有效期一致。</w:t>
            </w:r>
          </w:p>
          <w:p>
            <w:pPr>
              <w:ind w:firstLine="480"/>
            </w:pPr>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盘(或光盘)0份，加密的电子投标文件与非加密的电子投标文件必须完全一致。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采购包1：2家</w:t>
            </w:r>
          </w:p>
          <w:p>
            <w:r>
              <w:t>采购包2：2家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pPr>
              <w:ind w:firstLine="480"/>
            </w:pPr>
          </w:p>
          <w:p>
            <w:r>
              <w:t>采购包1：1家</w:t>
            </w:r>
          </w:p>
          <w:p>
            <w:r>
              <w:t>采购包2：1家</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pPr>
              <w:ind w:firstLine="480"/>
            </w:pPr>
          </w:p>
          <w:p>
            <w:pPr>
              <w:jc w:val="left"/>
            </w:pPr>
          </w:p>
          <w:p>
            <w:r>
              <w:t>采购包1：3家</w:t>
            </w:r>
          </w:p>
          <w:p>
            <w:pPr>
              <w:jc w:val="left"/>
            </w:pPr>
          </w:p>
          <w:p>
            <w:r>
              <w:t>采购包2：3家</w:t>
            </w:r>
          </w:p>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兼投不兼中：本项目兼投不兼中，每个投标人最多只能被确定为1个子包的第一中标候选人。本项目按子包的顺序进行评审，依次按照评标总得分由高到低的顺序，每包组推荐两名中标候选人。已获得子包一的第一中标候选人资格的，将不具有子包二的候选人推荐资格；子包二从具有中标候选人资格的投标人中，排名最高的投标供应商为第一中标候选人，排名次高的投标供应商为第二中标候选人，以此类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采购机构代理服务收费标准：中标人须向采购代理机构缴纳招标代理服务费，各采购包招标代理服务费以各采购包中标（成交）金额为基数，采用差额定率累进法，按货物类计算。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r>
              <w:t>30分钟</w:t>
            </w: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采购包1：非专门面向中小企业</w:t>
            </w:r>
          </w:p>
          <w:p>
            <w:pPr>
              <w:jc w:val="left"/>
            </w:pPr>
            <w:r>
              <w:t>采购包2：非专门面向中小企业</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广东正德招标有限公司代收。具体操作要求详见广东正德招标有限公司有关指引，递交事宜请自行咨询广东正德招标有限公司；请各投标人在投标文件递交截止时间前按须知前附表规定的金额递交至广东正德招标有限公司，到账情况以开标时广东正德招标有限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w:t>
      </w:r>
      <w:r>
        <w:tab/>
      </w:r>
      <w:r>
        <w:tab/>
      </w:r>
      <w:r>
        <w:t xml:space="preserve"> 采购人或采购代理机构将在中国政府采购网(www.ccgp.gov.cn)、广东省政府采购网(https://gdgpo.czt.gd.gov.cn/)广东正德招标有限公司网站；中国东莞沙田频道（http://www.dg.gov.cn/shatian/）上以公告的形式发布中标结果，中标公告的公告期限为 1</w:t>
      </w:r>
      <w:r>
        <w:tab/>
      </w:r>
      <w:r>
        <w:tab/>
      </w:r>
      <w:r>
        <w:t xml:space="preserve"> 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广东正德招标有限公司网站；中国东莞沙田频道（http://www.dg.gov.cn/shatian/）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质疑联系人：王小姐</w:t>
      </w:r>
    </w:p>
    <w:p>
      <w:pPr>
        <w:ind w:firstLine="480"/>
      </w:pPr>
      <w:r>
        <w:t>电话：0769-22682666</w:t>
      </w:r>
    </w:p>
    <w:p>
      <w:pPr>
        <w:ind w:firstLine="480"/>
      </w:pPr>
      <w:r>
        <w:t>传真：-</w:t>
      </w:r>
    </w:p>
    <w:p>
      <w:pPr>
        <w:ind w:firstLine="480"/>
      </w:pPr>
      <w:r>
        <w:t>邮箱：zdbidding@163.com</w:t>
      </w:r>
    </w:p>
    <w:p>
      <w:pPr>
        <w:ind w:firstLine="480"/>
      </w:pPr>
      <w:r>
        <w:t>地址：东莞市南城街道西平社区下手新村一巷17号</w:t>
      </w:r>
    </w:p>
    <w:p>
      <w:pPr>
        <w:ind w:firstLine="480"/>
      </w:pPr>
      <w:r>
        <w:t>邮编：523000</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政府采购监督管理机构名称：东莞市财政局政府采购监管科</w:t>
      </w:r>
    </w:p>
    <w:p>
      <w:r>
        <w:t>地  址：东莞市南城区鸿福路99号行政办事中心主楼12楼28室</w:t>
      </w:r>
    </w:p>
    <w:p>
      <w:r>
        <w:t>电  话：0769-22831025、0769-22830161</w:t>
      </w:r>
    </w:p>
    <w:p>
      <w:r>
        <w:t>邮  编：523000</w:t>
      </w:r>
    </w:p>
    <w:p>
      <w:r>
        <w:t>传  真：-</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1.3合同条款中应规定，乙方完全遵守《中华人民共和国劳动合同法》有关规定和《中华人民共和国妇女权益保障法》中关于“劳动和社会保障权益”的有关要求。</w:t>
      </w:r>
    </w:p>
    <w:p>
      <w:pPr>
        <w:ind w:firstLine="480"/>
      </w:pPr>
      <w:r>
        <w:t>1.4采购人应当自政府采购合同签订之日起2个工作日内，将政府采购合同在省级以上人民政府财政部门指定的媒体上公告，但政府采购合同中涉及国家秘密、商业秘密的内容除外。</w:t>
      </w:r>
    </w:p>
    <w:p>
      <w:pPr>
        <w:ind w:firstLine="480"/>
      </w:pPr>
      <w: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Pr>
        <w:jc w:val="center"/>
      </w:pPr>
      <w:r>
        <w:rPr>
          <w:b/>
          <w:sz w:val="36"/>
        </w:rPr>
        <w:t>第四章 评标</w:t>
      </w:r>
    </w:p>
    <w:p>
      <w:r>
        <w:rPr>
          <w:b/>
          <w:sz w:val="28"/>
        </w:rPr>
        <w:t>一、评标要求</w:t>
      </w:r>
    </w:p>
    <w:p>
      <w:r>
        <w:rPr>
          <w:b/>
          <w:sz w:val="24"/>
        </w:rPr>
        <w:t>1.评标方法</w:t>
      </w:r>
    </w:p>
    <w:p>
      <w:pPr>
        <w:ind w:firstLine="480"/>
      </w:pPr>
    </w:p>
    <w:p/>
    <w:p>
      <w:r>
        <w:t>采购包1(举高喷射消防车)：综合评分法,是指投标文件满足招标文件全部实质性要求，且按照评审因素的量化指标评审得分最高的投标人为中标候选人的评标方法。（最低报价不是中标的唯一依据。）</w:t>
      </w:r>
    </w:p>
    <w:p/>
    <w:p>
      <w:r>
        <w:t>采购包2(城市主战消防车)：综合评分法,是指投标文件满足招标文件全部实质性要求，且按照评审因素的量化指标评审得分最高的投标人为中标候选人的评标方法。（最低报价不是中标的唯一依据。）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（1）评标情况不得私自外泄，有关信息由广东正德招标有限公司统一对外发布。</w:t>
      </w:r>
    </w:p>
    <w:p>
      <w:pPr>
        <w:ind w:firstLine="480"/>
      </w:pPr>
      <w:r>
        <w:t>（2）对广东正德招标有限公司或投标人提供的要求保密的资料，不得摘记翻印和外传。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t>采购包1（举高喷射消防车）：</w:t>
      </w:r>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1</w:t>
            </w:r>
          </w:p>
        </w:tc>
        <w:tc>
          <w:tcPr>
            <w:tcW w:w="2160" w:type="dxa"/>
          </w:tcPr>
          <w:p>
            <w:pPr>
              <w:jc w:val="left"/>
            </w:pPr>
            <w:r>
              <w:t>小型、微型企业，监狱企业，残疾人福利性单位</w:t>
            </w:r>
          </w:p>
        </w:tc>
        <w:tc>
          <w:tcPr>
            <w:tcW w:w="2160" w:type="dxa"/>
          </w:tcPr>
          <w:p>
            <w:r>
              <w:t>货物由小微企业制造</w:t>
            </w:r>
          </w:p>
        </w:tc>
        <w:tc>
          <w:tcPr>
            <w:tcW w:w="1246" w:type="dxa"/>
          </w:tcPr>
          <w:p>
            <w:r>
              <w:t>10%</w:t>
            </w:r>
          </w:p>
        </w:tc>
        <w:tc>
          <w:tcPr>
            <w:tcW w:w="2160" w:type="dxa"/>
          </w:tcPr>
          <w:p>
            <w:pPr>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2</w:t>
            </w:r>
          </w:p>
        </w:tc>
        <w:tc>
          <w:tcPr>
            <w:tcW w:w="2160" w:type="dxa"/>
          </w:tcPr>
          <w:p>
            <w:pPr>
              <w:jc w:val="left"/>
            </w:pPr>
            <w:r>
              <w:t>节能、环保产品</w:t>
            </w:r>
          </w:p>
        </w:tc>
        <w:tc>
          <w:tcPr>
            <w:tcW w:w="2160" w:type="dxa"/>
          </w:tcPr>
          <w:p>
            <w:r>
              <w:t>——</w:t>
            </w:r>
          </w:p>
        </w:tc>
        <w:tc>
          <w:tcPr>
            <w:tcW w:w="1246" w:type="dxa"/>
          </w:tcPr>
          <w:p>
            <w:r>
              <w:t>1%</w:t>
            </w:r>
          </w:p>
        </w:tc>
        <w:tc>
          <w:tcPr>
            <w:tcW w:w="2160" w:type="dxa"/>
          </w:tcPr>
          <w:p>
            <w:pPr>
              <w:jc w:val="left"/>
            </w:pPr>
            <w:r>
              <w:t>对获得节能产品认证证书或环境标志产品认证证书的产品给予1%-5%的价格扣除，具体扣除比例根据节能产品或环境标志产品在采购项目中的重要性、所占比重等因素确定。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r>
        <w:br w:type="textWrapping"/>
      </w:r>
    </w:p>
    <w:p/>
    <w:p>
      <w:r>
        <w:t>采购包2（城市主战消防车）：</w:t>
      </w:r>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1</w:t>
            </w:r>
          </w:p>
        </w:tc>
        <w:tc>
          <w:tcPr>
            <w:tcW w:w="2160" w:type="dxa"/>
          </w:tcPr>
          <w:p>
            <w:pPr>
              <w:jc w:val="left"/>
            </w:pPr>
            <w:r>
              <w:t>小型、微型企业，监狱企业，残疾人福利性单位</w:t>
            </w:r>
          </w:p>
        </w:tc>
        <w:tc>
          <w:tcPr>
            <w:tcW w:w="2160" w:type="dxa"/>
          </w:tcPr>
          <w:p>
            <w:r>
              <w:t>货物由小微企业制造</w:t>
            </w:r>
          </w:p>
        </w:tc>
        <w:tc>
          <w:tcPr>
            <w:tcW w:w="1246" w:type="dxa"/>
          </w:tcPr>
          <w:p>
            <w:r>
              <w:t>10%</w:t>
            </w:r>
          </w:p>
        </w:tc>
        <w:tc>
          <w:tcPr>
            <w:tcW w:w="2160" w:type="dxa"/>
          </w:tcPr>
          <w:p>
            <w:pPr>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2</w:t>
            </w:r>
          </w:p>
        </w:tc>
        <w:tc>
          <w:tcPr>
            <w:tcW w:w="2160" w:type="dxa"/>
          </w:tcPr>
          <w:p>
            <w:pPr>
              <w:jc w:val="left"/>
            </w:pPr>
            <w:r>
              <w:t>节能、环保产品</w:t>
            </w:r>
          </w:p>
        </w:tc>
        <w:tc>
          <w:tcPr>
            <w:tcW w:w="2160" w:type="dxa"/>
          </w:tcPr>
          <w:p>
            <w:r>
              <w:t>——</w:t>
            </w:r>
          </w:p>
        </w:tc>
        <w:tc>
          <w:tcPr>
            <w:tcW w:w="1246" w:type="dxa"/>
          </w:tcPr>
          <w:p>
            <w:r>
              <w:t>1%</w:t>
            </w:r>
          </w:p>
        </w:tc>
        <w:tc>
          <w:tcPr>
            <w:tcW w:w="2160" w:type="dxa"/>
          </w:tcPr>
          <w:p>
            <w:pPr>
              <w:jc w:val="left"/>
            </w:pPr>
            <w:r>
              <w:t>对获得节能产品认证证书或环境标志产品认证证书的产品给予1%-5%的价格扣除，具体扣除比例根据节能产品或环境标志产品在采购项目中的重要性、所占比重等因素确定。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r>
        <w:br w:type="textWrapping"/>
      </w:r>
      <w:r>
        <w:br w:type="textWrapping"/>
      </w:r>
    </w:p>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Pr>
        <w:ind w:firstLine="480"/>
      </w:pPr>
    </w:p>
    <w:p/>
    <w:p>
      <w:r>
        <w:t>采购包1（举高喷射消防车）：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c>
          <w:tcPr>
            <w:tcW w:w="890" w:type="dxa"/>
          </w:tcPr>
          <w:p>
            <w:r>
              <w:t>1</w:t>
            </w:r>
          </w:p>
        </w:tc>
        <w:tc>
          <w:tcPr>
            <w:tcW w:w="3178" w:type="dxa"/>
          </w:tcPr>
          <w:p>
            <w:r>
              <w:t>具有独立承担民事责任的能力</w:t>
            </w:r>
          </w:p>
        </w:tc>
        <w:tc>
          <w:tcPr>
            <w:tcW w:w="4238" w:type="dxa"/>
          </w:tcPr>
          <w:p>
            <w:r>
              <w:t>在中华人民共和国境内注册的法人或其他组织或自然人，投标（响应）时提交有效的营业执照（或事业法人登记证或身份证等相关证明）复印件。</w:t>
            </w:r>
          </w:p>
        </w:tc>
      </w:tr>
      <w:tr>
        <w:tblPrEx>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提供投标截止日前6个月内任意1个月依法缴纳税收和社会保障资金的相关材料（或提供资格条件承诺函）。如依法免税或不需要缴纳社会保障资金的，提供相应证明材料。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供应商必须具有良好的商业信誉和健全的财务会计制度（提供2022年度财务状况报告或基本开户行出具的资信证明）（或提供资格条件承诺函）。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按投标（响应）文件格式填报设备及专业技术能力情况（或提供资格条件承诺函）。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参照投标（报价）函相关承诺格式内容（或提供资格条件承诺函）。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落实政府采购政策需满足的资格要求</w:t>
            </w:r>
          </w:p>
        </w:tc>
        <w:tc>
          <w:tcPr>
            <w:tcW w:w="4238" w:type="dxa"/>
          </w:tcPr>
          <w:p>
            <w:r>
              <w:t>本项目不属于专门面向中小企业采购。</w:t>
            </w:r>
          </w:p>
        </w:tc>
      </w:tr>
    </w:tbl>
    <w:p/>
    <w:p>
      <w:r>
        <w:t>采购包2（城市主战消防车）：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在中华人民共和国境内注册的法人或其他组织或自然人，投标（响应）时提交有效的营业执照（或事业法人登记证或身份证等相关证明）复印件。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提供投标截止日前6个月内任意1个月依法缴纳税收和社会保障资金的相关材料（或提供资格条件承诺函）。如依法免税或不需要缴纳社会保障资金的，提供相应证明材料。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供应商必须具有良好的商业信誉和健全的财务会计制度（提供2022年度财务状况报告或基本开户行出具的资信证明）（或提供资格条件承诺函）。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按投标（响应）文件格式填报设备及专业技术能力情况（或提供资格条件承诺函）。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参照投标（报价）函相关承诺格式内容（或提供资格条件承诺函）。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落实政府采购政策需满足的资格要求</w:t>
            </w:r>
          </w:p>
        </w:tc>
        <w:tc>
          <w:tcPr>
            <w:tcW w:w="4238" w:type="dxa"/>
          </w:tcPr>
          <w:p>
            <w:r>
              <w:t>本项目不属于专门面向中小企业采购。</w:t>
            </w:r>
          </w:p>
        </w:tc>
      </w:tr>
    </w:tbl>
    <w:p/>
    <w:p>
      <w:pPr>
        <w:ind w:firstLine="480"/>
      </w:pPr>
      <w:r>
        <w:t>表二符合性审查表：</w:t>
      </w:r>
    </w:p>
    <w:p>
      <w:pPr>
        <w:ind w:firstLine="480"/>
      </w:pPr>
    </w:p>
    <w:p/>
    <w:p>
      <w:r>
        <w:t>采购包1（举高喷射消防车）：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投标文件的编制、签署及盖章</w:t>
            </w:r>
          </w:p>
        </w:tc>
        <w:tc>
          <w:tcPr>
            <w:tcW w:w="4238" w:type="dxa"/>
          </w:tcPr>
          <w:p>
            <w:r>
              <w:t>投标文件的编制、签署及盖章符合招标文件的要求。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投标报价</w:t>
            </w:r>
          </w:p>
        </w:tc>
        <w:tc>
          <w:tcPr>
            <w:tcW w:w="4238" w:type="dxa"/>
          </w:tcPr>
          <w:p>
            <w:r>
              <w:t>投标报价符合招标文件报价要求为固定唯一价且不超过招标文件规定的预算金额。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附加条件</w:t>
            </w:r>
          </w:p>
        </w:tc>
        <w:tc>
          <w:tcPr>
            <w:tcW w:w="4238" w:type="dxa"/>
          </w:tcPr>
          <w:p>
            <w:r>
              <w:t>投标文件没有采购人不能接受的附加条件。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投标有效期</w:t>
            </w:r>
          </w:p>
        </w:tc>
        <w:tc>
          <w:tcPr>
            <w:tcW w:w="4238" w:type="dxa"/>
          </w:tcPr>
          <w:p>
            <w:r>
              <w:t>投标有效期满足招标文件要求。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实质性条款</w:t>
            </w:r>
          </w:p>
        </w:tc>
        <w:tc>
          <w:tcPr>
            <w:tcW w:w="4238" w:type="dxa"/>
          </w:tcPr>
          <w:p>
            <w:r>
              <w:t>投标文件完全满足招标文件的实质性条款（即标注★号条款）且无负偏离。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其他无效情形</w:t>
            </w:r>
          </w:p>
        </w:tc>
        <w:tc>
          <w:tcPr>
            <w:tcW w:w="4238" w:type="dxa"/>
          </w:tcPr>
          <w:p>
            <w:r>
              <w:t>投标文件不存在法律、法规和招标文件规定的其他无效情形。</w:t>
            </w:r>
          </w:p>
        </w:tc>
      </w:tr>
    </w:tbl>
    <w:p/>
    <w:p>
      <w:r>
        <w:t>采购包2（城市主战消防车）：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CellMar>
            <w:top w:w="0" w:type="dxa"/>
            <w:left w:w="108" w:type="dxa"/>
            <w:bottom w:w="0" w:type="dxa"/>
            <w:right w:w="108" w:type="dxa"/>
          </w:tblCellMar>
        </w:tblPrEx>
        <w:tc>
          <w:tcPr>
            <w:tcW w:w="890" w:type="dxa"/>
          </w:tcPr>
          <w:p>
            <w:r>
              <w:t>1</w:t>
            </w:r>
          </w:p>
        </w:tc>
        <w:tc>
          <w:tcPr>
            <w:tcW w:w="3178" w:type="dxa"/>
          </w:tcPr>
          <w:p>
            <w:r>
              <w:t>投标文件的编制、签署及盖章</w:t>
            </w:r>
          </w:p>
        </w:tc>
        <w:tc>
          <w:tcPr>
            <w:tcW w:w="4238" w:type="dxa"/>
          </w:tcPr>
          <w:p>
            <w:r>
              <w:t>投标文件的编制、签署及盖章符合招标文件的要求。</w:t>
            </w:r>
          </w:p>
        </w:tc>
      </w:tr>
      <w:tr>
        <w:tblPrEx>
          <w:tblCellMar>
            <w:top w:w="0" w:type="dxa"/>
            <w:left w:w="108" w:type="dxa"/>
            <w:bottom w:w="0" w:type="dxa"/>
            <w:right w:w="108" w:type="dxa"/>
          </w:tblCellMar>
        </w:tblPrEx>
        <w:tc>
          <w:tcPr>
            <w:tcW w:w="890" w:type="dxa"/>
          </w:tcPr>
          <w:p>
            <w:r>
              <w:t>2</w:t>
            </w:r>
          </w:p>
        </w:tc>
        <w:tc>
          <w:tcPr>
            <w:tcW w:w="3178" w:type="dxa"/>
          </w:tcPr>
          <w:p>
            <w:r>
              <w:t>投标报价</w:t>
            </w:r>
          </w:p>
        </w:tc>
        <w:tc>
          <w:tcPr>
            <w:tcW w:w="4238" w:type="dxa"/>
          </w:tcPr>
          <w:p>
            <w:r>
              <w:t>投标报价符合招标文件报价要求为固定唯一价且不超过招标文件规定的预算金额。</w:t>
            </w:r>
          </w:p>
        </w:tc>
      </w:tr>
      <w:tr>
        <w:tblPrEx>
          <w:tblCellMar>
            <w:top w:w="0" w:type="dxa"/>
            <w:left w:w="108" w:type="dxa"/>
            <w:bottom w:w="0" w:type="dxa"/>
            <w:right w:w="108" w:type="dxa"/>
          </w:tblCellMar>
        </w:tblPrEx>
        <w:tc>
          <w:tcPr>
            <w:tcW w:w="890" w:type="dxa"/>
          </w:tcPr>
          <w:p>
            <w:r>
              <w:t>3</w:t>
            </w:r>
          </w:p>
        </w:tc>
        <w:tc>
          <w:tcPr>
            <w:tcW w:w="3178" w:type="dxa"/>
          </w:tcPr>
          <w:p>
            <w:r>
              <w:t>附加条件</w:t>
            </w:r>
          </w:p>
        </w:tc>
        <w:tc>
          <w:tcPr>
            <w:tcW w:w="4238" w:type="dxa"/>
          </w:tcPr>
          <w:p>
            <w:r>
              <w:t>投标文件没有采购人不能接受的附加条件。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投标有效期</w:t>
            </w:r>
          </w:p>
        </w:tc>
        <w:tc>
          <w:tcPr>
            <w:tcW w:w="4238" w:type="dxa"/>
          </w:tcPr>
          <w:p>
            <w:r>
              <w:t>投标有效期满足招标文件要求。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实质性条款</w:t>
            </w:r>
          </w:p>
        </w:tc>
        <w:tc>
          <w:tcPr>
            <w:tcW w:w="4238" w:type="dxa"/>
          </w:tcPr>
          <w:p>
            <w:r>
              <w:t>投标文件完全满足招标文件的实质性条款（即标注★号条款）且无负偏离。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其他无效情形</w:t>
            </w:r>
          </w:p>
        </w:tc>
        <w:tc>
          <w:tcPr>
            <w:tcW w:w="4238" w:type="dxa"/>
          </w:tcPr>
          <w:p>
            <w:r>
              <w:t>投标文件不存在法律、法规和招标文件规定的其他无效情形。</w:t>
            </w:r>
          </w:p>
        </w:tc>
      </w:tr>
    </w:tbl>
    <w:p/>
    <w:p>
      <w:r>
        <w:rPr>
          <w:b/>
          <w:sz w:val="24"/>
        </w:rPr>
        <w:t>2.投标文件澄清</w:t>
      </w:r>
    </w:p>
    <w:p>
      <w:pPr>
        <w:ind w:firstLine="480"/>
      </w:pPr>
      <w: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pPr>
        <w:ind w:firstLine="480"/>
      </w:pPr>
    </w:p>
    <w:p/>
    <w:p/>
    <w:p>
      <w:r>
        <w:t>采购包1(举高喷射消防车):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商务部分15.0分</w:t>
            </w:r>
          </w:p>
          <w:p>
            <w:r>
              <w:t>技术部分55.0分</w:t>
            </w:r>
          </w:p>
          <w:p>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技术参数响应情况 (12.0分)</w:t>
            </w:r>
          </w:p>
        </w:tc>
        <w:tc>
          <w:tcPr>
            <w:tcW w:w="5076" w:type="dxa"/>
          </w:tcPr>
          <w:p>
            <w:pPr>
              <w:jc w:val="left"/>
            </w:pPr>
            <w:r>
              <w:t>根据投标人对用户需求书中加注“▲”的技术参数的响应程度进行评分，全部正偏离或完全响应“▲”参数的，得12分；每有一项负偏离或不响应“▲”参数的，扣1分，扣完为止，本项最低得0分。 （注：用户需求中有明确要求提供证明材料的，以用户需求要求提供的材料为准，并加盖投标人公章）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项目实施方案 (15.0分)，（等次分值选择：0.0;2.0;5.0;10.0;15.0;）</w:t>
            </w:r>
          </w:p>
        </w:tc>
        <w:tc>
          <w:tcPr>
            <w:tcW w:w="5076" w:type="dxa"/>
          </w:tcPr>
          <w:p>
            <w:pPr>
              <w:jc w:val="left"/>
            </w:pPr>
            <w:r>
              <w:t>根据投标人针对本项目制定的项目实施方案(包括但不仅限于设备供货、运输、安装、调试、进度计划等内容)进行综合评审： （1）设备供货、运输、安装、调试方案有明确详细的计划和步骤，有根据用户需求编制系统科学、合理可行的进度计划安排，项目整体实施方案内容详细完整，并能根据项目需求提出合理可行的建议的得15分； （2）设备供货、运输、安装、调试方案有较明确的计划和步骤，有根据用户需求编制合理可行的进度计划安排，项目整体实施方案内容较详细完整的得10分； （3）设备供货、运输、安装、调试方案基本明确，进度计划安排基本合理，项目整体实施方案内容简单的得5分； （4）设备供货、运输、安装、调试方案简单，进度计划安排不合理，项目整体实施方案内容有缺漏的得2分；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质量保证措施 (8.0分)，（等次分值选择：0.0;1.0;3.0;5.0;8.0;）</w:t>
            </w:r>
          </w:p>
        </w:tc>
        <w:tc>
          <w:tcPr>
            <w:tcW w:w="5076" w:type="dxa"/>
          </w:tcPr>
          <w:p>
            <w:pPr>
              <w:jc w:val="left"/>
            </w:pPr>
            <w:r>
              <w:t>根据投标人针对本项目提供的质量保证措施管理方案（(包括但不仅限于质量控制、质量目标、保证措施、质量保障管理及制度等内容）进行综合评审： （1）项目管理方案架构健全、合理，各工作阶段及任务管理清晰、质量控制流程划分合理，质量目标清晰明确，质量控制措施合理可行，保证措施严谨规范，质量保障管理及制度科学合理具体，质量保证方案内容完善详细，并能根据项目特点及用户需求提出合理可行的建议的得8分； （2）项目管理方案架构较健全、合理，各工作阶段及任务管理清晰、质量控制流程划分基本合理，质量目标较清晰明确，质量控制措施合理可行，保证措施较严谨规范，质量保障管理及制度较具体，质量保证方案内容较详细，能根据项目特点及用户需求提出合理可行的建议的得5分； （3）项目管理方案架构基本合理，各工作阶段及任务管理基本清晰、质量控制流程划分基本合理，质量目标基本清晰明确，质量保障管理及制度基本具体，质量保证方案内容基本完整的得3分； （4）项目管理方案架构不合理，各工作阶段及任务管理不清晰、质量控制流程划欠缺，质量目标不清晰，质量保障管理及制度不具体，质量保证方案内容简单，得1分；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维护保养及培训方案 (10.0分)，（等次分值选择：0.0;1.0;3.0;6.0;10.0;）</w:t>
            </w:r>
          </w:p>
        </w:tc>
        <w:tc>
          <w:tcPr>
            <w:tcW w:w="5076" w:type="dxa"/>
          </w:tcPr>
          <w:p>
            <w:pPr>
              <w:jc w:val="left"/>
            </w:pPr>
            <w:r>
              <w:t>根据投标人针对本项目提供的维护保养及派出专业技术人员对采购人的技术人员现场培训方案（包括但不仅限于培训目标、培训方式、培训内容、培训流程等内容)进行综合评审：  （1）维护保养方案详细具体，维护保养方式方法合理可行，培训目标明确，培训方式科学合理，培训计划安排合理得当，培训内容及流程详细科学，并能根据项目需求提出合理可行的建议的得10分； （2）维护保养方案较详细具体，维护保养方式方法较合理，培训目标较明确，培训方式较科学合理，培训内容及流程较详细，培训安排合理可行的得6分； （3）维护保养方案基本完整，维护保养方式方法可行性一般，培训目标基本明确，培训方式较基本合理，培训内容及流程基本具备，培训计划安排基本合理得3分； （4）维护保养方案不完整，维护保养方式方法可行性差，培训方案及培训计划安排不合理得1分；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售后服务方案 (10.0分)，（等次分值选择：0.0;1.0;3.0;6.0;10.0;）</w:t>
            </w:r>
          </w:p>
        </w:tc>
        <w:tc>
          <w:tcPr>
            <w:tcW w:w="5076" w:type="dxa"/>
          </w:tcPr>
          <w:p>
            <w:pPr>
              <w:jc w:val="left"/>
            </w:pPr>
            <w:r>
              <w:t>根据投标人针对本项目提供的售后服务方案（包括但不仅限于对设备质保期作出的保证承诺、售后服务计划、售后服务人员配置、售后保障措施、应急预案等内容)进行综合评审：  （1）对设备质保期作出的保证承诺优于用户需求，售后服务计划清晰明确、详细具体，售后服务人员组织架构完善、专业技术力量投入充足、技术人员组织安排及跟进处理流程详细具体合理，针对设备故障维修有详细的应对措施及相应的解决方案，应急预案考虑深入严谨、应急措施科学合理可行，并能根据项目性质或用户需求提出合理可行的建议的得10分； （2）对设备质保期作出的保证承诺满足用户需求，售后服务计划明确具体，售后服务人员组织架构完善、专业技术力量投入充足、技术人员组织安排及跟进处务计划明确具体，售后服务人员组织架构完善、专业技术力量投入充足、技术人员组织安排及跟进处理流程合理，针对设备故障维修有相应的应对措施及解决方案，应急预案考虑深入、应急措施科学合理可行的得6分； （3）对设备质保期作出的保证承诺满足用户需求，售后服务计划明确，售后服务人员组织架构基本完善、技术人员组织安排及跟进处理流程基本合理，对设备故障维修的应对措施及解决方案基本可行、应急措施基本合理的，得3分； （4）售后服务计划不明确，售后服务人员组织架构不完善、技术人员组织安排及跟进处理流程不合理，对设备故障维修的应对措施及解决方案可行性差，应急措施可行性差，得1分；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业绩情况 (9.0分)</w:t>
            </w:r>
          </w:p>
        </w:tc>
        <w:tc>
          <w:tcPr>
            <w:tcW w:w="5076" w:type="dxa"/>
          </w:tcPr>
          <w:p>
            <w:pPr>
              <w:jc w:val="left"/>
            </w:pPr>
            <w:r>
              <w:t>投标人自2020年1月1日至今（以合同签订时间为准）具有消防车辆销售同类项目业绩的，每提供一个符合要求的业绩得3分，最高得9分。 （须提供合同复印件并加盖投标人公章）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企业认证 (3.0分)</w:t>
            </w:r>
          </w:p>
        </w:tc>
        <w:tc>
          <w:tcPr>
            <w:tcW w:w="5076" w:type="dxa"/>
          </w:tcPr>
          <w:p>
            <w:pPr>
              <w:jc w:val="left"/>
            </w:pPr>
            <w:r>
              <w:t>投标人具有由国家认证认可监督管理部门批准设立的认证机构颁发并在有效期内的以下证书：1、质量管理体系认证证书；2、环境管理体系认证证书；3、职业健康安全管理体系认证证书；每具有一个证书得1分，最高得3分。 （须提供证书复印件及全国认证认可信息公共服务平台查询截图加盖投标人公章）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服务便利性 (3.0分)</w:t>
            </w:r>
          </w:p>
        </w:tc>
        <w:tc>
          <w:tcPr>
            <w:tcW w:w="5076" w:type="dxa"/>
          </w:tcPr>
          <w:p>
            <w:pPr>
              <w:jc w:val="left"/>
            </w:pPr>
            <w:r>
              <w:t>根据投标人在接到故障处理通知后到达采购人现场时间响应情况进行评审： （1）投标人承诺在接到故障处理通知后2小时内到达现场，得3分； （2）投标人承诺在接到故障处理通知后2小时（不含2小时）至4小时内到达现场，得2分； （3）投标人承诺在接到故障处理通知后4小时（不含4小时）以上到达现场，得1分。 （须提供服务响应承诺函并加盖投标人公章）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(30.0分)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t>采购包2(城市主战消防车):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商务部分15.0分</w:t>
            </w:r>
          </w:p>
          <w:p>
            <w:r>
              <w:t>技术部分55.0分</w:t>
            </w:r>
          </w:p>
          <w:p>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技术参数响应情况 (12.0分)</w:t>
            </w:r>
          </w:p>
        </w:tc>
        <w:tc>
          <w:tcPr>
            <w:tcW w:w="5076" w:type="dxa"/>
          </w:tcPr>
          <w:p>
            <w:pPr>
              <w:jc w:val="left"/>
            </w:pPr>
            <w:r>
              <w:t>根据投标人对用户需求书中加注“▲”的技术参数的响应程度进行评分，全部正偏离或完全响应“▲”参数的，得12分；每有一项负偏离或不响应“▲”参数的，扣1分，扣完为止，本项最低得0分。 （注：用户需求中有明确要求提供证明材料的，以用户需求要求提供的材料为准，并加盖投标人公章）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项目实施方案 (15.0分)，（等次分值选择：0.0;2.0;5.0;10.0;15.0;）</w:t>
            </w:r>
          </w:p>
        </w:tc>
        <w:tc>
          <w:tcPr>
            <w:tcW w:w="5076" w:type="dxa"/>
          </w:tcPr>
          <w:p>
            <w:pPr>
              <w:jc w:val="left"/>
            </w:pPr>
            <w:r>
              <w:t>根据投标人针对本项目制定的项目实施方案(包括但不仅限于设备供货、运输、安装、调试、进度计划等内容)进行综合评审： （1）设备供货、运输、安装、调试方案有明确详细的计划和步骤，有根据用户需求编制系统科学、合理可行的进度计划安排，项目整体实施方案内容详细完整，并能根据项目需求提出合理可行的建议的得15分； （2）设备供货、运输、安装、调试方案有较明确的计划和步骤，有根据用户需求编制合理可行的进度计划安排，项目整体实施方案内容较详细完整的得10分； （3）设备供货、运输、安装、调试方案基本明确，进度计划安排基本合理，项目整体实施方案内容简单的得5分； （4）设备供货、运输、安装、调试方案简单，进度计划安排不合理，项目整体实施方案内容有缺漏的得2分；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质量保证措施 (8.0分)，（等次分值选择：0.0;1.0;3.0;5.0;8.0;）</w:t>
            </w:r>
          </w:p>
        </w:tc>
        <w:tc>
          <w:tcPr>
            <w:tcW w:w="5076" w:type="dxa"/>
          </w:tcPr>
          <w:p>
            <w:pPr>
              <w:jc w:val="left"/>
            </w:pPr>
            <w:r>
              <w:t>根据投标人针对本项目提供的质量保证措施管理方案（(包括但不仅限于质量控制、质量目标、保证措施、质量保障管理及制度等内容）进行综合评审： （1）项目管理方案架构健全、合理，各工作阶段及任务管理清晰、质量控制流程划分合理，质量目标清晰明确，质量控制措施合理可行，保证措施严谨规范，质量保障管理及制度科学合理具体，质量保证方案内容完善详细，并能根据项目特点及用户需求提出合理可行的建议的得8分； （2）项目管理方案架构较健全、合理，各工作阶段及任务管理清晰、质量控制流程划分基本合理，质量目标较清晰明确，质量控制措施合理可行，保证措施较严谨规范，质量保障管理及制度较具体，质量保证方案内容较详细，能根据项目特点及用户需求提出合理可行的建议的得5分； （3）项目管理方案架构基本合理，各工作阶段及任务管理基本清晰、质量控制流程划分基本合理，质量目标基本清晰明确，质量保障管理及制度基本具体，质量保证方案内容基本完整的得3分； （4）项目管理方案架构不合理，各工作阶段及任务管理不清晰、质量控制流程划欠缺，质量目标不清晰，质量保障管理及制度不具体，质量保证方案内容简单，得1分；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维护保养及培训方案 (10.0分)，（等次分值选择：0.0;1.0;3.0;6.0;10.0;）</w:t>
            </w:r>
          </w:p>
        </w:tc>
        <w:tc>
          <w:tcPr>
            <w:tcW w:w="5076" w:type="dxa"/>
          </w:tcPr>
          <w:p>
            <w:pPr>
              <w:jc w:val="left"/>
            </w:pPr>
            <w:r>
              <w:t>根据投标人针对本项目提供的维护保养及派出专业技术人员对采购人的技术人员现场培训方案（包括但不仅限于培训目标、培训方式、培训内容、培训流程等内容)进行综合评审：  （1）维护保养方案详细具体，维护保养方式方法合理可行，培训目标明确，培训方式科学合理，培训计划安排合理得当，培训内容及流程详细科学，并能根据项目需求提出合理可行的建议的得10分； （2）维护保养方案较详细具体，维护保养方式方法较合理，培训目标较明确，培训方式较科学合理，培训内容及流程较详细，培训安排合理可行的得6分； （3）维护保养方案基本完整，维护保养方式方法可行性一般，培训目标基本明确，培训方式较基本合理，培训内容及流程基本具备，培训计划安排基本合理得3分； （4）维护保养方案不完整，维护保养方式方法可行性差，培训方案及培训计划安排不合理得1分；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售后服务方案 (10.0分)，（等次分值选择：0.0;1.0;3.0;6.0;10.0;）</w:t>
            </w:r>
          </w:p>
        </w:tc>
        <w:tc>
          <w:tcPr>
            <w:tcW w:w="5076" w:type="dxa"/>
          </w:tcPr>
          <w:p>
            <w:pPr>
              <w:jc w:val="left"/>
            </w:pPr>
            <w:r>
              <w:t>根据投标人针对本项目提供的售后服务方案（包括但不仅限于对设备质保期作出的保证承诺、售后服务计划、售后服务人员配置、售后保障措施、应急预案等内容)进行综合评审：  （1）对设备质保期作出的保证承诺优于用户需求，售后服务计划清晰明确、详细具体，售后服务人员组织架构完善、专业技术力量投入充足、技术人员组织安排及跟进处理流程详细具体合理，针对设备故障维修有详细的应对措施及相应的解决方案，应急预案考虑深入严谨、应急措施科学合理可行，并能根据项目性质或用户需求提出合理可行的建议的得10分； （2）对设备质保期作出的保证承诺满足用户需求，售后服务计划明确具体，售后服务人员组织架构完善、专业技术力量投入充足、技术人员组织安排及跟进处务计划明确具体，售后服务人员组织架构完善、专业技术力量投入充足、技术人员组织安排及跟进处理流程合理，针对设备故障维修有相应的应对措施及解决方案，应急预案考虑深入、应急措施科学合理可行的得6分； （3）对设备质保期作出的保证承诺满足用户需求，售后服务计划明确，售后服务人员组织架构基本完善、技术人员组织安排及跟进处理流程基本合理，对设备故障维修的应对措施及解决方案基本可行、应急措施基本合理的，得3分； （4）售后服务计划不明确，售后服务人员组织架构不完善、技术人员组织安排及跟进处理流程不合理，对设备故障维修的应对措施及解决方案可行性差，应急措施可行性差，得1分； （5）未提供对应方案的得0分。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业绩情况 (9.0分)</w:t>
            </w:r>
          </w:p>
        </w:tc>
        <w:tc>
          <w:tcPr>
            <w:tcW w:w="5076" w:type="dxa"/>
          </w:tcPr>
          <w:p>
            <w:pPr>
              <w:jc w:val="left"/>
            </w:pPr>
            <w:r>
              <w:t>投标人自2020年1月1日至今（以合同签订时间为准）具有消防车辆销售同类项目业绩的，每提供一个符合要求的业绩得3分，最高得9分。 （须提供合同复印件并加盖投标人公章）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企业认证 (3.0分)</w:t>
            </w:r>
          </w:p>
        </w:tc>
        <w:tc>
          <w:tcPr>
            <w:tcW w:w="5076" w:type="dxa"/>
          </w:tcPr>
          <w:p>
            <w:pPr>
              <w:jc w:val="left"/>
            </w:pPr>
            <w:r>
              <w:t>投标人具有由国家认证认可监督管理部门批准设立的认证机构颁发并在有效期内的以下证书：1、质量管理体系认证证书；2、环境管理体系认证证书；3、职业健康安全管理体系认证证书；每具有一个证书得1分，最高得3分。 （须提供证书复印件及全国认证认可信息公共服务平台查询截图加盖投标人公章）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服务便利性 (3.0分)</w:t>
            </w:r>
          </w:p>
        </w:tc>
        <w:tc>
          <w:tcPr>
            <w:tcW w:w="5076" w:type="dxa"/>
          </w:tcPr>
          <w:p>
            <w:pPr>
              <w:jc w:val="left"/>
            </w:pPr>
            <w:r>
              <w:t>根据投标人在接到故障处理通知后到达采购人现场时间响应情况进行评审： （1）投标人承诺在接到故障处理通知后2小时内到达现场，得3分； （2）投标人承诺在接到故障处理通知后2小时（不含2小时）至4小时内到达现场，得2分； （3）投标人承诺在接到故障处理通知后4小时（不含4小时）以上到达现场，得1分。 （须提供服务响应承诺函并加盖投标人公章）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(30.0分)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t>采购包2：</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pPr>
      <w:r>
        <w:rPr>
          <w:b/>
          <w:sz w:val="36"/>
        </w:rPr>
        <w:t>第五章 合同文本</w:t>
      </w:r>
    </w:p>
    <w:p>
      <w:pPr>
        <w:ind w:firstLine="480"/>
      </w:pPr>
    </w:p>
    <w:p/>
    <w:p/>
    <w:p/>
    <w:p>
      <w:pPr>
        <w:jc w:val="center"/>
      </w:pPr>
      <w:r>
        <w:rPr>
          <w:b/>
          <w:sz w:val="48"/>
        </w:rPr>
        <w:t xml:space="preserve"> </w:t>
      </w:r>
    </w:p>
    <w:p>
      <w:pPr>
        <w:jc w:val="center"/>
      </w:pPr>
      <w:r>
        <w:rPr>
          <w:b/>
          <w:sz w:val="48"/>
        </w:rPr>
        <w:t xml:space="preserve"> </w:t>
      </w:r>
    </w:p>
    <w:p>
      <w:pPr>
        <w:jc w:val="center"/>
      </w:pPr>
      <w:r>
        <w:rPr>
          <w:b/>
          <w:sz w:val="48"/>
        </w:rPr>
        <w:t xml:space="preserve"> </w:t>
      </w:r>
    </w:p>
    <w:p>
      <w:pPr>
        <w:jc w:val="center"/>
      </w:pPr>
      <w:r>
        <w:rPr>
          <w:b/>
          <w:sz w:val="48"/>
        </w:rPr>
        <w:t>广东省政府采购</w:t>
      </w:r>
    </w:p>
    <w:p>
      <w:pPr>
        <w:jc w:val="both"/>
      </w:pPr>
      <w:r>
        <w:rPr>
          <w:b/>
          <w:sz w:val="48"/>
        </w:rPr>
        <w:t xml:space="preserve"> </w:t>
      </w:r>
    </w:p>
    <w:p>
      <w:pPr>
        <w:jc w:val="center"/>
      </w:pPr>
      <w:r>
        <w:rPr>
          <w:b/>
          <w:sz w:val="48"/>
        </w:rPr>
        <w:t>合　同　书</w:t>
      </w:r>
    </w:p>
    <w:p>
      <w:pPr>
        <w:jc w:val="center"/>
      </w:pPr>
      <w:r>
        <w:br w:type="textWrapping"/>
      </w:r>
      <w:r>
        <w:br w:type="textWrapping"/>
      </w:r>
      <w:r>
        <w:br w:type="textWrapping"/>
      </w:r>
      <w:r>
        <w:br w:type="textWrapping"/>
      </w:r>
      <w:r>
        <w:br w:type="textWrapping"/>
      </w:r>
      <w:r>
        <w:rPr>
          <w:color w:val="222222"/>
          <w:sz w:val="27"/>
        </w:rPr>
        <w:t xml:space="preserve"> </w:t>
      </w:r>
    </w:p>
    <w:p>
      <w:pPr>
        <w:jc w:val="center"/>
      </w:pPr>
      <w:r>
        <w:rPr>
          <w:color w:val="222222"/>
          <w:sz w:val="28"/>
        </w:rPr>
        <w:t>采购计划编号：</w:t>
      </w:r>
      <w:r>
        <w:rPr>
          <w:u w:val="single"/>
        </w:rPr>
        <w:t xml:space="preserve">                          </w:t>
      </w:r>
    </w:p>
    <w:p>
      <w:pPr>
        <w:jc w:val="both"/>
      </w:pPr>
      <w:r>
        <w:rPr>
          <w:color w:val="222222"/>
          <w:sz w:val="27"/>
        </w:rPr>
        <w:t xml:space="preserve"> </w:t>
      </w:r>
    </w:p>
    <w:p>
      <w:pPr>
        <w:jc w:val="center"/>
      </w:pPr>
      <w:r>
        <w:rPr>
          <w:color w:val="222222"/>
          <w:sz w:val="28"/>
        </w:rPr>
        <w:t>项目编号：</w:t>
      </w:r>
      <w:r>
        <w:rPr>
          <w:u w:val="single"/>
        </w:rPr>
        <w:t xml:space="preserve">                               </w:t>
      </w:r>
    </w:p>
    <w:p>
      <w:pPr>
        <w:jc w:val="both"/>
      </w:pPr>
      <w:r>
        <w:rPr>
          <w:color w:val="222222"/>
          <w:sz w:val="27"/>
        </w:rPr>
        <w:t xml:space="preserve"> </w:t>
      </w:r>
    </w:p>
    <w:p>
      <w:pPr>
        <w:jc w:val="center"/>
      </w:pPr>
      <w:r>
        <w:rPr>
          <w:color w:val="222222"/>
          <w:sz w:val="28"/>
        </w:rPr>
        <w:t>项目名称：</w:t>
      </w:r>
      <w:r>
        <w:rPr>
          <w:u w:val="single"/>
        </w:rPr>
        <w:t xml:space="preserve">                             </w:t>
      </w:r>
    </w:p>
    <w:p>
      <w:pPr>
        <w:jc w:val="center"/>
      </w:pPr>
      <w:r>
        <w:rPr>
          <w:sz w:val="36"/>
        </w:rPr>
        <w:t xml:space="preserve"> </w:t>
      </w:r>
    </w:p>
    <w:p>
      <w:pPr>
        <w:jc w:val="center"/>
      </w:pPr>
      <w:r>
        <w:rPr>
          <w:sz w:val="36"/>
        </w:rPr>
        <w:t xml:space="preserve"> </w:t>
      </w:r>
    </w:p>
    <w:p>
      <w:pPr>
        <w:jc w:val="center"/>
      </w:pPr>
      <w:r>
        <w:rPr>
          <w:sz w:val="36"/>
        </w:rPr>
        <w:t xml:space="preserve"> </w:t>
      </w:r>
    </w:p>
    <w:p>
      <w:pPr>
        <w:jc w:val="center"/>
      </w:pPr>
      <w:r>
        <w:rPr>
          <w:sz w:val="36"/>
        </w:rPr>
        <w:t xml:space="preserve"> </w:t>
      </w:r>
    </w:p>
    <w:p>
      <w:pPr>
        <w:jc w:val="both"/>
      </w:pPr>
      <w:r>
        <w:rPr>
          <w:b/>
          <w:sz w:val="27"/>
        </w:rPr>
        <w:t>甲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b/>
          <w:sz w:val="27"/>
        </w:rPr>
        <w:t>乙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sz w:val="27"/>
        </w:rPr>
        <w:t xml:space="preserve"> </w:t>
      </w:r>
    </w:p>
    <w:p>
      <w:pPr>
        <w:ind w:firstLine="404"/>
        <w:jc w:val="both"/>
      </w:pPr>
      <w:r>
        <w:rPr>
          <w:sz w:val="27"/>
        </w:rPr>
        <w:t>根据</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pPr>
        <w:jc w:val="both"/>
      </w:pPr>
      <w:r>
        <w:rPr>
          <w:b/>
          <w:sz w:val="27"/>
        </w:rPr>
        <w:t>一、货物内容</w:t>
      </w:r>
    </w:p>
    <w:p>
      <w:pPr>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516"/>
        <w:gridCol w:w="696"/>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jc w:val="both"/>
            </w:pPr>
            <w:r>
              <w:rPr>
                <w:sz w:val="24"/>
              </w:rPr>
              <w:t>名称</w:t>
            </w:r>
          </w:p>
        </w:tc>
        <w:tc>
          <w:tcPr>
            <w:tcW w:w="3516" w:type="dxa"/>
            <w:tcBorders>
              <w:top w:val="single" w:color="CCCCCC" w:sz="4" w:space="0"/>
              <w:bottom w:val="single" w:color="CCCCCC" w:sz="8" w:space="0"/>
              <w:right w:val="single" w:color="CCCCCC" w:sz="4" w:space="0"/>
            </w:tcBorders>
            <w:vAlign w:val="center"/>
          </w:tcPr>
          <w:p>
            <w:pPr>
              <w:jc w:val="center"/>
            </w:pPr>
            <w:r>
              <w:rPr>
                <w:sz w:val="24"/>
              </w:rPr>
              <w:t xml:space="preserve">品牌、规格、标准/主要服务内容 </w:t>
            </w:r>
          </w:p>
        </w:tc>
        <w:tc>
          <w:tcPr>
            <w:tcW w:w="696" w:type="dxa"/>
            <w:tcBorders>
              <w:top w:val="single" w:color="CCCCCC" w:sz="4" w:space="0"/>
              <w:bottom w:val="single" w:color="CCCCCC" w:sz="8" w:space="0"/>
              <w:right w:val="single" w:color="CCCCCC" w:sz="4" w:space="0"/>
            </w:tcBorders>
            <w:vAlign w:val="center"/>
          </w:tcPr>
          <w:p>
            <w:pPr>
              <w:jc w:val="both"/>
            </w:pPr>
            <w:r>
              <w:rPr>
                <w:sz w:val="24"/>
              </w:rPr>
              <w:t>产地</w:t>
            </w:r>
          </w:p>
        </w:tc>
        <w:tc>
          <w:tcPr>
            <w:tcW w:w="470" w:type="dxa"/>
            <w:tcBorders>
              <w:top w:val="single" w:color="CCCCCC" w:sz="4" w:space="0"/>
              <w:bottom w:val="single" w:color="CCCCCC" w:sz="8" w:space="0"/>
              <w:right w:val="single" w:color="CCCCCC" w:sz="4" w:space="0"/>
            </w:tcBorders>
            <w:vAlign w:val="center"/>
          </w:tcPr>
          <w:p>
            <w:pPr>
              <w:jc w:val="center"/>
            </w:pPr>
            <w:r>
              <w:rPr>
                <w:sz w:val="24"/>
              </w:rPr>
              <w:t>数量</w:t>
            </w:r>
          </w:p>
        </w:tc>
        <w:tc>
          <w:tcPr>
            <w:tcW w:w="470" w:type="dxa"/>
            <w:tcBorders>
              <w:top w:val="single" w:color="CCCCCC" w:sz="4" w:space="0"/>
              <w:bottom w:val="single" w:color="CCCCCC" w:sz="8" w:space="0"/>
              <w:right w:val="single" w:color="CCCCCC" w:sz="4" w:space="0"/>
            </w:tcBorders>
            <w:vAlign w:val="center"/>
          </w:tcPr>
          <w:p>
            <w:pPr>
              <w:jc w:val="center"/>
            </w:pPr>
            <w:r>
              <w:rPr>
                <w:sz w:val="24"/>
              </w:rPr>
              <w:t>单位</w:t>
            </w:r>
          </w:p>
        </w:tc>
        <w:tc>
          <w:tcPr>
            <w:tcW w:w="705" w:type="dxa"/>
            <w:tcBorders>
              <w:top w:val="single" w:color="CCCCCC" w:sz="4" w:space="0"/>
              <w:bottom w:val="single" w:color="CCCCCC" w:sz="8" w:space="0"/>
              <w:right w:val="single" w:color="CCCCCC" w:sz="4" w:space="0"/>
            </w:tcBorders>
            <w:vAlign w:val="center"/>
          </w:tcPr>
          <w:p>
            <w:pPr>
              <w:jc w:val="center"/>
            </w:pPr>
            <w:r>
              <w:rPr>
                <w:sz w:val="24"/>
              </w:rPr>
              <w:t>单价</w:t>
            </w:r>
          </w:p>
          <w:p>
            <w:pPr>
              <w:jc w:val="center"/>
            </w:pPr>
            <w:r>
              <w:rPr>
                <w:sz w:val="24"/>
              </w:rPr>
              <w:t>（元）</w:t>
            </w:r>
          </w:p>
        </w:tc>
        <w:tc>
          <w:tcPr>
            <w:tcW w:w="705" w:type="dxa"/>
            <w:tcBorders>
              <w:top w:val="single" w:color="CCCCCC" w:sz="4" w:space="0"/>
              <w:bottom w:val="single" w:color="CCCCCC" w:sz="8" w:space="0"/>
              <w:right w:val="single" w:color="CCCCCC" w:sz="4" w:space="0"/>
            </w:tcBorders>
            <w:vAlign w:val="center"/>
          </w:tcPr>
          <w:p>
            <w:pPr>
              <w:jc w:val="center"/>
            </w:pPr>
            <w:r>
              <w:rPr>
                <w:sz w:val="24"/>
              </w:rPr>
              <w:t>金额</w:t>
            </w:r>
          </w:p>
          <w:p>
            <w:pPr>
              <w:jc w:val="center"/>
            </w:pPr>
            <w:r>
              <w:rPr>
                <w:sz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516" w:type="dxa"/>
            <w:tcBorders>
              <w:bottom w:val="single" w:color="CCCCCC" w:sz="4" w:space="0"/>
              <w:right w:val="single" w:color="CCCCCC" w:sz="4" w:space="0"/>
            </w:tcBorders>
            <w:vAlign w:val="center"/>
          </w:tcPr>
          <w:p>
            <w:pPr>
              <w:jc w:val="center"/>
            </w:pPr>
            <w:r>
              <w:rPr>
                <w:sz w:val="24"/>
              </w:rPr>
              <w:t xml:space="preserve">** </w:t>
            </w:r>
          </w:p>
        </w:tc>
        <w:tc>
          <w:tcPr>
            <w:tcW w:w="696"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516" w:type="dxa"/>
            <w:tcBorders>
              <w:bottom w:val="single" w:color="CCCCCC" w:sz="4" w:space="0"/>
              <w:right w:val="single" w:color="CCCCCC" w:sz="4" w:space="0"/>
            </w:tcBorders>
            <w:vAlign w:val="center"/>
          </w:tcPr>
          <w:p>
            <w:pPr>
              <w:jc w:val="center"/>
            </w:pPr>
            <w:r>
              <w:rPr>
                <w:sz w:val="24"/>
              </w:rPr>
              <w:t xml:space="preserve"> </w:t>
            </w:r>
          </w:p>
        </w:tc>
        <w:tc>
          <w:tcPr>
            <w:tcW w:w="696"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516" w:type="dxa"/>
            <w:tcBorders>
              <w:bottom w:val="single" w:color="CCCCCC" w:sz="4" w:space="0"/>
              <w:right w:val="single" w:color="CCCCCC" w:sz="4" w:space="0"/>
            </w:tcBorders>
            <w:vAlign w:val="center"/>
          </w:tcPr>
          <w:p>
            <w:pPr>
              <w:jc w:val="center"/>
            </w:pPr>
            <w:r>
              <w:rPr>
                <w:sz w:val="24"/>
              </w:rPr>
              <w:t xml:space="preserve"> </w:t>
            </w:r>
          </w:p>
        </w:tc>
        <w:tc>
          <w:tcPr>
            <w:tcW w:w="696"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516" w:type="dxa"/>
            <w:tcBorders>
              <w:bottom w:val="single" w:color="CCCCCC" w:sz="4" w:space="0"/>
              <w:right w:val="single" w:color="CCCCCC" w:sz="4" w:space="0"/>
            </w:tcBorders>
            <w:vAlign w:val="center"/>
          </w:tcPr>
          <w:p>
            <w:pPr>
              <w:jc w:val="center"/>
            </w:pPr>
            <w:r>
              <w:rPr>
                <w:sz w:val="24"/>
              </w:rPr>
              <w:t xml:space="preserve"> </w:t>
            </w:r>
          </w:p>
        </w:tc>
        <w:tc>
          <w:tcPr>
            <w:tcW w:w="696"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516" w:type="dxa"/>
            <w:tcBorders>
              <w:bottom w:val="single" w:color="CCCCCC" w:sz="4" w:space="0"/>
              <w:right w:val="single" w:color="CCCCCC" w:sz="4" w:space="0"/>
            </w:tcBorders>
            <w:vAlign w:val="center"/>
          </w:tcPr>
          <w:p>
            <w:pPr>
              <w:jc w:val="center"/>
            </w:pPr>
            <w:r>
              <w:rPr>
                <w:sz w:val="24"/>
              </w:rPr>
              <w:t xml:space="preserve"> </w:t>
            </w:r>
          </w:p>
        </w:tc>
        <w:tc>
          <w:tcPr>
            <w:tcW w:w="696"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c>
          <w:tcPr>
            <w:tcW w:w="705"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3" w:type="dxa"/>
            <w:gridSpan w:val="6"/>
            <w:tcBorders>
              <w:left w:val="single" w:color="CCCCCC" w:sz="4" w:space="0"/>
              <w:bottom w:val="single" w:color="CCCCCC" w:sz="4" w:space="0"/>
              <w:right w:val="single" w:color="CCCCCC" w:sz="4" w:space="0"/>
            </w:tcBorders>
            <w:vAlign w:val="center"/>
          </w:tcPr>
          <w:p>
            <w:pPr>
              <w:jc w:val="center"/>
            </w:pPr>
            <w:r>
              <w:rPr>
                <w:sz w:val="24"/>
              </w:rPr>
              <w:t>合计：人民币大写：**元整</w:t>
            </w:r>
          </w:p>
        </w:tc>
        <w:tc>
          <w:tcPr>
            <w:tcW w:w="705" w:type="dxa"/>
            <w:tcBorders>
              <w:bottom w:val="single" w:color="CCCCCC" w:sz="4" w:space="0"/>
              <w:right w:val="single" w:color="CCCCCC" w:sz="4" w:space="0"/>
            </w:tcBorders>
            <w:vAlign w:val="center"/>
          </w:tcPr>
          <w:p>
            <w:pPr>
              <w:jc w:val="center"/>
            </w:pPr>
            <w:r>
              <w:rPr>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r>
              <w:t xml:space="preserve"> </w:t>
            </w:r>
          </w:p>
        </w:tc>
        <w:tc>
          <w:tcPr>
            <w:tcW w:w="3516" w:type="dxa"/>
            <w:tcBorders>
              <w:top w:val="nil"/>
              <w:left w:val="nil"/>
              <w:bottom w:val="nil"/>
              <w:right w:val="nil"/>
            </w:tcBorders>
          </w:tcPr>
          <w:p>
            <w:r>
              <w:t xml:space="preserve"> </w:t>
            </w:r>
          </w:p>
        </w:tc>
        <w:tc>
          <w:tcPr>
            <w:tcW w:w="696"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705" w:type="dxa"/>
            <w:tcBorders>
              <w:top w:val="nil"/>
              <w:left w:val="nil"/>
              <w:bottom w:val="nil"/>
              <w:right w:val="nil"/>
            </w:tcBorders>
          </w:tcPr>
          <w:p>
            <w:r>
              <w:t xml:space="preserve"> </w:t>
            </w:r>
          </w:p>
        </w:tc>
        <w:tc>
          <w:tcPr>
            <w:tcW w:w="705" w:type="dxa"/>
            <w:tcBorders>
              <w:top w:val="nil"/>
              <w:left w:val="nil"/>
              <w:bottom w:val="nil"/>
              <w:right w:val="nil"/>
            </w:tcBorders>
          </w:tcPr>
          <w:p>
            <w:r>
              <w:t xml:space="preserve"> </w:t>
            </w:r>
          </w:p>
        </w:tc>
      </w:tr>
    </w:tbl>
    <w:p>
      <w:pPr>
        <w:jc w:val="both"/>
      </w:pPr>
      <w:r>
        <w:rPr>
          <w:sz w:val="32"/>
        </w:rPr>
        <w:t xml:space="preserve"> </w:t>
      </w:r>
    </w:p>
    <w:p>
      <w:pPr>
        <w:ind w:firstLine="400"/>
        <w:jc w:val="both"/>
      </w:pPr>
      <w:r>
        <w:rPr>
          <w:sz w:val="27"/>
        </w:rPr>
        <w:t>合同总额包括乙方设计、安装、随机零配件、标配工具、运输保险、调试、培训、质保期服务、各项税费及合同实施过程中不可预见费用等。</w:t>
      </w:r>
    </w:p>
    <w:p>
      <w:pPr>
        <w:ind w:firstLine="400"/>
        <w:jc w:val="both"/>
      </w:pPr>
      <w:r>
        <w:rPr>
          <w:sz w:val="27"/>
        </w:rPr>
        <w:t>注：货物名称内容必须与投标文件中货物名称内容一致。</w:t>
      </w:r>
    </w:p>
    <w:p>
      <w:pPr>
        <w:jc w:val="both"/>
      </w:pPr>
      <w:r>
        <w:rPr>
          <w:b/>
          <w:sz w:val="27"/>
        </w:rPr>
        <w:t>二、合同金额</w:t>
      </w:r>
    </w:p>
    <w:p>
      <w:pPr>
        <w:jc w:val="both"/>
      </w:pPr>
      <w:r>
        <w:rPr>
          <w:sz w:val="27"/>
        </w:rPr>
        <w:t>合同金额为（大写）：_________________元（￥_______________元）人民币。</w:t>
      </w:r>
    </w:p>
    <w:p>
      <w:pPr>
        <w:jc w:val="both"/>
      </w:pPr>
      <w:r>
        <w:rPr>
          <w:b/>
          <w:sz w:val="27"/>
        </w:rPr>
        <w:t>三、设备要求</w:t>
      </w:r>
    </w:p>
    <w:p>
      <w:pPr>
        <w:jc w:val="both"/>
      </w:pPr>
      <w:r>
        <w:rPr>
          <w:sz w:val="27"/>
        </w:rPr>
        <w:t>货物为原制造商制造的全新产品，整机无污染，无侵权行为、表面无划损、无任何缺陷隐患，在中国境内可依常规安全合法使用。</w:t>
      </w:r>
    </w:p>
    <w:p>
      <w:pPr>
        <w:jc w:val="both"/>
      </w:pPr>
      <w:r>
        <w:rPr>
          <w:b/>
          <w:sz w:val="27"/>
        </w:rPr>
        <w:t>四、交货期、交货方式及交货地点</w:t>
      </w:r>
    </w:p>
    <w:p>
      <w:pPr>
        <w:jc w:val="both"/>
      </w:pPr>
      <w:r>
        <w:rPr>
          <w:sz w:val="27"/>
        </w:rPr>
        <w:t xml:space="preserve">       1.交货期：</w:t>
      </w:r>
    </w:p>
    <w:p>
      <w:pPr>
        <w:jc w:val="both"/>
      </w:pPr>
      <w:r>
        <w:rPr>
          <w:sz w:val="27"/>
        </w:rPr>
        <w:t xml:space="preserve">       2.交货方式：</w:t>
      </w:r>
    </w:p>
    <w:p>
      <w:pPr>
        <w:jc w:val="both"/>
      </w:pPr>
      <w:r>
        <w:rPr>
          <w:sz w:val="27"/>
        </w:rPr>
        <w:t xml:space="preserve">       3.交货地点：</w:t>
      </w:r>
    </w:p>
    <w:p>
      <w:pPr>
        <w:jc w:val="both"/>
      </w:pPr>
      <w:r>
        <w:rPr>
          <w:b/>
          <w:sz w:val="27"/>
        </w:rPr>
        <w:t>五、付款方式</w:t>
      </w:r>
    </w:p>
    <w:p>
      <w:pPr>
        <w:jc w:val="both"/>
      </w:pPr>
      <w:r>
        <w:rPr>
          <w:sz w:val="27"/>
        </w:rPr>
        <w:t>由甲方按下列程序在</w:t>
      </w:r>
      <w:r>
        <w:rPr>
          <w:sz w:val="27"/>
          <w:u w:val="single"/>
        </w:rPr>
        <w:t xml:space="preserve">       </w:t>
      </w:r>
      <w:r>
        <w:rPr>
          <w:sz w:val="27"/>
        </w:rPr>
        <w:t>内付款：</w:t>
      </w:r>
    </w:p>
    <w:p>
      <w:pPr>
        <w:jc w:val="both"/>
      </w:pPr>
      <w:r>
        <w:rPr>
          <w:sz w:val="27"/>
        </w:rPr>
        <w:t>1.预付款：签订合同后，支付合同总价的</w:t>
      </w:r>
      <w:r>
        <w:rPr>
          <w:sz w:val="27"/>
          <w:u w:val="single"/>
        </w:rPr>
        <w:t xml:space="preserve">     </w:t>
      </w:r>
      <w:r>
        <w:rPr>
          <w:sz w:val="27"/>
        </w:rPr>
        <w:t>%。</w:t>
      </w:r>
    </w:p>
    <w:p>
      <w:pPr>
        <w:jc w:val="both"/>
      </w:pPr>
      <w:r>
        <w:rPr>
          <w:sz w:val="27"/>
        </w:rPr>
        <w:t>2.设备安装调试结束，提交全部报告材料，调试完成并验收合格后，支付至合同金额的</w:t>
      </w:r>
      <w:r>
        <w:rPr>
          <w:sz w:val="27"/>
          <w:u w:val="single"/>
        </w:rPr>
        <w:t xml:space="preserve">     </w:t>
      </w:r>
      <w:r>
        <w:rPr>
          <w:sz w:val="27"/>
        </w:rPr>
        <w:t>%，同时无息退还乙方的合同履约保证金。</w:t>
      </w:r>
    </w:p>
    <w:p>
      <w:pPr>
        <w:jc w:val="both"/>
      </w:pPr>
      <w:r>
        <w:rPr>
          <w:sz w:val="27"/>
        </w:rPr>
        <w:t>3.从验收合格之日起，正常使用</w:t>
      </w:r>
      <w:r>
        <w:rPr>
          <w:sz w:val="27"/>
          <w:u w:val="single"/>
        </w:rPr>
        <w:t xml:space="preserve">    </w:t>
      </w:r>
      <w:r>
        <w:rPr>
          <w:sz w:val="27"/>
        </w:rPr>
        <w:t>个月后，支付合同总价的</w:t>
      </w:r>
      <w:r>
        <w:rPr>
          <w:sz w:val="27"/>
          <w:u w:val="single"/>
        </w:rPr>
        <w:t xml:space="preserve">   </w:t>
      </w:r>
      <w:r>
        <w:rPr>
          <w:sz w:val="27"/>
        </w:rPr>
        <w:t>％。</w:t>
      </w:r>
    </w:p>
    <w:p>
      <w:pPr>
        <w:jc w:val="both"/>
      </w:pPr>
      <w:r>
        <w:rPr>
          <w:sz w:val="27"/>
        </w:rPr>
        <w:t>4.  对于满足合同约定支付条件的，甲方应当自收到发票后15个工作日内将资金支付到合同约定的乙方账户，不得以机构变动、人员更替、政策调整等为由延迟付款，不得将采购文件和合同中未规定的义务作为向乙方付款的条件。</w:t>
      </w:r>
    </w:p>
    <w:p>
      <w:pPr>
        <w:jc w:val="both"/>
      </w:pPr>
      <w:r>
        <w:rPr>
          <w:b/>
          <w:sz w:val="27"/>
        </w:rPr>
        <w:t>六、质保期及售后服务要求</w:t>
      </w:r>
    </w:p>
    <w:p>
      <w:pPr>
        <w:jc w:val="both"/>
      </w:pPr>
      <w:r>
        <w:rPr>
          <w:sz w:val="27"/>
        </w:rPr>
        <w:t>1.本合同的质量保证期（简称“质保期”）为</w:t>
      </w:r>
      <w:r>
        <w:rPr>
          <w:sz w:val="27"/>
          <w:u w:val="single"/>
        </w:rPr>
        <w:t xml:space="preserve">    </w:t>
      </w:r>
      <w:r>
        <w:rPr>
          <w:sz w:val="27"/>
        </w:rPr>
        <w:t>年，质保期内乙方对所供货物实行包修、包换、包退及合同约定的其它事项，期满后可同时提供终身</w:t>
      </w:r>
      <w:r>
        <w:rPr>
          <w:sz w:val="27"/>
          <w:u w:val="single"/>
        </w:rPr>
        <w:t>(免费/有偿)</w:t>
      </w:r>
      <w:r>
        <w:rPr>
          <w:sz w:val="27"/>
        </w:rPr>
        <w:t>维修保养服务。</w:t>
      </w:r>
    </w:p>
    <w:p>
      <w:pPr>
        <w:jc w:val="both"/>
      </w:pPr>
      <w:r>
        <w:rPr>
          <w:sz w:val="27"/>
        </w:rPr>
        <w:t>2.质保期内，如设备或零部件因质量原因出现故障而造成短期停用时，则质保期和免费维修期相应顺延。如停用时间累计超过30天则质保期重新计算。</w:t>
      </w:r>
    </w:p>
    <w:p>
      <w:pPr>
        <w:jc w:val="both"/>
      </w:pPr>
      <w:r>
        <w:rPr>
          <w:sz w:val="27"/>
        </w:rPr>
        <w:t>3.对甲方的服务通知，乙方在接报后30分钟内响应，4小时内到达现场，24小时内处理完毕。若在24小时内仍未能有效解决，乙方须免费提供同档次的设备予甲方临时使用。</w:t>
      </w:r>
    </w:p>
    <w:p>
      <w:pPr>
        <w:jc w:val="both"/>
      </w:pPr>
      <w:r>
        <w:rPr>
          <w:b/>
          <w:sz w:val="27"/>
        </w:rPr>
        <w:t>七、安装与调试</w:t>
      </w:r>
    </w:p>
    <w:p>
      <w:pPr>
        <w:jc w:val="both"/>
      </w:pPr>
      <w:r>
        <w:rPr>
          <w:sz w:val="27"/>
        </w:rPr>
        <w:t>1.乙方必须依照招标文件的要求和报价文件的承诺，将设备、系统安装并调试至正常运行的最佳状态。</w:t>
      </w:r>
    </w:p>
    <w:p>
      <w:pPr>
        <w:jc w:val="both"/>
      </w:pPr>
      <w:r>
        <w:rPr>
          <w:b/>
          <w:sz w:val="27"/>
        </w:rPr>
        <w:t>八、验收：</w:t>
      </w:r>
    </w:p>
    <w:p>
      <w:pPr>
        <w:jc w:val="both"/>
      </w:pPr>
      <w:r>
        <w:rPr>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pPr>
        <w:jc w:val="both"/>
      </w:pPr>
      <w:r>
        <w:rPr>
          <w:sz w:val="27"/>
        </w:rPr>
        <w:t>2.进口产品必须具备原产地证明和商检局的检验证明及合法进货渠道证明。</w:t>
      </w:r>
    </w:p>
    <w:p>
      <w:pPr>
        <w:jc w:val="both"/>
      </w:pPr>
      <w:r>
        <w:rPr>
          <w:sz w:val="27"/>
        </w:rPr>
        <w:t>3.货物为原厂商未启封全新包装，具出厂合格证，序列号、包装箱号与出厂批号一致，并可追索查阅。所有随设备的附件必须齐全。</w:t>
      </w:r>
    </w:p>
    <w:p>
      <w:pPr>
        <w:jc w:val="both"/>
      </w:pPr>
      <w:r>
        <w:rPr>
          <w:sz w:val="27"/>
        </w:rPr>
        <w:t>4.乙方应将关键主机设备的用户手册、保修手册、有关单证资料及配备件、随机工具等交付给甲方，使用操作及安全须知等重要资料应附有中文说明。</w:t>
      </w:r>
    </w:p>
    <w:p>
      <w:pPr>
        <w:jc w:val="both"/>
      </w:pPr>
      <w:r>
        <w:rPr>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pPr>
      <w:r>
        <w:rPr>
          <w:b/>
          <w:sz w:val="27"/>
        </w:rPr>
        <w:t>九、违约责任与赔偿损失</w:t>
      </w:r>
    </w:p>
    <w:p>
      <w:pPr>
        <w:jc w:val="both"/>
      </w:pPr>
      <w:r>
        <w:rPr>
          <w:sz w:val="27"/>
        </w:rPr>
        <w:t>1.乙方交付的货物、工程/提供的服务不符合本合同规定的，甲方有权拒收，并且乙方须向甲方支付本合同总价5%的违约金。</w:t>
      </w:r>
    </w:p>
    <w:p>
      <w:pPr>
        <w:jc w:val="both"/>
      </w:pPr>
      <w:r>
        <w:rPr>
          <w:sz w:val="27"/>
        </w:rPr>
        <w:t>2.乙方未能按本合同规定的交货时间交付货物的/提供服务，从逾期之日起每日按本合同总价3‰的数额向甲方支付违约金；逾期半个月以上的，甲方有权终止合同，由此造成的甲方经济损失由乙方承担。</w:t>
      </w:r>
    </w:p>
    <w:p>
      <w:pPr>
        <w:jc w:val="both"/>
      </w:pPr>
      <w:r>
        <w:rPr>
          <w:sz w:val="27"/>
        </w:rPr>
        <w:t>3.甲方无正当理由拒收货物/接受服务，到期拒付货物/服务款项的，甲方向乙方偿付本合同总的5%的违约金。甲方人逾期付款，则每日按本合同总价的3‰向乙方偿付违约金。</w:t>
      </w:r>
    </w:p>
    <w:p>
      <w:pPr>
        <w:jc w:val="both"/>
      </w:pPr>
      <w:r>
        <w:rPr>
          <w:sz w:val="27"/>
        </w:rPr>
        <w:t>4.   对于因甲方原因导致变更、中止或者终止政府采购合同的，甲方应当依照以下合同约定对供应商受到的损失予以赔偿或者补偿：</w:t>
      </w:r>
    </w:p>
    <w:p>
      <w:pPr>
        <w:jc w:val="both"/>
      </w:pPr>
      <w:r>
        <w:rPr>
          <w:sz w:val="27"/>
        </w:rPr>
        <w:t xml:space="preserve">       </w:t>
      </w:r>
      <w:r>
        <w:rPr>
          <w:sz w:val="27"/>
          <w:u w:val="single"/>
        </w:rPr>
        <w:t xml:space="preserve">                                                </w:t>
      </w:r>
    </w:p>
    <w:p>
      <w:pPr>
        <w:jc w:val="both"/>
      </w:pPr>
      <w:r>
        <w:rPr>
          <w:sz w:val="27"/>
        </w:rPr>
        <w:t>5.其它违约责任按《中华人民共和国民法典(合同编)》处理。</w:t>
      </w:r>
    </w:p>
    <w:p>
      <w:pPr>
        <w:jc w:val="both"/>
      </w:pPr>
      <w:r>
        <w:rPr>
          <w:b/>
          <w:sz w:val="27"/>
        </w:rPr>
        <w:t>十、争议的解决</w:t>
      </w:r>
      <w:r>
        <w:rPr>
          <w:sz w:val="27"/>
        </w:rPr>
        <w:t xml:space="preserve">  合同执行过程中发生的任何争议，如双方不能通过友好协商解决，按相关法律法规处理。</w:t>
      </w:r>
    </w:p>
    <w:p>
      <w:pPr>
        <w:jc w:val="both"/>
      </w:pPr>
      <w:r>
        <w:rPr>
          <w:b/>
          <w:sz w:val="27"/>
        </w:rPr>
        <w:t>十一、不可抗力</w:t>
      </w:r>
    </w:p>
    <w:p>
      <w:pPr>
        <w:jc w:val="both"/>
      </w:pPr>
      <w:r>
        <w:rPr>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7"/>
        </w:rPr>
        <w:t>十二、税费</w:t>
      </w:r>
    </w:p>
    <w:p>
      <w:pPr>
        <w:jc w:val="both"/>
      </w:pPr>
      <w:r>
        <w:rPr>
          <w:sz w:val="27"/>
        </w:rPr>
        <w:t>1.在中国境内、外发生的与本合同执行有关的一切税费均由乙方负担。</w:t>
      </w:r>
    </w:p>
    <w:p>
      <w:pPr>
        <w:jc w:val="both"/>
      </w:pPr>
      <w:r>
        <w:rPr>
          <w:b/>
          <w:sz w:val="27"/>
        </w:rPr>
        <w:t>十三、</w:t>
      </w:r>
      <w:r>
        <w:rPr>
          <w:sz w:val="27"/>
        </w:rPr>
        <w:t xml:space="preserve"> </w:t>
      </w:r>
      <w:r>
        <w:rPr>
          <w:b/>
          <w:sz w:val="27"/>
        </w:rPr>
        <w:t>其它</w:t>
      </w:r>
    </w:p>
    <w:p>
      <w:pPr>
        <w:jc w:val="both"/>
      </w:pPr>
      <w:r>
        <w:rPr>
          <w:sz w:val="27"/>
        </w:rPr>
        <w:t>1.本合同所有附件、招标文件、投标文件、中标通知书均为合同的有效组成部分，与本合同具有同等法律效力。</w:t>
      </w:r>
    </w:p>
    <w:p>
      <w:pPr>
        <w:jc w:val="both"/>
      </w:pPr>
      <w:r>
        <w:rPr>
          <w:sz w:val="27"/>
        </w:rPr>
        <w:t>2.在执行本合同的过程中，所有经双方签署确认的文件（包括会议纪要、补充协议、往来信函）即成为本合同的有效组成部分。</w:t>
      </w:r>
    </w:p>
    <w:p>
      <w:pPr>
        <w:jc w:val="both"/>
      </w:pPr>
      <w:r>
        <w:rPr>
          <w:sz w:val="27"/>
        </w:rPr>
        <w:t>3.如一方地址、电话、传真号码有变更，应在变更当日内书面通知对方，否则，应承担相应责任。</w:t>
      </w:r>
    </w:p>
    <w:p>
      <w:pPr>
        <w:jc w:val="both"/>
      </w:pPr>
      <w:r>
        <w:rPr>
          <w:sz w:val="27"/>
        </w:rPr>
        <w:t>4.除甲方事先书面同意外，乙方不得部分或全部转让其应履行的合同项下的义务。</w:t>
      </w:r>
    </w:p>
    <w:p>
      <w:pPr>
        <w:jc w:val="both"/>
      </w:pPr>
      <w:r>
        <w:rPr>
          <w:b/>
          <w:sz w:val="27"/>
        </w:rPr>
        <w:t>十四、</w:t>
      </w:r>
      <w:r>
        <w:rPr>
          <w:sz w:val="27"/>
        </w:rPr>
        <w:t xml:space="preserve">     </w:t>
      </w:r>
      <w:r>
        <w:rPr>
          <w:b/>
          <w:sz w:val="27"/>
        </w:rPr>
        <w:t>合同生效</w:t>
      </w:r>
    </w:p>
    <w:p>
      <w:pPr>
        <w:jc w:val="both"/>
      </w:pPr>
      <w:r>
        <w:rPr>
          <w:sz w:val="27"/>
        </w:rPr>
        <w:t>1.本合同在甲乙双方法人代表或其授权代表签字盖章后生效。</w:t>
      </w:r>
    </w:p>
    <w:p>
      <w:pPr>
        <w:jc w:val="both"/>
      </w:pPr>
      <w:r>
        <w:rPr>
          <w:sz w:val="27"/>
        </w:rPr>
        <w:t>2.合同一式</w:t>
      </w:r>
      <w:r>
        <w:rPr>
          <w:sz w:val="27"/>
          <w:u w:val="single"/>
        </w:rPr>
        <w:t xml:space="preserve">   </w:t>
      </w:r>
      <w:r>
        <w:rPr>
          <w:sz w:val="27"/>
        </w:rPr>
        <w:t>份。</w:t>
      </w:r>
    </w:p>
    <w:p>
      <w:pPr>
        <w:jc w:val="both"/>
      </w:pPr>
      <w:r>
        <w:rPr>
          <w:sz w:val="27"/>
        </w:rPr>
        <w:t xml:space="preserve"> </w:t>
      </w:r>
    </w:p>
    <w:p>
      <w:pPr>
        <w:jc w:val="both"/>
      </w:pPr>
      <w:r>
        <w:rPr>
          <w:b/>
          <w:sz w:val="27"/>
        </w:rPr>
        <w:t>甲方（盖章）：乙方（盖章）：</w:t>
      </w:r>
    </w:p>
    <w:p>
      <w:pPr>
        <w:jc w:val="both"/>
      </w:pPr>
      <w:r>
        <w:rPr>
          <w:b/>
          <w:sz w:val="27"/>
        </w:rPr>
        <w:t>代表：代表：</w:t>
      </w:r>
    </w:p>
    <w:p>
      <w:pPr>
        <w:jc w:val="both"/>
      </w:pPr>
      <w:r>
        <w:rPr>
          <w:sz w:val="27"/>
        </w:rPr>
        <w:t>签订地点：</w:t>
      </w:r>
    </w:p>
    <w:p>
      <w:pPr>
        <w:jc w:val="both"/>
      </w:pPr>
      <w:r>
        <w:rPr>
          <w:sz w:val="27"/>
        </w:rPr>
        <w:t>签订日期：　　　年　　月　　日签订日期：　　　年　　月　　日</w:t>
      </w:r>
    </w:p>
    <w:p>
      <w:pPr>
        <w:jc w:val="both"/>
      </w:pPr>
      <w:r>
        <w:rPr>
          <w:sz w:val="27"/>
        </w:rPr>
        <w:t>开户名称：</w:t>
      </w:r>
    </w:p>
    <w:p>
      <w:pPr>
        <w:jc w:val="both"/>
      </w:pPr>
      <w:r>
        <w:rPr>
          <w:sz w:val="27"/>
        </w:rPr>
        <w:t>银行帐号：</w:t>
      </w:r>
    </w:p>
    <w:p>
      <w:pPr>
        <w:jc w:val="both"/>
      </w:pPr>
      <w:r>
        <w:rPr>
          <w:sz w:val="27"/>
        </w:rPr>
        <w:t>开 户 行：</w:t>
      </w:r>
    </w:p>
    <w:p/>
    <w:p>
      <w:pPr>
        <w:ind w:firstLine="480"/>
      </w:pPr>
    </w:p>
    <w:p>
      <w:r>
        <w:t xml:space="preserve"> </w:t>
      </w:r>
    </w:p>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r>
        <w:t xml:space="preserve"> </w:t>
      </w:r>
      <w:r>
        <w:br w:type="textWrapping"/>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采购计划编号：441900030-2023-00575</w:t>
      </w:r>
    </w:p>
    <w:p>
      <w:pPr>
        <w:jc w:val="center"/>
      </w:pPr>
      <w:r>
        <w:rPr>
          <w:b/>
          <w:sz w:val="24"/>
        </w:rPr>
        <w:t>采购项目编号：441900030-2023-00575</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r>
        <w:t>二十五、政府采购履约担保函、采购合同履约保险凭证</w:t>
      </w:r>
    </w:p>
    <w:p>
      <w:pPr>
        <w:ind w:firstLine="480"/>
      </w:pPr>
    </w:p>
    <w:p>
      <w:r>
        <w:t xml:space="preserve"> </w:t>
      </w:r>
    </w:p>
    <w:p/>
    <w:p>
      <w:r>
        <w:rPr>
          <w:b/>
          <w:sz w:val="28"/>
        </w:rPr>
        <w:t>格式一：</w:t>
      </w:r>
    </w:p>
    <w:p>
      <w:r>
        <w:rPr>
          <w:b/>
          <w:sz w:val="24"/>
        </w:rPr>
        <w:t>投标函</w:t>
      </w:r>
    </w:p>
    <w:p>
      <w:pPr>
        <w:ind w:firstLine="480"/>
      </w:pPr>
      <w:r>
        <w:t>致：</w:t>
      </w:r>
      <w:r>
        <w:rPr>
          <w:u w:val="single"/>
        </w:rPr>
        <w:t>广东正德招标有限公司</w:t>
      </w:r>
    </w:p>
    <w:p>
      <w:pPr>
        <w:ind w:firstLine="480"/>
      </w:pPr>
      <w:r>
        <w:t>你方组织的</w:t>
      </w:r>
      <w:r>
        <w:rPr>
          <w:u w:val="single"/>
        </w:rPr>
        <w:t>“东莞市沙田镇专职消防队码头分站消防车采购项目”</w:t>
      </w:r>
      <w:r>
        <w:t>项目的招标[采购项目编号为：</w:t>
      </w:r>
      <w:r>
        <w:rPr>
          <w:u w:val="single"/>
        </w:rPr>
        <w:t>441900030-2023-00575</w:t>
      </w:r>
      <w:r>
        <w:t>]，我方愿参与投标。</w:t>
      </w:r>
    </w:p>
    <w:p>
      <w:pPr>
        <w:ind w:firstLine="480"/>
      </w:pPr>
      <w:r>
        <w:t>我方确认收到贵方提供的</w:t>
      </w:r>
      <w:r>
        <w:rPr>
          <w:u w:val="single"/>
        </w:rPr>
        <w:t>“东莞市沙田镇专职消防队码头分站消防车采购项目”</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（十三）我方承诺遵守《中华人民共和国劳动合同法》有关规定和《中华人民共和国妇女权益保障法》中关于“劳动和社会保障权益”的有关要求。</w:t>
      </w:r>
    </w:p>
    <w:p>
      <w:pPr>
        <w:ind w:firstLine="480"/>
      </w:pPr>
      <w:r>
        <w:t>（十四）我方具备《中华人民共和国政府采购法》第二十二条规定的条件，承诺如下：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（十五）我方对在本函及投标文件中所作的所有承诺承担法律责任。</w:t>
      </w:r>
    </w:p>
    <w:p>
      <w:pPr>
        <w:ind w:firstLine="480"/>
      </w:pPr>
      <w:r>
        <w:t>（十六）所有与本招标有关的函件请发往下列地址：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真：__________________电子邮箱：__________________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致：广东正德招标有限公司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作为我公司的全权代理人，就“东莞市沙田镇专职消防队码头分站消防车采购项目”项目采购[采购项目编号为441900030-2023-00575]的投标和合同执行，以我方的名义处理一切与之有关的事宜。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r>
        <w:rPr>
          <w:b/>
          <w:sz w:val="28"/>
        </w:rPr>
        <w:t>格式七：</w:t>
      </w:r>
    </w:p>
    <w:p>
      <w:pPr>
        <w:jc w:val="center"/>
      </w:pPr>
      <w:r>
        <w:rPr>
          <w:b/>
          <w:sz w:val="24"/>
        </w:rPr>
        <w:t>投标保证金</w:t>
      </w:r>
    </w:p>
    <w:p>
      <w:pPr>
        <w:ind w:firstLine="480"/>
      </w:pPr>
      <w:r>
        <w:t>采购文件要求递交投标保证金的，投标人应在此提供保证金的凭证的复印件。</w:t>
      </w:r>
    </w:p>
    <w:p>
      <w:pPr>
        <w:ind w:firstLine="480"/>
      </w:pPr>
    </w:p>
    <w:p>
      <w:r>
        <w:t xml:space="preserve"> </w:t>
      </w:r>
    </w:p>
    <w:p/>
    <w:p>
      <w:r>
        <w:rPr>
          <w:b/>
          <w:sz w:val="28"/>
        </w:rPr>
        <w:t>格式八：</w:t>
      </w:r>
    </w:p>
    <w:p>
      <w:pPr>
        <w:jc w:val="center"/>
      </w:pPr>
      <w:r>
        <w:rPr>
          <w:b/>
          <w:sz w:val="24"/>
        </w:rPr>
        <w:t>提供具有独立承担民事责任的能力的证明材料</w:t>
      </w:r>
    </w:p>
    <w:p>
      <w:pPr>
        <w:ind w:firstLine="480"/>
      </w:pPr>
    </w:p>
    <w:p>
      <w:r>
        <w:t xml:space="preserve"> </w:t>
      </w:r>
    </w:p>
    <w:p/>
    <w:p>
      <w:r>
        <w:rPr>
          <w:b/>
          <w:sz w:val="28"/>
        </w:rPr>
        <w:t>格式九：</w:t>
      </w:r>
    </w:p>
    <w:p>
      <w:pPr>
        <w:jc w:val="center"/>
      </w:pPr>
      <w:r>
        <w:rPr>
          <w:b/>
          <w:sz w:val="24"/>
        </w:rPr>
        <w:t>资格性审查要求的其他资质证明文件</w:t>
      </w:r>
    </w:p>
    <w:p>
      <w:pPr>
        <w:ind w:firstLine="480"/>
      </w:pPr>
      <w:r>
        <w:t>具有履行合同所必需的设备和专业技术能力</w:t>
      </w:r>
    </w:p>
    <w:p>
      <w:r>
        <w:t xml:space="preserve"> </w:t>
      </w:r>
    </w:p>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pPr>
      <w:r>
        <w:t>致：东莞市沙田镇专职消防队</w:t>
      </w:r>
      <w:r>
        <w:br w:type="textWrapping"/>
      </w: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r>
        <w:br w:type="textWrapping"/>
      </w:r>
    </w:p>
    <w:p>
      <w:pPr>
        <w:ind w:firstLine="480"/>
      </w:pPr>
      <w:r>
        <w:t>特此承诺。</w:t>
      </w:r>
    </w:p>
    <w:p>
      <w:r>
        <w:t xml:space="preserve"> 供应商名称（盖章）：__________________</w:t>
      </w:r>
    </w:p>
    <w:p>
      <w:r>
        <w:t>日期： 年 月 日</w:t>
      </w:r>
    </w:p>
    <w:p>
      <w:pPr>
        <w:ind w:firstLine="480"/>
      </w:pPr>
    </w:p>
    <w:p>
      <w:r>
        <w:t xml:space="preserve"> </w:t>
      </w:r>
    </w:p>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r>
        <w:rPr>
          <w:b/>
          <w:sz w:val="28"/>
        </w:rPr>
        <w:t>格式十五：</w:t>
      </w:r>
    </w:p>
    <w:p>
      <w:pPr>
        <w:ind w:firstLine="480"/>
      </w:pPr>
      <w:r>
        <w:t>（以下格式文件由供应商根据需要选用）</w:t>
      </w:r>
    </w:p>
    <w:p>
      <w:pPr>
        <w:jc w:val="center"/>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r>
        <w:rPr>
          <w:b/>
          <w:sz w:val="28"/>
        </w:rPr>
        <w:t>格式十六：</w:t>
      </w:r>
    </w:p>
    <w:p>
      <w:pPr>
        <w:jc w:val="center"/>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ab/>
      </w:r>
      <w: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r>
        <w:rPr>
          <w:b/>
          <w:sz w:val="28"/>
        </w:rPr>
        <w:t>格式十七：</w:t>
      </w:r>
    </w:p>
    <w:p>
      <w:pPr>
        <w:jc w:val="center"/>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r>
        <w:rPr>
          <w:b/>
          <w:sz w:val="28"/>
        </w:rPr>
        <w:t>格式十八：</w:t>
      </w:r>
    </w:p>
    <w:p>
      <w:pPr>
        <w:ind w:firstLine="480"/>
      </w:pPr>
      <w:r>
        <w:t>（以下格式文件由供应商根据需要选用）</w:t>
      </w:r>
    </w:p>
    <w:p>
      <w:pPr>
        <w:jc w:val="center"/>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致：广东正德招标有限公司</w:t>
      </w:r>
    </w:p>
    <w:p>
      <w:pPr>
        <w:ind w:firstLine="480"/>
      </w:pPr>
      <w:r>
        <w:t>如果我方在贵采购代理机构组织的东莞市沙田镇专职消防队码头分站消防车采购项目招标中获中标（采购项目编号：441900030-2023-00575），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正德招标有限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r>
              <w:t>序号</w:t>
            </w:r>
          </w:p>
        </w:tc>
        <w:tc>
          <w:tcPr>
            <w:tcW w:w="4153" w:type="dxa"/>
          </w:tcPr>
          <w:p>
            <w:r>
              <w:t>投标人需要采购人提供的附加条件</w:t>
            </w:r>
          </w:p>
        </w:tc>
      </w:tr>
      <w:tr>
        <w:tc>
          <w:tcPr>
            <w:tcW w:w="4153" w:type="dxa"/>
          </w:tcPr>
          <w:p>
            <w:r>
              <w:t>1</w:t>
            </w:r>
          </w:p>
        </w:tc>
        <w:tc>
          <w:tcPr>
            <w:tcW w:w="4153" w:type="dxa"/>
          </w:tcPr>
          <w:p/>
        </w:tc>
      </w:tr>
      <w:tr>
        <w:tc>
          <w:tcPr>
            <w:tcW w:w="4153" w:type="dxa"/>
          </w:tcPr>
          <w:p>
            <w:r>
              <w:t>2</w:t>
            </w:r>
          </w:p>
        </w:tc>
        <w:tc>
          <w:tcPr>
            <w:tcW w:w="4153" w:type="dxa"/>
          </w:tcPr>
          <w:p/>
        </w:tc>
      </w:tr>
      <w:tr>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t>广东正德招标有限公司</w:t>
      </w:r>
    </w:p>
    <w:p>
      <w:pPr>
        <w:ind w:firstLine="480"/>
      </w:pPr>
      <w:r>
        <w:t>我单位已登记并准备参与“东莞市沙田镇专职消防队码头分站消防车采购项目”项目（采购项目编号：441900030-2023-00575）的投标活动，现有以下几个内容（或条款）存在疑问（或无法理解），特提出询问。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t>采购文件获取日期：_____________________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t>采购文件公告: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ind w:firstLine="480"/>
      </w:pPr>
    </w:p>
    <w:p>
      <w:r>
        <w:t xml:space="preserve"> </w:t>
      </w:r>
    </w:p>
    <w:p/>
    <w:p>
      <w:r>
        <w:rPr>
          <w:b/>
          <w:sz w:val="28"/>
        </w:rPr>
        <w:t>格式二十五：</w:t>
      </w:r>
    </w:p>
    <w:p>
      <w:pPr>
        <w:jc w:val="center"/>
      </w:pPr>
      <w:r>
        <w:rPr>
          <w:b/>
          <w:sz w:val="24"/>
        </w:rPr>
        <w:t>政府采购履约担保函</w:t>
      </w:r>
    </w:p>
    <w:p>
      <w:r>
        <w:t>编号：</w:t>
      </w:r>
    </w:p>
    <w:p>
      <w:pPr>
        <w:ind w:firstLine="480"/>
      </w:pPr>
      <w:r>
        <w:t>（采购人）：</w:t>
      </w:r>
    </w:p>
    <w:p>
      <w:pPr>
        <w:ind w:firstLine="480"/>
      </w:pPr>
      <w: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t>一、保证金额</w:t>
      </w:r>
    </w:p>
    <w:p>
      <w:pPr>
        <w:ind w:firstLine="480"/>
      </w:pPr>
      <w:r>
        <w:t>我方的保证范围是主合同约定的合同价款总额的___%，数额为__________（大写），币种为</w:t>
      </w:r>
      <w:r>
        <w:rPr>
          <w:u w:val="single"/>
        </w:rPr>
        <w:t>人民币</w:t>
      </w:r>
      <w:r>
        <w:t>（即主合同履约保证金金额）。</w:t>
      </w:r>
    </w:p>
    <w:p>
      <w:pPr>
        <w:ind w:firstLine="480"/>
      </w:pPr>
      <w:r>
        <w:t>二、我方保证的方式为：连带责任保证。</w:t>
      </w:r>
    </w:p>
    <w:p>
      <w:pPr>
        <w:ind w:firstLine="480"/>
      </w:pPr>
      <w:r>
        <w:t>三、我方保证的期间为：本保函自开立之日起生效，至  年  月  日止。</w:t>
      </w:r>
    </w:p>
    <w:p>
      <w:pPr>
        <w:ind w:firstLine="480"/>
      </w:pPr>
      <w:r>
        <w:t>四、在本保函的有效期内，如被保证人违反上述合同或协议约定的义务，我方将在收到你方提交的本保函文件及符合下列全部条件的索赔通知后</w:t>
      </w:r>
      <w:r>
        <w:rPr>
          <w:u w:val="single"/>
        </w:rPr>
        <w:t>30</w:t>
      </w:r>
      <w:r>
        <w:t>个工作日内以上述保证金额为限支付你方索赔金额:</w:t>
      </w:r>
    </w:p>
    <w:p>
      <w:pPr>
        <w:ind w:firstLine="480"/>
      </w:pPr>
      <w:r>
        <w:t>(一)索赔通知文件必须以书面形式提出，列明索赔金额，并由你方法定代表人(负责人)或授权代理人签字并加盖公章;</w:t>
      </w:r>
    </w:p>
    <w:p>
      <w:pPr>
        <w:ind w:firstLine="480"/>
      </w:pPr>
      <w:r>
        <w:t>(二)索赔通知文件必须同时附有:</w:t>
      </w:r>
    </w:p>
    <w:p>
      <w:pPr>
        <w:ind w:firstLine="480"/>
      </w:pPr>
      <w:r>
        <w:t>1.一项书面声明，声明索赔款项并未由被保证人或其代理人直接或间接地支付给你方;</w:t>
      </w:r>
    </w:p>
    <w:p>
      <w:pPr>
        <w:ind w:firstLine="480"/>
      </w:pPr>
      <w:r>
        <w:t>2.证明被保证人违反上述合同或协议约定的义务以及有责任支付你方索赔金额的证据。</w:t>
      </w:r>
    </w:p>
    <w:p>
      <w:pPr>
        <w:ind w:firstLine="480"/>
      </w:pPr>
      <w:r>
        <w:t>(三)索赔通知文件必须在本保函有效期内到达以下地址：</w:t>
      </w:r>
    </w:p>
    <w:p>
      <w:pPr>
        <w:ind w:firstLine="480"/>
      </w:pPr>
      <w:r>
        <w:t>__________________________________________________。</w:t>
      </w:r>
    </w:p>
    <w:p>
      <w:pPr>
        <w:ind w:firstLine="480"/>
      </w:pPr>
      <w:r>
        <w:t>五、本保函保证金额将随被保证人逐步履行保函项下合同约定或法定的义务以及我方按你方索赔通知文件要求分次支付而相应递减。</w:t>
      </w:r>
    </w:p>
    <w:p>
      <w:pPr>
        <w:ind w:firstLine="480"/>
      </w:pPr>
      <w:r>
        <w:t>六、本保函项下的权利不得转让，不得设定担保。受益人未经我方书面同意转让本保函或其项下任何权利，我方在本保函项下的义务与责任全部消灭。</w:t>
      </w:r>
    </w:p>
    <w:p>
      <w:pPr>
        <w:ind w:firstLine="480"/>
      </w:pPr>
      <w:r>
        <w:t>七、本保函项下的合同或基础交易不成立、不生效、无效、被撤销、被解除，本保函无效;被保证人基于保函项下的合同或基础交易或其他原因的抗辩，我方均有权主张。</w:t>
      </w:r>
    </w:p>
    <w:p>
      <w:pPr>
        <w:ind w:firstLine="480"/>
      </w:pPr>
      <w:r>
        <w:t>八、因本保函发生争议协商解决不成，按以下第</w:t>
      </w:r>
      <w:r>
        <w:rPr>
          <w:u w:val="single"/>
        </w:rPr>
        <w:t>(一)</w:t>
      </w:r>
      <w:r>
        <w:t>种方式解决:</w:t>
      </w:r>
    </w:p>
    <w:p>
      <w:pPr>
        <w:ind w:firstLine="480"/>
      </w:pPr>
      <w:r>
        <w:t>(一)向我方所在地的人民法院起诉。</w:t>
      </w:r>
    </w:p>
    <w:p>
      <w:pPr>
        <w:ind w:firstLine="480"/>
      </w:pPr>
      <w:r>
        <w:t>(二)提交</w:t>
      </w:r>
      <w:r>
        <w:rPr>
          <w:u w:val="single"/>
        </w:rPr>
        <w:t>此栏空白</w:t>
      </w:r>
      <w:r>
        <w:t>仲裁委员会(仲裁地点为此栏空白)按照申请仲裁时该会现行有效的仲裁规则进行仲裁。仲裁裁决是终局的，对双方均有约束力。</w:t>
      </w:r>
    </w:p>
    <w:p>
      <w:pPr>
        <w:ind w:firstLine="480"/>
      </w:pPr>
      <w:r>
        <w:t>九、本保函适用中华人民共和国法律。</w:t>
      </w:r>
    </w:p>
    <w:p>
      <w:pPr>
        <w:ind w:firstLine="480"/>
      </w:pPr>
      <w:r>
        <w:t>十、其他条款:</w:t>
      </w:r>
    </w:p>
    <w:p>
      <w:pPr>
        <w:ind w:firstLine="480"/>
      </w:pPr>
      <w:r>
        <w:t>1.本保函有效期届满或提前终止，本保函自动失效，我方在本保函项下的义务与责任自动全部消灭，此后提出的任何索赔均为无效索赔，我方无义务作出任何赔付。</w:t>
      </w:r>
    </w:p>
    <w:p>
      <w:pPr>
        <w:ind w:firstLine="480"/>
      </w:pPr>
      <w:r>
        <w:t>2.所有索赔通知必须在我方工作时间内到达本保函规定的地址。</w:t>
      </w:r>
    </w:p>
    <w:p>
      <w:pPr>
        <w:ind w:firstLine="480"/>
      </w:pPr>
      <w:r>
        <w:t>十一、本保函自我方盖章之日起生效。</w:t>
      </w:r>
    </w:p>
    <w:p>
      <w:r>
        <w:t>保证人：___________(盖章)</w:t>
      </w:r>
    </w:p>
    <w:p>
      <w:r>
        <w:t>联系地址：_______________</w:t>
      </w:r>
    </w:p>
    <w:p>
      <w:r>
        <w:t>联系电话：_______________</w:t>
      </w:r>
    </w:p>
    <w:p>
      <w:r>
        <w:t>开立日期：___年___月___日</w:t>
      </w:r>
    </w:p>
    <w:p>
      <w:pPr>
        <w:jc w:val="center"/>
      </w:pPr>
      <w:r>
        <w:rPr>
          <w:b/>
          <w:sz w:val="24"/>
        </w:rPr>
        <w:t>采购合同履约保险凭证</w:t>
      </w:r>
    </w:p>
    <w:p>
      <w:r>
        <w:t>致被保险人__________：</w:t>
      </w:r>
    </w:p>
    <w:p>
      <w:pPr>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t>一、我公司对上述采购项目出具的《采购合同履约保证保险》保单号：</w:t>
      </w:r>
    </w:p>
    <w:p>
      <w:pPr>
        <w:ind w:firstLine="480"/>
      </w:pPr>
      <w:r>
        <w:t>二、上述保单项下我公司的保险金额（最高限额）：人民币           （￥：  元）</w:t>
      </w:r>
    </w:p>
    <w:p>
      <w:pPr>
        <w:ind w:firstLine="480"/>
      </w:pPr>
      <w:r>
        <w:t>上述全部保险单的保险金额随投保人逐步履行采购合同约定的义务或我公司的赔付而递减。</w:t>
      </w:r>
    </w:p>
    <w:p>
      <w:pPr>
        <w:ind w:firstLine="480"/>
      </w:pPr>
      <w:r>
        <w:t>三、本保险的保险期间自____年___月___日___时起至___年___月___日___时止，共计___天。</w:t>
      </w:r>
    </w:p>
    <w:p>
      <w:pPr>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t>个工作日内以上述保险金额为限，支付你方索赔金额。</w:t>
      </w:r>
    </w:p>
    <w:p>
      <w:pPr>
        <w:ind w:firstLine="480"/>
      </w:pPr>
      <w:r>
        <w:t>（一）投保人未按照采购合同约定的时间、地点交付采购标的；</w:t>
      </w:r>
    </w:p>
    <w:p>
      <w:pPr>
        <w:ind w:firstLine="480"/>
      </w:pPr>
      <w:r>
        <w:t>（二）投保人供应采购标的的规格、型号、数量、质量等不符合《采购合同》的约定。</w:t>
      </w:r>
    </w:p>
    <w:p>
      <w:pPr>
        <w:ind w:firstLine="480"/>
      </w:pPr>
      <w:r>
        <w:t>五、索赔文件</w:t>
      </w:r>
    </w:p>
    <w:p>
      <w:pPr>
        <w:ind w:firstLine="480"/>
      </w:pPr>
      <w:r>
        <w:t>（一）经被保险人有权人签字、加盖被保险人公章的书面索赔声明正本，索赔声明须注明本保险凭证对应的保单号并申明如下事实：</w:t>
      </w:r>
    </w:p>
    <w:p>
      <w:pPr>
        <w:ind w:firstLine="480"/>
      </w:pPr>
      <w:r>
        <w:t>（1）投保人未履行采购合同相关义务；</w:t>
      </w:r>
    </w:p>
    <w:p>
      <w:pPr>
        <w:ind w:firstLine="480"/>
      </w:pPr>
      <w:r>
        <w:t>（2）投保人的违约事实。</w:t>
      </w:r>
    </w:p>
    <w:p>
      <w:pPr>
        <w:ind w:firstLine="480"/>
      </w:pPr>
      <w:r>
        <w:t>（二）保险单正本；</w:t>
      </w:r>
    </w:p>
    <w:p>
      <w:pPr>
        <w:ind w:firstLine="480"/>
      </w:pPr>
      <w:r>
        <w:t>（三）《采购合同》副本及与采购项目进展、质量、缺陷有关的证明文件（包括《中标通知书》、投标书及其附录、会议纪要、其他合同文件等）；</w:t>
      </w:r>
    </w:p>
    <w:p>
      <w:pPr>
        <w:ind w:firstLine="480"/>
      </w:pPr>
      <w:r>
        <w:t>（四）保险人要求投保人、被保险人所能提供的与确认保险事故的性质、原因、损失程度等有关的其他证明和资料；</w:t>
      </w:r>
    </w:p>
    <w:p>
      <w:pPr>
        <w:ind w:firstLine="480"/>
      </w:pPr>
      <w:r>
        <w:t>（五）仲裁机构出具的裁决书或法院出具的裁定书、判决书等生效法律文书（适用于仲裁或诉讼确认损失的方式）；</w:t>
      </w:r>
    </w:p>
    <w:p>
      <w:pPr>
        <w:ind w:firstLine="480"/>
      </w:pPr>
      <w:r>
        <w:t>六、未经保险人书面同意，本保险凭证与保险合同不得转让、质押，否则保险人在本保险凭证与保险合同项下的保险责任自动解除。</w:t>
      </w:r>
    </w:p>
    <w:p>
      <w:pPr>
        <w:ind w:firstLine="480"/>
      </w:pPr>
      <w:r>
        <w:t>七、本保证保险发生争议协商解决不成，向保险人所在地有管辖权的人民法院提起诉讼。</w:t>
      </w:r>
    </w:p>
    <w:p>
      <w:pPr>
        <w:ind w:firstLine="480"/>
      </w:pPr>
      <w:r>
        <w:t>八、本保证保险适用的保险条款为《_______________________》。</w:t>
      </w:r>
    </w:p>
    <w:p>
      <w:pPr>
        <w:ind w:firstLine="480"/>
      </w:pPr>
      <w:r>
        <w:t>九、保险责任免除及其他本保险凭证未载明事宜以保险合同约定为准。</w:t>
      </w:r>
    </w:p>
    <w:p>
      <w:pPr>
        <w:ind w:firstLine="480"/>
      </w:pPr>
      <w:r>
        <w:t>十、本保险凭证自保险人加盖保单专用章起生效。</w:t>
      </w:r>
    </w:p>
    <w:p>
      <w:r>
        <w:t>保证人：__________(盖章)</w:t>
      </w:r>
    </w:p>
    <w:p>
      <w:r>
        <w:t>地址：__________________</w:t>
      </w:r>
    </w:p>
    <w:p>
      <w:r>
        <w:t>电话：__________________</w:t>
      </w:r>
    </w:p>
    <w:p>
      <w:r>
        <w:t>开立日期：____年__月__日</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C765216"/>
    <w:rsid w:val="40E30DA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周惠兴</cp:lastModifiedBy>
  <dcterms:modified xsi:type="dcterms:W3CDTF">2023-11-08T00:52:08Z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