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ordWrap/>
        <w:spacing w:before="0" w:after="0" w:line="560" w:lineRule="exact"/>
        <w:ind w:firstLine="0" w:firstLineChars="0"/>
        <w:jc w:val="center"/>
        <w:rPr>
          <w:rFonts w:hint="eastAsia" w:ascii="方正小标宋简体" w:hAnsi="方正小标宋简体" w:eastAsia="方正小标宋简体" w:cs="方正小标宋简体"/>
          <w:b w:val="0"/>
          <w:bCs w:val="0"/>
          <w:highlight w:val="none"/>
          <w:lang w:val="en-US" w:eastAsia="zh-CN"/>
        </w:rPr>
      </w:pPr>
      <w:bookmarkStart w:id="0" w:name="bookmark0"/>
      <w:bookmarkStart w:id="1" w:name="bookmark1"/>
      <w:r>
        <w:rPr>
          <w:rFonts w:hint="eastAsia" w:ascii="方正小标宋简体" w:hAnsi="方正小标宋简体" w:eastAsia="方正小标宋简体" w:cs="方正小标宋简体"/>
          <w:b w:val="0"/>
          <w:bCs w:val="0"/>
          <w:highlight w:val="none"/>
        </w:rPr>
        <w:t>东莞市</w:t>
      </w:r>
      <w:r>
        <w:rPr>
          <w:rFonts w:hint="eastAsia" w:ascii="方正小标宋简体" w:hAnsi="方正小标宋简体" w:eastAsia="方正小标宋简体" w:cs="方正小标宋简体"/>
          <w:b w:val="0"/>
          <w:bCs w:val="0"/>
          <w:highlight w:val="none"/>
          <w:lang w:val="en-US"/>
        </w:rPr>
        <w:t>公共</w:t>
      </w:r>
      <w:r>
        <w:rPr>
          <w:rFonts w:hint="eastAsia" w:ascii="方正小标宋简体" w:hAnsi="方正小标宋简体" w:eastAsia="方正小标宋简体" w:cs="方正小标宋简体"/>
          <w:b w:val="0"/>
          <w:bCs w:val="0"/>
          <w:highlight w:val="none"/>
        </w:rPr>
        <w:t>数据安全管理</w:t>
      </w:r>
      <w:bookmarkEnd w:id="0"/>
      <w:bookmarkEnd w:id="1"/>
      <w:r>
        <w:rPr>
          <w:rFonts w:hint="eastAsia" w:ascii="方正小标宋简体" w:hAnsi="方正小标宋简体" w:eastAsia="方正小标宋简体" w:cs="方正小标宋简体"/>
          <w:b w:val="0"/>
          <w:bCs w:val="0"/>
          <w:highlight w:val="none"/>
          <w:lang w:val="en-US" w:eastAsia="zh-CN"/>
        </w:rPr>
        <w:t>规定</w:t>
      </w:r>
    </w:p>
    <w:p>
      <w:pPr>
        <w:wordWrap/>
        <w:spacing w:line="600" w:lineRule="exact"/>
        <w:ind w:firstLine="0" w:firstLineChars="0"/>
        <w:jc w:val="center"/>
        <w:rPr>
          <w:rFonts w:ascii="方正小标宋简体" w:hAnsi="方正小标宋简体" w:eastAsia="方正小标宋简体" w:cs="方正小标宋简体"/>
          <w:kern w:val="44"/>
          <w:sz w:val="44"/>
          <w:szCs w:val="44"/>
          <w:highlight w:val="none"/>
        </w:rPr>
      </w:pPr>
      <w:r>
        <w:rPr>
          <w:rFonts w:hint="eastAsia" w:ascii="楷体_GB2312" w:hAnsi="楷体_GB2312" w:eastAsia="楷体_GB2312" w:cs="楷体_GB2312"/>
          <w:sz w:val="32"/>
          <w:szCs w:val="32"/>
          <w:lang w:val="en-US" w:eastAsia="zh-CN"/>
        </w:rPr>
        <w:t>（</w:t>
      </w:r>
      <w:bookmarkStart w:id="3" w:name="_GoBack"/>
      <w:bookmarkEnd w:id="3"/>
      <w:r>
        <w:rPr>
          <w:rFonts w:hint="eastAsia" w:ascii="楷体_GB2312" w:hAnsi="楷体_GB2312" w:eastAsia="楷体_GB2312" w:cs="楷体_GB2312"/>
          <w:sz w:val="32"/>
          <w:szCs w:val="32"/>
          <w:lang w:val="en-US" w:eastAsia="zh-CN"/>
        </w:rPr>
        <w:t>征求意见稿）</w:t>
      </w:r>
    </w:p>
    <w:p>
      <w:pPr>
        <w:pStyle w:val="3"/>
        <w:pageBreakBefore w:val="0"/>
        <w:kinsoku/>
        <w:wordWrap/>
        <w:overflowPunct/>
        <w:topLinePunct w:val="0"/>
        <w:bidi w:val="0"/>
        <w:adjustRightInd/>
        <w:snapToGrid/>
        <w:spacing w:line="600" w:lineRule="exact"/>
        <w:ind w:left="0" w:leftChars="0" w:firstLine="0" w:firstLineChars="0"/>
        <w:jc w:val="center"/>
        <w:textAlignment w:val="auto"/>
        <w:outlineLvl w:val="0"/>
        <w:rPr>
          <w:rFonts w:hint="eastAsia" w:ascii="黑体" w:hAnsi="黑体" w:eastAsia="黑体" w:cs="宋体"/>
          <w:b w:val="0"/>
          <w:bCs w:val="0"/>
          <w:color w:val="auto"/>
          <w:sz w:val="32"/>
          <w:szCs w:val="32"/>
          <w:highlight w:val="none"/>
          <w:lang w:eastAsia="zh-CN" w:bidi="ar-SA"/>
        </w:rPr>
      </w:pPr>
      <w:r>
        <w:rPr>
          <w:rFonts w:hint="eastAsia" w:ascii="黑体" w:hAnsi="黑体" w:eastAsia="黑体" w:cs="宋体"/>
          <w:b w:val="0"/>
          <w:bCs w:val="0"/>
          <w:color w:val="auto"/>
          <w:sz w:val="32"/>
          <w:szCs w:val="32"/>
          <w:highlight w:val="none"/>
          <w:lang w:eastAsia="zh-CN" w:bidi="ar-SA"/>
        </w:rPr>
        <w:t xml:space="preserve">第一章 </w:t>
      </w:r>
      <w:r>
        <w:rPr>
          <w:rFonts w:hint="eastAsia" w:ascii="黑体" w:hAnsi="黑体" w:eastAsia="黑体" w:cs="宋体"/>
          <w:b w:val="0"/>
          <w:bCs w:val="0"/>
          <w:color w:val="auto"/>
          <w:sz w:val="32"/>
          <w:szCs w:val="32"/>
          <w:highlight w:val="none"/>
          <w:lang w:val="en-US" w:eastAsia="zh-CN" w:bidi="ar-SA"/>
        </w:rPr>
        <w:t>总则</w:t>
      </w:r>
    </w:p>
    <w:p>
      <w:pPr>
        <w:pStyle w:val="18"/>
        <w:pageBreakBefore w:val="0"/>
        <w:widowControl w:val="0"/>
        <w:shd w:val="clear" w:color="auto" w:fill="auto"/>
        <w:kinsoku/>
        <w:wordWrap/>
        <w:overflowPunct/>
        <w:topLinePunct w:val="0"/>
        <w:autoSpaceDE/>
        <w:autoSpaceDN/>
        <w:bidi w:val="0"/>
        <w:adjustRightInd/>
        <w:snapToGrid/>
        <w:spacing w:line="600" w:lineRule="exact"/>
        <w:ind w:firstLine="562"/>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第一条（目的依据） 为贯彻落实党中央、国务院有关加强公共数据安全管理的要求，规范公共数据处理活动，保障公共数据安全，促进数据资源有序开发利用，保护个人、组织的合法权益，维护国家主权、安全和发展利益，根据《中华人民共和国网络安全法》《中华人民共和国数据安全法》《中华人民共和国个人信息保护法》《中华人民共和国密码法》《广东省公共数据安全管理规定》《东莞市公共数据管理办法》等法律法规规章及有关文件规定，结合本市实际，制定本规定。</w:t>
      </w:r>
    </w:p>
    <w:p>
      <w:pPr>
        <w:pageBreakBefore w:val="0"/>
        <w:widowControl w:val="0"/>
        <w:shd w:val="clear" w:color="auto" w:fill="FFFFFF"/>
        <w:kinsoku/>
        <w:wordWrap/>
        <w:overflowPunct/>
        <w:topLinePunct w:val="0"/>
        <w:autoSpaceDE/>
        <w:autoSpaceDN/>
        <w:bidi w:val="0"/>
        <w:adjustRightInd/>
        <w:snapToGrid/>
        <w:spacing w:line="600" w:lineRule="exact"/>
        <w:ind w:firstLine="562"/>
        <w:jc w:val="both"/>
        <w:textAlignment w:val="auto"/>
        <w:rPr>
          <w:rFonts w:hint="eastAsia" w:ascii="仿宋_GB2312" w:hAnsi="仿宋_GB2312" w:eastAsia="仿宋_GB2312" w:cs="仿宋_GB2312"/>
          <w:b w:val="0"/>
          <w:bCs w:val="0"/>
          <w:color w:val="auto"/>
          <w:sz w:val="32"/>
          <w:szCs w:val="32"/>
          <w:highlight w:val="none"/>
          <w:lang w:val="zh-CN" w:eastAsia="zh-CN" w:bidi="zh-CN"/>
        </w:rPr>
      </w:pPr>
      <w:r>
        <w:rPr>
          <w:rFonts w:hint="eastAsia" w:ascii="仿宋_GB2312" w:hAnsi="仿宋_GB2312" w:eastAsia="仿宋_GB2312" w:cs="仿宋_GB2312"/>
          <w:b w:val="0"/>
          <w:bCs w:val="0"/>
          <w:color w:val="auto"/>
          <w:sz w:val="32"/>
          <w:szCs w:val="32"/>
          <w:highlight w:val="none"/>
          <w:lang w:val="zh-CN" w:eastAsia="zh-CN" w:bidi="zh-CN"/>
        </w:rPr>
        <w:t>第二条（适用范围） 本市行政区域内行政机关以及具有公共事务管理和公共服务职能的组织（以下统称“公共管理和服务机构”）开展公共数据处理活动及其安全监管，适用本规定。</w:t>
      </w:r>
    </w:p>
    <w:p>
      <w:pPr>
        <w:pageBreakBefore w:val="0"/>
        <w:widowControl w:val="0"/>
        <w:shd w:val="clear" w:color="auto" w:fill="FFFFFF"/>
        <w:kinsoku/>
        <w:wordWrap/>
        <w:overflowPunct/>
        <w:topLinePunct w:val="0"/>
        <w:autoSpaceDE/>
        <w:autoSpaceDN/>
        <w:bidi w:val="0"/>
        <w:adjustRightInd/>
        <w:snapToGrid/>
        <w:spacing w:line="600" w:lineRule="exact"/>
        <w:ind w:firstLine="562"/>
        <w:jc w:val="both"/>
        <w:textAlignment w:val="auto"/>
        <w:rPr>
          <w:rFonts w:hint="eastAsia" w:ascii="仿宋_GB2312" w:hAnsi="仿宋_GB2312" w:eastAsia="仿宋_GB2312" w:cs="仿宋_GB2312"/>
          <w:b w:val="0"/>
          <w:bCs w:val="0"/>
          <w:color w:val="auto"/>
          <w:sz w:val="32"/>
          <w:szCs w:val="32"/>
          <w:highlight w:val="none"/>
          <w:lang w:val="zh-CN" w:eastAsia="zh-CN" w:bidi="zh-CN"/>
        </w:rPr>
      </w:pPr>
      <w:r>
        <w:rPr>
          <w:rFonts w:hint="eastAsia" w:ascii="仿宋_GB2312" w:hAnsi="仿宋_GB2312" w:eastAsia="仿宋_GB2312" w:cs="仿宋_GB2312"/>
          <w:b w:val="0"/>
          <w:bCs w:val="0"/>
          <w:color w:val="auto"/>
          <w:sz w:val="32"/>
          <w:szCs w:val="32"/>
          <w:highlight w:val="none"/>
          <w:lang w:val="zh-CN" w:eastAsia="zh-CN" w:bidi="zh-CN"/>
        </w:rPr>
        <w:t>公共数据，是指公共管理和服务机构依法履行职责、提供公共服务过程中制作或者获取的，以电子或者非电子形式对信息的记录。</w:t>
      </w:r>
    </w:p>
    <w:p>
      <w:pPr>
        <w:pageBreakBefore w:val="0"/>
        <w:widowControl w:val="0"/>
        <w:shd w:val="clear" w:color="auto" w:fill="FFFFFF"/>
        <w:kinsoku/>
        <w:wordWrap/>
        <w:overflowPunct/>
        <w:topLinePunct w:val="0"/>
        <w:autoSpaceDE/>
        <w:autoSpaceDN/>
        <w:bidi w:val="0"/>
        <w:adjustRightInd/>
        <w:snapToGrid/>
        <w:spacing w:line="600" w:lineRule="exact"/>
        <w:ind w:firstLine="562"/>
        <w:jc w:val="both"/>
        <w:textAlignment w:val="auto"/>
        <w:rPr>
          <w:rFonts w:hint="eastAsia" w:ascii="仿宋_GB2312" w:hAnsi="仿宋_GB2312" w:eastAsia="仿宋_GB2312" w:cs="仿宋_GB2312"/>
          <w:b w:val="0"/>
          <w:bCs w:val="0"/>
          <w:color w:val="auto"/>
          <w:sz w:val="32"/>
          <w:szCs w:val="32"/>
          <w:highlight w:val="none"/>
          <w:lang w:val="zh-CN" w:eastAsia="zh-CN" w:bidi="zh-CN"/>
        </w:rPr>
      </w:pPr>
      <w:r>
        <w:rPr>
          <w:rFonts w:hint="eastAsia" w:ascii="仿宋_GB2312" w:hAnsi="仿宋_GB2312" w:eastAsia="仿宋_GB2312" w:cs="仿宋_GB2312"/>
          <w:b w:val="0"/>
          <w:bCs w:val="0"/>
          <w:color w:val="auto"/>
          <w:sz w:val="32"/>
          <w:szCs w:val="32"/>
          <w:highlight w:val="none"/>
          <w:lang w:val="zh-CN" w:eastAsia="zh-CN" w:bidi="zh-CN"/>
        </w:rPr>
        <w:t>公共数据安全，是指通过采取必要措施，确保公共数据处于有效保护和合法利用的状态，以及具备保障持续安全状态的能力。</w:t>
      </w:r>
    </w:p>
    <w:p>
      <w:pPr>
        <w:pageBreakBefore w:val="0"/>
        <w:widowControl w:val="0"/>
        <w:shd w:val="clear" w:color="auto" w:fill="FFFFFF"/>
        <w:kinsoku/>
        <w:wordWrap/>
        <w:overflowPunct/>
        <w:topLinePunct w:val="0"/>
        <w:autoSpaceDE/>
        <w:autoSpaceDN/>
        <w:bidi w:val="0"/>
        <w:adjustRightInd/>
        <w:snapToGrid/>
        <w:spacing w:line="600" w:lineRule="exact"/>
        <w:ind w:firstLine="562"/>
        <w:jc w:val="both"/>
        <w:textAlignment w:val="auto"/>
        <w:rPr>
          <w:rFonts w:hint="eastAsia" w:ascii="仿宋_GB2312" w:hAnsi="仿宋_GB2312" w:eastAsia="仿宋_GB2312" w:cs="仿宋_GB2312"/>
          <w:b w:val="0"/>
          <w:bCs w:val="0"/>
          <w:color w:val="auto"/>
          <w:sz w:val="32"/>
          <w:szCs w:val="32"/>
          <w:highlight w:val="none"/>
          <w:lang w:val="zh-CN" w:eastAsia="zh-CN" w:bidi="zh-CN"/>
        </w:rPr>
      </w:pPr>
      <w:r>
        <w:rPr>
          <w:rFonts w:hint="eastAsia" w:ascii="仿宋_GB2312" w:hAnsi="仿宋_GB2312" w:eastAsia="仿宋_GB2312" w:cs="仿宋_GB2312"/>
          <w:b w:val="0"/>
          <w:bCs w:val="0"/>
          <w:color w:val="auto"/>
          <w:sz w:val="32"/>
          <w:szCs w:val="32"/>
          <w:highlight w:val="none"/>
          <w:lang w:val="zh-CN" w:eastAsia="zh-CN" w:bidi="zh-CN"/>
        </w:rPr>
        <w:t>涉及国家秘密、商业秘密、个人信息的，按照相关法律、法规、规章的规定执行。</w:t>
      </w:r>
    </w:p>
    <w:p>
      <w:pPr>
        <w:pageBreakBefore w:val="0"/>
        <w:widowControl w:val="0"/>
        <w:shd w:val="clear" w:color="auto" w:fill="FFFFFF"/>
        <w:kinsoku/>
        <w:wordWrap/>
        <w:overflowPunct/>
        <w:topLinePunct w:val="0"/>
        <w:autoSpaceDE/>
        <w:autoSpaceDN/>
        <w:bidi w:val="0"/>
        <w:adjustRightInd/>
        <w:snapToGrid/>
        <w:spacing w:line="600" w:lineRule="exact"/>
        <w:ind w:firstLine="562"/>
        <w:jc w:val="both"/>
        <w:textAlignment w:val="auto"/>
        <w:rPr>
          <w:rFonts w:hint="eastAsia" w:ascii="仿宋_GB2312" w:hAnsi="仿宋_GB2312" w:eastAsia="仿宋_GB2312" w:cs="仿宋_GB2312"/>
          <w:b w:val="0"/>
          <w:bCs w:val="0"/>
          <w:color w:val="auto"/>
          <w:sz w:val="32"/>
          <w:szCs w:val="32"/>
          <w:highlight w:val="none"/>
          <w:lang w:val="zh-CN" w:eastAsia="zh-CN" w:bidi="zh-CN"/>
        </w:rPr>
      </w:pPr>
      <w:r>
        <w:rPr>
          <w:rFonts w:hint="eastAsia" w:ascii="仿宋_GB2312" w:hAnsi="仿宋_GB2312" w:eastAsia="仿宋_GB2312" w:cs="仿宋_GB2312"/>
          <w:b w:val="0"/>
          <w:bCs w:val="0"/>
          <w:color w:val="auto"/>
          <w:sz w:val="32"/>
          <w:szCs w:val="32"/>
          <w:highlight w:val="none"/>
          <w:lang w:val="zh-CN" w:eastAsia="zh-CN" w:bidi="zh-CN"/>
        </w:rPr>
        <w:t>第三条（基本原则） 公共数据安全管理应当坚持安全与发展并重，遵循统筹规划、权责明确、综合防范的原则，保障公共数据依法开放、共享和开发利用。</w:t>
      </w:r>
    </w:p>
    <w:p>
      <w:pPr>
        <w:pStyle w:val="18"/>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第四条</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人民政府</w:t>
      </w:r>
      <w:r>
        <w:rPr>
          <w:rFonts w:hint="eastAsia" w:ascii="仿宋_GB2312" w:hAnsi="仿宋_GB2312" w:eastAsia="仿宋_GB2312" w:cs="仿宋_GB2312"/>
          <w:b w:val="0"/>
          <w:bCs w:val="0"/>
          <w:sz w:val="32"/>
          <w:szCs w:val="32"/>
          <w:highlight w:val="none"/>
        </w:rPr>
        <w:t xml:space="preserve">职责） </w:t>
      </w:r>
      <w:r>
        <w:rPr>
          <w:rFonts w:hint="eastAsia" w:ascii="仿宋_GB2312" w:hAnsi="仿宋_GB2312" w:eastAsia="仿宋_GB2312" w:cs="仿宋_GB2312"/>
          <w:b w:val="0"/>
          <w:bCs w:val="0"/>
          <w:sz w:val="32"/>
          <w:szCs w:val="32"/>
          <w:highlight w:val="none"/>
          <w:lang w:val="en-US" w:eastAsia="zh-CN"/>
        </w:rPr>
        <w:t>市人民政府负责组织领导本行政区域内公共数据安全管理工作，协调解决与公共数据安全管理相关的重大问题。</w:t>
      </w:r>
    </w:p>
    <w:p>
      <w:pPr>
        <w:pStyle w:val="18"/>
        <w:pageBreakBefore w:val="0"/>
        <w:widowControl w:val="0"/>
        <w:kinsoku/>
        <w:wordWrap/>
        <w:overflowPunct/>
        <w:topLinePunct w:val="0"/>
        <w:autoSpaceDE/>
        <w:autoSpaceDN/>
        <w:bidi w:val="0"/>
        <w:adjustRightInd/>
        <w:snapToGrid/>
        <w:spacing w:line="600" w:lineRule="exact"/>
        <w:ind w:firstLine="56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第</w:t>
      </w:r>
      <w:r>
        <w:rPr>
          <w:rFonts w:hint="eastAsia" w:ascii="仿宋_GB2312" w:hAnsi="仿宋_GB2312" w:eastAsia="仿宋_GB2312" w:cs="仿宋_GB2312"/>
          <w:b w:val="0"/>
          <w:bCs w:val="0"/>
          <w:sz w:val="32"/>
          <w:szCs w:val="32"/>
          <w:highlight w:val="none"/>
          <w:lang w:val="en-US" w:eastAsia="zh-CN"/>
        </w:rPr>
        <w:t>五</w:t>
      </w:r>
      <w:r>
        <w:rPr>
          <w:rFonts w:hint="eastAsia" w:ascii="仿宋_GB2312" w:hAnsi="仿宋_GB2312" w:eastAsia="仿宋_GB2312" w:cs="仿宋_GB2312"/>
          <w:b w:val="0"/>
          <w:bCs w:val="0"/>
          <w:sz w:val="32"/>
          <w:szCs w:val="32"/>
          <w:highlight w:val="none"/>
        </w:rPr>
        <w:t>条（主管部门职责） 政务服务数据管理部门作为公共数据主管部门，负责统筹本行政区域内公共数据安全管理工作，健全公共数据安全工作机制，建立公共数据处理平台登记、分类分级、风险管理等机制，指导监督公共管理和服务机构落实相关工作要求，承担政务服务领域公共数据安全监管职责。</w:t>
      </w:r>
    </w:p>
    <w:p>
      <w:pPr>
        <w:pStyle w:val="18"/>
        <w:pageBreakBefore w:val="0"/>
        <w:widowControl w:val="0"/>
        <w:kinsoku/>
        <w:wordWrap/>
        <w:overflowPunct/>
        <w:topLinePunct w:val="0"/>
        <w:autoSpaceDE/>
        <w:autoSpaceDN/>
        <w:bidi w:val="0"/>
        <w:adjustRightInd/>
        <w:snapToGrid/>
        <w:spacing w:line="600" w:lineRule="exact"/>
        <w:ind w:firstLine="56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网信部门负责统筹协调网络数据安全和相关监督管理工作。</w:t>
      </w:r>
    </w:p>
    <w:p>
      <w:pPr>
        <w:pStyle w:val="18"/>
        <w:pageBreakBefore w:val="0"/>
        <w:widowControl w:val="0"/>
        <w:kinsoku/>
        <w:wordWrap/>
        <w:overflowPunct/>
        <w:topLinePunct w:val="0"/>
        <w:autoSpaceDE/>
        <w:autoSpaceDN/>
        <w:bidi w:val="0"/>
        <w:adjustRightInd/>
        <w:snapToGrid/>
        <w:spacing w:line="600" w:lineRule="exact"/>
        <w:ind w:firstLine="56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公安、国家安全机关负责数据安全保护监督检查和违法行为查处等监督管理工作。</w:t>
      </w:r>
    </w:p>
    <w:p>
      <w:pPr>
        <w:pStyle w:val="18"/>
        <w:pageBreakBefore w:val="0"/>
        <w:widowControl w:val="0"/>
        <w:kinsoku/>
        <w:wordWrap/>
        <w:overflowPunct/>
        <w:topLinePunct w:val="0"/>
        <w:autoSpaceDE/>
        <w:autoSpaceDN/>
        <w:bidi w:val="0"/>
        <w:adjustRightInd/>
        <w:snapToGrid/>
        <w:spacing w:line="600" w:lineRule="exact"/>
        <w:ind w:firstLine="56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保密行政管理部门负责指导和监督公共管理和服务机构开展保密宣传教育、保密检查、保密技术防护和泄密案件查处等保密工作</w:t>
      </w:r>
      <w:r>
        <w:rPr>
          <w:rFonts w:hint="eastAsia" w:ascii="仿宋_GB2312" w:hAnsi="仿宋_GB2312" w:eastAsia="仿宋_GB2312" w:cs="仿宋_GB2312"/>
          <w:b w:val="0"/>
          <w:bCs w:val="0"/>
          <w:sz w:val="32"/>
          <w:szCs w:val="32"/>
          <w:highlight w:val="none"/>
          <w:lang w:eastAsia="zh-CN"/>
        </w:rPr>
        <w:t>。</w:t>
      </w:r>
    </w:p>
    <w:p>
      <w:pPr>
        <w:pStyle w:val="18"/>
        <w:pageBreakBefore w:val="0"/>
        <w:widowControl w:val="0"/>
        <w:kinsoku/>
        <w:wordWrap/>
        <w:overflowPunct/>
        <w:topLinePunct w:val="0"/>
        <w:autoSpaceDE/>
        <w:autoSpaceDN/>
        <w:bidi w:val="0"/>
        <w:adjustRightInd/>
        <w:snapToGrid/>
        <w:spacing w:line="600" w:lineRule="exact"/>
        <w:ind w:firstLine="56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密码管理部门</w:t>
      </w:r>
      <w:r>
        <w:rPr>
          <w:rFonts w:hint="eastAsia" w:ascii="仿宋_GB2312" w:hAnsi="仿宋_GB2312" w:eastAsia="仿宋_GB2312" w:cs="仿宋_GB2312"/>
          <w:b w:val="0"/>
          <w:bCs w:val="0"/>
          <w:sz w:val="32"/>
          <w:szCs w:val="32"/>
          <w:highlight w:val="none"/>
        </w:rPr>
        <w:t>负责密码保障体系规划和管理、密码失泄密事件和违法行为查处等密码监督管理工作。</w:t>
      </w:r>
    </w:p>
    <w:p>
      <w:pPr>
        <w:pStyle w:val="18"/>
        <w:pageBreakBefore w:val="0"/>
        <w:widowControl w:val="0"/>
        <w:kinsoku/>
        <w:wordWrap/>
        <w:overflowPunct/>
        <w:topLinePunct w:val="0"/>
        <w:autoSpaceDE/>
        <w:autoSpaceDN/>
        <w:bidi w:val="0"/>
        <w:adjustRightInd/>
        <w:snapToGrid/>
        <w:spacing w:line="600" w:lineRule="exact"/>
        <w:ind w:firstLine="56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教育、工业和信息化、自然资源、交通、卫生健康、金融等主管部门承担本行业、本领域公共数据安全监管职责</w:t>
      </w:r>
      <w:r>
        <w:rPr>
          <w:rFonts w:hint="eastAsia" w:ascii="仿宋_GB2312" w:hAnsi="仿宋_GB2312" w:eastAsia="仿宋_GB2312" w:cs="仿宋_GB2312"/>
          <w:b w:val="0"/>
          <w:bCs w:val="0"/>
          <w:sz w:val="32"/>
          <w:szCs w:val="32"/>
          <w:highlight w:val="none"/>
          <w:lang w:val="en-US" w:eastAsia="zh-CN"/>
        </w:rPr>
        <w:t>。</w:t>
      </w:r>
    </w:p>
    <w:p>
      <w:pPr>
        <w:pStyle w:val="18"/>
        <w:pageBreakBefore w:val="0"/>
        <w:widowControl w:val="0"/>
        <w:kinsoku/>
        <w:wordWrap/>
        <w:overflowPunct/>
        <w:topLinePunct w:val="0"/>
        <w:autoSpaceDE/>
        <w:autoSpaceDN/>
        <w:bidi w:val="0"/>
        <w:adjustRightInd/>
        <w:snapToGrid/>
        <w:spacing w:line="600" w:lineRule="exact"/>
        <w:ind w:firstLine="56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第六条（</w:t>
      </w:r>
      <w:r>
        <w:rPr>
          <w:rFonts w:hint="eastAsia" w:ascii="仿宋_GB2312" w:hAnsi="仿宋_GB2312" w:eastAsia="仿宋_GB2312" w:cs="仿宋_GB2312"/>
          <w:b w:val="0"/>
          <w:bCs w:val="0"/>
          <w:sz w:val="32"/>
          <w:szCs w:val="32"/>
          <w:highlight w:val="none"/>
          <w:lang w:val="en-US" w:eastAsia="zh-CN"/>
        </w:rPr>
        <w:t>公共管理和服务机构</w:t>
      </w:r>
      <w:r>
        <w:rPr>
          <w:rFonts w:hint="eastAsia" w:ascii="仿宋_GB2312" w:hAnsi="仿宋_GB2312" w:eastAsia="仿宋_GB2312" w:cs="仿宋_GB2312"/>
          <w:b w:val="0"/>
          <w:bCs w:val="0"/>
          <w:sz w:val="32"/>
          <w:szCs w:val="32"/>
          <w:highlight w:val="none"/>
        </w:rPr>
        <w:t>职责</w:t>
      </w:r>
      <w:r>
        <w:rPr>
          <w:rFonts w:hint="eastAsia" w:ascii="仿宋_GB2312" w:hAnsi="仿宋_GB2312" w:eastAsia="仿宋_GB2312" w:cs="仿宋_GB2312"/>
          <w:b w:val="0"/>
          <w:bCs w:val="0"/>
          <w:color w:val="auto"/>
          <w:sz w:val="32"/>
          <w:szCs w:val="32"/>
          <w:highlight w:val="none"/>
          <w:lang w:val="zh-CN" w:eastAsia="zh-CN" w:bidi="zh-CN"/>
        </w:rPr>
        <w:t xml:space="preserve">） </w:t>
      </w:r>
      <w:r>
        <w:rPr>
          <w:rFonts w:hint="eastAsia" w:ascii="仿宋_GB2312" w:hAnsi="仿宋_GB2312" w:eastAsia="仿宋_GB2312" w:cs="仿宋_GB2312"/>
          <w:b w:val="0"/>
          <w:bCs w:val="0"/>
          <w:sz w:val="32"/>
          <w:szCs w:val="32"/>
          <w:highlight w:val="none"/>
        </w:rPr>
        <w:t>公共管理和服务机构是本机构公共数据安全管理的责任主体，负责下列工作：</w:t>
      </w:r>
    </w:p>
    <w:p>
      <w:pPr>
        <w:pStyle w:val="18"/>
        <w:pageBreakBefore w:val="0"/>
        <w:widowControl w:val="0"/>
        <w:kinsoku/>
        <w:wordWrap/>
        <w:overflowPunct/>
        <w:topLinePunct w:val="0"/>
        <w:autoSpaceDE/>
        <w:autoSpaceDN/>
        <w:bidi w:val="0"/>
        <w:adjustRightInd/>
        <w:snapToGrid/>
        <w:spacing w:line="600" w:lineRule="exact"/>
        <w:ind w:firstLine="56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(一)明确公共数据安全管理的目标、制度、责任人和具体负责部门；</w:t>
      </w:r>
    </w:p>
    <w:p>
      <w:pPr>
        <w:pStyle w:val="18"/>
        <w:pageBreakBefore w:val="0"/>
        <w:widowControl w:val="0"/>
        <w:kinsoku/>
        <w:wordWrap/>
        <w:overflowPunct/>
        <w:topLinePunct w:val="0"/>
        <w:autoSpaceDE/>
        <w:autoSpaceDN/>
        <w:bidi w:val="0"/>
        <w:adjustRightInd/>
        <w:snapToGrid/>
        <w:spacing w:line="600" w:lineRule="exact"/>
        <w:ind w:firstLine="56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 编制本机构的公共数据资源目录；</w:t>
      </w:r>
    </w:p>
    <w:p>
      <w:pPr>
        <w:pStyle w:val="18"/>
        <w:pageBreakBefore w:val="0"/>
        <w:widowControl w:val="0"/>
        <w:kinsoku/>
        <w:wordWrap/>
        <w:overflowPunct/>
        <w:topLinePunct w:val="0"/>
        <w:autoSpaceDE/>
        <w:autoSpaceDN/>
        <w:bidi w:val="0"/>
        <w:adjustRightInd/>
        <w:snapToGrid/>
        <w:spacing w:line="600" w:lineRule="exact"/>
        <w:ind w:firstLine="56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 保障本机构公共数据安全；</w:t>
      </w:r>
    </w:p>
    <w:p>
      <w:pPr>
        <w:pStyle w:val="18"/>
        <w:pageBreakBefore w:val="0"/>
        <w:widowControl w:val="0"/>
        <w:kinsoku/>
        <w:wordWrap/>
        <w:overflowPunct/>
        <w:topLinePunct w:val="0"/>
        <w:autoSpaceDE/>
        <w:autoSpaceDN/>
        <w:bidi w:val="0"/>
        <w:adjustRightInd/>
        <w:snapToGrid/>
        <w:spacing w:line="600" w:lineRule="exact"/>
        <w:ind w:firstLine="56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 法律、法规、规章规定的其他公共数据安全管理职责。</w:t>
      </w:r>
    </w:p>
    <w:p>
      <w:pPr>
        <w:pageBreakBefore w:val="0"/>
        <w:widowControl w:val="0"/>
        <w:shd w:val="clear" w:color="auto" w:fill="FFFFFF"/>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highlight w:val="none"/>
          <w:lang w:val="zh-CN" w:eastAsia="zh-CN" w:bidi="zh-CN"/>
        </w:rPr>
      </w:pPr>
      <w:r>
        <w:rPr>
          <w:rFonts w:hint="eastAsia" w:ascii="仿宋_GB2312" w:hAnsi="仿宋_GB2312" w:eastAsia="仿宋_GB2312" w:cs="仿宋_GB2312"/>
          <w:b w:val="0"/>
          <w:bCs w:val="0"/>
          <w:color w:val="000000"/>
          <w:sz w:val="32"/>
          <w:szCs w:val="32"/>
          <w:highlight w:val="none"/>
          <w:lang w:val="zh-CN" w:bidi="zh-CN"/>
        </w:rPr>
        <w:t>第</w:t>
      </w:r>
      <w:r>
        <w:rPr>
          <w:rFonts w:hint="eastAsia" w:ascii="仿宋_GB2312" w:hAnsi="仿宋_GB2312" w:eastAsia="仿宋_GB2312" w:cs="仿宋_GB2312"/>
          <w:b w:val="0"/>
          <w:bCs w:val="0"/>
          <w:color w:val="000000"/>
          <w:sz w:val="32"/>
          <w:szCs w:val="32"/>
          <w:highlight w:val="none"/>
          <w:lang w:val="en-US" w:bidi="zh-CN"/>
        </w:rPr>
        <w:t>七</w:t>
      </w:r>
      <w:r>
        <w:rPr>
          <w:rFonts w:hint="eastAsia" w:ascii="仿宋_GB2312" w:hAnsi="仿宋_GB2312" w:eastAsia="仿宋_GB2312" w:cs="仿宋_GB2312"/>
          <w:b w:val="0"/>
          <w:bCs w:val="0"/>
          <w:color w:val="000000"/>
          <w:sz w:val="32"/>
          <w:szCs w:val="32"/>
          <w:highlight w:val="none"/>
          <w:lang w:val="zh-CN" w:bidi="zh-CN"/>
        </w:rPr>
        <w:t>条（</w:t>
      </w:r>
      <w:r>
        <w:rPr>
          <w:rFonts w:hint="eastAsia" w:ascii="仿宋_GB2312" w:hAnsi="仿宋_GB2312" w:eastAsia="仿宋_GB2312" w:cs="仿宋_GB2312"/>
          <w:b w:val="0"/>
          <w:bCs w:val="0"/>
          <w:color w:val="000000"/>
          <w:sz w:val="32"/>
          <w:szCs w:val="32"/>
          <w:highlight w:val="none"/>
          <w:lang w:val="en-US" w:bidi="zh-CN"/>
        </w:rPr>
        <w:t>镇街（园区）职责</w:t>
      </w:r>
      <w:r>
        <w:rPr>
          <w:rFonts w:hint="eastAsia" w:ascii="仿宋_GB2312" w:hAnsi="仿宋_GB2312" w:eastAsia="仿宋_GB2312" w:cs="仿宋_GB2312"/>
          <w:b w:val="0"/>
          <w:bCs w:val="0"/>
          <w:color w:val="000000"/>
          <w:sz w:val="32"/>
          <w:szCs w:val="32"/>
          <w:highlight w:val="none"/>
          <w:lang w:val="zh-CN" w:bidi="zh-CN"/>
        </w:rPr>
        <w:t>）</w:t>
      </w:r>
      <w:r>
        <w:rPr>
          <w:rFonts w:hint="eastAsia" w:ascii="仿宋_GB2312" w:hAnsi="仿宋_GB2312" w:eastAsia="仿宋_GB2312" w:cs="仿宋_GB2312"/>
          <w:b w:val="0"/>
          <w:bCs w:val="0"/>
          <w:color w:val="000000"/>
          <w:sz w:val="32"/>
          <w:szCs w:val="32"/>
          <w:highlight w:val="none"/>
          <w:lang w:val="zh-CN" w:eastAsia="zh-CN" w:bidi="zh-CN"/>
        </w:rPr>
        <w:t xml:space="preserve"> </w:t>
      </w:r>
      <w:r>
        <w:rPr>
          <w:rFonts w:hint="eastAsia" w:ascii="仿宋_GB2312" w:hAnsi="仿宋_GB2312" w:eastAsia="仿宋_GB2312" w:cs="仿宋_GB2312"/>
          <w:b w:val="0"/>
          <w:bCs w:val="0"/>
          <w:color w:val="000000"/>
          <w:sz w:val="32"/>
          <w:szCs w:val="32"/>
          <w:highlight w:val="none"/>
          <w:lang w:val="en-US" w:eastAsia="zh-CN" w:bidi="zh-CN"/>
        </w:rPr>
        <w:t>镇人民政府、街道办事处、管委会统称为镇街（园区），应当明确本单位的公共数据管理机构，以行政区划或者工作区域作为一级公共管理和服务机构，参照第六条履行职责</w:t>
      </w:r>
      <w:r>
        <w:rPr>
          <w:rFonts w:hint="eastAsia" w:ascii="仿宋_GB2312" w:hAnsi="仿宋_GB2312" w:eastAsia="仿宋_GB2312" w:cs="仿宋_GB2312"/>
          <w:b w:val="0"/>
          <w:bCs w:val="0"/>
          <w:color w:val="000000"/>
          <w:sz w:val="32"/>
          <w:szCs w:val="32"/>
          <w:highlight w:val="none"/>
          <w:lang w:val="zh-CN" w:eastAsia="zh-CN" w:bidi="zh-CN"/>
        </w:rPr>
        <w:t>。</w:t>
      </w:r>
    </w:p>
    <w:p>
      <w:pPr>
        <w:pStyle w:val="3"/>
        <w:pageBreakBefore w:val="0"/>
        <w:kinsoku/>
        <w:wordWrap/>
        <w:overflowPunct/>
        <w:topLinePunct w:val="0"/>
        <w:bidi w:val="0"/>
        <w:adjustRightInd/>
        <w:snapToGrid/>
        <w:spacing w:line="600" w:lineRule="exact"/>
        <w:ind w:left="0" w:leftChars="0" w:firstLine="0" w:firstLineChars="0"/>
        <w:jc w:val="center"/>
        <w:textAlignment w:val="auto"/>
        <w:outlineLvl w:val="0"/>
        <w:rPr>
          <w:rFonts w:hint="eastAsia" w:ascii="黑体" w:hAnsi="黑体" w:eastAsia="黑体" w:cs="宋体"/>
          <w:b w:val="0"/>
          <w:bCs w:val="0"/>
          <w:color w:val="auto"/>
          <w:sz w:val="32"/>
          <w:szCs w:val="32"/>
          <w:highlight w:val="none"/>
          <w:lang w:eastAsia="zh-CN" w:bidi="ar-SA"/>
        </w:rPr>
      </w:pPr>
      <w:r>
        <w:rPr>
          <w:rFonts w:hint="eastAsia" w:ascii="黑体" w:hAnsi="黑体" w:eastAsia="黑体" w:cs="宋体"/>
          <w:b w:val="0"/>
          <w:bCs w:val="0"/>
          <w:color w:val="auto"/>
          <w:sz w:val="32"/>
          <w:szCs w:val="32"/>
          <w:highlight w:val="none"/>
          <w:lang w:eastAsia="zh-CN" w:bidi="ar-SA"/>
        </w:rPr>
        <w:t>第二章 数据安全机制</w:t>
      </w:r>
    </w:p>
    <w:p>
      <w:pPr>
        <w:pStyle w:val="18"/>
        <w:pageBreakBefore w:val="0"/>
        <w:widowControl w:val="0"/>
        <w:shd w:val="clear" w:color="auto" w:fill="FFFFFF"/>
        <w:kinsoku/>
        <w:wordWrap/>
        <w:overflowPunct/>
        <w:topLinePunct w:val="0"/>
        <w:autoSpaceDE/>
        <w:autoSpaceDN/>
        <w:bidi w:val="0"/>
        <w:adjustRightInd/>
        <w:snapToGrid/>
        <w:spacing w:line="600" w:lineRule="exact"/>
        <w:ind w:firstLine="56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第</w:t>
      </w:r>
      <w:r>
        <w:rPr>
          <w:rFonts w:hint="eastAsia" w:ascii="仿宋_GB2312" w:hAnsi="仿宋_GB2312" w:eastAsia="仿宋_GB2312" w:cs="仿宋_GB2312"/>
          <w:b w:val="0"/>
          <w:bCs w:val="0"/>
          <w:sz w:val="32"/>
          <w:szCs w:val="32"/>
          <w:highlight w:val="none"/>
          <w:lang w:val="en-US" w:eastAsia="zh-CN"/>
        </w:rPr>
        <w:t>八</w:t>
      </w:r>
      <w:r>
        <w:rPr>
          <w:rFonts w:hint="eastAsia" w:ascii="仿宋_GB2312" w:hAnsi="仿宋_GB2312" w:eastAsia="仿宋_GB2312" w:cs="仿宋_GB2312"/>
          <w:b w:val="0"/>
          <w:bCs w:val="0"/>
          <w:sz w:val="32"/>
          <w:szCs w:val="32"/>
          <w:highlight w:val="none"/>
        </w:rPr>
        <w:t>条（数据平台登记制度） 公共数据主管部门应当建立公共数据处理系统登记制度。公共管理和服务机构应当对本机构的公共数据资产进行梳理，形成公共数据资产清单，并将公共数据处理系统涉及管理机构、数据资源、数据安全负责人、数据安全保障措施、数据安全评估结果、数据安全审计结论、网络安全等级保护、密码应用情况等基本信息报送公共数据主管部门登记。</w:t>
      </w:r>
    </w:p>
    <w:p>
      <w:pPr>
        <w:pStyle w:val="18"/>
        <w:pageBreakBefore w:val="0"/>
        <w:widowControl w:val="0"/>
        <w:shd w:val="clear" w:color="auto" w:fill="FFFFFF"/>
        <w:kinsoku/>
        <w:wordWrap/>
        <w:overflowPunct/>
        <w:topLinePunct w:val="0"/>
        <w:autoSpaceDE/>
        <w:autoSpaceDN/>
        <w:bidi w:val="0"/>
        <w:adjustRightInd/>
        <w:snapToGrid/>
        <w:spacing w:line="600" w:lineRule="exact"/>
        <w:ind w:firstLine="56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公共管理和服务机构应当定期对本机构的数据资产清单进行更新，因承载公共数据处理活动的系统关闭或发生变更，可能影响公共数据安全保护的，公共管理和服务机构应当自变化之日起15个工作日内向公共数据主管部门申请撤销或变更登记。</w:t>
      </w:r>
    </w:p>
    <w:p>
      <w:pPr>
        <w:pStyle w:val="18"/>
        <w:pageBreakBefore w:val="0"/>
        <w:widowControl w:val="0"/>
        <w:kinsoku/>
        <w:wordWrap/>
        <w:overflowPunct/>
        <w:topLinePunct w:val="0"/>
        <w:autoSpaceDE/>
        <w:autoSpaceDN/>
        <w:bidi w:val="0"/>
        <w:adjustRightInd/>
        <w:snapToGrid/>
        <w:spacing w:line="600" w:lineRule="exact"/>
        <w:ind w:firstLine="562"/>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第</w:t>
      </w:r>
      <w:r>
        <w:rPr>
          <w:rFonts w:hint="eastAsia" w:ascii="仿宋_GB2312" w:hAnsi="仿宋_GB2312" w:eastAsia="仿宋_GB2312" w:cs="仿宋_GB2312"/>
          <w:b w:val="0"/>
          <w:bCs w:val="0"/>
          <w:sz w:val="32"/>
          <w:szCs w:val="32"/>
          <w:highlight w:val="none"/>
          <w:lang w:val="en-US" w:eastAsia="zh-CN"/>
        </w:rPr>
        <w:t>九</w:t>
      </w:r>
      <w:r>
        <w:rPr>
          <w:rFonts w:hint="eastAsia" w:ascii="仿宋_GB2312" w:hAnsi="仿宋_GB2312" w:eastAsia="仿宋_GB2312" w:cs="仿宋_GB2312"/>
          <w:b w:val="0"/>
          <w:bCs w:val="0"/>
          <w:sz w:val="32"/>
          <w:szCs w:val="32"/>
          <w:highlight w:val="none"/>
        </w:rPr>
        <w:t>条（数据分类分级规则） 公共数据主管部门应当根据国家、省公共数据分类分级相关规定，完善公共数据分类分级管理制度。</w:t>
      </w:r>
    </w:p>
    <w:p>
      <w:pPr>
        <w:pStyle w:val="18"/>
        <w:pageBreakBefore w:val="0"/>
        <w:widowControl w:val="0"/>
        <w:kinsoku/>
        <w:wordWrap/>
        <w:overflowPunct/>
        <w:topLinePunct w:val="0"/>
        <w:autoSpaceDE/>
        <w:autoSpaceDN/>
        <w:bidi w:val="0"/>
        <w:adjustRightInd/>
        <w:snapToGrid/>
        <w:spacing w:line="600" w:lineRule="exact"/>
        <w:ind w:firstLine="562"/>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行业主管部门应当根据上级主管部门和市公共数据主管部门对公共数据分类分级的相关规定，开展本</w:t>
      </w:r>
      <w:r>
        <w:rPr>
          <w:rFonts w:hint="eastAsia" w:ascii="仿宋_GB2312" w:hAnsi="仿宋_GB2312" w:eastAsia="仿宋_GB2312" w:cs="仿宋_GB2312"/>
          <w:b w:val="0"/>
          <w:bCs w:val="0"/>
          <w:sz w:val="32"/>
          <w:szCs w:val="32"/>
          <w:highlight w:val="none"/>
          <w:lang w:val="en-US" w:eastAsia="zh-CN"/>
        </w:rPr>
        <w:t>行业公共</w:t>
      </w:r>
      <w:r>
        <w:rPr>
          <w:rFonts w:hint="eastAsia" w:ascii="仿宋_GB2312" w:hAnsi="仿宋_GB2312" w:eastAsia="仿宋_GB2312" w:cs="仿宋_GB2312"/>
          <w:b w:val="0"/>
          <w:bCs w:val="0"/>
          <w:sz w:val="32"/>
          <w:szCs w:val="32"/>
          <w:highlight w:val="none"/>
        </w:rPr>
        <w:t>数据分类分级工作</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对本行业公共数据实施分类分级管理。</w:t>
      </w:r>
    </w:p>
    <w:p>
      <w:pPr>
        <w:pStyle w:val="18"/>
        <w:pageBreakBefore w:val="0"/>
        <w:widowControl w:val="0"/>
        <w:kinsoku/>
        <w:wordWrap/>
        <w:overflowPunct/>
        <w:topLinePunct w:val="0"/>
        <w:autoSpaceDE/>
        <w:autoSpaceDN/>
        <w:bidi w:val="0"/>
        <w:adjustRightInd/>
        <w:snapToGrid/>
        <w:spacing w:line="600" w:lineRule="exact"/>
        <w:ind w:firstLine="562"/>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第</w:t>
      </w:r>
      <w:r>
        <w:rPr>
          <w:rFonts w:hint="eastAsia" w:ascii="仿宋_GB2312" w:hAnsi="仿宋_GB2312" w:eastAsia="仿宋_GB2312" w:cs="仿宋_GB2312"/>
          <w:b w:val="0"/>
          <w:bCs w:val="0"/>
          <w:sz w:val="32"/>
          <w:szCs w:val="32"/>
          <w:highlight w:val="none"/>
          <w:lang w:val="en-US" w:eastAsia="zh-CN"/>
        </w:rPr>
        <w:t>十</w:t>
      </w:r>
      <w:r>
        <w:rPr>
          <w:rFonts w:hint="eastAsia" w:ascii="仿宋_GB2312" w:hAnsi="仿宋_GB2312" w:eastAsia="仿宋_GB2312" w:cs="仿宋_GB2312"/>
          <w:b w:val="0"/>
          <w:bCs w:val="0"/>
          <w:sz w:val="32"/>
          <w:szCs w:val="32"/>
          <w:highlight w:val="none"/>
        </w:rPr>
        <w:t>条（数据</w:t>
      </w:r>
      <w:r>
        <w:rPr>
          <w:rFonts w:hint="eastAsia" w:ascii="仿宋_GB2312" w:hAnsi="仿宋_GB2312" w:eastAsia="仿宋_GB2312" w:cs="仿宋_GB2312"/>
          <w:b w:val="0"/>
          <w:bCs w:val="0"/>
          <w:sz w:val="32"/>
          <w:szCs w:val="32"/>
          <w:highlight w:val="none"/>
          <w:lang w:val="en-US"/>
        </w:rPr>
        <w:t>分级</w:t>
      </w:r>
      <w:r>
        <w:rPr>
          <w:rFonts w:hint="eastAsia" w:ascii="仿宋_GB2312" w:hAnsi="仿宋_GB2312" w:eastAsia="仿宋_GB2312" w:cs="仿宋_GB2312"/>
          <w:b w:val="0"/>
          <w:bCs w:val="0"/>
          <w:sz w:val="32"/>
          <w:szCs w:val="32"/>
          <w:highlight w:val="none"/>
        </w:rPr>
        <w:t xml:space="preserve">安全防护） </w:t>
      </w:r>
      <w:bookmarkStart w:id="2" w:name="_Hlk85649284"/>
      <w:r>
        <w:rPr>
          <w:rFonts w:hint="eastAsia" w:ascii="仿宋_GB2312" w:hAnsi="仿宋_GB2312" w:eastAsia="仿宋_GB2312" w:cs="仿宋_GB2312"/>
          <w:b w:val="0"/>
          <w:bCs w:val="0"/>
          <w:sz w:val="32"/>
          <w:szCs w:val="32"/>
          <w:highlight w:val="none"/>
        </w:rPr>
        <w:t>公共管理和服务机构应当落实国家网络安全等级保护制度、商用密码应用要求，并根据分类分级管理要求，采取数据脱敏、加密保护、安全认证、安全审计等安全保护措施，保障公共数据安全；重点保护重要数据，对国家核心数据在重要数据保护基础上实施更加严格的管理和保护。不同级别数据同时被处理且难以分别采取保护措施的，应当按照其中最高级别要求实施保护。</w:t>
      </w:r>
    </w:p>
    <w:p>
      <w:pPr>
        <w:pageBreakBefore w:val="0"/>
        <w:widowControl w:val="0"/>
        <w:shd w:val="clear" w:color="auto" w:fill="FFFFFF"/>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zh-CN" w:eastAsia="zh-CN" w:bidi="zh-CN"/>
        </w:rPr>
      </w:pPr>
      <w:r>
        <w:rPr>
          <w:rFonts w:hint="eastAsia" w:ascii="仿宋_GB2312" w:hAnsi="仿宋_GB2312" w:eastAsia="仿宋_GB2312" w:cs="仿宋_GB2312"/>
          <w:b w:val="0"/>
          <w:bCs w:val="0"/>
          <w:color w:val="auto"/>
          <w:sz w:val="32"/>
          <w:szCs w:val="32"/>
          <w:highlight w:val="none"/>
          <w:lang w:val="zh-CN" w:eastAsia="zh-CN" w:bidi="zh-CN"/>
        </w:rPr>
        <w:t>第十</w:t>
      </w:r>
      <w:r>
        <w:rPr>
          <w:rFonts w:hint="eastAsia" w:ascii="仿宋_GB2312" w:hAnsi="仿宋_GB2312" w:eastAsia="仿宋_GB2312" w:cs="仿宋_GB2312"/>
          <w:b w:val="0"/>
          <w:bCs w:val="0"/>
          <w:color w:val="auto"/>
          <w:sz w:val="32"/>
          <w:szCs w:val="32"/>
          <w:highlight w:val="none"/>
          <w:lang w:val="en-US" w:eastAsia="zh-CN" w:bidi="zh-CN"/>
        </w:rPr>
        <w:t>一</w:t>
      </w:r>
      <w:r>
        <w:rPr>
          <w:rFonts w:hint="eastAsia" w:ascii="仿宋_GB2312" w:hAnsi="仿宋_GB2312" w:eastAsia="仿宋_GB2312" w:cs="仿宋_GB2312"/>
          <w:b w:val="0"/>
          <w:bCs w:val="0"/>
          <w:color w:val="auto"/>
          <w:sz w:val="32"/>
          <w:szCs w:val="32"/>
          <w:highlight w:val="none"/>
          <w:lang w:val="zh-CN" w:eastAsia="zh-CN" w:bidi="zh-CN"/>
        </w:rPr>
        <w:t>条（纠错机制） 公共管理和服务机构应当保证采集公共数据的完整性、准确性、一致性和时效性。数据使用机构或个人发现公共数据存在问题时，要及时向公共管理和服务机构反映，公共管理和服务机构须在收到问题反映后的15个工作日内予以核实，并及时更正、补充。</w:t>
      </w:r>
    </w:p>
    <w:p>
      <w:pPr>
        <w:pageBreakBefore w:val="0"/>
        <w:widowControl w:val="0"/>
        <w:shd w:val="clear" w:color="auto" w:fill="FFFFFF"/>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zh-CN" w:eastAsia="zh-CN" w:bidi="zh-CN"/>
        </w:rPr>
      </w:pPr>
      <w:r>
        <w:rPr>
          <w:rFonts w:hint="eastAsia" w:ascii="仿宋_GB2312" w:hAnsi="仿宋_GB2312" w:eastAsia="仿宋_GB2312" w:cs="仿宋_GB2312"/>
          <w:b w:val="0"/>
          <w:bCs w:val="0"/>
          <w:color w:val="auto"/>
          <w:sz w:val="32"/>
          <w:szCs w:val="32"/>
          <w:highlight w:val="none"/>
          <w:lang w:val="zh-CN" w:eastAsia="zh-CN" w:bidi="zh-CN"/>
        </w:rPr>
        <w:t>第十</w:t>
      </w:r>
      <w:r>
        <w:rPr>
          <w:rFonts w:hint="eastAsia" w:ascii="仿宋_GB2312" w:hAnsi="仿宋_GB2312" w:eastAsia="仿宋_GB2312" w:cs="仿宋_GB2312"/>
          <w:b w:val="0"/>
          <w:bCs w:val="0"/>
          <w:color w:val="auto"/>
          <w:sz w:val="32"/>
          <w:szCs w:val="32"/>
          <w:highlight w:val="none"/>
          <w:lang w:val="en-US" w:eastAsia="zh-CN" w:bidi="zh-CN"/>
        </w:rPr>
        <w:t>二</w:t>
      </w:r>
      <w:r>
        <w:rPr>
          <w:rFonts w:hint="eastAsia" w:ascii="仿宋_GB2312" w:hAnsi="仿宋_GB2312" w:eastAsia="仿宋_GB2312" w:cs="仿宋_GB2312"/>
          <w:b w:val="0"/>
          <w:bCs w:val="0"/>
          <w:color w:val="auto"/>
          <w:sz w:val="32"/>
          <w:szCs w:val="32"/>
          <w:highlight w:val="none"/>
          <w:lang w:val="zh-CN" w:eastAsia="zh-CN" w:bidi="zh-CN"/>
        </w:rPr>
        <w:t>条（删除机制） 有下列情形之一的，数据使用机构应当主动删除公共数据：</w:t>
      </w:r>
    </w:p>
    <w:p>
      <w:pPr>
        <w:pageBreakBefore w:val="0"/>
        <w:widowControl w:val="0"/>
        <w:shd w:val="clear" w:color="auto" w:fill="FFFFFF"/>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zh-CN" w:eastAsia="zh-CN" w:bidi="zh-CN"/>
        </w:rPr>
      </w:pPr>
      <w:r>
        <w:rPr>
          <w:rFonts w:hint="eastAsia" w:ascii="仿宋_GB2312" w:hAnsi="仿宋_GB2312" w:eastAsia="仿宋_GB2312" w:cs="仿宋_GB2312"/>
          <w:b w:val="0"/>
          <w:bCs w:val="0"/>
          <w:color w:val="auto"/>
          <w:sz w:val="32"/>
          <w:szCs w:val="32"/>
          <w:highlight w:val="none"/>
          <w:lang w:val="zh-CN" w:eastAsia="zh-CN" w:bidi="zh-CN"/>
        </w:rPr>
        <w:t>（一）超范围收集公共数据；</w:t>
      </w:r>
    </w:p>
    <w:p>
      <w:pPr>
        <w:pageBreakBefore w:val="0"/>
        <w:widowControl w:val="0"/>
        <w:shd w:val="clear" w:color="auto" w:fill="FFFFFF"/>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zh-CN" w:eastAsia="zh-CN" w:bidi="zh-CN"/>
        </w:rPr>
      </w:pPr>
      <w:r>
        <w:rPr>
          <w:rFonts w:hint="eastAsia" w:ascii="仿宋_GB2312" w:hAnsi="仿宋_GB2312" w:eastAsia="仿宋_GB2312" w:cs="仿宋_GB2312"/>
          <w:b w:val="0"/>
          <w:bCs w:val="0"/>
          <w:color w:val="auto"/>
          <w:sz w:val="32"/>
          <w:szCs w:val="32"/>
          <w:highlight w:val="none"/>
          <w:lang w:val="zh-CN" w:eastAsia="zh-CN" w:bidi="zh-CN"/>
        </w:rPr>
        <w:t>（二）公共数据的存储、加工使用环境不满足安全要求；</w:t>
      </w:r>
    </w:p>
    <w:p>
      <w:pPr>
        <w:pageBreakBefore w:val="0"/>
        <w:widowControl w:val="0"/>
        <w:shd w:val="clear" w:color="auto" w:fill="FFFFFF"/>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zh-CN" w:eastAsia="zh-CN" w:bidi="zh-CN"/>
        </w:rPr>
      </w:pPr>
      <w:r>
        <w:rPr>
          <w:rFonts w:hint="eastAsia" w:ascii="仿宋_GB2312" w:hAnsi="仿宋_GB2312" w:eastAsia="仿宋_GB2312" w:cs="仿宋_GB2312"/>
          <w:b w:val="0"/>
          <w:bCs w:val="0"/>
          <w:color w:val="auto"/>
          <w:sz w:val="32"/>
          <w:szCs w:val="32"/>
          <w:highlight w:val="none"/>
          <w:lang w:val="zh-CN" w:eastAsia="zh-CN" w:bidi="zh-CN"/>
        </w:rPr>
        <w:t>（三）超范围使用公共数据；</w:t>
      </w:r>
    </w:p>
    <w:p>
      <w:pPr>
        <w:pageBreakBefore w:val="0"/>
        <w:widowControl w:val="0"/>
        <w:shd w:val="clear" w:color="auto" w:fill="FFFFFF"/>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zh-CN" w:eastAsia="zh-CN" w:bidi="zh-CN"/>
        </w:rPr>
      </w:pPr>
      <w:r>
        <w:rPr>
          <w:rFonts w:hint="eastAsia" w:ascii="仿宋_GB2312" w:hAnsi="仿宋_GB2312" w:eastAsia="仿宋_GB2312" w:cs="仿宋_GB2312"/>
          <w:b w:val="0"/>
          <w:bCs w:val="0"/>
          <w:color w:val="auto"/>
          <w:sz w:val="32"/>
          <w:szCs w:val="32"/>
          <w:highlight w:val="none"/>
          <w:lang w:val="zh-CN" w:eastAsia="zh-CN" w:bidi="zh-CN"/>
        </w:rPr>
        <w:t>（四）未按规定</w:t>
      </w:r>
      <w:r>
        <w:rPr>
          <w:rFonts w:hint="eastAsia" w:ascii="仿宋_GB2312" w:hAnsi="仿宋_GB2312" w:eastAsia="仿宋_GB2312" w:cs="仿宋_GB2312"/>
          <w:b w:val="0"/>
          <w:bCs w:val="0"/>
          <w:color w:val="auto"/>
          <w:sz w:val="32"/>
          <w:szCs w:val="32"/>
          <w:highlight w:val="none"/>
          <w:lang w:val="en-US" w:eastAsia="zh-CN" w:bidi="zh-CN"/>
        </w:rPr>
        <w:t>流程</w:t>
      </w:r>
      <w:r>
        <w:rPr>
          <w:rFonts w:hint="eastAsia" w:ascii="仿宋_GB2312" w:hAnsi="仿宋_GB2312" w:eastAsia="仿宋_GB2312" w:cs="仿宋_GB2312"/>
          <w:b w:val="0"/>
          <w:bCs w:val="0"/>
          <w:color w:val="auto"/>
          <w:sz w:val="32"/>
          <w:szCs w:val="32"/>
          <w:highlight w:val="none"/>
          <w:lang w:val="zh-CN" w:eastAsia="zh-CN" w:bidi="zh-CN"/>
        </w:rPr>
        <w:t>申请、使用公共数据；</w:t>
      </w:r>
    </w:p>
    <w:p>
      <w:pPr>
        <w:pageBreakBefore w:val="0"/>
        <w:widowControl w:val="0"/>
        <w:shd w:val="clear" w:color="auto" w:fill="FFFFFF"/>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zh-CN" w:eastAsia="zh-CN" w:bidi="zh-CN"/>
        </w:rPr>
      </w:pPr>
      <w:r>
        <w:rPr>
          <w:rFonts w:hint="eastAsia" w:ascii="仿宋_GB2312" w:hAnsi="仿宋_GB2312" w:eastAsia="仿宋_GB2312" w:cs="仿宋_GB2312"/>
          <w:b w:val="0"/>
          <w:bCs w:val="0"/>
          <w:color w:val="auto"/>
          <w:sz w:val="32"/>
          <w:szCs w:val="32"/>
          <w:highlight w:val="none"/>
          <w:lang w:val="zh-CN" w:eastAsia="zh-CN" w:bidi="zh-CN"/>
        </w:rPr>
        <w:t>（</w:t>
      </w:r>
      <w:r>
        <w:rPr>
          <w:rFonts w:hint="eastAsia" w:ascii="仿宋_GB2312" w:hAnsi="仿宋_GB2312" w:eastAsia="仿宋_GB2312" w:cs="仿宋_GB2312"/>
          <w:b w:val="0"/>
          <w:bCs w:val="0"/>
          <w:color w:val="auto"/>
          <w:sz w:val="32"/>
          <w:szCs w:val="32"/>
          <w:highlight w:val="none"/>
          <w:lang w:val="en-US" w:eastAsia="zh-CN" w:bidi="zh-CN"/>
        </w:rPr>
        <w:t>五</w:t>
      </w:r>
      <w:r>
        <w:rPr>
          <w:rFonts w:hint="eastAsia" w:ascii="仿宋_GB2312" w:hAnsi="仿宋_GB2312" w:eastAsia="仿宋_GB2312" w:cs="仿宋_GB2312"/>
          <w:b w:val="0"/>
          <w:bCs w:val="0"/>
          <w:color w:val="auto"/>
          <w:sz w:val="32"/>
          <w:szCs w:val="32"/>
          <w:highlight w:val="none"/>
          <w:lang w:val="zh-CN" w:eastAsia="zh-CN" w:bidi="zh-CN"/>
        </w:rPr>
        <w:t>）公共数据处理目的已实现、无法实现或者不再必要；</w:t>
      </w:r>
    </w:p>
    <w:p>
      <w:pPr>
        <w:pageBreakBefore w:val="0"/>
        <w:widowControl w:val="0"/>
        <w:shd w:val="clear" w:color="auto" w:fill="FFFFFF"/>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zh-CN" w:eastAsia="zh-CN" w:bidi="zh-CN"/>
        </w:rPr>
      </w:pPr>
      <w:r>
        <w:rPr>
          <w:rFonts w:hint="eastAsia" w:ascii="仿宋_GB2312" w:hAnsi="仿宋_GB2312" w:eastAsia="仿宋_GB2312" w:cs="仿宋_GB2312"/>
          <w:b w:val="0"/>
          <w:bCs w:val="0"/>
          <w:color w:val="auto"/>
          <w:sz w:val="32"/>
          <w:szCs w:val="32"/>
          <w:highlight w:val="none"/>
          <w:lang w:val="zh-CN" w:eastAsia="zh-CN" w:bidi="zh-CN"/>
        </w:rPr>
        <w:t>（</w:t>
      </w:r>
      <w:r>
        <w:rPr>
          <w:rFonts w:hint="eastAsia" w:ascii="仿宋_GB2312" w:hAnsi="仿宋_GB2312" w:eastAsia="仿宋_GB2312" w:cs="仿宋_GB2312"/>
          <w:b w:val="0"/>
          <w:bCs w:val="0"/>
          <w:color w:val="auto"/>
          <w:sz w:val="32"/>
          <w:szCs w:val="32"/>
          <w:highlight w:val="none"/>
          <w:lang w:val="en-US" w:eastAsia="zh-CN" w:bidi="zh-CN"/>
        </w:rPr>
        <w:t>六</w:t>
      </w:r>
      <w:r>
        <w:rPr>
          <w:rFonts w:hint="eastAsia" w:ascii="仿宋_GB2312" w:hAnsi="仿宋_GB2312" w:eastAsia="仿宋_GB2312" w:cs="仿宋_GB2312"/>
          <w:b w:val="0"/>
          <w:bCs w:val="0"/>
          <w:color w:val="auto"/>
          <w:sz w:val="32"/>
          <w:szCs w:val="32"/>
          <w:highlight w:val="none"/>
          <w:lang w:val="zh-CN" w:eastAsia="zh-CN" w:bidi="zh-CN"/>
        </w:rPr>
        <w:t>）数据使用机构停止履行相关职能或者提供服务；</w:t>
      </w:r>
    </w:p>
    <w:p>
      <w:pPr>
        <w:pageBreakBefore w:val="0"/>
        <w:widowControl w:val="0"/>
        <w:shd w:val="clear" w:color="auto" w:fill="FFFFFF"/>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zh-CN" w:eastAsia="zh-CN" w:bidi="zh-CN"/>
        </w:rPr>
      </w:pPr>
      <w:r>
        <w:rPr>
          <w:rFonts w:hint="eastAsia" w:ascii="仿宋_GB2312" w:hAnsi="仿宋_GB2312" w:eastAsia="仿宋_GB2312" w:cs="仿宋_GB2312"/>
          <w:b w:val="0"/>
          <w:bCs w:val="0"/>
          <w:color w:val="auto"/>
          <w:sz w:val="32"/>
          <w:szCs w:val="32"/>
          <w:highlight w:val="none"/>
          <w:lang w:val="zh-CN" w:eastAsia="zh-CN" w:bidi="zh-CN"/>
        </w:rPr>
        <w:t>（</w:t>
      </w:r>
      <w:r>
        <w:rPr>
          <w:rFonts w:hint="eastAsia" w:ascii="仿宋_GB2312" w:hAnsi="仿宋_GB2312" w:eastAsia="仿宋_GB2312" w:cs="仿宋_GB2312"/>
          <w:b w:val="0"/>
          <w:bCs w:val="0"/>
          <w:color w:val="auto"/>
          <w:sz w:val="32"/>
          <w:szCs w:val="32"/>
          <w:highlight w:val="none"/>
          <w:lang w:val="en-US" w:eastAsia="zh-CN" w:bidi="zh-CN"/>
        </w:rPr>
        <w:t>七</w:t>
      </w:r>
      <w:r>
        <w:rPr>
          <w:rFonts w:hint="eastAsia" w:ascii="仿宋_GB2312" w:hAnsi="仿宋_GB2312" w:eastAsia="仿宋_GB2312" w:cs="仿宋_GB2312"/>
          <w:b w:val="0"/>
          <w:bCs w:val="0"/>
          <w:color w:val="auto"/>
          <w:sz w:val="32"/>
          <w:szCs w:val="32"/>
          <w:highlight w:val="none"/>
          <w:lang w:val="zh-CN" w:eastAsia="zh-CN" w:bidi="zh-CN"/>
        </w:rPr>
        <w:t>）公共数据保存期限已到期；</w:t>
      </w:r>
    </w:p>
    <w:p>
      <w:pPr>
        <w:pageBreakBefore w:val="0"/>
        <w:widowControl w:val="0"/>
        <w:shd w:val="clear" w:color="auto" w:fill="FFFFFF"/>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zh-CN" w:eastAsia="zh-CN" w:bidi="zh-CN"/>
        </w:rPr>
      </w:pPr>
      <w:r>
        <w:rPr>
          <w:rFonts w:hint="eastAsia" w:ascii="仿宋_GB2312" w:hAnsi="仿宋_GB2312" w:eastAsia="仿宋_GB2312" w:cs="仿宋_GB2312"/>
          <w:b w:val="0"/>
          <w:bCs w:val="0"/>
          <w:color w:val="auto"/>
          <w:sz w:val="32"/>
          <w:szCs w:val="32"/>
          <w:highlight w:val="none"/>
          <w:lang w:val="zh-CN" w:eastAsia="zh-CN" w:bidi="zh-CN"/>
        </w:rPr>
        <w:t>（</w:t>
      </w:r>
      <w:r>
        <w:rPr>
          <w:rFonts w:hint="eastAsia" w:ascii="仿宋_GB2312" w:hAnsi="仿宋_GB2312" w:eastAsia="仿宋_GB2312" w:cs="仿宋_GB2312"/>
          <w:b w:val="0"/>
          <w:bCs w:val="0"/>
          <w:color w:val="auto"/>
          <w:sz w:val="32"/>
          <w:szCs w:val="32"/>
          <w:highlight w:val="none"/>
          <w:lang w:val="en-US" w:eastAsia="zh-CN" w:bidi="zh-CN"/>
        </w:rPr>
        <w:t>八</w:t>
      </w:r>
      <w:r>
        <w:rPr>
          <w:rFonts w:hint="eastAsia" w:ascii="仿宋_GB2312" w:hAnsi="仿宋_GB2312" w:eastAsia="仿宋_GB2312" w:cs="仿宋_GB2312"/>
          <w:b w:val="0"/>
          <w:bCs w:val="0"/>
          <w:color w:val="auto"/>
          <w:sz w:val="32"/>
          <w:szCs w:val="32"/>
          <w:highlight w:val="none"/>
          <w:lang w:val="zh-CN" w:eastAsia="zh-CN" w:bidi="zh-CN"/>
        </w:rPr>
        <w:t>）数据使用机构违反法律、法规、规章及相关规定处理公共数据；</w:t>
      </w:r>
    </w:p>
    <w:p>
      <w:pPr>
        <w:pageBreakBefore w:val="0"/>
        <w:widowControl w:val="0"/>
        <w:shd w:val="clear" w:color="auto" w:fill="FFFFFF"/>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zh-CN" w:eastAsia="zh-CN" w:bidi="zh-CN"/>
        </w:rPr>
      </w:pPr>
      <w:r>
        <w:rPr>
          <w:rFonts w:hint="eastAsia" w:ascii="仿宋_GB2312" w:hAnsi="仿宋_GB2312" w:eastAsia="仿宋_GB2312" w:cs="仿宋_GB2312"/>
          <w:b w:val="0"/>
          <w:bCs w:val="0"/>
          <w:color w:val="auto"/>
          <w:sz w:val="32"/>
          <w:szCs w:val="32"/>
          <w:highlight w:val="none"/>
          <w:lang w:val="zh-CN" w:eastAsia="zh-CN" w:bidi="zh-CN"/>
        </w:rPr>
        <w:t>（</w:t>
      </w:r>
      <w:r>
        <w:rPr>
          <w:rFonts w:hint="eastAsia" w:ascii="仿宋_GB2312" w:hAnsi="仿宋_GB2312" w:eastAsia="仿宋_GB2312" w:cs="仿宋_GB2312"/>
          <w:b w:val="0"/>
          <w:bCs w:val="0"/>
          <w:color w:val="auto"/>
          <w:sz w:val="32"/>
          <w:szCs w:val="32"/>
          <w:highlight w:val="none"/>
          <w:lang w:val="en-US" w:eastAsia="zh-CN" w:bidi="zh-CN"/>
        </w:rPr>
        <w:t>九</w:t>
      </w:r>
      <w:r>
        <w:rPr>
          <w:rFonts w:hint="eastAsia" w:ascii="仿宋_GB2312" w:hAnsi="仿宋_GB2312" w:eastAsia="仿宋_GB2312" w:cs="仿宋_GB2312"/>
          <w:b w:val="0"/>
          <w:bCs w:val="0"/>
          <w:color w:val="auto"/>
          <w:sz w:val="32"/>
          <w:szCs w:val="32"/>
          <w:highlight w:val="none"/>
          <w:lang w:val="zh-CN" w:eastAsia="zh-CN" w:bidi="zh-CN"/>
        </w:rPr>
        <w:t>）法律、法规、规章规定的其他情形。</w:t>
      </w:r>
    </w:p>
    <w:p>
      <w:pPr>
        <w:pageBreakBefore w:val="0"/>
        <w:widowControl w:val="0"/>
        <w:shd w:val="clear" w:color="auto" w:fill="FFFFFF"/>
        <w:kinsoku/>
        <w:overflowPunct/>
        <w:topLinePunct w:val="0"/>
        <w:autoSpaceDE/>
        <w:autoSpaceDN/>
        <w:bidi w:val="0"/>
        <w:adjustRightInd/>
        <w:snapToGrid/>
        <w:spacing w:line="600" w:lineRule="exact"/>
        <w:ind w:firstLine="640" w:firstLineChars="200"/>
        <w:textAlignment w:val="auto"/>
        <w:rPr>
          <w:rFonts w:hint="eastAsia"/>
          <w:highlight w:val="none"/>
          <w:lang w:val="zh-CN" w:eastAsia="zh-CN"/>
        </w:rPr>
      </w:pPr>
      <w:r>
        <w:rPr>
          <w:rFonts w:hint="eastAsia" w:ascii="仿宋_GB2312" w:hAnsi="仿宋_GB2312" w:eastAsia="仿宋_GB2312" w:cs="仿宋_GB2312"/>
          <w:b w:val="0"/>
          <w:bCs w:val="0"/>
          <w:color w:val="auto"/>
          <w:sz w:val="32"/>
          <w:szCs w:val="32"/>
          <w:highlight w:val="none"/>
          <w:lang w:val="zh-CN" w:eastAsia="zh-CN" w:bidi="zh-CN"/>
        </w:rPr>
        <w:t>数据使用机构未删除的，提供数据的公共管理和服务机构有权要求其删除；对从技术上难以删除的公共数据，公共管理和服务机构应当督促数据使用机构停止除安全保护措施之外的处理。</w:t>
      </w:r>
    </w:p>
    <w:bookmarkEnd w:id="2"/>
    <w:p>
      <w:pPr>
        <w:pStyle w:val="3"/>
        <w:pageBreakBefore w:val="0"/>
        <w:kinsoku/>
        <w:wordWrap/>
        <w:overflowPunct/>
        <w:topLinePunct w:val="0"/>
        <w:bidi w:val="0"/>
        <w:adjustRightInd/>
        <w:snapToGrid/>
        <w:spacing w:line="600" w:lineRule="exact"/>
        <w:ind w:left="0" w:leftChars="0" w:firstLine="0" w:firstLineChars="0"/>
        <w:jc w:val="center"/>
        <w:textAlignment w:val="auto"/>
        <w:outlineLvl w:val="0"/>
        <w:rPr>
          <w:rFonts w:hint="eastAsia" w:ascii="黑体" w:hAnsi="黑体" w:eastAsia="黑体" w:cs="宋体"/>
          <w:b w:val="0"/>
          <w:bCs w:val="0"/>
          <w:color w:val="auto"/>
          <w:sz w:val="32"/>
          <w:szCs w:val="32"/>
          <w:highlight w:val="none"/>
          <w:lang w:eastAsia="zh-CN" w:bidi="ar-SA"/>
        </w:rPr>
      </w:pPr>
      <w:r>
        <w:rPr>
          <w:rFonts w:hint="eastAsia" w:ascii="黑体" w:hAnsi="黑体" w:eastAsia="黑体" w:cs="宋体"/>
          <w:b w:val="0"/>
          <w:bCs w:val="0"/>
          <w:color w:val="auto"/>
          <w:sz w:val="32"/>
          <w:szCs w:val="32"/>
          <w:highlight w:val="none"/>
          <w:lang w:eastAsia="zh-CN" w:bidi="ar-SA"/>
        </w:rPr>
        <w:t>第三章 数据处理活动安全管理</w:t>
      </w:r>
    </w:p>
    <w:p>
      <w:pPr>
        <w:pageBreakBefore w:val="0"/>
        <w:widowControl w:val="0"/>
        <w:shd w:val="clear" w:color="auto" w:fill="FFFFFF"/>
        <w:kinsoku/>
        <w:wordWrap/>
        <w:overflowPunct/>
        <w:topLinePunct w:val="0"/>
        <w:autoSpaceDE/>
        <w:autoSpaceDN/>
        <w:bidi w:val="0"/>
        <w:adjustRightInd/>
        <w:snapToGrid/>
        <w:spacing w:line="600" w:lineRule="exact"/>
        <w:ind w:firstLine="562"/>
        <w:jc w:val="both"/>
        <w:textAlignment w:val="auto"/>
        <w:rPr>
          <w:rFonts w:hint="eastAsia" w:ascii="仿宋_GB2312" w:hAnsi="仿宋_GB2312" w:eastAsia="仿宋_GB2312" w:cs="仿宋_GB2312"/>
          <w:b w:val="0"/>
          <w:bCs w:val="0"/>
          <w:color w:val="auto"/>
          <w:sz w:val="32"/>
          <w:szCs w:val="32"/>
          <w:highlight w:val="none"/>
          <w:lang w:val="zh-CN" w:eastAsia="zh-CN" w:bidi="zh-CN"/>
        </w:rPr>
      </w:pPr>
      <w:r>
        <w:rPr>
          <w:rFonts w:hint="eastAsia" w:ascii="仿宋_GB2312" w:hAnsi="仿宋_GB2312" w:eastAsia="仿宋_GB2312" w:cs="仿宋_GB2312"/>
          <w:b w:val="0"/>
          <w:bCs w:val="0"/>
          <w:color w:val="auto"/>
          <w:sz w:val="32"/>
          <w:szCs w:val="32"/>
          <w:highlight w:val="none"/>
          <w:lang w:val="zh-CN" w:eastAsia="zh-CN" w:bidi="zh-CN"/>
        </w:rPr>
        <w:t>第十</w:t>
      </w:r>
      <w:r>
        <w:rPr>
          <w:rFonts w:hint="eastAsia" w:ascii="仿宋_GB2312" w:hAnsi="仿宋_GB2312" w:eastAsia="仿宋_GB2312" w:cs="仿宋_GB2312"/>
          <w:b w:val="0"/>
          <w:bCs w:val="0"/>
          <w:color w:val="auto"/>
          <w:sz w:val="32"/>
          <w:szCs w:val="32"/>
          <w:highlight w:val="none"/>
          <w:lang w:val="en-US" w:eastAsia="zh-CN" w:bidi="zh-CN"/>
        </w:rPr>
        <w:t>三</w:t>
      </w:r>
      <w:r>
        <w:rPr>
          <w:rFonts w:hint="eastAsia" w:ascii="仿宋_GB2312" w:hAnsi="仿宋_GB2312" w:eastAsia="仿宋_GB2312" w:cs="仿宋_GB2312"/>
          <w:b w:val="0"/>
          <w:bCs w:val="0"/>
          <w:color w:val="auto"/>
          <w:sz w:val="32"/>
          <w:szCs w:val="32"/>
          <w:highlight w:val="none"/>
          <w:lang w:val="zh-CN" w:eastAsia="zh-CN" w:bidi="zh-CN"/>
        </w:rPr>
        <w:t>条（数据收集安全） 收集公共数据，应当明确收集的目的、范围、用途、渠道等，采取访问控制、分类分级标识等必要的安全管控措施，并基于安全可控的环境、设施、人员等条件开展操作。</w:t>
      </w:r>
    </w:p>
    <w:p>
      <w:pPr>
        <w:pageBreakBefore w:val="0"/>
        <w:widowControl w:val="0"/>
        <w:shd w:val="clear" w:color="auto" w:fill="FFFFFF"/>
        <w:kinsoku/>
        <w:wordWrap/>
        <w:overflowPunct/>
        <w:topLinePunct w:val="0"/>
        <w:autoSpaceDE/>
        <w:autoSpaceDN/>
        <w:bidi w:val="0"/>
        <w:adjustRightInd/>
        <w:snapToGrid/>
        <w:spacing w:line="600" w:lineRule="exact"/>
        <w:ind w:firstLine="560"/>
        <w:jc w:val="both"/>
        <w:textAlignment w:val="auto"/>
        <w:rPr>
          <w:rFonts w:hint="eastAsia" w:ascii="仿宋_GB2312" w:hAnsi="仿宋_GB2312" w:eastAsia="仿宋_GB2312" w:cs="仿宋_GB2312"/>
          <w:b w:val="0"/>
          <w:bCs w:val="0"/>
          <w:color w:val="auto"/>
          <w:sz w:val="32"/>
          <w:szCs w:val="32"/>
          <w:highlight w:val="none"/>
          <w:lang w:val="zh-CN" w:eastAsia="zh-CN" w:bidi="zh-CN"/>
        </w:rPr>
      </w:pPr>
      <w:r>
        <w:rPr>
          <w:rFonts w:hint="eastAsia" w:ascii="仿宋_GB2312" w:hAnsi="仿宋_GB2312" w:eastAsia="仿宋_GB2312" w:cs="仿宋_GB2312"/>
          <w:b w:val="0"/>
          <w:bCs w:val="0"/>
          <w:color w:val="auto"/>
          <w:sz w:val="32"/>
          <w:szCs w:val="32"/>
          <w:highlight w:val="none"/>
          <w:lang w:val="zh-CN" w:eastAsia="zh-CN" w:bidi="zh-CN"/>
        </w:rPr>
        <w:t>第十</w:t>
      </w:r>
      <w:r>
        <w:rPr>
          <w:rFonts w:hint="eastAsia" w:ascii="仿宋_GB2312" w:hAnsi="仿宋_GB2312" w:eastAsia="仿宋_GB2312" w:cs="仿宋_GB2312"/>
          <w:b w:val="0"/>
          <w:bCs w:val="0"/>
          <w:color w:val="auto"/>
          <w:sz w:val="32"/>
          <w:szCs w:val="32"/>
          <w:highlight w:val="none"/>
          <w:lang w:val="en-US" w:eastAsia="zh-CN" w:bidi="zh-CN"/>
        </w:rPr>
        <w:t>四</w:t>
      </w:r>
      <w:r>
        <w:rPr>
          <w:rFonts w:hint="eastAsia" w:ascii="仿宋_GB2312" w:hAnsi="仿宋_GB2312" w:eastAsia="仿宋_GB2312" w:cs="仿宋_GB2312"/>
          <w:b w:val="0"/>
          <w:bCs w:val="0"/>
          <w:color w:val="auto"/>
          <w:sz w:val="32"/>
          <w:szCs w:val="32"/>
          <w:highlight w:val="none"/>
          <w:lang w:val="zh-CN" w:eastAsia="zh-CN" w:bidi="zh-CN"/>
        </w:rPr>
        <w:t>条（数据存储</w:t>
      </w:r>
      <w:r>
        <w:rPr>
          <w:rFonts w:hint="eastAsia" w:ascii="仿宋_GB2312" w:hAnsi="仿宋_GB2312" w:eastAsia="仿宋_GB2312" w:cs="仿宋_GB2312"/>
          <w:b w:val="0"/>
          <w:bCs w:val="0"/>
          <w:color w:val="auto"/>
          <w:sz w:val="32"/>
          <w:szCs w:val="32"/>
          <w:highlight w:val="none"/>
          <w:lang w:val="en-US" w:eastAsia="zh-CN" w:bidi="zh-CN"/>
        </w:rPr>
        <w:t>安全</w:t>
      </w:r>
      <w:r>
        <w:rPr>
          <w:rFonts w:hint="eastAsia" w:ascii="仿宋_GB2312" w:hAnsi="仿宋_GB2312" w:eastAsia="仿宋_GB2312" w:cs="仿宋_GB2312"/>
          <w:b w:val="0"/>
          <w:bCs w:val="0"/>
          <w:color w:val="auto"/>
          <w:sz w:val="32"/>
          <w:szCs w:val="32"/>
          <w:highlight w:val="none"/>
          <w:lang w:val="zh-CN" w:eastAsia="zh-CN" w:bidi="zh-CN"/>
        </w:rPr>
        <w:t>） 存储公共数据，应当根据需要推进数据存储场所物理安全建设，采取脱敏、加密、备份等措施保障存储安全。针对重要数据和国家核心数据，应当建立数据容灾备份及恢复机制，销毁时应采用不可逆方式。</w:t>
      </w:r>
    </w:p>
    <w:p>
      <w:pPr>
        <w:pageBreakBefore w:val="0"/>
        <w:widowControl w:val="0"/>
        <w:shd w:val="clear" w:color="auto" w:fill="FFFFFF"/>
        <w:kinsoku/>
        <w:wordWrap/>
        <w:overflowPunct/>
        <w:topLinePunct w:val="0"/>
        <w:autoSpaceDE/>
        <w:autoSpaceDN/>
        <w:bidi w:val="0"/>
        <w:adjustRightInd/>
        <w:snapToGrid/>
        <w:spacing w:line="600" w:lineRule="exact"/>
        <w:ind w:firstLine="560"/>
        <w:jc w:val="both"/>
        <w:textAlignment w:val="auto"/>
        <w:rPr>
          <w:rFonts w:hint="eastAsia" w:ascii="仿宋_GB2312" w:hAnsi="仿宋_GB2312" w:eastAsia="仿宋_GB2312" w:cs="仿宋_GB2312"/>
          <w:b w:val="0"/>
          <w:bCs w:val="0"/>
          <w:color w:val="auto"/>
          <w:sz w:val="32"/>
          <w:szCs w:val="32"/>
          <w:highlight w:val="none"/>
          <w:lang w:val="zh-CN" w:eastAsia="zh-CN" w:bidi="zh-CN"/>
        </w:rPr>
      </w:pPr>
      <w:r>
        <w:rPr>
          <w:rFonts w:hint="eastAsia" w:ascii="仿宋_GB2312" w:hAnsi="仿宋_GB2312" w:eastAsia="仿宋_GB2312" w:cs="仿宋_GB2312"/>
          <w:b w:val="0"/>
          <w:bCs w:val="0"/>
          <w:color w:val="auto"/>
          <w:sz w:val="32"/>
          <w:szCs w:val="32"/>
          <w:highlight w:val="none"/>
          <w:lang w:val="zh-CN" w:eastAsia="zh-CN" w:bidi="zh-CN"/>
        </w:rPr>
        <w:t>第十</w:t>
      </w:r>
      <w:r>
        <w:rPr>
          <w:rFonts w:hint="eastAsia" w:ascii="仿宋_GB2312" w:hAnsi="仿宋_GB2312" w:eastAsia="仿宋_GB2312" w:cs="仿宋_GB2312"/>
          <w:b w:val="0"/>
          <w:bCs w:val="0"/>
          <w:color w:val="auto"/>
          <w:sz w:val="32"/>
          <w:szCs w:val="32"/>
          <w:highlight w:val="none"/>
          <w:lang w:val="en-US" w:eastAsia="zh-CN" w:bidi="zh-CN"/>
        </w:rPr>
        <w:t>五</w:t>
      </w:r>
      <w:r>
        <w:rPr>
          <w:rFonts w:hint="eastAsia" w:ascii="仿宋_GB2312" w:hAnsi="仿宋_GB2312" w:eastAsia="仿宋_GB2312" w:cs="仿宋_GB2312"/>
          <w:b w:val="0"/>
          <w:bCs w:val="0"/>
          <w:color w:val="auto"/>
          <w:sz w:val="32"/>
          <w:szCs w:val="32"/>
          <w:highlight w:val="none"/>
          <w:lang w:val="zh-CN" w:eastAsia="zh-CN" w:bidi="zh-CN"/>
        </w:rPr>
        <w:t>条（数据使用加工安全） 加工使用公共数据，应当采取访问控制、数据防泄漏、操作审计等管控措施确保过程安全、合规、可控、可溯源。数据生产环境与测试环境应隔离，测试数据须经脱敏后使用，并定期清理。</w:t>
      </w:r>
    </w:p>
    <w:p>
      <w:pPr>
        <w:pageBreakBefore w:val="0"/>
        <w:widowControl w:val="0"/>
        <w:shd w:val="clear" w:color="auto" w:fill="FFFFFF"/>
        <w:kinsoku/>
        <w:wordWrap/>
        <w:overflowPunct/>
        <w:topLinePunct w:val="0"/>
        <w:autoSpaceDE/>
        <w:autoSpaceDN/>
        <w:bidi w:val="0"/>
        <w:adjustRightInd/>
        <w:snapToGrid/>
        <w:spacing w:line="600" w:lineRule="exact"/>
        <w:ind w:firstLine="560"/>
        <w:jc w:val="both"/>
        <w:textAlignment w:val="auto"/>
        <w:rPr>
          <w:rFonts w:hint="eastAsia" w:ascii="仿宋_GB2312" w:hAnsi="仿宋_GB2312" w:eastAsia="仿宋_GB2312" w:cs="仿宋_GB2312"/>
          <w:b w:val="0"/>
          <w:bCs w:val="0"/>
          <w:color w:val="auto"/>
          <w:sz w:val="32"/>
          <w:szCs w:val="32"/>
          <w:highlight w:val="none"/>
          <w:lang w:val="zh-CN" w:eastAsia="zh-CN" w:bidi="zh-CN"/>
        </w:rPr>
      </w:pPr>
      <w:r>
        <w:rPr>
          <w:rFonts w:hint="eastAsia" w:ascii="仿宋_GB2312" w:hAnsi="仿宋_GB2312" w:eastAsia="仿宋_GB2312" w:cs="仿宋_GB2312"/>
          <w:b w:val="0"/>
          <w:bCs w:val="0"/>
          <w:color w:val="auto"/>
          <w:sz w:val="32"/>
          <w:szCs w:val="32"/>
          <w:highlight w:val="none"/>
          <w:lang w:val="zh-CN" w:eastAsia="zh-CN" w:bidi="zh-CN"/>
        </w:rPr>
        <w:t>加工使用重要数据或国家核心数据，还应当实施严格的访问控制，建立数据可用不可见、日志留存审计、风险监测评估、实时监控、应急处置、数据溯源等相关技术和管理机制。</w:t>
      </w:r>
    </w:p>
    <w:p>
      <w:pPr>
        <w:pageBreakBefore w:val="0"/>
        <w:widowControl w:val="0"/>
        <w:shd w:val="clear" w:color="auto" w:fill="FFFFFF"/>
        <w:kinsoku/>
        <w:wordWrap/>
        <w:overflowPunct/>
        <w:topLinePunct w:val="0"/>
        <w:autoSpaceDE/>
        <w:autoSpaceDN/>
        <w:bidi w:val="0"/>
        <w:adjustRightInd/>
        <w:snapToGrid/>
        <w:spacing w:line="600" w:lineRule="exact"/>
        <w:ind w:firstLine="560"/>
        <w:jc w:val="both"/>
        <w:textAlignment w:val="auto"/>
        <w:rPr>
          <w:rFonts w:hint="eastAsia" w:ascii="仿宋_GB2312" w:hAnsi="仿宋_GB2312" w:eastAsia="仿宋_GB2312" w:cs="仿宋_GB2312"/>
          <w:b w:val="0"/>
          <w:bCs w:val="0"/>
          <w:color w:val="auto"/>
          <w:sz w:val="32"/>
          <w:szCs w:val="32"/>
          <w:highlight w:val="none"/>
          <w:lang w:val="zh-CN" w:eastAsia="zh-CN" w:bidi="zh-CN"/>
        </w:rPr>
      </w:pPr>
      <w:r>
        <w:rPr>
          <w:rFonts w:hint="eastAsia" w:ascii="仿宋_GB2312" w:hAnsi="仿宋_GB2312" w:eastAsia="仿宋_GB2312" w:cs="仿宋_GB2312"/>
          <w:b w:val="0"/>
          <w:bCs w:val="0"/>
          <w:color w:val="auto"/>
          <w:sz w:val="32"/>
          <w:szCs w:val="32"/>
          <w:highlight w:val="none"/>
          <w:lang w:val="zh-CN" w:eastAsia="zh-CN" w:bidi="zh-CN"/>
        </w:rPr>
        <w:t>利用数据进行自动化决策，应当保证决策的透明度和结果公平合理。</w:t>
      </w:r>
    </w:p>
    <w:p>
      <w:pPr>
        <w:pageBreakBefore w:val="0"/>
        <w:widowControl w:val="0"/>
        <w:shd w:val="clear" w:color="auto" w:fill="FFFFFF"/>
        <w:kinsoku/>
        <w:wordWrap/>
        <w:overflowPunct/>
        <w:topLinePunct w:val="0"/>
        <w:autoSpaceDE/>
        <w:autoSpaceDN/>
        <w:bidi w:val="0"/>
        <w:adjustRightInd/>
        <w:snapToGrid/>
        <w:spacing w:line="600" w:lineRule="exact"/>
        <w:ind w:firstLine="560"/>
        <w:jc w:val="both"/>
        <w:textAlignment w:val="auto"/>
        <w:rPr>
          <w:rFonts w:hint="eastAsia" w:ascii="仿宋_GB2312" w:hAnsi="仿宋_GB2312" w:eastAsia="仿宋_GB2312" w:cs="仿宋_GB2312"/>
          <w:b w:val="0"/>
          <w:bCs w:val="0"/>
          <w:color w:val="auto"/>
          <w:sz w:val="32"/>
          <w:szCs w:val="32"/>
          <w:highlight w:val="none"/>
          <w:lang w:val="zh-CN" w:eastAsia="zh-CN" w:bidi="zh-CN"/>
        </w:rPr>
      </w:pPr>
      <w:r>
        <w:rPr>
          <w:rFonts w:hint="eastAsia" w:ascii="仿宋_GB2312" w:hAnsi="仿宋_GB2312" w:eastAsia="仿宋_GB2312" w:cs="仿宋_GB2312"/>
          <w:b w:val="0"/>
          <w:bCs w:val="0"/>
          <w:color w:val="auto"/>
          <w:sz w:val="32"/>
          <w:szCs w:val="32"/>
          <w:highlight w:val="none"/>
          <w:lang w:val="zh-CN" w:eastAsia="zh-CN" w:bidi="zh-CN"/>
        </w:rPr>
        <w:t>加工使用公共数据不得超出合理范围，不得侵犯公共利益或者他人合法权益。</w:t>
      </w:r>
    </w:p>
    <w:p>
      <w:pPr>
        <w:pageBreakBefore w:val="0"/>
        <w:widowControl w:val="0"/>
        <w:shd w:val="clear" w:color="auto" w:fill="FFFFFF"/>
        <w:kinsoku/>
        <w:wordWrap/>
        <w:overflowPunct/>
        <w:topLinePunct w:val="0"/>
        <w:autoSpaceDE/>
        <w:autoSpaceDN/>
        <w:bidi w:val="0"/>
        <w:adjustRightInd/>
        <w:snapToGrid/>
        <w:spacing w:line="600" w:lineRule="exact"/>
        <w:ind w:firstLine="562"/>
        <w:jc w:val="both"/>
        <w:textAlignment w:val="auto"/>
        <w:rPr>
          <w:rFonts w:hint="eastAsia" w:ascii="仿宋_GB2312" w:hAnsi="仿宋_GB2312" w:eastAsia="仿宋_GB2312" w:cs="仿宋_GB2312"/>
          <w:b w:val="0"/>
          <w:bCs w:val="0"/>
          <w:color w:val="auto"/>
          <w:sz w:val="32"/>
          <w:szCs w:val="32"/>
          <w:highlight w:val="none"/>
          <w:lang w:val="zh-CN" w:eastAsia="zh-CN" w:bidi="zh-CN"/>
        </w:rPr>
      </w:pPr>
      <w:r>
        <w:rPr>
          <w:rFonts w:hint="eastAsia" w:ascii="仿宋_GB2312" w:hAnsi="仿宋_GB2312" w:eastAsia="仿宋_GB2312" w:cs="仿宋_GB2312"/>
          <w:b w:val="0"/>
          <w:bCs w:val="0"/>
          <w:color w:val="auto"/>
          <w:sz w:val="32"/>
          <w:szCs w:val="32"/>
          <w:highlight w:val="none"/>
          <w:lang w:val="zh-CN" w:eastAsia="zh-CN" w:bidi="zh-CN"/>
        </w:rPr>
        <w:t>第十</w:t>
      </w:r>
      <w:r>
        <w:rPr>
          <w:rFonts w:hint="eastAsia" w:ascii="仿宋_GB2312" w:hAnsi="仿宋_GB2312" w:eastAsia="仿宋_GB2312" w:cs="仿宋_GB2312"/>
          <w:b w:val="0"/>
          <w:bCs w:val="0"/>
          <w:color w:val="auto"/>
          <w:sz w:val="32"/>
          <w:szCs w:val="32"/>
          <w:highlight w:val="none"/>
          <w:lang w:val="en-US" w:eastAsia="zh-CN" w:bidi="zh-CN"/>
        </w:rPr>
        <w:t>六</w:t>
      </w:r>
      <w:r>
        <w:rPr>
          <w:rFonts w:hint="eastAsia" w:ascii="仿宋_GB2312" w:hAnsi="仿宋_GB2312" w:eastAsia="仿宋_GB2312" w:cs="仿宋_GB2312"/>
          <w:b w:val="0"/>
          <w:bCs w:val="0"/>
          <w:color w:val="auto"/>
          <w:sz w:val="32"/>
          <w:szCs w:val="32"/>
          <w:highlight w:val="none"/>
          <w:lang w:val="zh-CN" w:eastAsia="zh-CN" w:bidi="zh-CN"/>
        </w:rPr>
        <w:t>条（数据传输安全） 传输公共数据，应当根据传输的数据类型、级别和应用场景，制定安全技术规则，并采取身份认证、校验技术密码技术、安全传输通道等保护措施。公共管理和服务机构原则上通过数据资源“一网共享”平台传输公共数据，保障公共数据传输过程可信、可控。</w:t>
      </w:r>
    </w:p>
    <w:p>
      <w:pPr>
        <w:pageBreakBefore w:val="0"/>
        <w:widowControl w:val="0"/>
        <w:shd w:val="clear" w:color="auto" w:fill="FFFFFF"/>
        <w:kinsoku/>
        <w:wordWrap/>
        <w:overflowPunct/>
        <w:topLinePunct w:val="0"/>
        <w:autoSpaceDE/>
        <w:autoSpaceDN/>
        <w:bidi w:val="0"/>
        <w:adjustRightInd/>
        <w:snapToGrid/>
        <w:spacing w:line="600" w:lineRule="exact"/>
        <w:ind w:firstLine="562"/>
        <w:jc w:val="both"/>
        <w:textAlignment w:val="auto"/>
        <w:rPr>
          <w:rFonts w:hint="eastAsia" w:ascii="仿宋_GB2312" w:hAnsi="仿宋_GB2312" w:eastAsia="仿宋_GB2312" w:cs="仿宋_GB2312"/>
          <w:b w:val="0"/>
          <w:bCs w:val="0"/>
          <w:color w:val="auto"/>
          <w:sz w:val="32"/>
          <w:szCs w:val="32"/>
          <w:highlight w:val="none"/>
          <w:lang w:val="zh-CN" w:eastAsia="zh-CN" w:bidi="zh-CN"/>
        </w:rPr>
      </w:pPr>
      <w:r>
        <w:rPr>
          <w:rFonts w:hint="eastAsia" w:ascii="仿宋_GB2312" w:hAnsi="仿宋_GB2312" w:eastAsia="仿宋_GB2312" w:cs="仿宋_GB2312"/>
          <w:b w:val="0"/>
          <w:bCs w:val="0"/>
          <w:color w:val="auto"/>
          <w:sz w:val="32"/>
          <w:szCs w:val="32"/>
          <w:highlight w:val="none"/>
          <w:lang w:val="zh-CN" w:eastAsia="zh-CN" w:bidi="zh-CN"/>
        </w:rPr>
        <w:t>第十</w:t>
      </w:r>
      <w:r>
        <w:rPr>
          <w:rFonts w:hint="eastAsia" w:ascii="仿宋_GB2312" w:hAnsi="仿宋_GB2312" w:eastAsia="仿宋_GB2312" w:cs="仿宋_GB2312"/>
          <w:b w:val="0"/>
          <w:bCs w:val="0"/>
          <w:color w:val="auto"/>
          <w:sz w:val="32"/>
          <w:szCs w:val="32"/>
          <w:highlight w:val="none"/>
          <w:lang w:val="en-US" w:eastAsia="zh-CN" w:bidi="zh-CN"/>
        </w:rPr>
        <w:t>七</w:t>
      </w:r>
      <w:r>
        <w:rPr>
          <w:rFonts w:hint="eastAsia" w:ascii="仿宋_GB2312" w:hAnsi="仿宋_GB2312" w:eastAsia="仿宋_GB2312" w:cs="仿宋_GB2312"/>
          <w:b w:val="0"/>
          <w:bCs w:val="0"/>
          <w:color w:val="auto"/>
          <w:sz w:val="32"/>
          <w:szCs w:val="32"/>
          <w:highlight w:val="none"/>
          <w:lang w:val="zh-CN" w:eastAsia="zh-CN" w:bidi="zh-CN"/>
        </w:rPr>
        <w:t>条（数据提供安全） 公共管理和服务机构依法向数据资源“一网共享”平台和公民、法人及其他组织提供公共数据，数据资源“一网共享”平台向数据使用机构提供公共数据时，应当明确提供的内容、条件、程序、渠道、时效等。</w:t>
      </w:r>
    </w:p>
    <w:p>
      <w:pPr>
        <w:pageBreakBefore w:val="0"/>
        <w:widowControl w:val="0"/>
        <w:shd w:val="clear" w:color="auto" w:fill="FFFFFF"/>
        <w:kinsoku/>
        <w:wordWrap/>
        <w:overflowPunct/>
        <w:topLinePunct w:val="0"/>
        <w:autoSpaceDE/>
        <w:autoSpaceDN/>
        <w:bidi w:val="0"/>
        <w:adjustRightInd/>
        <w:snapToGrid/>
        <w:spacing w:line="600" w:lineRule="exact"/>
        <w:ind w:firstLine="562"/>
        <w:jc w:val="both"/>
        <w:textAlignment w:val="auto"/>
        <w:rPr>
          <w:rFonts w:hint="eastAsia" w:ascii="仿宋_GB2312" w:hAnsi="仿宋_GB2312" w:eastAsia="仿宋_GB2312" w:cs="仿宋_GB2312"/>
          <w:b w:val="0"/>
          <w:bCs w:val="0"/>
          <w:color w:val="auto"/>
          <w:sz w:val="32"/>
          <w:szCs w:val="32"/>
          <w:highlight w:val="none"/>
          <w:lang w:val="zh-CN" w:eastAsia="zh-CN" w:bidi="zh-CN"/>
        </w:rPr>
      </w:pPr>
      <w:r>
        <w:rPr>
          <w:rFonts w:hint="eastAsia" w:ascii="仿宋_GB2312" w:hAnsi="仿宋_GB2312" w:eastAsia="仿宋_GB2312" w:cs="仿宋_GB2312"/>
          <w:b w:val="0"/>
          <w:bCs w:val="0"/>
          <w:color w:val="auto"/>
          <w:sz w:val="32"/>
          <w:szCs w:val="32"/>
          <w:highlight w:val="none"/>
          <w:lang w:val="zh-CN" w:eastAsia="zh-CN" w:bidi="zh-CN"/>
        </w:rPr>
        <w:t>数据使用机构和公民、法人及其他组织申请使用公共数据应当明确告知申请受理方数据的使用范围、方式、时限、目的作用以及相应安全保护措施、违约责任等，并与申请受理方签订安全协议；申请受理方有权核实申请方的数据安全保护能力。</w:t>
      </w:r>
    </w:p>
    <w:p>
      <w:pPr>
        <w:pStyle w:val="3"/>
        <w:pageBreakBefore w:val="0"/>
        <w:kinsoku/>
        <w:wordWrap/>
        <w:overflowPunct/>
        <w:topLinePunct w:val="0"/>
        <w:bidi w:val="0"/>
        <w:adjustRightInd/>
        <w:snapToGrid/>
        <w:spacing w:line="600" w:lineRule="exact"/>
        <w:ind w:left="0" w:leftChars="0" w:firstLine="0" w:firstLineChars="0"/>
        <w:jc w:val="center"/>
        <w:textAlignment w:val="auto"/>
        <w:outlineLvl w:val="0"/>
        <w:rPr>
          <w:rFonts w:hint="default" w:ascii="黑体" w:hAnsi="黑体" w:eastAsia="黑体" w:cs="宋体"/>
          <w:b w:val="0"/>
          <w:bCs w:val="0"/>
          <w:color w:val="auto"/>
          <w:sz w:val="32"/>
          <w:szCs w:val="32"/>
          <w:highlight w:val="none"/>
          <w:lang w:val="en-US" w:eastAsia="zh-CN" w:bidi="ar-SA"/>
        </w:rPr>
      </w:pPr>
      <w:r>
        <w:rPr>
          <w:rFonts w:hint="eastAsia" w:ascii="黑体" w:hAnsi="黑体" w:eastAsia="黑体" w:cs="宋体"/>
          <w:b w:val="0"/>
          <w:bCs w:val="0"/>
          <w:color w:val="auto"/>
          <w:sz w:val="32"/>
          <w:szCs w:val="32"/>
          <w:highlight w:val="none"/>
          <w:lang w:eastAsia="zh-CN" w:bidi="ar-SA"/>
        </w:rPr>
        <w:t>第四章 数据</w:t>
      </w:r>
      <w:r>
        <w:rPr>
          <w:rFonts w:hint="eastAsia" w:ascii="黑体" w:hAnsi="黑体" w:eastAsia="黑体" w:cs="宋体"/>
          <w:b w:val="0"/>
          <w:bCs w:val="0"/>
          <w:color w:val="auto"/>
          <w:sz w:val="32"/>
          <w:szCs w:val="32"/>
          <w:highlight w:val="none"/>
          <w:lang w:val="en-US" w:eastAsia="zh-CN" w:bidi="ar-SA"/>
        </w:rPr>
        <w:t>安全管理措施</w:t>
      </w:r>
    </w:p>
    <w:p>
      <w:pPr>
        <w:pageBreakBefore w:val="0"/>
        <w:widowControl w:val="0"/>
        <w:shd w:val="clear" w:color="auto" w:fill="FFFFFF"/>
        <w:kinsoku/>
        <w:wordWrap/>
        <w:overflowPunct/>
        <w:topLinePunct w:val="0"/>
        <w:autoSpaceDE/>
        <w:autoSpaceDN/>
        <w:bidi w:val="0"/>
        <w:adjustRightInd/>
        <w:snapToGrid/>
        <w:spacing w:line="600" w:lineRule="exact"/>
        <w:ind w:firstLine="562"/>
        <w:jc w:val="both"/>
        <w:textAlignment w:val="auto"/>
        <w:rPr>
          <w:rFonts w:hint="eastAsia" w:ascii="仿宋_GB2312" w:hAnsi="仿宋_GB2312" w:eastAsia="仿宋_GB2312" w:cs="仿宋_GB2312"/>
          <w:b w:val="0"/>
          <w:bCs w:val="0"/>
          <w:color w:val="auto"/>
          <w:sz w:val="32"/>
          <w:szCs w:val="32"/>
          <w:highlight w:val="none"/>
          <w:lang w:val="en-US" w:eastAsia="zh-CN" w:bidi="zh-CN"/>
        </w:rPr>
      </w:pPr>
      <w:r>
        <w:rPr>
          <w:rFonts w:hint="eastAsia" w:ascii="仿宋_GB2312" w:hAnsi="仿宋_GB2312" w:eastAsia="仿宋_GB2312" w:cs="仿宋_GB2312"/>
          <w:b w:val="0"/>
          <w:bCs w:val="0"/>
          <w:color w:val="auto"/>
          <w:sz w:val="32"/>
          <w:szCs w:val="32"/>
          <w:highlight w:val="none"/>
          <w:lang w:val="en-US" w:eastAsia="zh-CN" w:bidi="zh-CN"/>
        </w:rPr>
        <w:t>第十八条（数据处理环境安全） 公共管理和服务机构应当保障公共数据处理环境安全，处理公共数据的系统应用部署在政务云（行业云）上，不得在公有云等不可信的云系统部署，处理公共数据应当依托政务云（行业云）、已备案的可信交互终端开展。</w:t>
      </w:r>
    </w:p>
    <w:p>
      <w:pPr>
        <w:pageBreakBefore w:val="0"/>
        <w:widowControl w:val="0"/>
        <w:shd w:val="clear" w:color="auto" w:fill="FFFFFF"/>
        <w:kinsoku/>
        <w:wordWrap/>
        <w:overflowPunct/>
        <w:topLinePunct w:val="0"/>
        <w:autoSpaceDE/>
        <w:autoSpaceDN/>
        <w:bidi w:val="0"/>
        <w:adjustRightInd/>
        <w:snapToGrid/>
        <w:spacing w:line="600" w:lineRule="exact"/>
        <w:ind w:firstLine="562"/>
        <w:jc w:val="both"/>
        <w:textAlignment w:val="auto"/>
        <w:rPr>
          <w:rFonts w:hint="eastAsia" w:ascii="仿宋_GB2312" w:hAnsi="仿宋_GB2312" w:eastAsia="仿宋_GB2312" w:cs="仿宋_GB2312"/>
          <w:b w:val="0"/>
          <w:bCs w:val="0"/>
          <w:color w:val="auto"/>
          <w:sz w:val="32"/>
          <w:szCs w:val="32"/>
          <w:highlight w:val="none"/>
          <w:lang w:val="en-US" w:eastAsia="zh-CN" w:bidi="zh-CN"/>
        </w:rPr>
      </w:pPr>
      <w:r>
        <w:rPr>
          <w:rFonts w:hint="eastAsia" w:ascii="仿宋_GB2312" w:hAnsi="仿宋_GB2312" w:eastAsia="仿宋_GB2312" w:cs="仿宋_GB2312"/>
          <w:b w:val="0"/>
          <w:bCs w:val="0"/>
          <w:color w:val="auto"/>
          <w:sz w:val="32"/>
          <w:szCs w:val="32"/>
          <w:highlight w:val="none"/>
          <w:lang w:val="en-US" w:eastAsia="zh-CN" w:bidi="zh-CN"/>
        </w:rPr>
        <w:t>第十九条（数据处理终端安全） 公共管理和服务机构应当加强数据处理终端安全管理，采取集中管控、用户识别、访问控制、安全审计、病毒防御、补丁修复等技术防护措施对公共数据处理终端进行安全防护。</w:t>
      </w:r>
    </w:p>
    <w:p>
      <w:pPr>
        <w:pStyle w:val="18"/>
        <w:pageBreakBefore w:val="0"/>
        <w:widowControl w:val="0"/>
        <w:shd w:val="clear" w:color="auto" w:fill="FFFFFF"/>
        <w:kinsoku/>
        <w:wordWrap/>
        <w:overflowPunct/>
        <w:topLinePunct w:val="0"/>
        <w:autoSpaceDE/>
        <w:autoSpaceDN/>
        <w:bidi w:val="0"/>
        <w:adjustRightInd/>
        <w:snapToGrid/>
        <w:spacing w:line="600" w:lineRule="exact"/>
        <w:ind w:firstLine="56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第二十条（</w:t>
      </w:r>
      <w:r>
        <w:rPr>
          <w:rFonts w:hint="eastAsia" w:ascii="仿宋_GB2312" w:hAnsi="仿宋_GB2312" w:eastAsia="仿宋_GB2312" w:cs="仿宋_GB2312"/>
          <w:b w:val="0"/>
          <w:bCs w:val="0"/>
          <w:sz w:val="32"/>
          <w:szCs w:val="32"/>
          <w:highlight w:val="none"/>
          <w:lang w:val="en-US" w:eastAsia="zh-CN"/>
        </w:rPr>
        <w:t>委托</w:t>
      </w:r>
      <w:r>
        <w:rPr>
          <w:rFonts w:hint="eastAsia" w:ascii="仿宋_GB2312" w:hAnsi="仿宋_GB2312" w:eastAsia="仿宋_GB2312" w:cs="仿宋_GB2312"/>
          <w:b w:val="0"/>
          <w:bCs w:val="0"/>
          <w:sz w:val="32"/>
          <w:szCs w:val="32"/>
          <w:highlight w:val="none"/>
        </w:rPr>
        <w:t>安全） 公共管理和服务机构</w:t>
      </w:r>
      <w:r>
        <w:rPr>
          <w:rFonts w:hint="eastAsia" w:ascii="仿宋_GB2312" w:hAnsi="仿宋_GB2312" w:eastAsia="仿宋_GB2312" w:cs="仿宋_GB2312"/>
          <w:b w:val="0"/>
          <w:bCs w:val="0"/>
          <w:sz w:val="32"/>
          <w:szCs w:val="32"/>
          <w:highlight w:val="none"/>
          <w:lang w:val="en-US" w:eastAsia="zh-CN"/>
        </w:rPr>
        <w:t>应当加强公共数据供应链安全管理，</w:t>
      </w:r>
      <w:r>
        <w:rPr>
          <w:rFonts w:hint="eastAsia" w:ascii="仿宋_GB2312" w:hAnsi="仿宋_GB2312" w:eastAsia="仿宋_GB2312" w:cs="仿宋_GB2312"/>
          <w:b w:val="0"/>
          <w:bCs w:val="0"/>
          <w:sz w:val="32"/>
          <w:szCs w:val="32"/>
          <w:highlight w:val="none"/>
        </w:rPr>
        <w:t>委托第三方机构建设、维护信息系统或者开展数据处理活动，应当核实第三方机构的数据安全保护能力、资质，确保符合国家、行业主管部门的相关要求，相关安全责任不随委托关系转移。</w:t>
      </w:r>
    </w:p>
    <w:p>
      <w:pPr>
        <w:pStyle w:val="18"/>
        <w:pageBreakBefore w:val="0"/>
        <w:widowControl w:val="0"/>
        <w:kinsoku/>
        <w:wordWrap/>
        <w:overflowPunct/>
        <w:topLinePunct w:val="0"/>
        <w:autoSpaceDE/>
        <w:autoSpaceDN/>
        <w:bidi w:val="0"/>
        <w:adjustRightInd/>
        <w:snapToGrid/>
        <w:spacing w:line="600" w:lineRule="exact"/>
        <w:ind w:firstLine="562"/>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公共管理和服务机构应当建立公共数据外包或者委托服务安全常态化监督管理机制，确定数据处理操作权限，加强对云服务、终端的常态化安全管理，监督并定期检查第三方机构依照法律、法规、规章的规定和合同约定履行数据安全保护义务情况确保第三方机构不擅自留存、使用、泄露、销毁或者向他人提供公共数据。</w:t>
      </w:r>
    </w:p>
    <w:p>
      <w:pPr>
        <w:pStyle w:val="18"/>
        <w:pageBreakBefore w:val="0"/>
        <w:widowControl w:val="0"/>
        <w:kinsoku/>
        <w:wordWrap/>
        <w:overflowPunct/>
        <w:topLinePunct w:val="0"/>
        <w:autoSpaceDE/>
        <w:autoSpaceDN/>
        <w:bidi w:val="0"/>
        <w:adjustRightInd/>
        <w:snapToGrid/>
        <w:spacing w:line="600" w:lineRule="exact"/>
        <w:ind w:firstLine="562"/>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第二十</w:t>
      </w:r>
      <w:r>
        <w:rPr>
          <w:rFonts w:hint="eastAsia" w:ascii="仿宋_GB2312" w:hAnsi="仿宋_GB2312" w:eastAsia="仿宋_GB2312" w:cs="仿宋_GB2312"/>
          <w:b w:val="0"/>
          <w:bCs w:val="0"/>
          <w:sz w:val="32"/>
          <w:szCs w:val="32"/>
          <w:highlight w:val="none"/>
          <w:lang w:val="en-US" w:eastAsia="zh-CN"/>
        </w:rPr>
        <w:t>一</w:t>
      </w:r>
      <w:r>
        <w:rPr>
          <w:rFonts w:hint="eastAsia" w:ascii="仿宋_GB2312" w:hAnsi="仿宋_GB2312" w:eastAsia="仿宋_GB2312" w:cs="仿宋_GB2312"/>
          <w:b w:val="0"/>
          <w:bCs w:val="0"/>
          <w:sz w:val="32"/>
          <w:szCs w:val="32"/>
          <w:highlight w:val="none"/>
        </w:rPr>
        <w:t>条（人员</w:t>
      </w:r>
      <w:r>
        <w:rPr>
          <w:rFonts w:hint="eastAsia" w:ascii="仿宋_GB2312" w:hAnsi="仿宋_GB2312" w:eastAsia="仿宋_GB2312" w:cs="仿宋_GB2312"/>
          <w:b w:val="0"/>
          <w:bCs w:val="0"/>
          <w:sz w:val="32"/>
          <w:szCs w:val="32"/>
          <w:highlight w:val="none"/>
          <w:lang w:val="en-US" w:eastAsia="zh-CN"/>
        </w:rPr>
        <w:t>账号权限</w:t>
      </w:r>
      <w:r>
        <w:rPr>
          <w:rFonts w:hint="eastAsia" w:ascii="仿宋_GB2312" w:hAnsi="仿宋_GB2312" w:eastAsia="仿宋_GB2312" w:cs="仿宋_GB2312"/>
          <w:b w:val="0"/>
          <w:bCs w:val="0"/>
          <w:sz w:val="32"/>
          <w:szCs w:val="32"/>
          <w:highlight w:val="none"/>
        </w:rPr>
        <w:t>管理） 公共管理和服务机构应当加强对数据处理活动相关人员</w:t>
      </w:r>
      <w:r>
        <w:rPr>
          <w:rFonts w:hint="eastAsia" w:ascii="仿宋_GB2312" w:hAnsi="仿宋_GB2312" w:eastAsia="仿宋_GB2312" w:cs="仿宋_GB2312"/>
          <w:b w:val="0"/>
          <w:bCs w:val="0"/>
          <w:sz w:val="32"/>
          <w:szCs w:val="32"/>
          <w:highlight w:val="none"/>
          <w:lang w:val="en-US" w:eastAsia="zh-CN"/>
        </w:rPr>
        <w:t>和账号权限管理。</w:t>
      </w:r>
      <w:r>
        <w:rPr>
          <w:rFonts w:hint="eastAsia" w:ascii="仿宋_GB2312" w:hAnsi="仿宋_GB2312" w:eastAsia="仿宋_GB2312" w:cs="仿宋_GB2312"/>
          <w:b w:val="0"/>
          <w:bCs w:val="0"/>
          <w:sz w:val="32"/>
          <w:szCs w:val="32"/>
          <w:highlight w:val="none"/>
        </w:rPr>
        <w:t>明确在人员录用、人员培训、人员考核、保密协议、离岗离职、外部人员管理等方面的管理规定并严格落实。</w:t>
      </w:r>
      <w:r>
        <w:rPr>
          <w:rFonts w:hint="eastAsia" w:ascii="仿宋_GB2312" w:hAnsi="仿宋_GB2312" w:eastAsia="仿宋_GB2312" w:cs="仿宋_GB2312"/>
          <w:b w:val="0"/>
          <w:bCs w:val="0"/>
          <w:sz w:val="32"/>
          <w:szCs w:val="32"/>
          <w:highlight w:val="none"/>
          <w:lang w:val="en-US" w:eastAsia="zh-CN"/>
        </w:rPr>
        <w:t>配置账号权限时，应当根据人员岗位职责和业务需求，按照最小授权原则配置。当人员岗位职责或业务需求发生变更时，公共管理和服务机构应该及时调整相关账号权限。</w:t>
      </w:r>
    </w:p>
    <w:p>
      <w:pPr>
        <w:pStyle w:val="18"/>
        <w:pageBreakBefore w:val="0"/>
        <w:widowControl w:val="0"/>
        <w:kinsoku/>
        <w:wordWrap/>
        <w:overflowPunct/>
        <w:topLinePunct w:val="0"/>
        <w:autoSpaceDE/>
        <w:autoSpaceDN/>
        <w:bidi w:val="0"/>
        <w:adjustRightInd/>
        <w:snapToGrid/>
        <w:spacing w:line="600" w:lineRule="exact"/>
        <w:ind w:firstLine="562"/>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委托开展公共数据处理活动的，应当加强对第三方机构的监督管理，要求第三方机构与相关人员签订保密协议，对关键岗位人员进行安全背景审查，严格实施权限管理，定期进行人员活动审查。</w:t>
      </w:r>
    </w:p>
    <w:p>
      <w:pPr>
        <w:pStyle w:val="18"/>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color w:val="auto"/>
          <w:sz w:val="32"/>
          <w:szCs w:val="32"/>
          <w:highlight w:val="none"/>
          <w:lang w:val="en-US" w:eastAsia="zh-CN" w:bidi="zh-CN"/>
        </w:rPr>
      </w:pPr>
      <w:r>
        <w:rPr>
          <w:rFonts w:hint="eastAsia" w:ascii="仿宋_GB2312" w:hAnsi="仿宋_GB2312" w:eastAsia="仿宋_GB2312" w:cs="仿宋_GB2312"/>
          <w:b w:val="0"/>
          <w:bCs w:val="0"/>
          <w:sz w:val="32"/>
          <w:szCs w:val="32"/>
          <w:highlight w:val="none"/>
        </w:rPr>
        <w:t>第</w:t>
      </w:r>
      <w:r>
        <w:rPr>
          <w:rFonts w:hint="eastAsia" w:ascii="仿宋_GB2312" w:hAnsi="仿宋_GB2312" w:eastAsia="仿宋_GB2312" w:cs="仿宋_GB2312"/>
          <w:b w:val="0"/>
          <w:bCs w:val="0"/>
          <w:sz w:val="32"/>
          <w:szCs w:val="32"/>
          <w:highlight w:val="none"/>
          <w:lang w:val="en-US" w:eastAsia="zh-CN"/>
        </w:rPr>
        <w:t>二十二</w:t>
      </w:r>
      <w:r>
        <w:rPr>
          <w:rFonts w:hint="eastAsia" w:ascii="仿宋_GB2312" w:hAnsi="仿宋_GB2312" w:eastAsia="仿宋_GB2312" w:cs="仿宋_GB2312"/>
          <w:b w:val="0"/>
          <w:bCs w:val="0"/>
          <w:sz w:val="32"/>
          <w:szCs w:val="32"/>
          <w:highlight w:val="none"/>
        </w:rPr>
        <w:t>条（</w:t>
      </w:r>
      <w:r>
        <w:rPr>
          <w:rFonts w:hint="eastAsia" w:ascii="仿宋_GB2312" w:hAnsi="仿宋_GB2312" w:eastAsia="仿宋_GB2312" w:cs="仿宋_GB2312"/>
          <w:b w:val="0"/>
          <w:bCs w:val="0"/>
          <w:sz w:val="32"/>
          <w:szCs w:val="32"/>
          <w:highlight w:val="none"/>
          <w:lang w:val="en-US" w:eastAsia="zh-CN"/>
        </w:rPr>
        <w:t>安全培训</w:t>
      </w:r>
      <w:r>
        <w:rPr>
          <w:rFonts w:hint="eastAsia" w:ascii="仿宋_GB2312" w:hAnsi="仿宋_GB2312" w:eastAsia="仿宋_GB2312" w:cs="仿宋_GB2312"/>
          <w:b w:val="0"/>
          <w:bCs w:val="0"/>
          <w:sz w:val="32"/>
          <w:szCs w:val="32"/>
          <w:highlight w:val="none"/>
        </w:rPr>
        <w:t>） 公共管理和服务机构应当加强管理人员和操作人员的安全培训，建立公共数据安全培训制度，定期开展公共数据安全专项培训。培训内容应具有针对性，应当实现分阶段的对不同岗位的人员进行必要的数据安全管理、数据安全意识和数据安全技能等方面的培训。</w:t>
      </w:r>
    </w:p>
    <w:p>
      <w:pPr>
        <w:pageBreakBefore w:val="0"/>
        <w:widowControl w:val="0"/>
        <w:shd w:val="clear" w:color="auto" w:fill="FFFFFF"/>
        <w:kinsoku/>
        <w:wordWrap/>
        <w:overflowPunct/>
        <w:topLinePunct w:val="0"/>
        <w:autoSpaceDE/>
        <w:autoSpaceDN/>
        <w:bidi w:val="0"/>
        <w:adjustRightInd/>
        <w:snapToGrid/>
        <w:spacing w:line="600" w:lineRule="exact"/>
        <w:ind w:firstLine="562"/>
        <w:jc w:val="both"/>
        <w:textAlignment w:val="auto"/>
        <w:rPr>
          <w:rFonts w:hint="eastAsia" w:ascii="仿宋_GB2312" w:hAnsi="仿宋_GB2312" w:eastAsia="仿宋_GB2312" w:cs="仿宋_GB2312"/>
          <w:b w:val="0"/>
          <w:bCs w:val="0"/>
          <w:color w:val="auto"/>
          <w:sz w:val="32"/>
          <w:szCs w:val="32"/>
          <w:highlight w:val="none"/>
          <w:lang w:val="en-US" w:eastAsia="zh-CN" w:bidi="zh-CN"/>
        </w:rPr>
      </w:pPr>
      <w:r>
        <w:rPr>
          <w:rFonts w:hint="eastAsia" w:ascii="仿宋_GB2312" w:hAnsi="仿宋_GB2312" w:eastAsia="仿宋_GB2312" w:cs="仿宋_GB2312"/>
          <w:b w:val="0"/>
          <w:bCs w:val="0"/>
          <w:color w:val="auto"/>
          <w:sz w:val="32"/>
          <w:szCs w:val="32"/>
          <w:highlight w:val="none"/>
          <w:lang w:val="en-US" w:eastAsia="zh-CN" w:bidi="zh-CN"/>
        </w:rPr>
        <w:t>第二十三条（个人信息安全） 公共管理和服务机构应当加强对个人信息的保护，梳理本机构的个人信息清单，明确已收集个人信息的数据量、涉及人数等信息。</w:t>
      </w:r>
    </w:p>
    <w:p>
      <w:pPr>
        <w:pageBreakBefore w:val="0"/>
        <w:widowControl w:val="0"/>
        <w:shd w:val="clear" w:color="auto" w:fill="FFFFFF"/>
        <w:kinsoku/>
        <w:wordWrap/>
        <w:overflowPunct/>
        <w:topLinePunct w:val="0"/>
        <w:autoSpaceDE/>
        <w:autoSpaceDN/>
        <w:bidi w:val="0"/>
        <w:adjustRightInd/>
        <w:snapToGrid/>
        <w:spacing w:line="600" w:lineRule="exact"/>
        <w:ind w:firstLine="562"/>
        <w:jc w:val="both"/>
        <w:textAlignment w:val="auto"/>
        <w:rPr>
          <w:rFonts w:hint="default" w:ascii="仿宋_GB2312" w:hAnsi="仿宋_GB2312" w:eastAsia="仿宋_GB2312" w:cs="仿宋_GB2312"/>
          <w:b w:val="0"/>
          <w:bCs w:val="0"/>
          <w:color w:val="auto"/>
          <w:sz w:val="32"/>
          <w:szCs w:val="32"/>
          <w:highlight w:val="none"/>
          <w:lang w:val="en-US" w:eastAsia="zh-CN" w:bidi="zh-CN"/>
        </w:rPr>
      </w:pPr>
      <w:r>
        <w:rPr>
          <w:rFonts w:hint="eastAsia" w:ascii="仿宋_GB2312" w:hAnsi="仿宋_GB2312" w:eastAsia="仿宋_GB2312" w:cs="仿宋_GB2312"/>
          <w:b w:val="0"/>
          <w:bCs w:val="0"/>
          <w:color w:val="auto"/>
          <w:sz w:val="32"/>
          <w:szCs w:val="32"/>
          <w:highlight w:val="none"/>
          <w:lang w:val="en-US" w:eastAsia="zh-CN" w:bidi="zh-CN"/>
        </w:rPr>
        <w:t>当个人信息数据量超过100万人或者个人敏感信息超过10万人时，应当明确个人信息保护负责人和个人信息保护工作部门，负责全面统筹实施机构内部的个人信息安全工作。</w:t>
      </w:r>
    </w:p>
    <w:p>
      <w:pPr>
        <w:pStyle w:val="3"/>
        <w:pageBreakBefore w:val="0"/>
        <w:kinsoku/>
        <w:wordWrap/>
        <w:overflowPunct/>
        <w:topLinePunct w:val="0"/>
        <w:bidi w:val="0"/>
        <w:adjustRightInd/>
        <w:snapToGrid/>
        <w:spacing w:line="600" w:lineRule="exact"/>
        <w:ind w:left="0" w:leftChars="0" w:firstLine="0" w:firstLineChars="0"/>
        <w:jc w:val="center"/>
        <w:textAlignment w:val="auto"/>
        <w:outlineLvl w:val="0"/>
        <w:rPr>
          <w:rFonts w:hint="eastAsia" w:ascii="黑体" w:hAnsi="黑体" w:eastAsia="黑体" w:cs="宋体"/>
          <w:b w:val="0"/>
          <w:bCs w:val="0"/>
          <w:color w:val="auto"/>
          <w:sz w:val="32"/>
          <w:szCs w:val="32"/>
          <w:highlight w:val="none"/>
          <w:lang w:eastAsia="zh-CN" w:bidi="ar-SA"/>
        </w:rPr>
      </w:pPr>
      <w:r>
        <w:rPr>
          <w:rFonts w:hint="eastAsia" w:ascii="黑体" w:hAnsi="黑体" w:eastAsia="黑体" w:cs="宋体"/>
          <w:b w:val="0"/>
          <w:bCs w:val="0"/>
          <w:color w:val="auto"/>
          <w:sz w:val="32"/>
          <w:szCs w:val="32"/>
          <w:highlight w:val="none"/>
          <w:lang w:eastAsia="zh-CN" w:bidi="ar-SA"/>
        </w:rPr>
        <w:t>第</w:t>
      </w:r>
      <w:r>
        <w:rPr>
          <w:rFonts w:hint="eastAsia" w:ascii="黑体" w:hAnsi="黑体" w:eastAsia="黑体" w:cs="宋体"/>
          <w:b w:val="0"/>
          <w:bCs w:val="0"/>
          <w:color w:val="auto"/>
          <w:sz w:val="32"/>
          <w:szCs w:val="32"/>
          <w:highlight w:val="none"/>
          <w:lang w:val="en-US" w:eastAsia="zh-CN" w:bidi="ar-SA"/>
        </w:rPr>
        <w:t>五</w:t>
      </w:r>
      <w:r>
        <w:rPr>
          <w:rFonts w:hint="eastAsia" w:ascii="黑体" w:hAnsi="黑体" w:eastAsia="黑体" w:cs="宋体"/>
          <w:b w:val="0"/>
          <w:bCs w:val="0"/>
          <w:color w:val="auto"/>
          <w:sz w:val="32"/>
          <w:szCs w:val="32"/>
          <w:highlight w:val="none"/>
          <w:lang w:eastAsia="zh-CN" w:bidi="ar-SA"/>
        </w:rPr>
        <w:t>章 数据安全支撑保障</w:t>
      </w:r>
    </w:p>
    <w:p>
      <w:pPr>
        <w:pStyle w:val="18"/>
        <w:pageBreakBefore w:val="0"/>
        <w:widowControl w:val="0"/>
        <w:kinsoku/>
        <w:wordWrap/>
        <w:overflowPunct/>
        <w:topLinePunct w:val="0"/>
        <w:autoSpaceDE/>
        <w:autoSpaceDN/>
        <w:bidi w:val="0"/>
        <w:adjustRightInd/>
        <w:snapToGrid/>
        <w:spacing w:line="600" w:lineRule="exact"/>
        <w:ind w:firstLine="562"/>
        <w:jc w:val="both"/>
        <w:textAlignment w:val="auto"/>
        <w:rPr>
          <w:rFonts w:hint="eastAsia" w:ascii="仿宋_GB2312" w:hAnsi="仿宋_GB2312" w:eastAsia="仿宋_GB2312" w:cs="仿宋_GB2312"/>
          <w:b w:val="0"/>
          <w:bCs w:val="0"/>
          <w:color w:val="auto"/>
          <w:sz w:val="32"/>
          <w:szCs w:val="32"/>
          <w:highlight w:val="none"/>
          <w:lang w:val="zh-CN" w:eastAsia="zh-CN" w:bidi="zh-CN"/>
        </w:rPr>
      </w:pPr>
      <w:r>
        <w:rPr>
          <w:rFonts w:hint="eastAsia" w:ascii="仿宋_GB2312" w:hAnsi="仿宋_GB2312" w:eastAsia="仿宋_GB2312" w:cs="仿宋_GB2312"/>
          <w:b w:val="0"/>
          <w:bCs w:val="0"/>
          <w:color w:val="auto"/>
          <w:sz w:val="32"/>
          <w:szCs w:val="32"/>
          <w:highlight w:val="none"/>
          <w:lang w:val="zh-CN" w:eastAsia="zh-CN" w:bidi="zh-CN"/>
        </w:rPr>
        <w:t>第</w:t>
      </w:r>
      <w:r>
        <w:rPr>
          <w:rFonts w:hint="eastAsia" w:ascii="仿宋_GB2312" w:hAnsi="仿宋_GB2312" w:eastAsia="仿宋_GB2312" w:cs="仿宋_GB2312"/>
          <w:b w:val="0"/>
          <w:bCs w:val="0"/>
          <w:color w:val="auto"/>
          <w:sz w:val="32"/>
          <w:szCs w:val="32"/>
          <w:highlight w:val="none"/>
          <w:lang w:val="en-US" w:eastAsia="zh-CN" w:bidi="zh-CN"/>
        </w:rPr>
        <w:t>二十四</w:t>
      </w:r>
      <w:r>
        <w:rPr>
          <w:rFonts w:hint="eastAsia" w:ascii="仿宋_GB2312" w:hAnsi="仿宋_GB2312" w:eastAsia="仿宋_GB2312" w:cs="仿宋_GB2312"/>
          <w:b w:val="0"/>
          <w:bCs w:val="0"/>
          <w:color w:val="auto"/>
          <w:sz w:val="32"/>
          <w:szCs w:val="32"/>
          <w:highlight w:val="none"/>
          <w:lang w:val="zh-CN" w:eastAsia="zh-CN" w:bidi="zh-CN"/>
        </w:rPr>
        <w:t>条（财政预算保障） 公共管理和服务机构应当建立公共数据安全经费保障制度,将公共数据安全经费纳入本机构年度财务预算。</w:t>
      </w:r>
    </w:p>
    <w:p>
      <w:pPr>
        <w:pStyle w:val="18"/>
        <w:pageBreakBefore w:val="0"/>
        <w:widowControl w:val="0"/>
        <w:kinsoku/>
        <w:wordWrap/>
        <w:overflowPunct/>
        <w:topLinePunct w:val="0"/>
        <w:autoSpaceDE/>
        <w:autoSpaceDN/>
        <w:bidi w:val="0"/>
        <w:adjustRightInd/>
        <w:snapToGrid/>
        <w:spacing w:line="600" w:lineRule="exact"/>
        <w:ind w:firstLine="562"/>
        <w:jc w:val="both"/>
        <w:textAlignment w:val="auto"/>
        <w:rPr>
          <w:rFonts w:hint="eastAsia" w:ascii="仿宋_GB2312" w:hAnsi="仿宋_GB2312" w:eastAsia="仿宋_GB2312" w:cs="仿宋_GB2312"/>
          <w:b w:val="0"/>
          <w:bCs w:val="0"/>
          <w:color w:val="auto"/>
          <w:sz w:val="32"/>
          <w:szCs w:val="32"/>
          <w:highlight w:val="none"/>
          <w:lang w:val="zh-CN" w:eastAsia="en-US" w:bidi="zh-CN"/>
        </w:rPr>
      </w:pPr>
      <w:r>
        <w:rPr>
          <w:rFonts w:hint="eastAsia" w:ascii="仿宋_GB2312" w:hAnsi="仿宋_GB2312" w:eastAsia="仿宋_GB2312" w:cs="仿宋_GB2312"/>
          <w:b w:val="0"/>
          <w:bCs w:val="0"/>
          <w:sz w:val="32"/>
          <w:szCs w:val="32"/>
          <w:highlight w:val="none"/>
        </w:rPr>
        <w:t>第</w:t>
      </w:r>
      <w:r>
        <w:rPr>
          <w:rFonts w:hint="eastAsia" w:ascii="仿宋_GB2312" w:hAnsi="仿宋_GB2312" w:eastAsia="仿宋_GB2312" w:cs="仿宋_GB2312"/>
          <w:b w:val="0"/>
          <w:bCs w:val="0"/>
          <w:sz w:val="32"/>
          <w:szCs w:val="32"/>
          <w:highlight w:val="none"/>
          <w:lang w:val="en-US" w:eastAsia="zh-CN"/>
        </w:rPr>
        <w:t>二十五</w:t>
      </w:r>
      <w:r>
        <w:rPr>
          <w:rFonts w:hint="eastAsia" w:ascii="仿宋_GB2312" w:hAnsi="仿宋_GB2312" w:eastAsia="仿宋_GB2312" w:cs="仿宋_GB2312"/>
          <w:b w:val="0"/>
          <w:bCs w:val="0"/>
          <w:sz w:val="32"/>
          <w:szCs w:val="32"/>
          <w:highlight w:val="none"/>
        </w:rPr>
        <w:t>条</w:t>
      </w:r>
      <w:r>
        <w:rPr>
          <w:rFonts w:hint="eastAsia" w:ascii="仿宋_GB2312" w:hAnsi="仿宋_GB2312" w:eastAsia="仿宋_GB2312" w:cs="仿宋_GB2312"/>
          <w:b w:val="0"/>
          <w:bCs w:val="0"/>
          <w:color w:val="auto"/>
          <w:sz w:val="32"/>
          <w:szCs w:val="32"/>
          <w:highlight w:val="none"/>
          <w:lang w:val="zh-CN" w:eastAsia="zh-CN" w:bidi="zh-CN"/>
        </w:rPr>
        <w:t>（风险管理机制） 公共数据主管部门根据有关工作要求，指导监督公共管理和服务机构开展公共数据安全风险评估、报告、信息共享、监测工作，加强对公共数据安全风险信息的获取、分析、研判、预警。</w:t>
      </w:r>
    </w:p>
    <w:p>
      <w:pPr>
        <w:pStyle w:val="18"/>
        <w:pageBreakBefore w:val="0"/>
        <w:widowControl w:val="0"/>
        <w:shd w:val="clear" w:color="auto" w:fill="FFFFFF"/>
        <w:kinsoku/>
        <w:wordWrap/>
        <w:overflowPunct/>
        <w:topLinePunct w:val="0"/>
        <w:autoSpaceDE/>
        <w:autoSpaceDN/>
        <w:bidi w:val="0"/>
        <w:adjustRightInd/>
        <w:snapToGrid/>
        <w:spacing w:line="600" w:lineRule="exact"/>
        <w:ind w:firstLine="562"/>
        <w:jc w:val="both"/>
        <w:textAlignment w:val="auto"/>
        <w:rPr>
          <w:rFonts w:hint="eastAsia" w:ascii="仿宋_GB2312" w:hAnsi="仿宋_GB2312" w:eastAsia="仿宋_GB2312" w:cs="仿宋_GB2312"/>
          <w:b w:val="0"/>
          <w:bCs w:val="0"/>
          <w:color w:val="auto"/>
          <w:sz w:val="32"/>
          <w:szCs w:val="32"/>
          <w:highlight w:val="none"/>
          <w:lang w:val="zh-CN" w:eastAsia="en-US" w:bidi="zh-CN"/>
        </w:rPr>
      </w:pPr>
      <w:r>
        <w:rPr>
          <w:rFonts w:hint="eastAsia" w:ascii="仿宋_GB2312" w:hAnsi="仿宋_GB2312" w:eastAsia="仿宋_GB2312" w:cs="仿宋_GB2312"/>
          <w:b w:val="0"/>
          <w:bCs w:val="0"/>
          <w:color w:val="auto"/>
          <w:sz w:val="32"/>
          <w:szCs w:val="32"/>
          <w:highlight w:val="none"/>
          <w:lang w:val="zh-CN" w:eastAsia="en-US" w:bidi="zh-CN"/>
        </w:rPr>
        <w:t>第二十</w:t>
      </w:r>
      <w:r>
        <w:rPr>
          <w:rFonts w:hint="eastAsia" w:ascii="仿宋_GB2312" w:hAnsi="仿宋_GB2312" w:eastAsia="仿宋_GB2312" w:cs="仿宋_GB2312"/>
          <w:b w:val="0"/>
          <w:bCs w:val="0"/>
          <w:color w:val="auto"/>
          <w:sz w:val="32"/>
          <w:szCs w:val="32"/>
          <w:highlight w:val="none"/>
          <w:lang w:val="en-US" w:eastAsia="en-US" w:bidi="zh-CN"/>
        </w:rPr>
        <w:t>六</w:t>
      </w:r>
      <w:r>
        <w:rPr>
          <w:rFonts w:hint="eastAsia" w:ascii="仿宋_GB2312" w:hAnsi="仿宋_GB2312" w:eastAsia="仿宋_GB2312" w:cs="仿宋_GB2312"/>
          <w:b w:val="0"/>
          <w:bCs w:val="0"/>
          <w:color w:val="auto"/>
          <w:sz w:val="32"/>
          <w:szCs w:val="32"/>
          <w:highlight w:val="none"/>
          <w:lang w:val="zh-CN" w:eastAsia="en-US" w:bidi="zh-CN"/>
        </w:rPr>
        <w:t>条（风险监测及评估） 公共管理和服务机构应当加强风险监测，全面排查安全隐患，及时整改数据安全评估发现问题，建立常态化风险防范机制。</w:t>
      </w:r>
    </w:p>
    <w:p>
      <w:pPr>
        <w:pStyle w:val="18"/>
        <w:pageBreakBefore w:val="0"/>
        <w:widowControl w:val="0"/>
        <w:kinsoku/>
        <w:wordWrap/>
        <w:overflowPunct/>
        <w:topLinePunct w:val="0"/>
        <w:autoSpaceDE/>
        <w:autoSpaceDN/>
        <w:bidi w:val="0"/>
        <w:adjustRightInd/>
        <w:snapToGrid/>
        <w:spacing w:line="600" w:lineRule="exact"/>
        <w:ind w:firstLine="56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第二十</w:t>
      </w:r>
      <w:r>
        <w:rPr>
          <w:rFonts w:hint="eastAsia" w:ascii="仿宋_GB2312" w:hAnsi="仿宋_GB2312" w:eastAsia="仿宋_GB2312" w:cs="仿宋_GB2312"/>
          <w:b w:val="0"/>
          <w:bCs w:val="0"/>
          <w:sz w:val="32"/>
          <w:szCs w:val="32"/>
          <w:highlight w:val="none"/>
          <w:lang w:val="en-US" w:eastAsia="zh-CN"/>
        </w:rPr>
        <w:t>七</w:t>
      </w:r>
      <w:r>
        <w:rPr>
          <w:rFonts w:hint="eastAsia" w:ascii="仿宋_GB2312" w:hAnsi="仿宋_GB2312" w:eastAsia="仿宋_GB2312" w:cs="仿宋_GB2312"/>
          <w:b w:val="0"/>
          <w:bCs w:val="0"/>
          <w:sz w:val="32"/>
          <w:szCs w:val="32"/>
          <w:highlight w:val="none"/>
        </w:rPr>
        <w:t>条（应急处置） 公共数据主管部门应当协同网信、公安、国家安全、通信管理、保密、密码管理等有关部门和各行业主管部门建立应急预警、响应、支援处理和灾难恢复机制，并加强与公共管理和服务机构间的应急联合演练工作，提升突发事件应急处置能力。</w:t>
      </w:r>
    </w:p>
    <w:p>
      <w:pPr>
        <w:pStyle w:val="18"/>
        <w:pageBreakBefore w:val="0"/>
        <w:widowControl w:val="0"/>
        <w:kinsoku/>
        <w:wordWrap/>
        <w:overflowPunct/>
        <w:topLinePunct w:val="0"/>
        <w:autoSpaceDE/>
        <w:autoSpaceDN/>
        <w:bidi w:val="0"/>
        <w:adjustRightInd/>
        <w:snapToGrid/>
        <w:spacing w:line="600" w:lineRule="exact"/>
        <w:ind w:firstLine="56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公共管理和服务机构应当制定本单位公共数据安全事件应急预案，定期开展应急演练。发生公共数据安全事件时，公共管理和服务机构须按照应急预案立即开展应急处置，处置完成后及时形成总结报告，报送相关行业、领域主管部门；涉及重要数据和国家核心数据的数据安全事件，还应当及时向公共数据主管部门和相关主管部门报告应急处置进展情况。</w:t>
      </w:r>
    </w:p>
    <w:p>
      <w:pPr>
        <w:pStyle w:val="18"/>
        <w:pageBreakBefore w:val="0"/>
        <w:widowControl w:val="0"/>
        <w:kinsoku/>
        <w:wordWrap/>
        <w:overflowPunct/>
        <w:topLinePunct w:val="0"/>
        <w:autoSpaceDE/>
        <w:autoSpaceDN/>
        <w:bidi w:val="0"/>
        <w:adjustRightInd/>
        <w:snapToGrid/>
        <w:spacing w:line="600" w:lineRule="exact"/>
        <w:ind w:firstLine="562"/>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第</w:t>
      </w:r>
      <w:r>
        <w:rPr>
          <w:rFonts w:hint="eastAsia" w:ascii="仿宋_GB2312" w:hAnsi="仿宋_GB2312" w:eastAsia="仿宋_GB2312" w:cs="仿宋_GB2312"/>
          <w:b w:val="0"/>
          <w:bCs w:val="0"/>
          <w:sz w:val="32"/>
          <w:szCs w:val="32"/>
          <w:highlight w:val="none"/>
          <w:lang w:val="en-US" w:eastAsia="zh-CN"/>
        </w:rPr>
        <w:t>二十八</w:t>
      </w:r>
      <w:r>
        <w:rPr>
          <w:rFonts w:hint="eastAsia" w:ascii="仿宋_GB2312" w:hAnsi="仿宋_GB2312" w:eastAsia="仿宋_GB2312" w:cs="仿宋_GB2312"/>
          <w:b w:val="0"/>
          <w:bCs w:val="0"/>
          <w:sz w:val="32"/>
          <w:szCs w:val="32"/>
          <w:highlight w:val="none"/>
        </w:rPr>
        <w:t>条（安全审计） 公共管理和服务机构在公共数据处理过程中应当记录数据处理、权限管理、配置管理等日志，并对异常操作行为进行告警，保障重要操作行为可溯源。日志应当依照法定形式和期限存留，并定期进行安全审计，形成审计报告。</w:t>
      </w:r>
    </w:p>
    <w:p>
      <w:pPr>
        <w:pStyle w:val="18"/>
        <w:pageBreakBefore w:val="0"/>
        <w:widowControl w:val="0"/>
        <w:kinsoku/>
        <w:wordWrap/>
        <w:overflowPunct/>
        <w:topLinePunct w:val="0"/>
        <w:autoSpaceDE/>
        <w:autoSpaceDN/>
        <w:bidi w:val="0"/>
        <w:adjustRightInd/>
        <w:snapToGrid/>
        <w:spacing w:line="600" w:lineRule="exact"/>
        <w:ind w:firstLine="562"/>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公共管理和服务机构配合相关主管部门组织的数据安全审计活动，其中涉及委托他人建设、维护信息系统或者开展数据处理活动的，应当加强对第三方机构的安全审计</w:t>
      </w:r>
      <w:r>
        <w:rPr>
          <w:rFonts w:hint="eastAsia" w:ascii="仿宋_GB2312" w:hAnsi="仿宋_GB2312" w:eastAsia="仿宋_GB2312" w:cs="仿宋_GB2312"/>
          <w:b w:val="0"/>
          <w:bCs w:val="0"/>
          <w:sz w:val="32"/>
          <w:szCs w:val="32"/>
          <w:highlight w:val="none"/>
          <w:lang w:eastAsia="zh-CN"/>
        </w:rPr>
        <w:t>。</w:t>
      </w:r>
    </w:p>
    <w:p>
      <w:pPr>
        <w:pStyle w:val="3"/>
        <w:pageBreakBefore w:val="0"/>
        <w:kinsoku/>
        <w:wordWrap/>
        <w:overflowPunct/>
        <w:topLinePunct w:val="0"/>
        <w:bidi w:val="0"/>
        <w:adjustRightInd/>
        <w:snapToGrid/>
        <w:spacing w:line="600" w:lineRule="exact"/>
        <w:ind w:left="0" w:leftChars="0" w:firstLine="0" w:firstLineChars="0"/>
        <w:jc w:val="center"/>
        <w:textAlignment w:val="auto"/>
        <w:outlineLvl w:val="0"/>
        <w:rPr>
          <w:rFonts w:hint="eastAsia" w:ascii="黑体" w:hAnsi="黑体" w:eastAsia="黑体" w:cs="宋体"/>
          <w:b w:val="0"/>
          <w:bCs w:val="0"/>
          <w:color w:val="auto"/>
          <w:sz w:val="32"/>
          <w:szCs w:val="32"/>
          <w:highlight w:val="none"/>
          <w:lang w:val="en-US" w:eastAsia="zh-CN" w:bidi="ar-SA"/>
        </w:rPr>
      </w:pPr>
      <w:r>
        <w:rPr>
          <w:rFonts w:hint="eastAsia" w:ascii="黑体" w:hAnsi="黑体" w:eastAsia="黑体" w:cs="宋体"/>
          <w:b w:val="0"/>
          <w:bCs w:val="0"/>
          <w:color w:val="auto"/>
          <w:sz w:val="32"/>
          <w:szCs w:val="32"/>
          <w:highlight w:val="none"/>
          <w:lang w:eastAsia="zh-CN" w:bidi="ar-SA"/>
        </w:rPr>
        <w:t>第</w:t>
      </w:r>
      <w:r>
        <w:rPr>
          <w:rFonts w:hint="eastAsia" w:ascii="黑体" w:hAnsi="黑体" w:eastAsia="黑体" w:cs="宋体"/>
          <w:b w:val="0"/>
          <w:bCs w:val="0"/>
          <w:color w:val="auto"/>
          <w:sz w:val="32"/>
          <w:szCs w:val="32"/>
          <w:highlight w:val="none"/>
          <w:lang w:val="en-US" w:eastAsia="zh-CN" w:bidi="ar-SA"/>
        </w:rPr>
        <w:t>六</w:t>
      </w:r>
      <w:r>
        <w:rPr>
          <w:rFonts w:hint="eastAsia" w:ascii="黑体" w:hAnsi="黑体" w:eastAsia="黑体" w:cs="宋体"/>
          <w:b w:val="0"/>
          <w:bCs w:val="0"/>
          <w:color w:val="auto"/>
          <w:sz w:val="32"/>
          <w:szCs w:val="32"/>
          <w:highlight w:val="none"/>
          <w:lang w:eastAsia="zh-CN" w:bidi="ar-SA"/>
        </w:rPr>
        <w:t>章 监督</w:t>
      </w:r>
      <w:r>
        <w:rPr>
          <w:rFonts w:hint="eastAsia" w:ascii="黑体" w:hAnsi="黑体" w:eastAsia="黑体" w:cs="宋体"/>
          <w:b w:val="0"/>
          <w:bCs w:val="0"/>
          <w:color w:val="auto"/>
          <w:sz w:val="32"/>
          <w:szCs w:val="32"/>
          <w:highlight w:val="none"/>
          <w:lang w:val="en-US" w:eastAsia="zh-CN" w:bidi="ar-SA"/>
        </w:rPr>
        <w:t>管理</w:t>
      </w:r>
    </w:p>
    <w:p>
      <w:pPr>
        <w:pageBreakBefore w:val="0"/>
        <w:widowControl w:val="0"/>
        <w:shd w:val="clear" w:color="auto" w:fill="FFFFFF"/>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highlight w:val="none"/>
          <w:lang w:val="zh-CN" w:eastAsia="zh-CN" w:bidi="zh-CN"/>
        </w:rPr>
      </w:pPr>
      <w:r>
        <w:rPr>
          <w:rFonts w:hint="eastAsia" w:ascii="仿宋_GB2312" w:hAnsi="仿宋_GB2312" w:eastAsia="仿宋_GB2312" w:cs="仿宋_GB2312"/>
          <w:b w:val="0"/>
          <w:bCs w:val="0"/>
          <w:color w:val="000000"/>
          <w:sz w:val="32"/>
          <w:szCs w:val="32"/>
          <w:highlight w:val="none"/>
          <w:lang w:val="zh-CN" w:eastAsia="zh-CN" w:bidi="zh-CN"/>
        </w:rPr>
        <w:t>第</w:t>
      </w:r>
      <w:r>
        <w:rPr>
          <w:rFonts w:hint="eastAsia" w:ascii="仿宋_GB2312" w:hAnsi="仿宋_GB2312" w:eastAsia="仿宋_GB2312" w:cs="仿宋_GB2312"/>
          <w:b w:val="0"/>
          <w:bCs w:val="0"/>
          <w:color w:val="000000"/>
          <w:sz w:val="32"/>
          <w:szCs w:val="32"/>
          <w:highlight w:val="none"/>
          <w:lang w:val="en-US" w:eastAsia="zh-CN" w:bidi="zh-CN"/>
        </w:rPr>
        <w:t>二十九</w:t>
      </w:r>
      <w:r>
        <w:rPr>
          <w:rFonts w:hint="eastAsia" w:ascii="仿宋_GB2312" w:hAnsi="仿宋_GB2312" w:eastAsia="仿宋_GB2312" w:cs="仿宋_GB2312"/>
          <w:b w:val="0"/>
          <w:bCs w:val="0"/>
          <w:color w:val="000000"/>
          <w:sz w:val="32"/>
          <w:szCs w:val="32"/>
          <w:highlight w:val="none"/>
          <w:lang w:val="zh-CN" w:eastAsia="zh-CN" w:bidi="zh-CN"/>
        </w:rPr>
        <w:t>条</w:t>
      </w:r>
      <w:r>
        <w:rPr>
          <w:rFonts w:hint="eastAsia" w:ascii="仿宋_GB2312" w:hAnsi="仿宋_GB2312" w:eastAsia="仿宋_GB2312" w:cs="仿宋_GB2312"/>
          <w:b w:val="0"/>
          <w:bCs w:val="0"/>
          <w:color w:val="auto"/>
          <w:kern w:val="0"/>
          <w:sz w:val="32"/>
          <w:szCs w:val="32"/>
          <w:highlight w:val="none"/>
          <w:lang w:val="zh-CN" w:eastAsia="zh-CN" w:bidi="zh-CN"/>
        </w:rPr>
        <w:t>（通报与监督检查） 公共数据主管部门应当协同网信部门、公安机关、国家安全机关、通信管理部门、保密行政管理部门、密码管理部门和各行业主管部门建立健全数据安全监督机制，开展公共数据安全检查，向相关主管部门通报数据安全监测预警、数据安全事件、数据安全漏洞等信息。</w:t>
      </w:r>
    </w:p>
    <w:p>
      <w:pPr>
        <w:pageBreakBefore w:val="0"/>
        <w:widowControl w:val="0"/>
        <w:shd w:val="clear" w:color="auto" w:fill="FFFFFF"/>
        <w:kinsoku/>
        <w:wordWrap/>
        <w:overflowPunct/>
        <w:topLinePunct w:val="0"/>
        <w:autoSpaceDE/>
        <w:autoSpaceDN/>
        <w:bidi w:val="0"/>
        <w:adjustRightInd/>
        <w:snapToGrid/>
        <w:spacing w:line="600" w:lineRule="exact"/>
        <w:ind w:firstLine="560"/>
        <w:jc w:val="both"/>
        <w:textAlignment w:val="auto"/>
        <w:rPr>
          <w:rFonts w:hint="eastAsia" w:ascii="仿宋_GB2312" w:hAnsi="仿宋_GB2312" w:eastAsia="仿宋_GB2312" w:cs="仿宋_GB2312"/>
          <w:b w:val="0"/>
          <w:bCs w:val="0"/>
          <w:color w:val="auto"/>
          <w:sz w:val="32"/>
          <w:szCs w:val="32"/>
          <w:highlight w:val="none"/>
          <w:lang w:val="zh-CN" w:eastAsia="zh-CN" w:bidi="zh-CN"/>
        </w:rPr>
      </w:pPr>
      <w:r>
        <w:rPr>
          <w:rFonts w:hint="eastAsia" w:ascii="仿宋_GB2312" w:hAnsi="仿宋_GB2312" w:eastAsia="仿宋_GB2312" w:cs="仿宋_GB2312"/>
          <w:b w:val="0"/>
          <w:bCs w:val="0"/>
          <w:color w:val="auto"/>
          <w:sz w:val="32"/>
          <w:szCs w:val="32"/>
          <w:highlight w:val="none"/>
          <w:lang w:val="zh-CN" w:eastAsia="zh-CN" w:bidi="zh-CN"/>
        </w:rPr>
        <w:t>第</w:t>
      </w:r>
      <w:r>
        <w:rPr>
          <w:rFonts w:hint="eastAsia" w:ascii="仿宋_GB2312" w:hAnsi="仿宋_GB2312" w:eastAsia="仿宋_GB2312" w:cs="仿宋_GB2312"/>
          <w:b w:val="0"/>
          <w:bCs w:val="0"/>
          <w:color w:val="auto"/>
          <w:sz w:val="32"/>
          <w:szCs w:val="32"/>
          <w:highlight w:val="none"/>
          <w:lang w:val="en-US" w:eastAsia="zh-CN" w:bidi="zh-CN"/>
        </w:rPr>
        <w:t>三十</w:t>
      </w:r>
      <w:r>
        <w:rPr>
          <w:rFonts w:hint="eastAsia" w:ascii="仿宋_GB2312" w:hAnsi="仿宋_GB2312" w:eastAsia="仿宋_GB2312" w:cs="仿宋_GB2312"/>
          <w:b w:val="0"/>
          <w:bCs w:val="0"/>
          <w:color w:val="auto"/>
          <w:sz w:val="32"/>
          <w:szCs w:val="32"/>
          <w:highlight w:val="none"/>
          <w:lang w:val="zh-CN" w:eastAsia="zh-CN" w:bidi="zh-CN"/>
        </w:rPr>
        <w:t>条（投诉举报） 自然人、法人和非法人组织有权对违反本规定的行为向相关主管部门投诉、举报。</w:t>
      </w:r>
    </w:p>
    <w:p>
      <w:pPr>
        <w:pageBreakBefore w:val="0"/>
        <w:widowControl w:val="0"/>
        <w:shd w:val="clear" w:color="auto" w:fill="FFFFFF"/>
        <w:kinsoku/>
        <w:wordWrap/>
        <w:overflowPunct/>
        <w:topLinePunct w:val="0"/>
        <w:autoSpaceDE/>
        <w:autoSpaceDN/>
        <w:bidi w:val="0"/>
        <w:adjustRightInd/>
        <w:snapToGrid/>
        <w:spacing w:line="600" w:lineRule="exact"/>
        <w:ind w:firstLine="560"/>
        <w:jc w:val="both"/>
        <w:textAlignment w:val="auto"/>
        <w:rPr>
          <w:rFonts w:hint="eastAsia" w:ascii="仿宋_GB2312" w:hAnsi="仿宋_GB2312" w:eastAsia="仿宋_GB2312" w:cs="仿宋_GB2312"/>
          <w:b w:val="0"/>
          <w:bCs w:val="0"/>
          <w:color w:val="auto"/>
          <w:sz w:val="32"/>
          <w:szCs w:val="32"/>
          <w:highlight w:val="none"/>
          <w:lang w:val="zh-CN" w:eastAsia="zh-CN" w:bidi="zh-CN"/>
        </w:rPr>
      </w:pPr>
      <w:r>
        <w:rPr>
          <w:rFonts w:hint="eastAsia" w:ascii="仿宋_GB2312" w:hAnsi="仿宋_GB2312" w:eastAsia="仿宋_GB2312" w:cs="仿宋_GB2312"/>
          <w:b w:val="0"/>
          <w:bCs w:val="0"/>
          <w:color w:val="auto"/>
          <w:sz w:val="32"/>
          <w:szCs w:val="32"/>
          <w:highlight w:val="none"/>
          <w:lang w:val="zh-CN" w:eastAsia="zh-CN" w:bidi="zh-CN"/>
        </w:rPr>
        <w:t>收到投诉、举报的部门应当及时依法处理，并对投诉、举报人的个人信息予以保密，保护投诉、举报人的合法权益。</w:t>
      </w:r>
    </w:p>
    <w:p>
      <w:pPr>
        <w:pStyle w:val="3"/>
        <w:pageBreakBefore w:val="0"/>
        <w:kinsoku/>
        <w:wordWrap/>
        <w:overflowPunct/>
        <w:topLinePunct w:val="0"/>
        <w:bidi w:val="0"/>
        <w:adjustRightInd/>
        <w:snapToGrid/>
        <w:spacing w:line="600" w:lineRule="exact"/>
        <w:ind w:left="0" w:leftChars="0" w:firstLine="0" w:firstLineChars="0"/>
        <w:jc w:val="center"/>
        <w:textAlignment w:val="auto"/>
        <w:outlineLvl w:val="0"/>
        <w:rPr>
          <w:rFonts w:hint="eastAsia" w:ascii="黑体" w:hAnsi="黑体" w:eastAsia="黑体" w:cs="宋体"/>
          <w:b w:val="0"/>
          <w:bCs w:val="0"/>
          <w:color w:val="auto"/>
          <w:sz w:val="32"/>
          <w:szCs w:val="32"/>
          <w:highlight w:val="none"/>
          <w:lang w:eastAsia="zh-CN" w:bidi="ar-SA"/>
        </w:rPr>
      </w:pPr>
      <w:r>
        <w:rPr>
          <w:rFonts w:hint="eastAsia" w:ascii="黑体" w:hAnsi="黑体" w:eastAsia="黑体" w:cs="宋体"/>
          <w:b w:val="0"/>
          <w:bCs w:val="0"/>
          <w:color w:val="auto"/>
          <w:sz w:val="32"/>
          <w:szCs w:val="32"/>
          <w:highlight w:val="none"/>
          <w:lang w:eastAsia="zh-CN" w:bidi="ar-SA"/>
        </w:rPr>
        <w:t>第</w:t>
      </w:r>
      <w:r>
        <w:rPr>
          <w:rFonts w:hint="eastAsia" w:ascii="黑体" w:hAnsi="黑体" w:eastAsia="黑体" w:cs="宋体"/>
          <w:b w:val="0"/>
          <w:bCs w:val="0"/>
          <w:color w:val="auto"/>
          <w:sz w:val="32"/>
          <w:szCs w:val="32"/>
          <w:highlight w:val="none"/>
          <w:lang w:val="en-US" w:eastAsia="zh-CN" w:bidi="ar-SA"/>
        </w:rPr>
        <w:t>七</w:t>
      </w:r>
      <w:r>
        <w:rPr>
          <w:rFonts w:hint="eastAsia" w:ascii="黑体" w:hAnsi="黑体" w:eastAsia="黑体" w:cs="宋体"/>
          <w:b w:val="0"/>
          <w:bCs w:val="0"/>
          <w:color w:val="auto"/>
          <w:sz w:val="32"/>
          <w:szCs w:val="32"/>
          <w:highlight w:val="none"/>
          <w:lang w:eastAsia="zh-CN" w:bidi="ar-SA"/>
        </w:rPr>
        <w:t>章 附则</w:t>
      </w:r>
    </w:p>
    <w:p>
      <w:pPr>
        <w:pStyle w:val="18"/>
        <w:pageBreakBefore w:val="0"/>
        <w:widowControl w:val="0"/>
        <w:shd w:val="clear" w:color="auto" w:fill="auto"/>
        <w:kinsoku/>
        <w:wordWrap/>
        <w:overflowPunct/>
        <w:topLinePunct w:val="0"/>
        <w:autoSpaceDE/>
        <w:autoSpaceDN/>
        <w:bidi w:val="0"/>
        <w:adjustRightInd/>
        <w:snapToGrid/>
        <w:spacing w:line="600" w:lineRule="exact"/>
        <w:ind w:firstLine="562"/>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第三十</w:t>
      </w:r>
      <w:r>
        <w:rPr>
          <w:rFonts w:hint="eastAsia" w:ascii="仿宋_GB2312" w:hAnsi="仿宋_GB2312" w:eastAsia="仿宋_GB2312" w:cs="仿宋_GB2312"/>
          <w:b w:val="0"/>
          <w:bCs w:val="0"/>
          <w:sz w:val="32"/>
          <w:szCs w:val="32"/>
          <w:highlight w:val="none"/>
          <w:lang w:val="en-US" w:eastAsia="zh-CN"/>
        </w:rPr>
        <w:t>一</w:t>
      </w:r>
      <w:r>
        <w:rPr>
          <w:rFonts w:hint="eastAsia" w:ascii="仿宋_GB2312" w:hAnsi="仿宋_GB2312" w:eastAsia="仿宋_GB2312" w:cs="仿宋_GB2312"/>
          <w:b w:val="0"/>
          <w:bCs w:val="0"/>
          <w:sz w:val="32"/>
          <w:szCs w:val="32"/>
          <w:highlight w:val="none"/>
        </w:rPr>
        <w:t>条（实施时间） 本规定自印发之日起实施。本规定由东莞市政务服务数据管理局负责解释。</w:t>
      </w:r>
    </w:p>
    <w:sectPr>
      <w:headerReference r:id="rId7" w:type="first"/>
      <w:footerReference r:id="rId10" w:type="first"/>
      <w:headerReference r:id="rId5" w:type="default"/>
      <w:footerReference r:id="rId8" w:type="default"/>
      <w:headerReference r:id="rId6" w:type="even"/>
      <w:footerReference r:id="rId9" w:type="even"/>
      <w:pgSz w:w="11900" w:h="16840"/>
      <w:pgMar w:top="1440" w:right="1474" w:bottom="1440" w:left="1587" w:header="0" w:footer="3"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p>
  </w:endnote>
  <w:endnote w:type="continuationSeparator" w:id="1">
    <w:p>
      <w:pPr>
        <w:spacing w:line="240" w:lineRule="auto"/>
        <w:ind w:firstLine="5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swiss"/>
    <w:pitch w:val="default"/>
    <w:sig w:usb0="800002A7" w:usb1="28CF4400" w:usb2="00000016" w:usb3="00000000" w:csb0="00100009" w:csb1="00000000"/>
  </w:font>
  <w:font w:name="华文仿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firstLine="5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firstLine="5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560"/>
      </w:pPr>
    </w:p>
  </w:footnote>
  <w:footnote w:type="continuationSeparator" w:id="1">
    <w:p>
      <w:pPr>
        <w:spacing w:line="300" w:lineRule="auto"/>
        <w:ind w:firstLine="56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hNzFhNGM5OWQ5ZjQxNGI2ZGIxMDRkMzk2YjFjNTQifQ=="/>
  </w:docVars>
  <w:rsids>
    <w:rsidRoot w:val="00CB18B1"/>
    <w:rsid w:val="00003675"/>
    <w:rsid w:val="00013345"/>
    <w:rsid w:val="000153CE"/>
    <w:rsid w:val="000217D8"/>
    <w:rsid w:val="00022830"/>
    <w:rsid w:val="0002655C"/>
    <w:rsid w:val="0002789C"/>
    <w:rsid w:val="00032C57"/>
    <w:rsid w:val="00034AA6"/>
    <w:rsid w:val="00044A30"/>
    <w:rsid w:val="00044C6B"/>
    <w:rsid w:val="0005481C"/>
    <w:rsid w:val="00055B17"/>
    <w:rsid w:val="00061F6C"/>
    <w:rsid w:val="0006307D"/>
    <w:rsid w:val="00067F61"/>
    <w:rsid w:val="000704F1"/>
    <w:rsid w:val="00071FB2"/>
    <w:rsid w:val="00080673"/>
    <w:rsid w:val="00086306"/>
    <w:rsid w:val="00087212"/>
    <w:rsid w:val="00095EE3"/>
    <w:rsid w:val="0009669B"/>
    <w:rsid w:val="00097E33"/>
    <w:rsid w:val="000A2B82"/>
    <w:rsid w:val="000B0CFB"/>
    <w:rsid w:val="000B2B6B"/>
    <w:rsid w:val="000B5A44"/>
    <w:rsid w:val="000B759F"/>
    <w:rsid w:val="000D01D6"/>
    <w:rsid w:val="000D34F0"/>
    <w:rsid w:val="000D3A31"/>
    <w:rsid w:val="000D7CEC"/>
    <w:rsid w:val="000E01F7"/>
    <w:rsid w:val="000E1A83"/>
    <w:rsid w:val="000E6997"/>
    <w:rsid w:val="000E79CF"/>
    <w:rsid w:val="000E7CBA"/>
    <w:rsid w:val="000F0ECF"/>
    <w:rsid w:val="000F2A76"/>
    <w:rsid w:val="000F5DD2"/>
    <w:rsid w:val="000F7A1A"/>
    <w:rsid w:val="001001AE"/>
    <w:rsid w:val="001006C3"/>
    <w:rsid w:val="001009B7"/>
    <w:rsid w:val="00100DF1"/>
    <w:rsid w:val="00103870"/>
    <w:rsid w:val="0010482C"/>
    <w:rsid w:val="0010544D"/>
    <w:rsid w:val="0010696A"/>
    <w:rsid w:val="00112EB3"/>
    <w:rsid w:val="00114D01"/>
    <w:rsid w:val="00114D78"/>
    <w:rsid w:val="0011603E"/>
    <w:rsid w:val="00120103"/>
    <w:rsid w:val="001211D6"/>
    <w:rsid w:val="001221DC"/>
    <w:rsid w:val="00122DF5"/>
    <w:rsid w:val="00125E7D"/>
    <w:rsid w:val="00131405"/>
    <w:rsid w:val="00144E69"/>
    <w:rsid w:val="00145E4D"/>
    <w:rsid w:val="00153760"/>
    <w:rsid w:val="0015614D"/>
    <w:rsid w:val="00160ED1"/>
    <w:rsid w:val="00171E96"/>
    <w:rsid w:val="00172139"/>
    <w:rsid w:val="00182473"/>
    <w:rsid w:val="001856A5"/>
    <w:rsid w:val="00186DF4"/>
    <w:rsid w:val="0019319A"/>
    <w:rsid w:val="00193DA4"/>
    <w:rsid w:val="00196204"/>
    <w:rsid w:val="001A0A8B"/>
    <w:rsid w:val="001A2179"/>
    <w:rsid w:val="001A4EED"/>
    <w:rsid w:val="001A76C0"/>
    <w:rsid w:val="001B184E"/>
    <w:rsid w:val="001B38FB"/>
    <w:rsid w:val="001B719F"/>
    <w:rsid w:val="001C0B60"/>
    <w:rsid w:val="001C3179"/>
    <w:rsid w:val="001C360F"/>
    <w:rsid w:val="001C43A1"/>
    <w:rsid w:val="001C549B"/>
    <w:rsid w:val="001D08F9"/>
    <w:rsid w:val="001D3571"/>
    <w:rsid w:val="001D3F2E"/>
    <w:rsid w:val="001D4001"/>
    <w:rsid w:val="001D6D45"/>
    <w:rsid w:val="001E1733"/>
    <w:rsid w:val="001E35D3"/>
    <w:rsid w:val="001E62C7"/>
    <w:rsid w:val="001F2B11"/>
    <w:rsid w:val="001F4EE8"/>
    <w:rsid w:val="002008F8"/>
    <w:rsid w:val="00201BED"/>
    <w:rsid w:val="00201C58"/>
    <w:rsid w:val="00202A88"/>
    <w:rsid w:val="00205B37"/>
    <w:rsid w:val="00210ADB"/>
    <w:rsid w:val="00212117"/>
    <w:rsid w:val="00217FB1"/>
    <w:rsid w:val="00221643"/>
    <w:rsid w:val="00222CCB"/>
    <w:rsid w:val="00226446"/>
    <w:rsid w:val="00230CA8"/>
    <w:rsid w:val="002352F3"/>
    <w:rsid w:val="00237158"/>
    <w:rsid w:val="00237657"/>
    <w:rsid w:val="002402B9"/>
    <w:rsid w:val="002411E9"/>
    <w:rsid w:val="0024378B"/>
    <w:rsid w:val="00245217"/>
    <w:rsid w:val="0024784C"/>
    <w:rsid w:val="00256AD0"/>
    <w:rsid w:val="00260D52"/>
    <w:rsid w:val="00261649"/>
    <w:rsid w:val="002634CC"/>
    <w:rsid w:val="00263EAC"/>
    <w:rsid w:val="00264DB6"/>
    <w:rsid w:val="0026718E"/>
    <w:rsid w:val="0027016D"/>
    <w:rsid w:val="00270EB3"/>
    <w:rsid w:val="0027404B"/>
    <w:rsid w:val="00274BC7"/>
    <w:rsid w:val="00280EAD"/>
    <w:rsid w:val="00281CC2"/>
    <w:rsid w:val="00284877"/>
    <w:rsid w:val="002A3437"/>
    <w:rsid w:val="002A6B7E"/>
    <w:rsid w:val="002A7D68"/>
    <w:rsid w:val="002B1124"/>
    <w:rsid w:val="002B15AB"/>
    <w:rsid w:val="002C1AAB"/>
    <w:rsid w:val="002C2B3F"/>
    <w:rsid w:val="002D783B"/>
    <w:rsid w:val="002E1396"/>
    <w:rsid w:val="002E601D"/>
    <w:rsid w:val="002F0E5D"/>
    <w:rsid w:val="002F5B72"/>
    <w:rsid w:val="00307565"/>
    <w:rsid w:val="00312042"/>
    <w:rsid w:val="003134D5"/>
    <w:rsid w:val="0031419A"/>
    <w:rsid w:val="003159FE"/>
    <w:rsid w:val="003162F1"/>
    <w:rsid w:val="00320626"/>
    <w:rsid w:val="003242A8"/>
    <w:rsid w:val="00324B2A"/>
    <w:rsid w:val="003268A6"/>
    <w:rsid w:val="003278E8"/>
    <w:rsid w:val="003313AE"/>
    <w:rsid w:val="00331522"/>
    <w:rsid w:val="003327BF"/>
    <w:rsid w:val="00335BB9"/>
    <w:rsid w:val="00336A42"/>
    <w:rsid w:val="0034156A"/>
    <w:rsid w:val="0034198B"/>
    <w:rsid w:val="00345FB4"/>
    <w:rsid w:val="003529A7"/>
    <w:rsid w:val="00352D01"/>
    <w:rsid w:val="0035378C"/>
    <w:rsid w:val="003576E6"/>
    <w:rsid w:val="00366C22"/>
    <w:rsid w:val="00367106"/>
    <w:rsid w:val="0037228A"/>
    <w:rsid w:val="00375351"/>
    <w:rsid w:val="003764DC"/>
    <w:rsid w:val="003814E7"/>
    <w:rsid w:val="00383904"/>
    <w:rsid w:val="00386AEC"/>
    <w:rsid w:val="00394247"/>
    <w:rsid w:val="00396F77"/>
    <w:rsid w:val="003A26ED"/>
    <w:rsid w:val="003A441D"/>
    <w:rsid w:val="003B44CF"/>
    <w:rsid w:val="003B4F43"/>
    <w:rsid w:val="003B534C"/>
    <w:rsid w:val="003C0943"/>
    <w:rsid w:val="003C4DA3"/>
    <w:rsid w:val="003D3C1B"/>
    <w:rsid w:val="003D6556"/>
    <w:rsid w:val="003E10E6"/>
    <w:rsid w:val="003E2812"/>
    <w:rsid w:val="003E54CA"/>
    <w:rsid w:val="003E5ED2"/>
    <w:rsid w:val="003F1042"/>
    <w:rsid w:val="003F561A"/>
    <w:rsid w:val="003F68B1"/>
    <w:rsid w:val="003F7B4C"/>
    <w:rsid w:val="004006F1"/>
    <w:rsid w:val="00400AAB"/>
    <w:rsid w:val="00400EA1"/>
    <w:rsid w:val="004038BC"/>
    <w:rsid w:val="00403D48"/>
    <w:rsid w:val="004060E2"/>
    <w:rsid w:val="00406F7D"/>
    <w:rsid w:val="00413A99"/>
    <w:rsid w:val="00414243"/>
    <w:rsid w:val="00416D33"/>
    <w:rsid w:val="00430E46"/>
    <w:rsid w:val="00432F52"/>
    <w:rsid w:val="00436735"/>
    <w:rsid w:val="0044014F"/>
    <w:rsid w:val="004408B2"/>
    <w:rsid w:val="0046119C"/>
    <w:rsid w:val="004625EF"/>
    <w:rsid w:val="0046678A"/>
    <w:rsid w:val="004703C5"/>
    <w:rsid w:val="00471362"/>
    <w:rsid w:val="00474FB2"/>
    <w:rsid w:val="00476188"/>
    <w:rsid w:val="0047715B"/>
    <w:rsid w:val="00477901"/>
    <w:rsid w:val="00483E12"/>
    <w:rsid w:val="00486267"/>
    <w:rsid w:val="0048632F"/>
    <w:rsid w:val="00486398"/>
    <w:rsid w:val="00486441"/>
    <w:rsid w:val="004865EF"/>
    <w:rsid w:val="00494333"/>
    <w:rsid w:val="004A3F60"/>
    <w:rsid w:val="004A646D"/>
    <w:rsid w:val="004B2C43"/>
    <w:rsid w:val="004B3F3B"/>
    <w:rsid w:val="004B6F25"/>
    <w:rsid w:val="004B7441"/>
    <w:rsid w:val="004B77E9"/>
    <w:rsid w:val="004C6A93"/>
    <w:rsid w:val="004C6E21"/>
    <w:rsid w:val="004D7B66"/>
    <w:rsid w:val="004E030F"/>
    <w:rsid w:val="004E5786"/>
    <w:rsid w:val="004E5CC3"/>
    <w:rsid w:val="004F7891"/>
    <w:rsid w:val="00500E2E"/>
    <w:rsid w:val="00500F14"/>
    <w:rsid w:val="005028D6"/>
    <w:rsid w:val="00503741"/>
    <w:rsid w:val="00505F32"/>
    <w:rsid w:val="00507839"/>
    <w:rsid w:val="00507FA6"/>
    <w:rsid w:val="00510BB4"/>
    <w:rsid w:val="00512059"/>
    <w:rsid w:val="00514FD6"/>
    <w:rsid w:val="005166C4"/>
    <w:rsid w:val="00517E6A"/>
    <w:rsid w:val="005215D3"/>
    <w:rsid w:val="00521F5A"/>
    <w:rsid w:val="00522063"/>
    <w:rsid w:val="0052272F"/>
    <w:rsid w:val="005270A3"/>
    <w:rsid w:val="00530956"/>
    <w:rsid w:val="0053373C"/>
    <w:rsid w:val="0053462B"/>
    <w:rsid w:val="00542230"/>
    <w:rsid w:val="0055071E"/>
    <w:rsid w:val="00551AD7"/>
    <w:rsid w:val="005532E3"/>
    <w:rsid w:val="005637C9"/>
    <w:rsid w:val="00567F24"/>
    <w:rsid w:val="005701DA"/>
    <w:rsid w:val="00573443"/>
    <w:rsid w:val="00577D76"/>
    <w:rsid w:val="00577DC6"/>
    <w:rsid w:val="00583298"/>
    <w:rsid w:val="00584ED8"/>
    <w:rsid w:val="005911E9"/>
    <w:rsid w:val="005943B8"/>
    <w:rsid w:val="00596084"/>
    <w:rsid w:val="005A4275"/>
    <w:rsid w:val="005B211A"/>
    <w:rsid w:val="005B4254"/>
    <w:rsid w:val="005B7608"/>
    <w:rsid w:val="005C255F"/>
    <w:rsid w:val="005C2E2F"/>
    <w:rsid w:val="005C5F79"/>
    <w:rsid w:val="005C6D1E"/>
    <w:rsid w:val="005D1A9C"/>
    <w:rsid w:val="005D52B0"/>
    <w:rsid w:val="005D58FC"/>
    <w:rsid w:val="005D671F"/>
    <w:rsid w:val="005D704E"/>
    <w:rsid w:val="005D740D"/>
    <w:rsid w:val="005E0B68"/>
    <w:rsid w:val="005E0D16"/>
    <w:rsid w:val="005E0DE2"/>
    <w:rsid w:val="005E224C"/>
    <w:rsid w:val="005E6B4E"/>
    <w:rsid w:val="005F18D7"/>
    <w:rsid w:val="005F26BD"/>
    <w:rsid w:val="005F4F86"/>
    <w:rsid w:val="00606FA2"/>
    <w:rsid w:val="00607824"/>
    <w:rsid w:val="00607F36"/>
    <w:rsid w:val="006106AF"/>
    <w:rsid w:val="00611167"/>
    <w:rsid w:val="006127A8"/>
    <w:rsid w:val="00612C56"/>
    <w:rsid w:val="006151FA"/>
    <w:rsid w:val="00617762"/>
    <w:rsid w:val="0062348C"/>
    <w:rsid w:val="00624F8D"/>
    <w:rsid w:val="0063161F"/>
    <w:rsid w:val="00632160"/>
    <w:rsid w:val="00642745"/>
    <w:rsid w:val="006448AB"/>
    <w:rsid w:val="00653447"/>
    <w:rsid w:val="00653D02"/>
    <w:rsid w:val="00654F78"/>
    <w:rsid w:val="00655E9E"/>
    <w:rsid w:val="00657F3E"/>
    <w:rsid w:val="006634AF"/>
    <w:rsid w:val="006668E1"/>
    <w:rsid w:val="00666C60"/>
    <w:rsid w:val="00671388"/>
    <w:rsid w:val="00674285"/>
    <w:rsid w:val="00674F1A"/>
    <w:rsid w:val="00676B6A"/>
    <w:rsid w:val="006817EE"/>
    <w:rsid w:val="00684C25"/>
    <w:rsid w:val="006911FD"/>
    <w:rsid w:val="006A4E17"/>
    <w:rsid w:val="006A5850"/>
    <w:rsid w:val="006C30BA"/>
    <w:rsid w:val="006C67EE"/>
    <w:rsid w:val="006C6B5F"/>
    <w:rsid w:val="006C7738"/>
    <w:rsid w:val="006D639E"/>
    <w:rsid w:val="006D64BA"/>
    <w:rsid w:val="006D6802"/>
    <w:rsid w:val="006D68D0"/>
    <w:rsid w:val="006E0534"/>
    <w:rsid w:val="006E2C64"/>
    <w:rsid w:val="006E52F6"/>
    <w:rsid w:val="006E5A85"/>
    <w:rsid w:val="006E746A"/>
    <w:rsid w:val="006E7CDB"/>
    <w:rsid w:val="006F0022"/>
    <w:rsid w:val="006F2F2B"/>
    <w:rsid w:val="006F4CF3"/>
    <w:rsid w:val="006F598C"/>
    <w:rsid w:val="0070459C"/>
    <w:rsid w:val="0070532B"/>
    <w:rsid w:val="00706618"/>
    <w:rsid w:val="00706AE9"/>
    <w:rsid w:val="007100FB"/>
    <w:rsid w:val="00710C10"/>
    <w:rsid w:val="007118EF"/>
    <w:rsid w:val="0071310F"/>
    <w:rsid w:val="007227D8"/>
    <w:rsid w:val="007274E8"/>
    <w:rsid w:val="0072767D"/>
    <w:rsid w:val="007278ED"/>
    <w:rsid w:val="00730601"/>
    <w:rsid w:val="00734A61"/>
    <w:rsid w:val="00736AED"/>
    <w:rsid w:val="00736B57"/>
    <w:rsid w:val="00737A45"/>
    <w:rsid w:val="00740892"/>
    <w:rsid w:val="00745814"/>
    <w:rsid w:val="00747C14"/>
    <w:rsid w:val="00751405"/>
    <w:rsid w:val="00752828"/>
    <w:rsid w:val="00754F36"/>
    <w:rsid w:val="00757655"/>
    <w:rsid w:val="00763E4A"/>
    <w:rsid w:val="00766CC4"/>
    <w:rsid w:val="007745EB"/>
    <w:rsid w:val="00775E7B"/>
    <w:rsid w:val="0077747F"/>
    <w:rsid w:val="007778A7"/>
    <w:rsid w:val="00781C2E"/>
    <w:rsid w:val="00790C37"/>
    <w:rsid w:val="00790CAF"/>
    <w:rsid w:val="007928BC"/>
    <w:rsid w:val="007947E5"/>
    <w:rsid w:val="0079521A"/>
    <w:rsid w:val="007A2F59"/>
    <w:rsid w:val="007B2BC8"/>
    <w:rsid w:val="007B3DB8"/>
    <w:rsid w:val="007B4703"/>
    <w:rsid w:val="007B4FF0"/>
    <w:rsid w:val="007B6FE5"/>
    <w:rsid w:val="007C0028"/>
    <w:rsid w:val="007C1EEB"/>
    <w:rsid w:val="007C3846"/>
    <w:rsid w:val="007D394C"/>
    <w:rsid w:val="007D4237"/>
    <w:rsid w:val="007D443B"/>
    <w:rsid w:val="007D47AF"/>
    <w:rsid w:val="007D780C"/>
    <w:rsid w:val="007D7E99"/>
    <w:rsid w:val="007D7F7B"/>
    <w:rsid w:val="007E0D1A"/>
    <w:rsid w:val="007E1732"/>
    <w:rsid w:val="007E327C"/>
    <w:rsid w:val="007E6095"/>
    <w:rsid w:val="007F05F4"/>
    <w:rsid w:val="007F13DA"/>
    <w:rsid w:val="00801E86"/>
    <w:rsid w:val="00803FD8"/>
    <w:rsid w:val="008044F2"/>
    <w:rsid w:val="00805209"/>
    <w:rsid w:val="00807EC4"/>
    <w:rsid w:val="00815DA4"/>
    <w:rsid w:val="008176BA"/>
    <w:rsid w:val="00817CC5"/>
    <w:rsid w:val="0082169D"/>
    <w:rsid w:val="008219FA"/>
    <w:rsid w:val="008248AD"/>
    <w:rsid w:val="00831E54"/>
    <w:rsid w:val="0083643B"/>
    <w:rsid w:val="00837421"/>
    <w:rsid w:val="008376CD"/>
    <w:rsid w:val="008424EB"/>
    <w:rsid w:val="00842FC2"/>
    <w:rsid w:val="00844123"/>
    <w:rsid w:val="008479DA"/>
    <w:rsid w:val="00851ACD"/>
    <w:rsid w:val="00857B82"/>
    <w:rsid w:val="0086143E"/>
    <w:rsid w:val="008642E7"/>
    <w:rsid w:val="008708F4"/>
    <w:rsid w:val="0087109D"/>
    <w:rsid w:val="0087246C"/>
    <w:rsid w:val="008727A3"/>
    <w:rsid w:val="008760D4"/>
    <w:rsid w:val="0087676A"/>
    <w:rsid w:val="00877044"/>
    <w:rsid w:val="0088186B"/>
    <w:rsid w:val="00881C4C"/>
    <w:rsid w:val="0088294F"/>
    <w:rsid w:val="008871EA"/>
    <w:rsid w:val="00887C29"/>
    <w:rsid w:val="00887E16"/>
    <w:rsid w:val="008931D6"/>
    <w:rsid w:val="00894DF9"/>
    <w:rsid w:val="008966AC"/>
    <w:rsid w:val="008A0384"/>
    <w:rsid w:val="008A78A9"/>
    <w:rsid w:val="008B0B25"/>
    <w:rsid w:val="008B12C6"/>
    <w:rsid w:val="008B49BE"/>
    <w:rsid w:val="008B4DC6"/>
    <w:rsid w:val="008B7798"/>
    <w:rsid w:val="008B7F5A"/>
    <w:rsid w:val="008C4FD1"/>
    <w:rsid w:val="008C5DD4"/>
    <w:rsid w:val="008C6251"/>
    <w:rsid w:val="008C7CF9"/>
    <w:rsid w:val="008D40D3"/>
    <w:rsid w:val="008D6484"/>
    <w:rsid w:val="008E1696"/>
    <w:rsid w:val="008E1B91"/>
    <w:rsid w:val="008F263C"/>
    <w:rsid w:val="0090311D"/>
    <w:rsid w:val="009073E7"/>
    <w:rsid w:val="009121D7"/>
    <w:rsid w:val="00915AF2"/>
    <w:rsid w:val="00916D86"/>
    <w:rsid w:val="00917137"/>
    <w:rsid w:val="0092429F"/>
    <w:rsid w:val="00925D25"/>
    <w:rsid w:val="009267FB"/>
    <w:rsid w:val="00933E36"/>
    <w:rsid w:val="00935B75"/>
    <w:rsid w:val="0093634E"/>
    <w:rsid w:val="00936868"/>
    <w:rsid w:val="009418EB"/>
    <w:rsid w:val="00942300"/>
    <w:rsid w:val="00942A11"/>
    <w:rsid w:val="009453B6"/>
    <w:rsid w:val="00945F6E"/>
    <w:rsid w:val="00946128"/>
    <w:rsid w:val="00946F99"/>
    <w:rsid w:val="00954F0C"/>
    <w:rsid w:val="00957A7D"/>
    <w:rsid w:val="00961ED0"/>
    <w:rsid w:val="0097411B"/>
    <w:rsid w:val="00976888"/>
    <w:rsid w:val="009768AB"/>
    <w:rsid w:val="0098009D"/>
    <w:rsid w:val="00981DF3"/>
    <w:rsid w:val="009852E9"/>
    <w:rsid w:val="00987B08"/>
    <w:rsid w:val="00990BFE"/>
    <w:rsid w:val="00994832"/>
    <w:rsid w:val="009A5656"/>
    <w:rsid w:val="009A7E9C"/>
    <w:rsid w:val="009B46C2"/>
    <w:rsid w:val="009C67FA"/>
    <w:rsid w:val="009D0EF6"/>
    <w:rsid w:val="009D1715"/>
    <w:rsid w:val="009D5C53"/>
    <w:rsid w:val="009D75E6"/>
    <w:rsid w:val="009D7733"/>
    <w:rsid w:val="009E7BA8"/>
    <w:rsid w:val="009F2F0E"/>
    <w:rsid w:val="00A02CCA"/>
    <w:rsid w:val="00A034B2"/>
    <w:rsid w:val="00A058C4"/>
    <w:rsid w:val="00A13485"/>
    <w:rsid w:val="00A13FBF"/>
    <w:rsid w:val="00A1484B"/>
    <w:rsid w:val="00A14F3E"/>
    <w:rsid w:val="00A15F35"/>
    <w:rsid w:val="00A21B99"/>
    <w:rsid w:val="00A22C7A"/>
    <w:rsid w:val="00A250AF"/>
    <w:rsid w:val="00A25BD1"/>
    <w:rsid w:val="00A273E8"/>
    <w:rsid w:val="00A33069"/>
    <w:rsid w:val="00A56D31"/>
    <w:rsid w:val="00A60415"/>
    <w:rsid w:val="00A6500A"/>
    <w:rsid w:val="00A67879"/>
    <w:rsid w:val="00A70C20"/>
    <w:rsid w:val="00A76C95"/>
    <w:rsid w:val="00A817E9"/>
    <w:rsid w:val="00A83055"/>
    <w:rsid w:val="00A8653D"/>
    <w:rsid w:val="00A86672"/>
    <w:rsid w:val="00A93DDE"/>
    <w:rsid w:val="00AA0DD1"/>
    <w:rsid w:val="00AA2EDD"/>
    <w:rsid w:val="00AA393A"/>
    <w:rsid w:val="00AA77DD"/>
    <w:rsid w:val="00AB293C"/>
    <w:rsid w:val="00AC10F2"/>
    <w:rsid w:val="00AC1D94"/>
    <w:rsid w:val="00AC3F14"/>
    <w:rsid w:val="00AC708C"/>
    <w:rsid w:val="00AC7F00"/>
    <w:rsid w:val="00AD25FE"/>
    <w:rsid w:val="00AD369A"/>
    <w:rsid w:val="00AD47A3"/>
    <w:rsid w:val="00AE28D8"/>
    <w:rsid w:val="00AE31B3"/>
    <w:rsid w:val="00AE6570"/>
    <w:rsid w:val="00AF152F"/>
    <w:rsid w:val="00AF2C9B"/>
    <w:rsid w:val="00B058E4"/>
    <w:rsid w:val="00B05A8C"/>
    <w:rsid w:val="00B07D30"/>
    <w:rsid w:val="00B10B11"/>
    <w:rsid w:val="00B171D4"/>
    <w:rsid w:val="00B21CA9"/>
    <w:rsid w:val="00B2279F"/>
    <w:rsid w:val="00B23DEB"/>
    <w:rsid w:val="00B244A5"/>
    <w:rsid w:val="00B24C56"/>
    <w:rsid w:val="00B32382"/>
    <w:rsid w:val="00B367E1"/>
    <w:rsid w:val="00B42235"/>
    <w:rsid w:val="00B4282B"/>
    <w:rsid w:val="00B451FD"/>
    <w:rsid w:val="00B454B5"/>
    <w:rsid w:val="00B47F91"/>
    <w:rsid w:val="00B52AA9"/>
    <w:rsid w:val="00B53D5E"/>
    <w:rsid w:val="00B547BA"/>
    <w:rsid w:val="00B624AB"/>
    <w:rsid w:val="00B6292B"/>
    <w:rsid w:val="00B64D92"/>
    <w:rsid w:val="00B73324"/>
    <w:rsid w:val="00B76F96"/>
    <w:rsid w:val="00B77483"/>
    <w:rsid w:val="00B80AAC"/>
    <w:rsid w:val="00B810E1"/>
    <w:rsid w:val="00B8365D"/>
    <w:rsid w:val="00B83DAC"/>
    <w:rsid w:val="00B91376"/>
    <w:rsid w:val="00B933A0"/>
    <w:rsid w:val="00B95348"/>
    <w:rsid w:val="00B96020"/>
    <w:rsid w:val="00BA02EF"/>
    <w:rsid w:val="00BA4ADC"/>
    <w:rsid w:val="00BA71EC"/>
    <w:rsid w:val="00BB210D"/>
    <w:rsid w:val="00BB3804"/>
    <w:rsid w:val="00BB79AA"/>
    <w:rsid w:val="00BC0CB6"/>
    <w:rsid w:val="00BC17A9"/>
    <w:rsid w:val="00BD598F"/>
    <w:rsid w:val="00BE1621"/>
    <w:rsid w:val="00BE24DB"/>
    <w:rsid w:val="00BE3548"/>
    <w:rsid w:val="00BE3881"/>
    <w:rsid w:val="00BE559F"/>
    <w:rsid w:val="00BE70C4"/>
    <w:rsid w:val="00BE796D"/>
    <w:rsid w:val="00BE7B37"/>
    <w:rsid w:val="00BE7D46"/>
    <w:rsid w:val="00BF0541"/>
    <w:rsid w:val="00BF1AAF"/>
    <w:rsid w:val="00BF1CED"/>
    <w:rsid w:val="00BF6618"/>
    <w:rsid w:val="00C06EFC"/>
    <w:rsid w:val="00C11C8A"/>
    <w:rsid w:val="00C20A06"/>
    <w:rsid w:val="00C239F6"/>
    <w:rsid w:val="00C307BD"/>
    <w:rsid w:val="00C333B9"/>
    <w:rsid w:val="00C36D62"/>
    <w:rsid w:val="00C36F55"/>
    <w:rsid w:val="00C4650F"/>
    <w:rsid w:val="00C56726"/>
    <w:rsid w:val="00C60473"/>
    <w:rsid w:val="00C62B86"/>
    <w:rsid w:val="00C71E29"/>
    <w:rsid w:val="00C74260"/>
    <w:rsid w:val="00C7635A"/>
    <w:rsid w:val="00C86360"/>
    <w:rsid w:val="00C877A0"/>
    <w:rsid w:val="00C916C5"/>
    <w:rsid w:val="00C919A7"/>
    <w:rsid w:val="00C91A6C"/>
    <w:rsid w:val="00C931A2"/>
    <w:rsid w:val="00C95725"/>
    <w:rsid w:val="00CA04F2"/>
    <w:rsid w:val="00CA054F"/>
    <w:rsid w:val="00CA0D92"/>
    <w:rsid w:val="00CA4B18"/>
    <w:rsid w:val="00CA6152"/>
    <w:rsid w:val="00CA7417"/>
    <w:rsid w:val="00CB18B1"/>
    <w:rsid w:val="00CB3075"/>
    <w:rsid w:val="00CB4B95"/>
    <w:rsid w:val="00CB6DAC"/>
    <w:rsid w:val="00CC5AF2"/>
    <w:rsid w:val="00CC628E"/>
    <w:rsid w:val="00CC6D7D"/>
    <w:rsid w:val="00CC75A1"/>
    <w:rsid w:val="00CC7DB3"/>
    <w:rsid w:val="00CD0C14"/>
    <w:rsid w:val="00CD3FF6"/>
    <w:rsid w:val="00CD5EDB"/>
    <w:rsid w:val="00CD6570"/>
    <w:rsid w:val="00CD697D"/>
    <w:rsid w:val="00CE1835"/>
    <w:rsid w:val="00CE75C1"/>
    <w:rsid w:val="00CF1C76"/>
    <w:rsid w:val="00CF3423"/>
    <w:rsid w:val="00CF5EA2"/>
    <w:rsid w:val="00D006F5"/>
    <w:rsid w:val="00D056DC"/>
    <w:rsid w:val="00D06A97"/>
    <w:rsid w:val="00D07C21"/>
    <w:rsid w:val="00D171F7"/>
    <w:rsid w:val="00D241D9"/>
    <w:rsid w:val="00D25543"/>
    <w:rsid w:val="00D25F71"/>
    <w:rsid w:val="00D30663"/>
    <w:rsid w:val="00D3233B"/>
    <w:rsid w:val="00D35ABF"/>
    <w:rsid w:val="00D35C70"/>
    <w:rsid w:val="00D36187"/>
    <w:rsid w:val="00D41FDF"/>
    <w:rsid w:val="00D42119"/>
    <w:rsid w:val="00D43F11"/>
    <w:rsid w:val="00D44026"/>
    <w:rsid w:val="00D45996"/>
    <w:rsid w:val="00D46D3B"/>
    <w:rsid w:val="00D56ACD"/>
    <w:rsid w:val="00D610F9"/>
    <w:rsid w:val="00D61682"/>
    <w:rsid w:val="00D73051"/>
    <w:rsid w:val="00D76E60"/>
    <w:rsid w:val="00D832EC"/>
    <w:rsid w:val="00D93BE8"/>
    <w:rsid w:val="00D9539C"/>
    <w:rsid w:val="00DA02B9"/>
    <w:rsid w:val="00DA3677"/>
    <w:rsid w:val="00DA64DA"/>
    <w:rsid w:val="00DB11E4"/>
    <w:rsid w:val="00DB513F"/>
    <w:rsid w:val="00DB7FB8"/>
    <w:rsid w:val="00DC02DD"/>
    <w:rsid w:val="00DC0429"/>
    <w:rsid w:val="00DC47BD"/>
    <w:rsid w:val="00DC666C"/>
    <w:rsid w:val="00DC76BC"/>
    <w:rsid w:val="00DD0988"/>
    <w:rsid w:val="00DD4623"/>
    <w:rsid w:val="00DD70E9"/>
    <w:rsid w:val="00DE048B"/>
    <w:rsid w:val="00DE3DCC"/>
    <w:rsid w:val="00DE497B"/>
    <w:rsid w:val="00DF1CDD"/>
    <w:rsid w:val="00DF6229"/>
    <w:rsid w:val="00E01ADA"/>
    <w:rsid w:val="00E044C4"/>
    <w:rsid w:val="00E123B0"/>
    <w:rsid w:val="00E134D6"/>
    <w:rsid w:val="00E222BB"/>
    <w:rsid w:val="00E239E8"/>
    <w:rsid w:val="00E27F51"/>
    <w:rsid w:val="00E30D4A"/>
    <w:rsid w:val="00E31A6D"/>
    <w:rsid w:val="00E31AC8"/>
    <w:rsid w:val="00E3576C"/>
    <w:rsid w:val="00E36C30"/>
    <w:rsid w:val="00E414FC"/>
    <w:rsid w:val="00E42B2D"/>
    <w:rsid w:val="00E52755"/>
    <w:rsid w:val="00E56136"/>
    <w:rsid w:val="00E56BEA"/>
    <w:rsid w:val="00E56F79"/>
    <w:rsid w:val="00E61BA5"/>
    <w:rsid w:val="00E654D4"/>
    <w:rsid w:val="00E702FF"/>
    <w:rsid w:val="00E73212"/>
    <w:rsid w:val="00E752F9"/>
    <w:rsid w:val="00E76582"/>
    <w:rsid w:val="00E814AF"/>
    <w:rsid w:val="00E8346E"/>
    <w:rsid w:val="00E83632"/>
    <w:rsid w:val="00E86CE6"/>
    <w:rsid w:val="00E9229C"/>
    <w:rsid w:val="00E9294A"/>
    <w:rsid w:val="00E92FA6"/>
    <w:rsid w:val="00E9474B"/>
    <w:rsid w:val="00E96336"/>
    <w:rsid w:val="00EA2FA9"/>
    <w:rsid w:val="00EB1ED3"/>
    <w:rsid w:val="00EB25E3"/>
    <w:rsid w:val="00EB2D57"/>
    <w:rsid w:val="00EC5C42"/>
    <w:rsid w:val="00ED0080"/>
    <w:rsid w:val="00ED1BDD"/>
    <w:rsid w:val="00ED4723"/>
    <w:rsid w:val="00ED5B81"/>
    <w:rsid w:val="00ED75A4"/>
    <w:rsid w:val="00EE56FF"/>
    <w:rsid w:val="00EE5C2C"/>
    <w:rsid w:val="00EE7818"/>
    <w:rsid w:val="00EE7F96"/>
    <w:rsid w:val="00EF58A3"/>
    <w:rsid w:val="00F02A5E"/>
    <w:rsid w:val="00F03537"/>
    <w:rsid w:val="00F05021"/>
    <w:rsid w:val="00F06393"/>
    <w:rsid w:val="00F11302"/>
    <w:rsid w:val="00F14387"/>
    <w:rsid w:val="00F21B0E"/>
    <w:rsid w:val="00F22404"/>
    <w:rsid w:val="00F2361E"/>
    <w:rsid w:val="00F23FDE"/>
    <w:rsid w:val="00F26157"/>
    <w:rsid w:val="00F2664E"/>
    <w:rsid w:val="00F32F54"/>
    <w:rsid w:val="00F442D4"/>
    <w:rsid w:val="00F46C00"/>
    <w:rsid w:val="00F474D1"/>
    <w:rsid w:val="00F50229"/>
    <w:rsid w:val="00F5284D"/>
    <w:rsid w:val="00F561AF"/>
    <w:rsid w:val="00F57FE9"/>
    <w:rsid w:val="00F6542A"/>
    <w:rsid w:val="00F6559B"/>
    <w:rsid w:val="00F673D4"/>
    <w:rsid w:val="00F7194E"/>
    <w:rsid w:val="00F75D5F"/>
    <w:rsid w:val="00F824BB"/>
    <w:rsid w:val="00F844C9"/>
    <w:rsid w:val="00F84DCC"/>
    <w:rsid w:val="00F87451"/>
    <w:rsid w:val="00F90626"/>
    <w:rsid w:val="00F97E77"/>
    <w:rsid w:val="00FA156A"/>
    <w:rsid w:val="00FA2484"/>
    <w:rsid w:val="00FA36CB"/>
    <w:rsid w:val="00FA36CD"/>
    <w:rsid w:val="00FA589A"/>
    <w:rsid w:val="00FA6D86"/>
    <w:rsid w:val="00FB0434"/>
    <w:rsid w:val="00FB3029"/>
    <w:rsid w:val="00FB662F"/>
    <w:rsid w:val="00FB6F3A"/>
    <w:rsid w:val="00FB74CA"/>
    <w:rsid w:val="00FB7631"/>
    <w:rsid w:val="00FD6236"/>
    <w:rsid w:val="00FE2119"/>
    <w:rsid w:val="00FE257F"/>
    <w:rsid w:val="00FE6D4F"/>
    <w:rsid w:val="00FE78CB"/>
    <w:rsid w:val="00FE7B8B"/>
    <w:rsid w:val="00FF1139"/>
    <w:rsid w:val="01046306"/>
    <w:rsid w:val="01411F3A"/>
    <w:rsid w:val="01A8629C"/>
    <w:rsid w:val="01CE33AC"/>
    <w:rsid w:val="01E142F4"/>
    <w:rsid w:val="02072A78"/>
    <w:rsid w:val="021227A5"/>
    <w:rsid w:val="02203DC4"/>
    <w:rsid w:val="023D46EC"/>
    <w:rsid w:val="025956C2"/>
    <w:rsid w:val="02D7599F"/>
    <w:rsid w:val="03093A16"/>
    <w:rsid w:val="03123F46"/>
    <w:rsid w:val="039056C4"/>
    <w:rsid w:val="048760F2"/>
    <w:rsid w:val="04BA3F2D"/>
    <w:rsid w:val="05917228"/>
    <w:rsid w:val="069053B0"/>
    <w:rsid w:val="06C64354"/>
    <w:rsid w:val="06CB4816"/>
    <w:rsid w:val="06E43181"/>
    <w:rsid w:val="06F366F7"/>
    <w:rsid w:val="07074D7E"/>
    <w:rsid w:val="08156230"/>
    <w:rsid w:val="08792E53"/>
    <w:rsid w:val="08C5058D"/>
    <w:rsid w:val="08E74FEB"/>
    <w:rsid w:val="09294ECB"/>
    <w:rsid w:val="095835E2"/>
    <w:rsid w:val="09B02159"/>
    <w:rsid w:val="09D36B41"/>
    <w:rsid w:val="09E931D0"/>
    <w:rsid w:val="09FA5153"/>
    <w:rsid w:val="0A421489"/>
    <w:rsid w:val="0B4B3713"/>
    <w:rsid w:val="0B7C0033"/>
    <w:rsid w:val="0C6C008A"/>
    <w:rsid w:val="0C7E6EBC"/>
    <w:rsid w:val="0D0F4BCB"/>
    <w:rsid w:val="0D3F3A0E"/>
    <w:rsid w:val="0D4C44C6"/>
    <w:rsid w:val="0D545D64"/>
    <w:rsid w:val="0DBA7FA6"/>
    <w:rsid w:val="0DD84DD9"/>
    <w:rsid w:val="0E4007AD"/>
    <w:rsid w:val="0EF74C5E"/>
    <w:rsid w:val="0F79503A"/>
    <w:rsid w:val="10495D81"/>
    <w:rsid w:val="10E55348"/>
    <w:rsid w:val="110F09F1"/>
    <w:rsid w:val="11292412"/>
    <w:rsid w:val="11B32209"/>
    <w:rsid w:val="124C440E"/>
    <w:rsid w:val="12862B02"/>
    <w:rsid w:val="13280787"/>
    <w:rsid w:val="145C0185"/>
    <w:rsid w:val="14BC7381"/>
    <w:rsid w:val="15310D02"/>
    <w:rsid w:val="1579022E"/>
    <w:rsid w:val="15C970F3"/>
    <w:rsid w:val="16E87AB9"/>
    <w:rsid w:val="180233B3"/>
    <w:rsid w:val="188F4D4A"/>
    <w:rsid w:val="189077E9"/>
    <w:rsid w:val="1A0D202D"/>
    <w:rsid w:val="1A4905D0"/>
    <w:rsid w:val="1A713DEB"/>
    <w:rsid w:val="1B071D47"/>
    <w:rsid w:val="1B5536F3"/>
    <w:rsid w:val="1B757B1C"/>
    <w:rsid w:val="1BE37C5A"/>
    <w:rsid w:val="1C1366C8"/>
    <w:rsid w:val="1C8870C6"/>
    <w:rsid w:val="1C9B12FC"/>
    <w:rsid w:val="1CA7704C"/>
    <w:rsid w:val="1CEC25FE"/>
    <w:rsid w:val="1D56275A"/>
    <w:rsid w:val="1E5A4CBE"/>
    <w:rsid w:val="1EC10B0F"/>
    <w:rsid w:val="1FC353AC"/>
    <w:rsid w:val="1FFA4A58"/>
    <w:rsid w:val="1FFD722B"/>
    <w:rsid w:val="20062169"/>
    <w:rsid w:val="20AC4D5E"/>
    <w:rsid w:val="211663DC"/>
    <w:rsid w:val="21892E29"/>
    <w:rsid w:val="21E011C2"/>
    <w:rsid w:val="225B679C"/>
    <w:rsid w:val="2278394E"/>
    <w:rsid w:val="22A60ECB"/>
    <w:rsid w:val="22F6507E"/>
    <w:rsid w:val="23F62E29"/>
    <w:rsid w:val="246B1CD6"/>
    <w:rsid w:val="24756EB0"/>
    <w:rsid w:val="249B7CE2"/>
    <w:rsid w:val="24EB6AE2"/>
    <w:rsid w:val="25D16D75"/>
    <w:rsid w:val="26D35B69"/>
    <w:rsid w:val="273F0C63"/>
    <w:rsid w:val="27514612"/>
    <w:rsid w:val="27833102"/>
    <w:rsid w:val="278B56BB"/>
    <w:rsid w:val="27922D64"/>
    <w:rsid w:val="285438ED"/>
    <w:rsid w:val="2BB44256"/>
    <w:rsid w:val="2BB520B6"/>
    <w:rsid w:val="2BC700C3"/>
    <w:rsid w:val="2BEE61E1"/>
    <w:rsid w:val="2CCF5A65"/>
    <w:rsid w:val="2D43324D"/>
    <w:rsid w:val="2D886A34"/>
    <w:rsid w:val="2DCD5FFB"/>
    <w:rsid w:val="2E4A39AE"/>
    <w:rsid w:val="2E9077CD"/>
    <w:rsid w:val="2E9979DA"/>
    <w:rsid w:val="2EA63289"/>
    <w:rsid w:val="2F0D0EAD"/>
    <w:rsid w:val="2F313FC2"/>
    <w:rsid w:val="2F4A6521"/>
    <w:rsid w:val="2F5B72F2"/>
    <w:rsid w:val="2F8C750F"/>
    <w:rsid w:val="2FA00D38"/>
    <w:rsid w:val="3097733C"/>
    <w:rsid w:val="30D44E9E"/>
    <w:rsid w:val="30F04D0F"/>
    <w:rsid w:val="315A3CF9"/>
    <w:rsid w:val="316C7D02"/>
    <w:rsid w:val="31E60E9F"/>
    <w:rsid w:val="320F34E7"/>
    <w:rsid w:val="322F6556"/>
    <w:rsid w:val="32490044"/>
    <w:rsid w:val="331B1FC7"/>
    <w:rsid w:val="336B7975"/>
    <w:rsid w:val="33931262"/>
    <w:rsid w:val="344634CC"/>
    <w:rsid w:val="35127B5D"/>
    <w:rsid w:val="352275ED"/>
    <w:rsid w:val="35487054"/>
    <w:rsid w:val="355F7EFA"/>
    <w:rsid w:val="35681294"/>
    <w:rsid w:val="35C652B8"/>
    <w:rsid w:val="35F21B5C"/>
    <w:rsid w:val="3650774D"/>
    <w:rsid w:val="36E37E9C"/>
    <w:rsid w:val="36F92963"/>
    <w:rsid w:val="372907BF"/>
    <w:rsid w:val="3784684C"/>
    <w:rsid w:val="37926A3C"/>
    <w:rsid w:val="37AE5EDE"/>
    <w:rsid w:val="37C279A3"/>
    <w:rsid w:val="37D62D33"/>
    <w:rsid w:val="386D5023"/>
    <w:rsid w:val="38975BFC"/>
    <w:rsid w:val="38AD21D3"/>
    <w:rsid w:val="38F208F9"/>
    <w:rsid w:val="38F238C7"/>
    <w:rsid w:val="39014FFC"/>
    <w:rsid w:val="391E722D"/>
    <w:rsid w:val="39343BEA"/>
    <w:rsid w:val="39C947B3"/>
    <w:rsid w:val="3A840F8D"/>
    <w:rsid w:val="3AD231AE"/>
    <w:rsid w:val="3B9C2AF1"/>
    <w:rsid w:val="3C9248BB"/>
    <w:rsid w:val="3D040F68"/>
    <w:rsid w:val="3DC36B2A"/>
    <w:rsid w:val="3DC57549"/>
    <w:rsid w:val="3E2B4AA5"/>
    <w:rsid w:val="3EA44DB9"/>
    <w:rsid w:val="3EC931B9"/>
    <w:rsid w:val="3EE8632E"/>
    <w:rsid w:val="3EF94B09"/>
    <w:rsid w:val="3F0D58FF"/>
    <w:rsid w:val="3F4828EC"/>
    <w:rsid w:val="3FAB508B"/>
    <w:rsid w:val="40540CB5"/>
    <w:rsid w:val="406B3BF6"/>
    <w:rsid w:val="40CB5962"/>
    <w:rsid w:val="410B7060"/>
    <w:rsid w:val="417941B6"/>
    <w:rsid w:val="42106EF1"/>
    <w:rsid w:val="42442713"/>
    <w:rsid w:val="429E357F"/>
    <w:rsid w:val="42C72C51"/>
    <w:rsid w:val="42C738E2"/>
    <w:rsid w:val="42DD546D"/>
    <w:rsid w:val="42E5074D"/>
    <w:rsid w:val="43317DB9"/>
    <w:rsid w:val="44310EAB"/>
    <w:rsid w:val="44713E32"/>
    <w:rsid w:val="447C0557"/>
    <w:rsid w:val="450B0EB6"/>
    <w:rsid w:val="45566C22"/>
    <w:rsid w:val="46447DB9"/>
    <w:rsid w:val="470607D7"/>
    <w:rsid w:val="4793077D"/>
    <w:rsid w:val="479F1707"/>
    <w:rsid w:val="48322F51"/>
    <w:rsid w:val="489E2024"/>
    <w:rsid w:val="48D507A7"/>
    <w:rsid w:val="4998405E"/>
    <w:rsid w:val="4A121561"/>
    <w:rsid w:val="4A2347C7"/>
    <w:rsid w:val="4AB465E2"/>
    <w:rsid w:val="4B4F3FB8"/>
    <w:rsid w:val="4B647BC0"/>
    <w:rsid w:val="4BA779C0"/>
    <w:rsid w:val="4BF076A6"/>
    <w:rsid w:val="4C105AFA"/>
    <w:rsid w:val="4D03140D"/>
    <w:rsid w:val="4D426A4E"/>
    <w:rsid w:val="4DDF214F"/>
    <w:rsid w:val="4DE374E6"/>
    <w:rsid w:val="4DED0341"/>
    <w:rsid w:val="4F1624D8"/>
    <w:rsid w:val="4F443A3B"/>
    <w:rsid w:val="4F6C39AA"/>
    <w:rsid w:val="4F845C85"/>
    <w:rsid w:val="4FA90297"/>
    <w:rsid w:val="502E24A8"/>
    <w:rsid w:val="50380B32"/>
    <w:rsid w:val="505873CB"/>
    <w:rsid w:val="50AB03D9"/>
    <w:rsid w:val="50E33C7D"/>
    <w:rsid w:val="50EA6B00"/>
    <w:rsid w:val="51B15B29"/>
    <w:rsid w:val="51C80A29"/>
    <w:rsid w:val="51E3785B"/>
    <w:rsid w:val="52346F98"/>
    <w:rsid w:val="52A74BF2"/>
    <w:rsid w:val="537A5052"/>
    <w:rsid w:val="5469258C"/>
    <w:rsid w:val="54805B6A"/>
    <w:rsid w:val="548C27A5"/>
    <w:rsid w:val="54C0313A"/>
    <w:rsid w:val="54C55BD1"/>
    <w:rsid w:val="54ED4593"/>
    <w:rsid w:val="554716F7"/>
    <w:rsid w:val="55A53C8F"/>
    <w:rsid w:val="55B32BF7"/>
    <w:rsid w:val="56153469"/>
    <w:rsid w:val="565373F3"/>
    <w:rsid w:val="565B45AF"/>
    <w:rsid w:val="56B70654"/>
    <w:rsid w:val="57225027"/>
    <w:rsid w:val="577C5CC7"/>
    <w:rsid w:val="581263A9"/>
    <w:rsid w:val="594554D5"/>
    <w:rsid w:val="59856C53"/>
    <w:rsid w:val="59933459"/>
    <w:rsid w:val="59AE3CD3"/>
    <w:rsid w:val="5A1E6323"/>
    <w:rsid w:val="5B2353A2"/>
    <w:rsid w:val="5B690BF4"/>
    <w:rsid w:val="5B7177A8"/>
    <w:rsid w:val="5BA3479E"/>
    <w:rsid w:val="5D343FA7"/>
    <w:rsid w:val="5DE423A9"/>
    <w:rsid w:val="5E2E29DB"/>
    <w:rsid w:val="5F530FFE"/>
    <w:rsid w:val="5F6B3CA0"/>
    <w:rsid w:val="5F7E34EF"/>
    <w:rsid w:val="5F880010"/>
    <w:rsid w:val="60806791"/>
    <w:rsid w:val="60C8353D"/>
    <w:rsid w:val="60E0197E"/>
    <w:rsid w:val="613E1768"/>
    <w:rsid w:val="61A12AA9"/>
    <w:rsid w:val="622A34BA"/>
    <w:rsid w:val="62C1727D"/>
    <w:rsid w:val="62ED61DB"/>
    <w:rsid w:val="630F0CAE"/>
    <w:rsid w:val="634377BE"/>
    <w:rsid w:val="639649C2"/>
    <w:rsid w:val="63D83EE8"/>
    <w:rsid w:val="64D92C19"/>
    <w:rsid w:val="64E5371D"/>
    <w:rsid w:val="65325C20"/>
    <w:rsid w:val="65EC5638"/>
    <w:rsid w:val="65ED4A24"/>
    <w:rsid w:val="66126598"/>
    <w:rsid w:val="66794DFF"/>
    <w:rsid w:val="667D71CC"/>
    <w:rsid w:val="67996803"/>
    <w:rsid w:val="684C7C13"/>
    <w:rsid w:val="68616011"/>
    <w:rsid w:val="68B36DCD"/>
    <w:rsid w:val="68E8795B"/>
    <w:rsid w:val="69BC1BDF"/>
    <w:rsid w:val="6A055F22"/>
    <w:rsid w:val="6A3C022E"/>
    <w:rsid w:val="6A3F43B2"/>
    <w:rsid w:val="6AE14B27"/>
    <w:rsid w:val="6AED499B"/>
    <w:rsid w:val="6AF82869"/>
    <w:rsid w:val="6B547C6A"/>
    <w:rsid w:val="6BB14145"/>
    <w:rsid w:val="6C5D255A"/>
    <w:rsid w:val="6C7E5E26"/>
    <w:rsid w:val="6CCB1F66"/>
    <w:rsid w:val="6D097B2D"/>
    <w:rsid w:val="6D170A6E"/>
    <w:rsid w:val="6D70219D"/>
    <w:rsid w:val="6DA5562E"/>
    <w:rsid w:val="6DAF51BB"/>
    <w:rsid w:val="6DED13D3"/>
    <w:rsid w:val="6E9C74ED"/>
    <w:rsid w:val="6EAD2FA4"/>
    <w:rsid w:val="6ED7230E"/>
    <w:rsid w:val="6FF92470"/>
    <w:rsid w:val="706C1CB1"/>
    <w:rsid w:val="70E07407"/>
    <w:rsid w:val="720C5D23"/>
    <w:rsid w:val="72143E31"/>
    <w:rsid w:val="72D373C6"/>
    <w:rsid w:val="73405CA8"/>
    <w:rsid w:val="736143EA"/>
    <w:rsid w:val="738E4832"/>
    <w:rsid w:val="73C8084C"/>
    <w:rsid w:val="74055B35"/>
    <w:rsid w:val="74257EF2"/>
    <w:rsid w:val="742E1E16"/>
    <w:rsid w:val="748C3FC9"/>
    <w:rsid w:val="7498350C"/>
    <w:rsid w:val="74D83151"/>
    <w:rsid w:val="74EE0377"/>
    <w:rsid w:val="75483C08"/>
    <w:rsid w:val="7557416E"/>
    <w:rsid w:val="75771CB5"/>
    <w:rsid w:val="7588554A"/>
    <w:rsid w:val="75944076"/>
    <w:rsid w:val="75992319"/>
    <w:rsid w:val="76324807"/>
    <w:rsid w:val="76A92E2D"/>
    <w:rsid w:val="776D2E8E"/>
    <w:rsid w:val="77A716E8"/>
    <w:rsid w:val="78232A2D"/>
    <w:rsid w:val="78B74403"/>
    <w:rsid w:val="7A9834DE"/>
    <w:rsid w:val="7AF62C88"/>
    <w:rsid w:val="7AFD0BA2"/>
    <w:rsid w:val="7B226501"/>
    <w:rsid w:val="7B5A451D"/>
    <w:rsid w:val="7B731598"/>
    <w:rsid w:val="7BFE600F"/>
    <w:rsid w:val="7C375434"/>
    <w:rsid w:val="7C442F72"/>
    <w:rsid w:val="7C4A67DB"/>
    <w:rsid w:val="7C8B6DF3"/>
    <w:rsid w:val="7D0D578A"/>
    <w:rsid w:val="7D1E5B63"/>
    <w:rsid w:val="7DEE3F4D"/>
    <w:rsid w:val="7E122E48"/>
    <w:rsid w:val="7E1D4B6C"/>
    <w:rsid w:val="7E310006"/>
    <w:rsid w:val="7EF64019"/>
    <w:rsid w:val="7FDA60C7"/>
    <w:rsid w:val="D2FC02D2"/>
    <w:rsid w:val="FB97DCA1"/>
    <w:rsid w:val="FFFB5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spacing w:line="300" w:lineRule="auto"/>
      <w:ind w:firstLine="200" w:firstLineChars="200"/>
    </w:pPr>
    <w:rPr>
      <w:rFonts w:ascii="Microsoft JhengHei Light" w:hAnsi="Microsoft JhengHei Light" w:eastAsia="华文仿宋" w:cs="Microsoft JhengHei Light"/>
      <w:color w:val="000000"/>
      <w:sz w:val="28"/>
      <w:szCs w:val="24"/>
      <w:lang w:val="en-US" w:eastAsia="en-US" w:bidi="en-US"/>
    </w:rPr>
  </w:style>
  <w:style w:type="paragraph" w:styleId="3">
    <w:name w:val="heading 1"/>
    <w:basedOn w:val="1"/>
    <w:next w:val="1"/>
    <w:link w:val="26"/>
    <w:qFormat/>
    <w:uiPriority w:val="9"/>
    <w:pPr>
      <w:keepNext/>
      <w:keepLines/>
      <w:spacing w:before="340" w:after="330" w:line="578" w:lineRule="auto"/>
    </w:pPr>
    <w:rPr>
      <w:rFonts w:eastAsia="华文仿宋"/>
      <w:b/>
      <w:bCs/>
      <w:kern w:val="44"/>
      <w:sz w:val="44"/>
      <w:szCs w:val="44"/>
    </w:rPr>
  </w:style>
  <w:style w:type="paragraph" w:styleId="4">
    <w:name w:val="heading 2"/>
    <w:basedOn w:val="1"/>
    <w:next w:val="1"/>
    <w:link w:val="27"/>
    <w:unhideWhenUsed/>
    <w:qFormat/>
    <w:uiPriority w:val="9"/>
    <w:pPr>
      <w:keepNext/>
      <w:keepLines/>
      <w:spacing w:before="260" w:after="260" w:line="416" w:lineRule="auto"/>
      <w:jc w:val="center"/>
      <w:outlineLvl w:val="1"/>
    </w:pPr>
    <w:rPr>
      <w:rFonts w:asciiTheme="majorHAnsi" w:hAnsiTheme="majorHAnsi" w:cstheme="majorBidi"/>
      <w:b/>
      <w:bCs/>
      <w:sz w:val="32"/>
      <w:szCs w:val="32"/>
    </w:rPr>
  </w:style>
  <w:style w:type="paragraph" w:styleId="2">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unhideWhenUsed/>
    <w:qFormat/>
    <w:uiPriority w:val="99"/>
  </w:style>
  <w:style w:type="paragraph" w:styleId="6">
    <w:name w:val="Balloon Text"/>
    <w:basedOn w:val="1"/>
    <w:link w:val="28"/>
    <w:semiHidden/>
    <w:unhideWhenUsed/>
    <w:qFormat/>
    <w:uiPriority w:val="99"/>
    <w:pPr>
      <w:spacing w:line="240" w:lineRule="auto"/>
    </w:pPr>
    <w:rPr>
      <w:sz w:val="18"/>
      <w:szCs w:val="18"/>
    </w:rPr>
  </w:style>
  <w:style w:type="paragraph" w:styleId="7">
    <w:name w:val="footer"/>
    <w:basedOn w:val="1"/>
    <w:link w:val="25"/>
    <w:unhideWhenUsed/>
    <w:qFormat/>
    <w:uiPriority w:val="99"/>
    <w:pPr>
      <w:tabs>
        <w:tab w:val="center" w:pos="4153"/>
        <w:tab w:val="right" w:pos="8306"/>
      </w:tabs>
      <w:snapToGrid w:val="0"/>
    </w:pPr>
    <w:rPr>
      <w:sz w:val="18"/>
      <w:szCs w:val="18"/>
    </w:rPr>
  </w:style>
  <w:style w:type="paragraph" w:styleId="8">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wordWrap/>
      <w:spacing w:before="100" w:beforeAutospacing="1" w:after="100" w:afterAutospacing="1" w:line="240" w:lineRule="auto"/>
      <w:ind w:firstLine="0" w:firstLineChars="0"/>
    </w:pPr>
    <w:rPr>
      <w:rFonts w:ascii="宋体" w:hAnsi="宋体" w:eastAsia="宋体" w:cs="宋体"/>
      <w:color w:val="auto"/>
      <w:sz w:val="24"/>
      <w:lang w:eastAsia="zh-CN" w:bidi="ar-SA"/>
    </w:rPr>
  </w:style>
  <w:style w:type="paragraph" w:styleId="10">
    <w:name w:val="annotation subject"/>
    <w:basedOn w:val="5"/>
    <w:next w:val="5"/>
    <w:link w:val="30"/>
    <w:semiHidden/>
    <w:unhideWhenUsed/>
    <w:qFormat/>
    <w:uiPriority w:val="99"/>
    <w:rPr>
      <w:b/>
      <w:bCs/>
    </w:rPr>
  </w:style>
  <w:style w:type="table" w:styleId="12">
    <w:name w:val="Table Grid"/>
    <w:basedOn w:val="11"/>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annotation reference"/>
    <w:basedOn w:val="13"/>
    <w:semiHidden/>
    <w:unhideWhenUsed/>
    <w:qFormat/>
    <w:uiPriority w:val="99"/>
    <w:rPr>
      <w:sz w:val="21"/>
      <w:szCs w:val="21"/>
    </w:rPr>
  </w:style>
  <w:style w:type="paragraph" w:customStyle="1" w:styleId="16">
    <w:name w:val="标题 #1"/>
    <w:basedOn w:val="1"/>
    <w:link w:val="21"/>
    <w:qFormat/>
    <w:uiPriority w:val="0"/>
    <w:pPr>
      <w:shd w:val="clear" w:color="auto" w:fill="FFFFFF"/>
      <w:spacing w:after="100"/>
      <w:jc w:val="center"/>
      <w:outlineLvl w:val="0"/>
    </w:pPr>
    <w:rPr>
      <w:rFonts w:ascii="MingLiU" w:hAnsi="MingLiU" w:eastAsia="MingLiU" w:cs="MingLiU"/>
      <w:sz w:val="40"/>
      <w:szCs w:val="40"/>
      <w:lang w:val="zh-CN" w:eastAsia="zh-CN" w:bidi="zh-CN"/>
    </w:rPr>
  </w:style>
  <w:style w:type="character" w:customStyle="1" w:styleId="17">
    <w:name w:val="正文文本_"/>
    <w:basedOn w:val="13"/>
    <w:link w:val="18"/>
    <w:qFormat/>
    <w:uiPriority w:val="0"/>
    <w:rPr>
      <w:rFonts w:ascii="MingLiU" w:hAnsi="MingLiU" w:eastAsia="MingLiU" w:cs="MingLiU"/>
      <w:sz w:val="28"/>
      <w:szCs w:val="28"/>
      <w:u w:val="none"/>
      <w:lang w:val="zh-CN" w:eastAsia="zh-CN" w:bidi="zh-CN"/>
    </w:rPr>
  </w:style>
  <w:style w:type="paragraph" w:customStyle="1" w:styleId="18">
    <w:name w:val="正文文本1"/>
    <w:basedOn w:val="1"/>
    <w:link w:val="17"/>
    <w:qFormat/>
    <w:uiPriority w:val="0"/>
    <w:pPr>
      <w:shd w:val="clear" w:color="auto" w:fill="FFFFFF"/>
      <w:spacing w:line="382" w:lineRule="auto"/>
      <w:ind w:firstLine="400"/>
    </w:pPr>
    <w:rPr>
      <w:rFonts w:ascii="MingLiU" w:hAnsi="MingLiU" w:eastAsia="MingLiU" w:cs="MingLiU"/>
      <w:szCs w:val="28"/>
      <w:lang w:val="zh-CN" w:eastAsia="zh-CN" w:bidi="zh-CN"/>
    </w:rPr>
  </w:style>
  <w:style w:type="character" w:customStyle="1" w:styleId="19">
    <w:name w:val="页眉或页脚 (2)_"/>
    <w:basedOn w:val="13"/>
    <w:link w:val="20"/>
    <w:qFormat/>
    <w:uiPriority w:val="0"/>
    <w:rPr>
      <w:rFonts w:ascii="Times New Roman" w:hAnsi="Times New Roman" w:eastAsia="Times New Roman" w:cs="Times New Roman"/>
      <w:sz w:val="20"/>
      <w:szCs w:val="20"/>
      <w:u w:val="none"/>
      <w:lang w:val="zh-CN" w:eastAsia="zh-CN" w:bidi="zh-CN"/>
    </w:rPr>
  </w:style>
  <w:style w:type="paragraph" w:customStyle="1" w:styleId="20">
    <w:name w:val="页眉或页脚 (2)"/>
    <w:basedOn w:val="1"/>
    <w:link w:val="19"/>
    <w:qFormat/>
    <w:uiPriority w:val="0"/>
    <w:pPr>
      <w:shd w:val="clear" w:color="auto" w:fill="FFFFFF"/>
    </w:pPr>
    <w:rPr>
      <w:rFonts w:ascii="Times New Roman" w:hAnsi="Times New Roman" w:eastAsia="Times New Roman" w:cs="Times New Roman"/>
      <w:sz w:val="20"/>
      <w:szCs w:val="20"/>
      <w:lang w:val="zh-CN" w:eastAsia="zh-CN" w:bidi="zh-CN"/>
    </w:rPr>
  </w:style>
  <w:style w:type="character" w:customStyle="1" w:styleId="21">
    <w:name w:val="标题 #1_"/>
    <w:basedOn w:val="13"/>
    <w:link w:val="16"/>
    <w:qFormat/>
    <w:uiPriority w:val="0"/>
    <w:rPr>
      <w:rFonts w:ascii="MingLiU" w:hAnsi="MingLiU" w:eastAsia="MingLiU" w:cs="MingLiU"/>
      <w:sz w:val="40"/>
      <w:szCs w:val="40"/>
      <w:u w:val="none"/>
      <w:lang w:val="zh-CN" w:eastAsia="zh-CN" w:bidi="zh-CN"/>
    </w:rPr>
  </w:style>
  <w:style w:type="character" w:customStyle="1" w:styleId="22">
    <w:name w:val="标题 #2_"/>
    <w:basedOn w:val="13"/>
    <w:link w:val="23"/>
    <w:qFormat/>
    <w:uiPriority w:val="0"/>
    <w:rPr>
      <w:rFonts w:ascii="MingLiU" w:hAnsi="MingLiU" w:eastAsia="MingLiU" w:cs="MingLiU"/>
      <w:b/>
      <w:bCs/>
      <w:sz w:val="28"/>
      <w:szCs w:val="28"/>
      <w:u w:val="none"/>
      <w:lang w:val="zh-CN" w:eastAsia="zh-CN" w:bidi="zh-CN"/>
    </w:rPr>
  </w:style>
  <w:style w:type="paragraph" w:customStyle="1" w:styleId="23">
    <w:name w:val="标题 #2"/>
    <w:basedOn w:val="1"/>
    <w:link w:val="22"/>
    <w:qFormat/>
    <w:uiPriority w:val="0"/>
    <w:pPr>
      <w:shd w:val="clear" w:color="auto" w:fill="FFFFFF"/>
      <w:spacing w:line="535" w:lineRule="exact"/>
      <w:jc w:val="center"/>
      <w:outlineLvl w:val="1"/>
    </w:pPr>
    <w:rPr>
      <w:rFonts w:ascii="MingLiU" w:hAnsi="MingLiU" w:eastAsia="MingLiU" w:cs="MingLiU"/>
      <w:b/>
      <w:bCs/>
      <w:szCs w:val="28"/>
      <w:lang w:val="zh-CN" w:eastAsia="zh-CN" w:bidi="zh-CN"/>
    </w:rPr>
  </w:style>
  <w:style w:type="character" w:customStyle="1" w:styleId="24">
    <w:name w:val="页眉 字符"/>
    <w:basedOn w:val="13"/>
    <w:link w:val="8"/>
    <w:qFormat/>
    <w:uiPriority w:val="99"/>
    <w:rPr>
      <w:color w:val="000000"/>
      <w:sz w:val="18"/>
      <w:szCs w:val="18"/>
    </w:rPr>
  </w:style>
  <w:style w:type="character" w:customStyle="1" w:styleId="25">
    <w:name w:val="页脚 字符"/>
    <w:basedOn w:val="13"/>
    <w:link w:val="7"/>
    <w:qFormat/>
    <w:uiPriority w:val="99"/>
    <w:rPr>
      <w:color w:val="000000"/>
      <w:sz w:val="18"/>
      <w:szCs w:val="18"/>
    </w:rPr>
  </w:style>
  <w:style w:type="character" w:customStyle="1" w:styleId="26">
    <w:name w:val="标题 1 字符"/>
    <w:basedOn w:val="13"/>
    <w:link w:val="3"/>
    <w:qFormat/>
    <w:uiPriority w:val="9"/>
    <w:rPr>
      <w:rFonts w:ascii="MingLiU" w:hAnsi="MingLiU" w:eastAsia="华文仿宋" w:cs="MingLiU"/>
      <w:b/>
      <w:bCs/>
      <w:color w:val="000000"/>
      <w:kern w:val="44"/>
      <w:sz w:val="44"/>
      <w:szCs w:val="44"/>
      <w:shd w:val="clear" w:color="auto" w:fill="FFFFFF"/>
      <w:lang w:val="zh-CN" w:eastAsia="zh-CN" w:bidi="zh-CN"/>
    </w:rPr>
  </w:style>
  <w:style w:type="character" w:customStyle="1" w:styleId="27">
    <w:name w:val="标题 2 字符"/>
    <w:basedOn w:val="13"/>
    <w:link w:val="4"/>
    <w:qFormat/>
    <w:uiPriority w:val="9"/>
    <w:rPr>
      <w:rFonts w:eastAsia="华文仿宋" w:asciiTheme="majorHAnsi" w:hAnsiTheme="majorHAnsi" w:cstheme="majorBidi"/>
      <w:b/>
      <w:bCs/>
      <w:color w:val="000000"/>
      <w:sz w:val="32"/>
      <w:szCs w:val="32"/>
    </w:rPr>
  </w:style>
  <w:style w:type="character" w:customStyle="1" w:styleId="28">
    <w:name w:val="批注框文本 字符"/>
    <w:basedOn w:val="13"/>
    <w:link w:val="6"/>
    <w:semiHidden/>
    <w:qFormat/>
    <w:uiPriority w:val="99"/>
    <w:rPr>
      <w:rFonts w:eastAsia="华文仿宋"/>
      <w:color w:val="000000"/>
      <w:sz w:val="18"/>
      <w:szCs w:val="18"/>
    </w:rPr>
  </w:style>
  <w:style w:type="character" w:customStyle="1" w:styleId="29">
    <w:name w:val="批注文字 字符"/>
    <w:basedOn w:val="13"/>
    <w:link w:val="5"/>
    <w:qFormat/>
    <w:uiPriority w:val="99"/>
    <w:rPr>
      <w:rFonts w:eastAsia="华文仿宋"/>
      <w:color w:val="000000"/>
      <w:sz w:val="28"/>
    </w:rPr>
  </w:style>
  <w:style w:type="character" w:customStyle="1" w:styleId="30">
    <w:name w:val="批注主题 字符"/>
    <w:basedOn w:val="29"/>
    <w:link w:val="10"/>
    <w:semiHidden/>
    <w:qFormat/>
    <w:uiPriority w:val="99"/>
    <w:rPr>
      <w:rFonts w:eastAsia="华文仿宋"/>
      <w:b/>
      <w:bCs/>
      <w:color w:val="000000"/>
      <w:sz w:val="28"/>
    </w:rPr>
  </w:style>
  <w:style w:type="character" w:customStyle="1" w:styleId="31">
    <w:name w:val="标题 3 字符"/>
    <w:basedOn w:val="13"/>
    <w:link w:val="2"/>
    <w:qFormat/>
    <w:uiPriority w:val="9"/>
    <w:rPr>
      <w:rFonts w:eastAsia="华文仿宋"/>
      <w:b/>
      <w:bCs/>
      <w:color w:val="000000"/>
      <w:sz w:val="32"/>
      <w:szCs w:val="32"/>
    </w:rPr>
  </w:style>
  <w:style w:type="paragraph" w:customStyle="1" w:styleId="32">
    <w:name w:val="修订1"/>
    <w:hidden/>
    <w:semiHidden/>
    <w:qFormat/>
    <w:uiPriority w:val="99"/>
    <w:rPr>
      <w:rFonts w:ascii="Microsoft JhengHei Light" w:hAnsi="Microsoft JhengHei Light" w:eastAsia="华文仿宋" w:cs="Microsoft JhengHei Light"/>
      <w:color w:val="000000"/>
      <w:sz w:val="28"/>
      <w:szCs w:val="24"/>
      <w:lang w:val="en-US" w:eastAsia="en-US" w:bidi="en-US"/>
    </w:rPr>
  </w:style>
  <w:style w:type="paragraph" w:customStyle="1" w:styleId="33">
    <w:name w:val="修订2"/>
    <w:hidden/>
    <w:semiHidden/>
    <w:qFormat/>
    <w:uiPriority w:val="99"/>
    <w:rPr>
      <w:rFonts w:ascii="Microsoft JhengHei Light" w:hAnsi="Microsoft JhengHei Light" w:eastAsia="华文仿宋" w:cs="Microsoft JhengHei Light"/>
      <w:color w:val="000000"/>
      <w:sz w:val="28"/>
      <w:szCs w:val="24"/>
      <w:lang w:val="en-US" w:eastAsia="en-US" w:bidi="en-US"/>
    </w:rPr>
  </w:style>
  <w:style w:type="paragraph" w:customStyle="1" w:styleId="34">
    <w:name w:val="Revision"/>
    <w:hidden/>
    <w:semiHidden/>
    <w:qFormat/>
    <w:uiPriority w:val="99"/>
    <w:rPr>
      <w:rFonts w:ascii="Microsoft JhengHei Light" w:hAnsi="Microsoft JhengHei Light" w:eastAsia="华文仿宋" w:cs="Microsoft JhengHei Light"/>
      <w:color w:val="000000"/>
      <w:sz w:val="28"/>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7014</Words>
  <Characters>7015</Characters>
  <Lines>45</Lines>
  <Paragraphs>12</Paragraphs>
  <TotalTime>3</TotalTime>
  <ScaleCrop>false</ScaleCrop>
  <LinksUpToDate>false</LinksUpToDate>
  <CharactersWithSpaces>7056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2022-07-11T07:23:00Z</dcterms:created>
  <dc:creator>马远伟</dc:creator>
  <cp:lastModifiedBy>冯文峰</cp:lastModifiedBy>
  <dcterms:modified xsi:type="dcterms:W3CDTF">2023-08-24T09:20:04Z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ribbonExt">
    <vt:lpwstr>{"WPSExtOfficeTab":{"OnGetEnabled":false,"OnGetVisible":false}}</vt:lpwstr>
  </property>
  <property fmtid="{D5CDD505-2E9C-101B-9397-08002B2CF9AE}" pid="4" name="showFlag">
    <vt:bool>true</vt:bool>
  </property>
  <property fmtid="{D5CDD505-2E9C-101B-9397-08002B2CF9AE}" pid="5" name="userName">
    <vt:lpwstr>张优丽</vt:lpwstr>
  </property>
  <property fmtid="{D5CDD505-2E9C-101B-9397-08002B2CF9AE}" pid="6" name="ICV">
    <vt:lpwstr>069055F282FC4F3295DFE69C121590A9</vt:lpwstr>
  </property>
</Properties>
</file>